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D21A1A" w14:textId="77777777" w:rsidR="00055AF0" w:rsidRPr="00055AF0" w:rsidRDefault="00055AF0" w:rsidP="00055AF0">
      <w:pPr>
        <w:jc w:val="center"/>
        <w:rPr>
          <w:b/>
          <w:bCs/>
          <w:sz w:val="28"/>
          <w:szCs w:val="28"/>
        </w:rPr>
      </w:pPr>
      <w:r w:rsidRPr="00055AF0">
        <w:rPr>
          <w:b/>
          <w:bCs/>
          <w:sz w:val="28"/>
          <w:szCs w:val="28"/>
        </w:rPr>
        <w:t>How important is the concept of authenticity in the presentation of heritage</w:t>
      </w:r>
    </w:p>
    <w:p w14:paraId="1F1D2183" w14:textId="77777777" w:rsidR="00055AF0" w:rsidRDefault="00055AF0"/>
    <w:p w14:paraId="21908667" w14:textId="1A821016" w:rsidR="00055AF0" w:rsidRDefault="00055AF0">
      <w:r>
        <w:tab/>
        <w:t>The concept of authenticity is integral to the presentation of heritage. The ability for heritage sites and objects to evoke the aura of the ‘real thing’ is a significant tool in the presentation, promotion, and curation of these sites. The concept of authenticity has attracted its fair share of debate in academic circles, and its importance in the heritage sector is hotly contested.</w:t>
      </w:r>
      <w:r w:rsidR="002034B9">
        <w:t xml:space="preserve"> </w:t>
      </w:r>
      <w:r>
        <w:t>This essay will make the case for the importance of authenticity in the presentation of heritage while also allowing for its broader definition put forward by</w:t>
      </w:r>
      <w:r w:rsidR="003732E6">
        <w:t xml:space="preserve"> </w:t>
      </w:r>
      <w:r w:rsidR="002D51DD">
        <w:t xml:space="preserve">some </w:t>
      </w:r>
      <w:r>
        <w:t>scholars. This essay seeks to ta</w:t>
      </w:r>
      <w:r w:rsidRPr="00760EE2">
        <w:t>ckle the concept of authenticity, the importance of the ‘original’ object in presenting heritage, the place of reconstruction in the concept of authenticity, and the ways in which these points tie in to the presentation of heritage.</w:t>
      </w:r>
      <w:r>
        <w:t xml:space="preserve"> </w:t>
      </w:r>
    </w:p>
    <w:p w14:paraId="5978CC92" w14:textId="77777777" w:rsidR="00055AF0" w:rsidRDefault="00055AF0"/>
    <w:p w14:paraId="54A2F855" w14:textId="23D0AA91" w:rsidR="00051B42" w:rsidRDefault="00055AF0">
      <w:r>
        <w:tab/>
        <w:t>The concept of authenticity is incredibly difficult to define.</w:t>
      </w:r>
      <w:r w:rsidR="00EC1510">
        <w:t xml:space="preserve"> It is made </w:t>
      </w:r>
      <w:r w:rsidR="002E7BA6">
        <w:t xml:space="preserve">more difficult due to the proliferation of its research which has </w:t>
      </w:r>
      <w:r w:rsidR="004048F9">
        <w:t>led</w:t>
      </w:r>
      <w:r w:rsidR="002E7BA6">
        <w:t xml:space="preserve"> to </w:t>
      </w:r>
      <w:r w:rsidR="009A1C16">
        <w:t xml:space="preserve">a </w:t>
      </w:r>
      <w:r w:rsidR="004048F9">
        <w:t xml:space="preserve">seemingly unending </w:t>
      </w:r>
      <w:r w:rsidR="009A1C16">
        <w:t xml:space="preserve">list of academic </w:t>
      </w:r>
      <w:r w:rsidR="004048F9">
        <w:t xml:space="preserve">definitions as the concept is applied to </w:t>
      </w:r>
      <w:r w:rsidR="009A1C16">
        <w:t xml:space="preserve">more and more </w:t>
      </w:r>
      <w:r w:rsidR="004048F9">
        <w:t>fields.</w:t>
      </w:r>
      <w:r w:rsidR="004048F9">
        <w:rPr>
          <w:rStyle w:val="FootnoteReference"/>
        </w:rPr>
        <w:footnoteReference w:id="1"/>
      </w:r>
      <w:r w:rsidR="004048F9">
        <w:t xml:space="preserve"> </w:t>
      </w:r>
      <w:r>
        <w:t>In most definitions</w:t>
      </w:r>
      <w:r w:rsidR="009A1C16">
        <w:t xml:space="preserve">, </w:t>
      </w:r>
      <w:r>
        <w:t>it boils down to a sense of</w:t>
      </w:r>
      <w:r w:rsidR="002A1BB0">
        <w:t xml:space="preserve"> accuracy, or </w:t>
      </w:r>
      <w:r>
        <w:t xml:space="preserve">‘the real thing’. Far from providing clarity, this further complicates the picture. Absolute historical accuracy is an impossible goal for </w:t>
      </w:r>
      <w:r w:rsidR="00585DE4">
        <w:t xml:space="preserve">the </w:t>
      </w:r>
      <w:r>
        <w:t xml:space="preserve">academic historian </w:t>
      </w:r>
      <w:r w:rsidR="00585DE4">
        <w:t>or</w:t>
      </w:r>
      <w:r>
        <w:t xml:space="preserve"> archaeologist</w:t>
      </w:r>
      <w:r w:rsidR="00585DE4">
        <w:t>,</w:t>
      </w:r>
      <w:r>
        <w:t xml:space="preserve"> let alone for popular history and its presentation.</w:t>
      </w:r>
      <w:r>
        <w:rPr>
          <w:rStyle w:val="FootnoteReference"/>
        </w:rPr>
        <w:footnoteReference w:id="2"/>
      </w:r>
      <w:r>
        <w:t xml:space="preserve"> The question of “what is authenticity” then, within the context of heritage and narrative, is more aligned with audience perception. When in the specific context of museums this is significantly bound up with object agency of the original. In his seminal essay on </w:t>
      </w:r>
      <w:r w:rsidR="000172FA">
        <w:t>the subject</w:t>
      </w:r>
      <w:r>
        <w:t>, Walter Benjamin defines authenticity as the ‘original’ with use of his concept of ‘aura.’</w:t>
      </w:r>
      <w:r>
        <w:rPr>
          <w:rStyle w:val="FootnoteReference"/>
        </w:rPr>
        <w:footnoteReference w:id="3"/>
      </w:r>
      <w:r>
        <w:t xml:space="preserve"> </w:t>
      </w:r>
      <w:r w:rsidR="00295726">
        <w:t>According to his ideas, a</w:t>
      </w:r>
      <w:r>
        <w:t>ura is the missing element that the original retains over the reproduction</w:t>
      </w:r>
      <w:r w:rsidR="00295726">
        <w:t>;</w:t>
      </w:r>
      <w:r>
        <w:t xml:space="preserve"> the presence that only the original can hold.</w:t>
      </w:r>
      <w:r w:rsidR="00051B42">
        <w:rPr>
          <w:rStyle w:val="FootnoteReference"/>
        </w:rPr>
        <w:footnoteReference w:id="4"/>
      </w:r>
      <w:r>
        <w:t xml:space="preserve"> </w:t>
      </w:r>
      <w:r w:rsidR="00295726">
        <w:t xml:space="preserve">The </w:t>
      </w:r>
      <w:r>
        <w:t>authenticity of an object is the essence of all that is transmissible from the object’s beginning</w:t>
      </w:r>
      <w:r w:rsidR="0000103A">
        <w:t xml:space="preserve"> and</w:t>
      </w:r>
      <w:r>
        <w:t xml:space="preserve"> its testimony to the history it has experienced.</w:t>
      </w:r>
      <w:r>
        <w:rPr>
          <w:rStyle w:val="FootnoteReference"/>
        </w:rPr>
        <w:footnoteReference w:id="5"/>
      </w:r>
    </w:p>
    <w:p w14:paraId="0EA1C50D" w14:textId="77777777" w:rsidR="00051B42" w:rsidRDefault="00051B42"/>
    <w:p w14:paraId="41DEFBC5" w14:textId="7393406B" w:rsidR="00055AF0" w:rsidRDefault="00055AF0" w:rsidP="006C0C29">
      <w:pPr>
        <w:ind w:firstLine="720"/>
      </w:pPr>
      <w:r>
        <w:t xml:space="preserve">This theory has long been debated </w:t>
      </w:r>
      <w:r w:rsidR="0000103A">
        <w:t>and</w:t>
      </w:r>
      <w:r>
        <w:t xml:space="preserve"> has become an important part of museum and heritage studies. Benjamin’s theory, although in some ways materialist, indirectly places authenticity in the eye of the beholder</w:t>
      </w:r>
      <w:r w:rsidR="00F85214">
        <w:t xml:space="preserve">. This has formed the centre of the debate </w:t>
      </w:r>
      <w:r w:rsidR="008F0CA7">
        <w:t>that</w:t>
      </w:r>
      <w:r w:rsidR="00F85214">
        <w:t xml:space="preserve"> has fallen upon</w:t>
      </w:r>
      <w:r w:rsidR="00C3596F">
        <w:t xml:space="preserve"> ‘materialist’ and ‘constructivist’ lines.</w:t>
      </w:r>
      <w:r w:rsidR="00C3596F">
        <w:rPr>
          <w:rStyle w:val="FootnoteReference"/>
        </w:rPr>
        <w:footnoteReference w:id="6"/>
      </w:r>
      <w:r w:rsidR="0010637D">
        <w:t xml:space="preserve"> </w:t>
      </w:r>
      <w:r w:rsidR="00FF39FD">
        <w:t>The materialist perspective</w:t>
      </w:r>
      <w:r w:rsidR="007C372A">
        <w:t xml:space="preserve"> argues for a </w:t>
      </w:r>
      <w:r w:rsidR="00E33B66">
        <w:t>discernible</w:t>
      </w:r>
      <w:r w:rsidR="007C372A">
        <w:t xml:space="preserve"> basis of authenticity </w:t>
      </w:r>
      <w:r w:rsidR="00E33B66">
        <w:t>inherent to the object, whereas the constructivist perspective sees</w:t>
      </w:r>
      <w:r w:rsidR="00A319EA">
        <w:t xml:space="preserve"> authenticity as variable, negotiable, and </w:t>
      </w:r>
      <w:r w:rsidR="001A439E">
        <w:t>relative to specific cultural and social contexts</w:t>
      </w:r>
      <w:r w:rsidR="0010637D">
        <w:t>.</w:t>
      </w:r>
      <w:r w:rsidR="0010637D">
        <w:rPr>
          <w:rStyle w:val="FootnoteReference"/>
        </w:rPr>
        <w:footnoteReference w:id="7"/>
      </w:r>
      <w:r w:rsidR="00BA2D8C">
        <w:t xml:space="preserve"> </w:t>
      </w:r>
      <w:r w:rsidR="00695460">
        <w:t xml:space="preserve">From the materialist perspective, Benjamin’s critique of mechanical reproduction presents a </w:t>
      </w:r>
      <w:r w:rsidR="00A47F22">
        <w:t>quandary</w:t>
      </w:r>
      <w:r w:rsidR="00695460">
        <w:t xml:space="preserve"> for the heritage site or museum</w:t>
      </w:r>
      <w:r w:rsidR="00E24D1A">
        <w:t>;</w:t>
      </w:r>
      <w:r w:rsidR="00685F0B">
        <w:t xml:space="preserve"> he argues that </w:t>
      </w:r>
      <w:r w:rsidR="00BC406E">
        <w:t>through mechanical reproduction, not only does the reproduction l</w:t>
      </w:r>
      <w:r w:rsidR="001743B5">
        <w:t xml:space="preserve">ose its </w:t>
      </w:r>
      <w:r w:rsidR="00BC406E">
        <w:t xml:space="preserve">aura, but the aura of the </w:t>
      </w:r>
      <w:r w:rsidR="00BC406E">
        <w:lastRenderedPageBreak/>
        <w:t xml:space="preserve">original becomes diminished </w:t>
      </w:r>
      <w:r w:rsidR="001B3A01">
        <w:t>itself.</w:t>
      </w:r>
      <w:r w:rsidR="001B3A01">
        <w:rPr>
          <w:rStyle w:val="FootnoteReference"/>
        </w:rPr>
        <w:footnoteReference w:id="8"/>
      </w:r>
      <w:r w:rsidR="001B3A01">
        <w:t xml:space="preserve"> </w:t>
      </w:r>
      <w:r w:rsidR="00A47F22">
        <w:t xml:space="preserve">the promotion of heritage can </w:t>
      </w:r>
      <w:r w:rsidR="00293D1F">
        <w:t>almost only be done through a form of mechanical reproduction</w:t>
      </w:r>
      <w:r w:rsidR="00127B54">
        <w:t>, yet through this reproduction aura is seemingly lost</w:t>
      </w:r>
      <w:r w:rsidR="00D736AC">
        <w:t>.</w:t>
      </w:r>
      <w:r w:rsidR="00293D1F">
        <w:rPr>
          <w:rStyle w:val="FootnoteReference"/>
        </w:rPr>
        <w:footnoteReference w:id="9"/>
      </w:r>
      <w:r w:rsidR="006F078A">
        <w:t xml:space="preserve"> </w:t>
      </w:r>
      <w:r w:rsidR="0069674D">
        <w:t>According to the constructivist perspective, t</w:t>
      </w:r>
      <w:r>
        <w:t>he aura of the original is innate to the viewer not to the object</w:t>
      </w:r>
      <w:r w:rsidR="00685F0B">
        <w:t>. T</w:t>
      </w:r>
      <w:r>
        <w:t>hrough this theory</w:t>
      </w:r>
      <w:r w:rsidR="00685F0B">
        <w:t>,</w:t>
      </w:r>
      <w:r>
        <w:t xml:space="preserve"> authenticity </w:t>
      </w:r>
      <w:r w:rsidR="00A44683">
        <w:t>can be interpreted as</w:t>
      </w:r>
      <w:r>
        <w:t xml:space="preserve"> a consumerist </w:t>
      </w:r>
      <w:r w:rsidR="00A44683">
        <w:t>construct.</w:t>
      </w:r>
      <w:r w:rsidR="00A44683">
        <w:rPr>
          <w:rStyle w:val="FootnoteReference"/>
        </w:rPr>
        <w:footnoteReference w:id="10"/>
      </w:r>
      <w:r w:rsidR="0069674D">
        <w:t xml:space="preserve"> </w:t>
      </w:r>
    </w:p>
    <w:p w14:paraId="262EC826" w14:textId="77777777" w:rsidR="00860CF4" w:rsidRDefault="00860CF4" w:rsidP="0069674D">
      <w:pPr>
        <w:ind w:firstLine="720"/>
      </w:pPr>
    </w:p>
    <w:p w14:paraId="4DEEDD66" w14:textId="7B12C7CC" w:rsidR="00897AA8" w:rsidRDefault="00860CF4" w:rsidP="00897AA8">
      <w:pPr>
        <w:ind w:firstLine="720"/>
      </w:pPr>
      <w:r>
        <w:t xml:space="preserve">It is </w:t>
      </w:r>
      <w:r w:rsidR="00AC2B8A">
        <w:t>in opposition to</w:t>
      </w:r>
      <w:r>
        <w:t xml:space="preserve"> Benjamin’s theory that </w:t>
      </w:r>
      <w:r w:rsidR="00D82745">
        <w:t xml:space="preserve">plurality diminishes aura, that Latour and Lowe have </w:t>
      </w:r>
      <w:r w:rsidR="00BB2E67">
        <w:t>made the</w:t>
      </w:r>
      <w:r w:rsidR="00D05113">
        <w:t>ir critique.</w:t>
      </w:r>
      <w:r w:rsidR="005E1B95">
        <w:t xml:space="preserve"> They argue that rather than diminish the aura of the original, the well-made facsimile increases </w:t>
      </w:r>
      <w:r w:rsidR="006D1FBA">
        <w:t>not just the aura</w:t>
      </w:r>
      <w:r w:rsidR="00236F0D">
        <w:t>,</w:t>
      </w:r>
      <w:r w:rsidR="006D1FBA">
        <w:t xml:space="preserve"> but the object’s originality</w:t>
      </w:r>
      <w:r w:rsidR="00236F0D">
        <w:t xml:space="preserve"> too</w:t>
      </w:r>
      <w:r w:rsidR="00A319A3">
        <w:t>.</w:t>
      </w:r>
      <w:r w:rsidR="00A319A3">
        <w:rPr>
          <w:rStyle w:val="FootnoteReference"/>
        </w:rPr>
        <w:footnoteReference w:id="11"/>
      </w:r>
      <w:r w:rsidR="00897AA8">
        <w:t xml:space="preserve"> Latour and Lowe liken </w:t>
      </w:r>
      <w:r w:rsidR="00C56CAB">
        <w:t>th</w:t>
      </w:r>
      <w:r w:rsidR="00450B70">
        <w:t>is</w:t>
      </w:r>
      <w:r w:rsidR="00C56CAB">
        <w:t xml:space="preserve"> phenomenon </w:t>
      </w:r>
      <w:r w:rsidR="002E6802">
        <w:t>to a river and its tributaries</w:t>
      </w:r>
      <w:r w:rsidR="00BE298F">
        <w:t>;</w:t>
      </w:r>
      <w:r w:rsidR="00EB2888">
        <w:t xml:space="preserve"> facsimiles of artworks like the </w:t>
      </w:r>
      <w:r w:rsidR="00EB2888" w:rsidRPr="00EB2888">
        <w:rPr>
          <w:i/>
          <w:iCs/>
        </w:rPr>
        <w:t>Mona Lisa</w:t>
      </w:r>
      <w:r w:rsidR="00EB2888">
        <w:rPr>
          <w:i/>
          <w:iCs/>
        </w:rPr>
        <w:t xml:space="preserve"> </w:t>
      </w:r>
      <w:r w:rsidR="00EB2888">
        <w:t>they argue, increases the image of the original.</w:t>
      </w:r>
      <w:r w:rsidR="00363272">
        <w:rPr>
          <w:rStyle w:val="FootnoteReference"/>
        </w:rPr>
        <w:footnoteReference w:id="12"/>
      </w:r>
      <w:r w:rsidR="00363272">
        <w:t xml:space="preserve"> They use the word </w:t>
      </w:r>
      <w:r w:rsidR="00363272">
        <w:rPr>
          <w:i/>
          <w:iCs/>
        </w:rPr>
        <w:t>trajectory</w:t>
      </w:r>
      <w:r w:rsidR="00363272">
        <w:t xml:space="preserve"> to describe this </w:t>
      </w:r>
      <w:r w:rsidR="0038730A">
        <w:t>process of “migration of aura.”</w:t>
      </w:r>
      <w:r w:rsidR="0038730A">
        <w:rPr>
          <w:rStyle w:val="FootnoteReference"/>
        </w:rPr>
        <w:footnoteReference w:id="13"/>
      </w:r>
      <w:r w:rsidR="00F43F2C">
        <w:t xml:space="preserve"> This perspective is more hopeful in the application of </w:t>
      </w:r>
      <w:r w:rsidR="001F6000">
        <w:t>authenticity to</w:t>
      </w:r>
      <w:r w:rsidR="00D45579">
        <w:t xml:space="preserve"> the presentation of heritage. </w:t>
      </w:r>
      <w:r w:rsidR="008C4A49">
        <w:t xml:space="preserve">Authenticity can be developed, fostered, and nurtured </w:t>
      </w:r>
      <w:r w:rsidR="00AC2B8A">
        <w:t>through</w:t>
      </w:r>
      <w:r w:rsidR="008C4A49">
        <w:t xml:space="preserve"> conservation and </w:t>
      </w:r>
      <w:r w:rsidR="00450933">
        <w:t>promotion;</w:t>
      </w:r>
      <w:r w:rsidR="008C4A49">
        <w:t xml:space="preserve"> the a</w:t>
      </w:r>
      <w:r w:rsidR="00052165">
        <w:t>uthenticity</w:t>
      </w:r>
      <w:r w:rsidR="008C4A49">
        <w:t xml:space="preserve"> of </w:t>
      </w:r>
      <w:r w:rsidR="00052165">
        <w:t>heritage sites can be increased through the</w:t>
      </w:r>
      <w:r w:rsidR="00AC2B8A">
        <w:t xml:space="preserve"> upkeep of their</w:t>
      </w:r>
      <w:r w:rsidR="00052165">
        <w:t xml:space="preserve"> auras.</w:t>
      </w:r>
    </w:p>
    <w:p w14:paraId="17EF4B4B" w14:textId="77777777" w:rsidR="00450933" w:rsidRDefault="00450933" w:rsidP="00897AA8">
      <w:pPr>
        <w:ind w:firstLine="720"/>
      </w:pPr>
    </w:p>
    <w:p w14:paraId="69CFE87B" w14:textId="1DFEEB4E" w:rsidR="00450933" w:rsidRDefault="00D33747" w:rsidP="00897AA8">
      <w:pPr>
        <w:ind w:firstLine="720"/>
      </w:pPr>
      <w:r>
        <w:t>This theory in some ways however poses the question</w:t>
      </w:r>
      <w:r w:rsidR="00EA1DD8">
        <w:t>s</w:t>
      </w:r>
      <w:r>
        <w:t xml:space="preserve">, </w:t>
      </w:r>
      <w:r w:rsidR="00EA1DD8">
        <w:t>‘</w:t>
      </w:r>
      <w:r>
        <w:t>what is the point of authenticity</w:t>
      </w:r>
      <w:r w:rsidR="008031C6">
        <w:t xml:space="preserve"> in its traditional conceptuality?</w:t>
      </w:r>
      <w:r w:rsidR="00EA1DD8">
        <w:t xml:space="preserve">’ </w:t>
      </w:r>
      <w:proofErr w:type="gramStart"/>
      <w:r w:rsidR="00EA1DD8">
        <w:t>And,</w:t>
      </w:r>
      <w:proofErr w:type="gramEnd"/>
      <w:r w:rsidR="008031C6">
        <w:t xml:space="preserve"> </w:t>
      </w:r>
      <w:r w:rsidR="00EA1DD8">
        <w:t>‘w</w:t>
      </w:r>
      <w:r w:rsidR="008031C6">
        <w:t xml:space="preserve">hat does it </w:t>
      </w:r>
      <w:r w:rsidR="00CA26B3">
        <w:t>mean</w:t>
      </w:r>
      <w:r w:rsidR="008031C6">
        <w:t xml:space="preserve"> to be </w:t>
      </w:r>
      <w:r w:rsidR="009826D2">
        <w:t>original?</w:t>
      </w:r>
      <w:r w:rsidR="00EA1DD8">
        <w:t>’</w:t>
      </w:r>
      <w:r w:rsidR="008031C6">
        <w:t xml:space="preserve"> </w:t>
      </w:r>
      <w:r w:rsidR="00BA41F3">
        <w:t xml:space="preserve">Boris </w:t>
      </w:r>
      <w:proofErr w:type="spellStart"/>
      <w:r w:rsidR="00BA41F3">
        <w:t>Groys</w:t>
      </w:r>
      <w:proofErr w:type="spellEnd"/>
      <w:r w:rsidR="00BA41F3">
        <w:t>, falling along a more materialist perspective</w:t>
      </w:r>
      <w:r w:rsidR="00744DBA">
        <w:t xml:space="preserve">, uses Benjamin’s work to develop </w:t>
      </w:r>
      <w:r w:rsidR="00917564">
        <w:t xml:space="preserve">– </w:t>
      </w:r>
      <w:r w:rsidR="00744DBA">
        <w:t>and in some ways dismantle</w:t>
      </w:r>
      <w:r w:rsidR="00917564">
        <w:t xml:space="preserve"> –</w:t>
      </w:r>
      <w:r w:rsidR="00744DBA">
        <w:t xml:space="preserve"> the</w:t>
      </w:r>
      <w:r w:rsidR="00917564">
        <w:t xml:space="preserve"> </w:t>
      </w:r>
      <w:r w:rsidR="00744DBA">
        <w:t>idea of originality</w:t>
      </w:r>
      <w:r w:rsidR="00A558F9">
        <w:t xml:space="preserve"> and authenticity in presentation</w:t>
      </w:r>
      <w:r w:rsidR="00744DBA">
        <w:t>.</w:t>
      </w:r>
      <w:r w:rsidR="00A558F9">
        <w:t xml:space="preserve"> He argues </w:t>
      </w:r>
      <w:r w:rsidR="009C33AE">
        <w:t xml:space="preserve">that any object removed from </w:t>
      </w:r>
      <w:r w:rsidR="00DE655A">
        <w:t>its context loses its aura of authenticity.</w:t>
      </w:r>
      <w:r w:rsidR="00DE655A">
        <w:rPr>
          <w:rStyle w:val="FootnoteReference"/>
        </w:rPr>
        <w:footnoteReference w:id="14"/>
      </w:r>
      <w:r w:rsidR="00DF203D">
        <w:t xml:space="preserve"> Benjamin wrote that the uniqueness of a work of art </w:t>
      </w:r>
      <w:r w:rsidR="00CA26B3">
        <w:t>is inseparable from it</w:t>
      </w:r>
      <w:r w:rsidR="001D5159">
        <w:t>s</w:t>
      </w:r>
      <w:r w:rsidR="00CA26B3">
        <w:t xml:space="preserve"> being </w:t>
      </w:r>
      <w:r w:rsidR="009826D2">
        <w:t>“</w:t>
      </w:r>
      <w:r w:rsidR="00CA26B3">
        <w:t xml:space="preserve">embedded </w:t>
      </w:r>
      <w:r w:rsidR="009826D2">
        <w:t>in the fabric of tradition”</w:t>
      </w:r>
      <w:r w:rsidR="00E95CA7">
        <w:t>, though he did also argue that the aura of the original</w:t>
      </w:r>
      <w:r w:rsidR="00436BB6">
        <w:t xml:space="preserve"> still applied to every culture that perceived an artefact’s uniqueness.</w:t>
      </w:r>
      <w:r w:rsidR="00436BB6">
        <w:rPr>
          <w:rStyle w:val="FootnoteReference"/>
        </w:rPr>
        <w:footnoteReference w:id="15"/>
      </w:r>
      <w:r w:rsidR="00BC41BC">
        <w:t xml:space="preserve"> </w:t>
      </w:r>
      <w:proofErr w:type="spellStart"/>
      <w:r w:rsidR="00BC41BC">
        <w:t>Groys</w:t>
      </w:r>
      <w:proofErr w:type="spellEnd"/>
      <w:r w:rsidR="00BC41BC">
        <w:t xml:space="preserve"> argues </w:t>
      </w:r>
      <w:r w:rsidR="00E417F2">
        <w:t>instead that an object removed from the material flow</w:t>
      </w:r>
      <w:r w:rsidR="009A4551">
        <w:t xml:space="preserve"> becomes a copy of itself; a museum piece he states, is an object minus its invisible </w:t>
      </w:r>
      <w:r w:rsidR="007D0031">
        <w:t>aura of originality.</w:t>
      </w:r>
      <w:r w:rsidR="007D0031">
        <w:rPr>
          <w:rStyle w:val="FootnoteReference"/>
        </w:rPr>
        <w:footnoteReference w:id="16"/>
      </w:r>
      <w:r w:rsidR="00E17F42">
        <w:t xml:space="preserve"> When an object is removed from its place </w:t>
      </w:r>
      <w:r w:rsidR="005723FB">
        <w:t>in</w:t>
      </w:r>
      <w:r w:rsidR="00E17F42">
        <w:t xml:space="preserve"> space and time, it’s true ‘authenticity’ is lost</w:t>
      </w:r>
      <w:r w:rsidR="00954BBC">
        <w:t>. To take an example, the Song of Roland</w:t>
      </w:r>
      <w:r w:rsidR="006A41A7">
        <w:t xml:space="preserve"> is</w:t>
      </w:r>
      <w:r w:rsidR="00954BBC">
        <w:t xml:space="preserve"> </w:t>
      </w:r>
      <w:r w:rsidR="00254462">
        <w:t>an undeniable heritage artefact of poetic verse</w:t>
      </w:r>
      <w:r w:rsidR="00ED30D7">
        <w:t xml:space="preserve">, </w:t>
      </w:r>
      <w:r w:rsidR="006A41A7">
        <w:t xml:space="preserve">however it </w:t>
      </w:r>
      <w:r w:rsidR="00ED30D7">
        <w:t xml:space="preserve">can never be perceived by </w:t>
      </w:r>
      <w:r w:rsidR="004D1FDE">
        <w:t xml:space="preserve">a modern audience with the same ‘authenticity’ with which it was heard when </w:t>
      </w:r>
      <w:r w:rsidR="008A5671">
        <w:t xml:space="preserve">it was </w:t>
      </w:r>
      <w:r w:rsidR="006A41A7">
        <w:t xml:space="preserve">first </w:t>
      </w:r>
      <w:r w:rsidR="008A5671">
        <w:t xml:space="preserve">recounted in Northern France. While it can be performed as </w:t>
      </w:r>
      <w:r w:rsidR="007B3E04">
        <w:t>accurately</w:t>
      </w:r>
      <w:r w:rsidR="008A5671">
        <w:t xml:space="preserve"> as we know how,</w:t>
      </w:r>
      <w:r w:rsidR="00D02C32">
        <w:t xml:space="preserve"> </w:t>
      </w:r>
      <w:r w:rsidR="00364918">
        <w:t>a modern audience, even assuming they understand the Norman French verse</w:t>
      </w:r>
      <w:r w:rsidR="00415B62">
        <w:t>, would</w:t>
      </w:r>
      <w:r w:rsidR="004D05CC">
        <w:t xml:space="preserve"> </w:t>
      </w:r>
      <w:r w:rsidR="007B3E04">
        <w:t xml:space="preserve">surely find </w:t>
      </w:r>
      <w:r w:rsidR="004D05CC">
        <w:t xml:space="preserve">such a long poem recited to </w:t>
      </w:r>
      <w:r w:rsidR="00DF4A18">
        <w:t xml:space="preserve">a constant </w:t>
      </w:r>
      <w:r w:rsidR="007B3E04">
        <w:t xml:space="preserve">melodic </w:t>
      </w:r>
      <w:r w:rsidR="00DF4A18">
        <w:t>repetition unlistenabl</w:t>
      </w:r>
      <w:r w:rsidR="00C15687">
        <w:t>e.</w:t>
      </w:r>
      <w:r w:rsidR="00415B62">
        <w:rPr>
          <w:rStyle w:val="FootnoteReference"/>
        </w:rPr>
        <w:footnoteReference w:id="17"/>
      </w:r>
      <w:r w:rsidR="000B7FB8">
        <w:t xml:space="preserve"> Translated into the modern English or French, these </w:t>
      </w:r>
      <w:r w:rsidR="00A47EF6">
        <w:t xml:space="preserve">songs become prose, </w:t>
      </w:r>
      <w:r w:rsidR="00E114D4">
        <w:t>losing an important aspect of their composition and performance.</w:t>
      </w:r>
      <w:r w:rsidR="004864B1">
        <w:t xml:space="preserve"> This example </w:t>
      </w:r>
      <w:r w:rsidR="00CE2ED7">
        <w:t xml:space="preserve">powerfully renders the potential meaninglessness and </w:t>
      </w:r>
      <w:proofErr w:type="spellStart"/>
      <w:r w:rsidR="00E57E16">
        <w:lastRenderedPageBreak/>
        <w:t>inachievability</w:t>
      </w:r>
      <w:proofErr w:type="spellEnd"/>
      <w:r w:rsidR="00CE2ED7">
        <w:t xml:space="preserve"> of traditional authenticity. </w:t>
      </w:r>
      <w:r w:rsidR="00126263">
        <w:t xml:space="preserve">Benjamin writes </w:t>
      </w:r>
      <w:r w:rsidR="00707DE6">
        <w:t xml:space="preserve">about architecture specifically as the prototype of a work of art, the reception of which is consummated by a </w:t>
      </w:r>
      <w:proofErr w:type="spellStart"/>
      <w:r w:rsidR="00DA6BC6">
        <w:t>collectivity</w:t>
      </w:r>
      <w:proofErr w:type="spellEnd"/>
      <w:r w:rsidR="00DA6BC6">
        <w:t xml:space="preserve"> </w:t>
      </w:r>
      <w:r w:rsidR="00707DE6">
        <w:t>in a state of distraction</w:t>
      </w:r>
      <w:r w:rsidR="00DA6BC6">
        <w:t>;</w:t>
      </w:r>
      <w:r w:rsidR="00707DE6">
        <w:t xml:space="preserve"> however</w:t>
      </w:r>
      <w:r w:rsidR="00DA6BC6">
        <w:t>,</w:t>
      </w:r>
      <w:r w:rsidR="00707DE6">
        <w:t xml:space="preserve"> is this not the only and truest </w:t>
      </w:r>
      <w:r w:rsidR="00DA6BC6">
        <w:t>definition of authenticity</w:t>
      </w:r>
      <w:r w:rsidR="001B134E">
        <w:t>?</w:t>
      </w:r>
      <w:r w:rsidR="00DA6BC6">
        <w:rPr>
          <w:rStyle w:val="FootnoteReference"/>
        </w:rPr>
        <w:footnoteReference w:id="18"/>
      </w:r>
      <w:r w:rsidR="00940133">
        <w:t xml:space="preserve"> </w:t>
      </w:r>
    </w:p>
    <w:p w14:paraId="5D7A74CA" w14:textId="77777777" w:rsidR="00A33515" w:rsidRDefault="00A33515" w:rsidP="00897AA8">
      <w:pPr>
        <w:ind w:firstLine="720"/>
      </w:pPr>
    </w:p>
    <w:p w14:paraId="394DD171" w14:textId="17A43EB1" w:rsidR="00A33515" w:rsidRDefault="00A33515" w:rsidP="00897AA8">
      <w:pPr>
        <w:ind w:firstLine="720"/>
      </w:pPr>
      <w:r>
        <w:t xml:space="preserve">The conclusion that must be drawn from this is that </w:t>
      </w:r>
      <w:r w:rsidR="008328F1">
        <w:t>authenticity from the perspective of heritage is an entirely audience driven phenome</w:t>
      </w:r>
      <w:r w:rsidR="003D2C97">
        <w:t xml:space="preserve">non. </w:t>
      </w:r>
      <w:r w:rsidR="00AC2EA6">
        <w:t xml:space="preserve">Where </w:t>
      </w:r>
      <w:proofErr w:type="spellStart"/>
      <w:r w:rsidR="00AC2EA6">
        <w:t>Groys</w:t>
      </w:r>
      <w:proofErr w:type="spellEnd"/>
      <w:r w:rsidR="00AC2EA6">
        <w:t xml:space="preserve"> can be questioned is </w:t>
      </w:r>
      <w:r w:rsidR="00246294">
        <w:t xml:space="preserve">that his focus on the aura of originality is not in fact necessarily the </w:t>
      </w:r>
      <w:r w:rsidR="00DE4768">
        <w:t xml:space="preserve">same as the aura of authenticity radiated by </w:t>
      </w:r>
      <w:r w:rsidR="00761244">
        <w:t>original</w:t>
      </w:r>
      <w:r w:rsidR="00DE4768">
        <w:t xml:space="preserve"> objects</w:t>
      </w:r>
      <w:r w:rsidR="00761244">
        <w:t xml:space="preserve"> and sites</w:t>
      </w:r>
      <w:r w:rsidR="00DE4768">
        <w:t>.</w:t>
      </w:r>
      <w:r w:rsidR="004205CF">
        <w:t xml:space="preserve"> </w:t>
      </w:r>
      <w:r w:rsidR="00481D46">
        <w:t xml:space="preserve">Audiences are aware that a ruin </w:t>
      </w:r>
      <w:r w:rsidR="00CE5C8F">
        <w:t xml:space="preserve">is not ‘authentic’ in a historical sense, but its aura </w:t>
      </w:r>
      <w:r w:rsidR="00761244">
        <w:t xml:space="preserve">of authenticity </w:t>
      </w:r>
      <w:r w:rsidR="00CE5C8F">
        <w:t>persists.</w:t>
      </w:r>
      <w:r w:rsidR="00411E45">
        <w:t xml:space="preserve"> The constructed present </w:t>
      </w:r>
      <w:r w:rsidR="00292A86">
        <w:t xml:space="preserve">that </w:t>
      </w:r>
      <w:r w:rsidR="00411E45">
        <w:t xml:space="preserve">surrounds us </w:t>
      </w:r>
      <w:r w:rsidR="00292A86">
        <w:t>means we are</w:t>
      </w:r>
      <w:r w:rsidR="002226B2">
        <w:t xml:space="preserve"> naturally connected to the constructed past through an understanding of our ancestors need to shelter.</w:t>
      </w:r>
      <w:r w:rsidR="002226B2">
        <w:rPr>
          <w:rStyle w:val="FootnoteReference"/>
        </w:rPr>
        <w:footnoteReference w:id="19"/>
      </w:r>
      <w:r w:rsidR="00C0168A">
        <w:t xml:space="preserve"> This connectivity is</w:t>
      </w:r>
      <w:r w:rsidR="00292A86">
        <w:t xml:space="preserve"> perhaps</w:t>
      </w:r>
      <w:r w:rsidR="00615679">
        <w:t xml:space="preserve"> </w:t>
      </w:r>
      <w:r w:rsidR="00537C9D">
        <w:t xml:space="preserve">the </w:t>
      </w:r>
      <w:r w:rsidR="00292A86">
        <w:t xml:space="preserve">real </w:t>
      </w:r>
      <w:r w:rsidR="00537C9D">
        <w:t>basis of aura</w:t>
      </w:r>
      <w:r w:rsidR="00292A86">
        <w:t>.</w:t>
      </w:r>
      <w:r w:rsidR="00537C9D">
        <w:t xml:space="preserve"> </w:t>
      </w:r>
      <w:r w:rsidR="00292A86">
        <w:t>T</w:t>
      </w:r>
      <w:r w:rsidR="00E423BD">
        <w:t xml:space="preserve">hrough a ruin or an object, the aura that we perceive is </w:t>
      </w:r>
      <w:r w:rsidR="00714908">
        <w:t>a feeling of lived history</w:t>
      </w:r>
      <w:r w:rsidR="00AA528C">
        <w:t xml:space="preserve"> and the human past</w:t>
      </w:r>
      <w:r w:rsidR="00714908">
        <w:t>.</w:t>
      </w:r>
      <w:r w:rsidR="00E32BA3">
        <w:t xml:space="preserve"> This means that authenticity can be fostered</w:t>
      </w:r>
      <w:r w:rsidR="000A204A">
        <w:t xml:space="preserve"> by the correct presentation of </w:t>
      </w:r>
      <w:r w:rsidR="00EB0FBB">
        <w:t>heritage and</w:t>
      </w:r>
      <w:r w:rsidR="000A204A">
        <w:t xml:space="preserve"> can even</w:t>
      </w:r>
      <w:r w:rsidR="00EB0FBB">
        <w:t xml:space="preserve"> directly oppose accuracy.</w:t>
      </w:r>
    </w:p>
    <w:p w14:paraId="12C3406B" w14:textId="77777777" w:rsidR="00EB0FBB" w:rsidRDefault="00EB0FBB" w:rsidP="00897AA8">
      <w:pPr>
        <w:ind w:firstLine="720"/>
      </w:pPr>
    </w:p>
    <w:p w14:paraId="5DA8C9D8" w14:textId="3BB03740" w:rsidR="00EB0FBB" w:rsidRDefault="00EB0FBB" w:rsidP="00540D14">
      <w:pPr>
        <w:ind w:firstLine="720"/>
      </w:pPr>
      <w:r>
        <w:t>Along these lines</w:t>
      </w:r>
      <w:r w:rsidR="00CF3536">
        <w:t xml:space="preserve"> of constructed authenticity, </w:t>
      </w:r>
      <w:r w:rsidR="003F18E1">
        <w:t xml:space="preserve">Cornelius </w:t>
      </w:r>
      <w:proofErr w:type="spellStart"/>
      <w:r w:rsidR="003F18E1">
        <w:t>Holto</w:t>
      </w:r>
      <w:r w:rsidR="00F81405">
        <w:t>r</w:t>
      </w:r>
      <w:r w:rsidR="003F18E1">
        <w:t>f</w:t>
      </w:r>
      <w:proofErr w:type="spellEnd"/>
      <w:r w:rsidR="003F18E1">
        <w:t xml:space="preserve"> </w:t>
      </w:r>
      <w:r w:rsidR="00475644">
        <w:t xml:space="preserve">attempts to </w:t>
      </w:r>
      <w:r w:rsidR="00E70BB0">
        <w:t>combine the materialist and constructivist perspectives on authenticity into his definition of ‘pastness’.</w:t>
      </w:r>
      <w:r w:rsidR="00E70BB0">
        <w:rPr>
          <w:rStyle w:val="FootnoteReference"/>
        </w:rPr>
        <w:footnoteReference w:id="20"/>
      </w:r>
      <w:r w:rsidR="000F70F1">
        <w:t xml:space="preserve"> </w:t>
      </w:r>
      <w:r w:rsidR="00CC67BC">
        <w:t>His argument challenges the co</w:t>
      </w:r>
      <w:r w:rsidR="00792233">
        <w:t xml:space="preserve">mmon understanding of what it means for an object to be </w:t>
      </w:r>
      <w:r w:rsidR="008C1075">
        <w:t xml:space="preserve">of the </w:t>
      </w:r>
      <w:r w:rsidR="002475C0">
        <w:t>past and</w:t>
      </w:r>
      <w:r w:rsidR="008C1075">
        <w:t xml:space="preserve"> replaces ‘age’ with the simple yet descriptive quality</w:t>
      </w:r>
      <w:r w:rsidR="002475C0">
        <w:t>:</w:t>
      </w:r>
      <w:r w:rsidR="008C1075">
        <w:t xml:space="preserve"> ‘pastness’</w:t>
      </w:r>
      <w:r w:rsidR="0011791D">
        <w:t xml:space="preserve">; thus, </w:t>
      </w:r>
      <w:r w:rsidR="00A1435F">
        <w:t>he “</w:t>
      </w:r>
      <w:r w:rsidR="0011791D">
        <w:t>emancipat</w:t>
      </w:r>
      <w:r w:rsidR="00A1435F">
        <w:t>es</w:t>
      </w:r>
      <w:r w:rsidR="0011791D">
        <w:t xml:space="preserve"> archaeological authenticity from the objects inherent material substance.”</w:t>
      </w:r>
      <w:r w:rsidR="008C1075">
        <w:rPr>
          <w:rStyle w:val="FootnoteReference"/>
        </w:rPr>
        <w:footnoteReference w:id="21"/>
      </w:r>
      <w:r w:rsidR="00A1435F">
        <w:t xml:space="preserve"> </w:t>
      </w:r>
      <w:proofErr w:type="spellStart"/>
      <w:r w:rsidR="00A1435F">
        <w:t>Holtorf</w:t>
      </w:r>
      <w:proofErr w:type="spellEnd"/>
      <w:r w:rsidR="00A1435F">
        <w:t xml:space="preserve"> argues that </w:t>
      </w:r>
      <w:r w:rsidR="002E13C0">
        <w:t>pastness requires</w:t>
      </w:r>
      <w:r w:rsidR="00A05BA6">
        <w:t>:</w:t>
      </w:r>
      <w:r w:rsidR="002E13C0">
        <w:t xml:space="preserve"> material clue</w:t>
      </w:r>
      <w:r w:rsidR="00A05BA6">
        <w:t>s;</w:t>
      </w:r>
      <w:r w:rsidR="002E13C0">
        <w:t xml:space="preserve"> a correspondence with the expectations of the audience</w:t>
      </w:r>
      <w:r w:rsidR="00A05BA6">
        <w:t>;</w:t>
      </w:r>
      <w:r w:rsidR="002E13C0">
        <w:t xml:space="preserve"> and</w:t>
      </w:r>
      <w:r w:rsidR="00A05BA6">
        <w:t>,</w:t>
      </w:r>
      <w:r w:rsidR="002E13C0">
        <w:t xml:space="preserve"> a plausible and meaningful narrative relating then and now</w:t>
      </w:r>
      <w:r w:rsidR="00A05BA6">
        <w:t>.</w:t>
      </w:r>
      <w:r w:rsidR="00A05BA6">
        <w:rPr>
          <w:rStyle w:val="FootnoteReference"/>
        </w:rPr>
        <w:footnoteReference w:id="22"/>
      </w:r>
      <w:r w:rsidR="0091510D">
        <w:t xml:space="preserve"> This isn’t necessarily tied to original</w:t>
      </w:r>
      <w:r w:rsidR="00F60D93">
        <w:t xml:space="preserve">ity, material clues can be artificial yet still convey pastness. </w:t>
      </w:r>
      <w:r w:rsidR="00885AA4">
        <w:t>Reproductions of h</w:t>
      </w:r>
      <w:r w:rsidR="006A7369">
        <w:t>eritage sites in the past have been deliberately aged</w:t>
      </w:r>
      <w:r w:rsidR="00502152">
        <w:t xml:space="preserve"> to con</w:t>
      </w:r>
      <w:r w:rsidR="00885AA4">
        <w:t>v</w:t>
      </w:r>
      <w:r w:rsidR="00502152">
        <w:t>ey pastness</w:t>
      </w:r>
      <w:r w:rsidR="002745E6">
        <w:t>.</w:t>
      </w:r>
      <w:r w:rsidR="009E20A9">
        <w:t xml:space="preserve"> </w:t>
      </w:r>
      <w:proofErr w:type="spellStart"/>
      <w:r w:rsidR="009E20A9">
        <w:t>Holtorf</w:t>
      </w:r>
      <w:proofErr w:type="spellEnd"/>
      <w:r w:rsidR="009E20A9">
        <w:t xml:space="preserve"> also uphold</w:t>
      </w:r>
      <w:r w:rsidR="00540D14">
        <w:t>s</w:t>
      </w:r>
      <w:r w:rsidR="009E20A9">
        <w:t xml:space="preserve"> that it is the material conditions that </w:t>
      </w:r>
      <w:r w:rsidR="008555C2">
        <w:t xml:space="preserve">differ from the original artefacts on which reproductions are based that best convey </w:t>
      </w:r>
      <w:r w:rsidR="00540D14">
        <w:t xml:space="preserve">their </w:t>
      </w:r>
      <w:r w:rsidR="008555C2">
        <w:t>pastness.</w:t>
      </w:r>
      <w:r w:rsidR="00F839B8">
        <w:rPr>
          <w:rStyle w:val="FootnoteReference"/>
        </w:rPr>
        <w:footnoteReference w:id="23"/>
      </w:r>
      <w:r w:rsidR="008555C2">
        <w:t xml:space="preserve"> </w:t>
      </w:r>
      <w:r w:rsidR="0009070A">
        <w:t xml:space="preserve">The uneven hammer strokes on a reproduction of a </w:t>
      </w:r>
      <w:r w:rsidR="0019621B">
        <w:t xml:space="preserve">munitions ‘black’ armour for example, do not need to be the same uneven dents as the original, they are instead a testament to the </w:t>
      </w:r>
      <w:r w:rsidR="00FD0851">
        <w:t>authentic manufacturing of the object.</w:t>
      </w:r>
      <w:r w:rsidR="00F839B8">
        <w:t xml:space="preserve"> I</w:t>
      </w:r>
      <w:r w:rsidR="002313C2">
        <w:t>t is perhaps to this that Latour and Lowe are referring when they speak about the power of a</w:t>
      </w:r>
      <w:r w:rsidR="00755691">
        <w:t xml:space="preserve"> truly authentic reproduction t</w:t>
      </w:r>
      <w:r w:rsidR="007361A8">
        <w:t>hat</w:t>
      </w:r>
      <w:r w:rsidR="00755691">
        <w:t xml:space="preserve"> increase</w:t>
      </w:r>
      <w:r w:rsidR="007361A8">
        <w:t>s</w:t>
      </w:r>
      <w:r w:rsidR="00755691">
        <w:t xml:space="preserve"> the aura of the original.</w:t>
      </w:r>
      <w:r w:rsidR="00755691">
        <w:rPr>
          <w:rStyle w:val="FootnoteReference"/>
        </w:rPr>
        <w:footnoteReference w:id="24"/>
      </w:r>
    </w:p>
    <w:p w14:paraId="35B6D1C8" w14:textId="77777777" w:rsidR="00BB0C32" w:rsidRDefault="00BB0C32" w:rsidP="00897AA8">
      <w:pPr>
        <w:ind w:firstLine="720"/>
      </w:pPr>
    </w:p>
    <w:p w14:paraId="69D0C6E0" w14:textId="469C2CE2" w:rsidR="00BB0C32" w:rsidRDefault="00AF63D8" w:rsidP="00897AA8">
      <w:pPr>
        <w:ind w:firstLine="720"/>
      </w:pPr>
      <w:r>
        <w:t xml:space="preserve">This concept of pastness </w:t>
      </w:r>
      <w:r w:rsidR="001A3DEA">
        <w:t xml:space="preserve">connects </w:t>
      </w:r>
      <w:r w:rsidR="00903F93">
        <w:t xml:space="preserve">authenticity with the </w:t>
      </w:r>
      <w:r w:rsidR="00DD73A5">
        <w:t>world of consumerist heritage</w:t>
      </w:r>
      <w:r w:rsidR="005F5ADE">
        <w:t>,</w:t>
      </w:r>
      <w:r w:rsidR="00DD73A5">
        <w:t xml:space="preserve"> but in its attempt </w:t>
      </w:r>
      <w:r w:rsidR="00ED07E2">
        <w:t xml:space="preserve">to emancipate authenticity from materiality, </w:t>
      </w:r>
      <w:r w:rsidR="005028C1">
        <w:t xml:space="preserve">it misses </w:t>
      </w:r>
      <w:r w:rsidR="00C31C95">
        <w:t xml:space="preserve">some of the essence of originality </w:t>
      </w:r>
      <w:r w:rsidR="0066650A">
        <w:t xml:space="preserve">upheld by an interpretation centred on </w:t>
      </w:r>
      <w:r w:rsidR="00303406">
        <w:t xml:space="preserve">a </w:t>
      </w:r>
      <w:r w:rsidR="0066650A">
        <w:t>connectivity with the</w:t>
      </w:r>
      <w:r w:rsidR="000E1516">
        <w:t xml:space="preserve"> inhabitants of the</w:t>
      </w:r>
      <w:r w:rsidR="0066650A">
        <w:t xml:space="preserve"> past</w:t>
      </w:r>
      <w:r w:rsidR="00425701">
        <w:t xml:space="preserve"> rather than </w:t>
      </w:r>
      <w:r w:rsidR="000E1516">
        <w:t xml:space="preserve">simply </w:t>
      </w:r>
      <w:r w:rsidR="00303406">
        <w:t xml:space="preserve">with </w:t>
      </w:r>
      <w:r w:rsidR="000E1516">
        <w:t>the past itself</w:t>
      </w:r>
      <w:r w:rsidR="0066650A">
        <w:t xml:space="preserve">. </w:t>
      </w:r>
      <w:r w:rsidR="005223C4">
        <w:t xml:space="preserve">Perhaps the most powerful display of connectivity with the past is what </w:t>
      </w:r>
      <w:r w:rsidR="00F47083">
        <w:t xml:space="preserve">Maines and Glynn termed </w:t>
      </w:r>
      <w:r w:rsidR="00722E33">
        <w:t>‘</w:t>
      </w:r>
      <w:r w:rsidR="00722E33" w:rsidRPr="00722E33">
        <w:rPr>
          <w:i/>
          <w:iCs/>
        </w:rPr>
        <w:t>num</w:t>
      </w:r>
      <w:r w:rsidR="00592253">
        <w:rPr>
          <w:i/>
          <w:iCs/>
        </w:rPr>
        <w:t>en</w:t>
      </w:r>
      <w:r w:rsidR="00722E33">
        <w:rPr>
          <w:i/>
          <w:iCs/>
        </w:rPr>
        <w:t>’</w:t>
      </w:r>
      <w:r w:rsidR="003358EC">
        <w:t>; the powerful connective experiences felt by people in the presence of specific objects</w:t>
      </w:r>
      <w:r w:rsidR="004751D0">
        <w:t>, particularly relics</w:t>
      </w:r>
      <w:r w:rsidR="00722E33">
        <w:rPr>
          <w:i/>
          <w:iCs/>
        </w:rPr>
        <w:t>.</w:t>
      </w:r>
      <w:r w:rsidR="00722E33" w:rsidRPr="000659C4">
        <w:rPr>
          <w:rStyle w:val="FootnoteReference"/>
        </w:rPr>
        <w:footnoteReference w:id="25"/>
      </w:r>
      <w:r w:rsidR="00722E33" w:rsidRPr="000659C4">
        <w:t xml:space="preserve"> </w:t>
      </w:r>
      <w:r w:rsidR="000659C4" w:rsidRPr="000659C4">
        <w:t xml:space="preserve">This </w:t>
      </w:r>
      <w:r w:rsidR="000659C4">
        <w:t xml:space="preserve">work </w:t>
      </w:r>
      <w:r w:rsidR="00AB7513">
        <w:t>was significantly develope</w:t>
      </w:r>
      <w:r w:rsidR="00303406">
        <w:t>d</w:t>
      </w:r>
      <w:r w:rsidR="00AB7513">
        <w:t xml:space="preserve"> by Cameron and Glynn</w:t>
      </w:r>
      <w:r w:rsidR="004751D0">
        <w:t>.</w:t>
      </w:r>
      <w:r w:rsidR="005C65F3">
        <w:t xml:space="preserve"> </w:t>
      </w:r>
      <w:r w:rsidR="004751D0">
        <w:t>T</w:t>
      </w:r>
      <w:r w:rsidR="005C65F3">
        <w:t xml:space="preserve">heir </w:t>
      </w:r>
      <w:r w:rsidR="005C65F3">
        <w:lastRenderedPageBreak/>
        <w:t xml:space="preserve">hypothesis was that in addition to gaining information, having fun, </w:t>
      </w:r>
      <w:r w:rsidR="004751D0">
        <w:t>and</w:t>
      </w:r>
      <w:r w:rsidR="005C65F3">
        <w:t xml:space="preserve"> creating family memories, people visited historic sites </w:t>
      </w:r>
      <w:r w:rsidR="00FF04BB">
        <w:t xml:space="preserve">to gain a deeper and more meaningful connection with the place or </w:t>
      </w:r>
      <w:proofErr w:type="gramStart"/>
      <w:r w:rsidR="00FF04BB">
        <w:t>time</w:t>
      </w:r>
      <w:r w:rsidR="00703837">
        <w:t xml:space="preserve"> </w:t>
      </w:r>
      <w:r w:rsidR="00FF04BB">
        <w:t>period</w:t>
      </w:r>
      <w:proofErr w:type="gramEnd"/>
      <w:r w:rsidR="00FF04BB">
        <w:t>.</w:t>
      </w:r>
      <w:r w:rsidR="00FF04BB">
        <w:rPr>
          <w:rStyle w:val="FootnoteReference"/>
        </w:rPr>
        <w:footnoteReference w:id="26"/>
      </w:r>
      <w:r w:rsidR="00871D9C">
        <w:t xml:space="preserve"> </w:t>
      </w:r>
      <w:r w:rsidR="004751D0">
        <w:t xml:space="preserve">Cameron and Gatewood theorised that </w:t>
      </w:r>
      <w:r w:rsidR="00592253">
        <w:t xml:space="preserve">a portion of the public are themselves </w:t>
      </w:r>
      <w:r w:rsidR="00EA6D57">
        <w:rPr>
          <w:i/>
          <w:iCs/>
        </w:rPr>
        <w:t xml:space="preserve">numen </w:t>
      </w:r>
      <w:r w:rsidR="00EA6D57">
        <w:t xml:space="preserve">seekers, less concerned with </w:t>
      </w:r>
      <w:r w:rsidR="002C68DB">
        <w:t xml:space="preserve">historical knowledge than they are with seeking out experiences that connect them profoundly with their heritage. Should this be the case, it makes the </w:t>
      </w:r>
      <w:r w:rsidR="0059737E">
        <w:t xml:space="preserve">curation of authenticity an incredibly important part of heritage presentation. </w:t>
      </w:r>
      <w:r w:rsidR="00A54FEB">
        <w:t>Building on Cameron and Gatewood’s work</w:t>
      </w:r>
      <w:r w:rsidR="008179F2">
        <w:t>, Latham put forward a phenomenological study of numinous experiences</w:t>
      </w:r>
      <w:r w:rsidR="00011F78">
        <w:t xml:space="preserve"> to test this hypothesis</w:t>
      </w:r>
      <w:r w:rsidR="00877ABD">
        <w:t>.</w:t>
      </w:r>
      <w:r w:rsidR="00D632A6">
        <w:rPr>
          <w:rStyle w:val="FootnoteReference"/>
        </w:rPr>
        <w:footnoteReference w:id="27"/>
      </w:r>
      <w:r w:rsidR="00FB10B5">
        <w:t xml:space="preserve"> After a thematic analysis of f</w:t>
      </w:r>
      <w:r w:rsidR="005A48DB">
        <w:t>ive</w:t>
      </w:r>
      <w:r w:rsidR="00FB10B5">
        <w:t xml:space="preserve"> interviews </w:t>
      </w:r>
      <w:r w:rsidR="00640289">
        <w:t>with participants</w:t>
      </w:r>
      <w:r w:rsidR="006F2A02">
        <w:t xml:space="preserve"> who had reported deeply moving experiences with museum objects, </w:t>
      </w:r>
      <w:r w:rsidR="005A48DB">
        <w:t>four major themes emerged:</w:t>
      </w:r>
      <w:r w:rsidR="005E0771">
        <w:t xml:space="preserve"> unity of movement, object link, being transported, and the connection beiger than oneself.</w:t>
      </w:r>
      <w:r w:rsidR="00CB48B4">
        <w:rPr>
          <w:rStyle w:val="FootnoteReference"/>
        </w:rPr>
        <w:footnoteReference w:id="28"/>
      </w:r>
      <w:r w:rsidR="00CB48B4">
        <w:t xml:space="preserve"> Their findings showed </w:t>
      </w:r>
      <w:r w:rsidR="007A3124">
        <w:t>the numinous experience to be</w:t>
      </w:r>
      <w:r w:rsidR="00C242F2">
        <w:t xml:space="preserve"> </w:t>
      </w:r>
      <w:r w:rsidR="007A3124">
        <w:t>total</w:t>
      </w:r>
      <w:r w:rsidR="00EA35AB">
        <w:t>ly</w:t>
      </w:r>
      <w:r w:rsidR="007A3124">
        <w:t xml:space="preserve"> holistic and dynamic, </w:t>
      </w:r>
      <w:r w:rsidR="000A1948">
        <w:t xml:space="preserve">brought on by the tangible and physical trigger of the object, by which </w:t>
      </w:r>
      <w:r w:rsidR="003D6D10">
        <w:t xml:space="preserve">the subject was transported </w:t>
      </w:r>
      <w:r w:rsidR="00D37F87">
        <w:t>to a closeness with the time, creating connections with the people of the past.</w:t>
      </w:r>
      <w:r w:rsidR="00D37F87">
        <w:rPr>
          <w:rStyle w:val="FootnoteReference"/>
        </w:rPr>
        <w:footnoteReference w:id="29"/>
      </w:r>
      <w:r w:rsidR="00525A36">
        <w:t xml:space="preserve"> Of course, these profound and moving</w:t>
      </w:r>
      <w:r w:rsidR="00EA35AB">
        <w:t xml:space="preserve">, </w:t>
      </w:r>
      <w:r w:rsidR="00525A36">
        <w:t xml:space="preserve">almost religious experiences are not what the majority of the public feels </w:t>
      </w:r>
      <w:r w:rsidR="00540CF5">
        <w:t>when viewing an artefact</w:t>
      </w:r>
      <w:r w:rsidR="00EA35AB">
        <w:t>. That said,</w:t>
      </w:r>
      <w:r w:rsidR="00540CF5">
        <w:t xml:space="preserve"> the deep numinous experiences </w:t>
      </w:r>
      <w:r w:rsidR="006D2128">
        <w:t xml:space="preserve">felt by </w:t>
      </w:r>
      <w:r w:rsidR="003F2C6F">
        <w:t xml:space="preserve">the few </w:t>
      </w:r>
      <w:proofErr w:type="gramStart"/>
      <w:r w:rsidR="003F2C6F">
        <w:t>are a reflection of</w:t>
      </w:r>
      <w:proofErr w:type="gramEnd"/>
      <w:r w:rsidR="003F2C6F">
        <w:t xml:space="preserve"> the same themes that</w:t>
      </w:r>
      <w:r w:rsidR="00A67EB3">
        <w:t xml:space="preserve"> foster an</w:t>
      </w:r>
      <w:r w:rsidR="00271B9A">
        <w:t xml:space="preserve"> authentic experience in the many.</w:t>
      </w:r>
      <w:r w:rsidR="001855A9">
        <w:t xml:space="preserve"> Latham’s study, although small in subject group</w:t>
      </w:r>
      <w:r w:rsidR="00B51B43">
        <w:t xml:space="preserve">, gives four clear themes for heritage presentation to focus upon </w:t>
      </w:r>
      <w:r w:rsidR="00A67EB3">
        <w:t>to</w:t>
      </w:r>
      <w:r w:rsidR="00B51B43">
        <w:t xml:space="preserve"> foster </w:t>
      </w:r>
      <w:r w:rsidR="00401C6D">
        <w:t xml:space="preserve">powerful connections with artefacts. </w:t>
      </w:r>
    </w:p>
    <w:p w14:paraId="762A0506" w14:textId="77777777" w:rsidR="00401C6D" w:rsidRDefault="00401C6D" w:rsidP="00897AA8">
      <w:pPr>
        <w:ind w:firstLine="720"/>
      </w:pPr>
    </w:p>
    <w:p w14:paraId="6EF50565" w14:textId="2AFE0818" w:rsidR="00271B9A" w:rsidRDefault="00712194" w:rsidP="002E231C">
      <w:pPr>
        <w:ind w:firstLine="720"/>
      </w:pPr>
      <w:r>
        <w:t xml:space="preserve">Numen </w:t>
      </w:r>
      <w:r w:rsidR="00CD3AA8">
        <w:t xml:space="preserve">and authenticity however should not be the only focus </w:t>
      </w:r>
      <w:r w:rsidR="00D80B54">
        <w:t xml:space="preserve">in the presentation of </w:t>
      </w:r>
      <w:r w:rsidR="002E231C">
        <w:t xml:space="preserve">heritage. While a numinous or authentic connection fosters </w:t>
      </w:r>
      <w:r w:rsidR="003B3F22">
        <w:t xml:space="preserve">a powerful feeling of connectivity, </w:t>
      </w:r>
      <w:r w:rsidR="005D02E1">
        <w:t xml:space="preserve">it does not </w:t>
      </w:r>
      <w:r w:rsidR="007162C7">
        <w:t xml:space="preserve">necessarily have anything to do with </w:t>
      </w:r>
      <w:r w:rsidR="003004C7">
        <w:t xml:space="preserve">that feeling being based on an accurate conception of the past. </w:t>
      </w:r>
      <w:r w:rsidR="008710C2">
        <w:t xml:space="preserve">Visitors interest in historic sites is not </w:t>
      </w:r>
      <w:r w:rsidR="00347615">
        <w:t xml:space="preserve">equalled by their </w:t>
      </w:r>
      <w:r w:rsidR="005D2DB8">
        <w:t>knowledge of</w:t>
      </w:r>
      <w:r w:rsidR="00347615">
        <w:t xml:space="preserve"> it.</w:t>
      </w:r>
      <w:r w:rsidR="00347615">
        <w:rPr>
          <w:rStyle w:val="FootnoteReference"/>
        </w:rPr>
        <w:footnoteReference w:id="30"/>
      </w:r>
      <w:r w:rsidR="006420CA">
        <w:t xml:space="preserve"> In fact, this is precisely what Cameron and Gatewood’s research was seeking to explain</w:t>
      </w:r>
      <w:r w:rsidR="004F5C70">
        <w:t>.</w:t>
      </w:r>
      <w:r w:rsidR="006420CA">
        <w:t xml:space="preserve"> </w:t>
      </w:r>
      <w:r w:rsidR="004F5C70">
        <w:t>W</w:t>
      </w:r>
      <w:r w:rsidR="007F4E05">
        <w:t xml:space="preserve">hile studies show a significant drop in the </w:t>
      </w:r>
      <w:r w:rsidR="00404466">
        <w:t>public’s</w:t>
      </w:r>
      <w:r w:rsidR="007F4E05">
        <w:t xml:space="preserve"> knowledge of historical sites, why</w:t>
      </w:r>
      <w:r w:rsidR="00DC245A">
        <w:t xml:space="preserve"> do there remain so many avid consumers of the past?</w:t>
      </w:r>
      <w:r w:rsidR="00DC245A">
        <w:rPr>
          <w:rStyle w:val="FootnoteReference"/>
        </w:rPr>
        <w:footnoteReference w:id="31"/>
      </w:r>
      <w:r w:rsidR="00404466">
        <w:t xml:space="preserve"> </w:t>
      </w:r>
      <w:r w:rsidR="00A377FB">
        <w:t>Their work places authenticity at the centre of this</w:t>
      </w:r>
      <w:r w:rsidR="0098361D">
        <w:t xml:space="preserve"> answer</w:t>
      </w:r>
      <w:r w:rsidR="00890188">
        <w:t>, however other studies have shown a more complex picture.</w:t>
      </w:r>
    </w:p>
    <w:p w14:paraId="76CD68A5" w14:textId="77777777" w:rsidR="003C0C0F" w:rsidRDefault="003C0C0F" w:rsidP="002E231C">
      <w:pPr>
        <w:ind w:firstLine="720"/>
      </w:pPr>
    </w:p>
    <w:p w14:paraId="58299D5B" w14:textId="418F0F33" w:rsidR="00E43FA5" w:rsidRDefault="003C0C0F" w:rsidP="00AC4879">
      <w:pPr>
        <w:ind w:firstLine="720"/>
      </w:pPr>
      <w:proofErr w:type="spellStart"/>
      <w:r>
        <w:t>Hampp</w:t>
      </w:r>
      <w:proofErr w:type="spellEnd"/>
      <w:r>
        <w:t xml:space="preserve"> and Schwan’s </w:t>
      </w:r>
      <w:r w:rsidR="004653A2">
        <w:t>2014 investigation into the perceptions and evaluations of authentic objects</w:t>
      </w:r>
      <w:r w:rsidR="006606FA">
        <w:t xml:space="preserve"> in the </w:t>
      </w:r>
      <w:proofErr w:type="spellStart"/>
      <w:r w:rsidR="006606FA">
        <w:t>Deutsches</w:t>
      </w:r>
      <w:proofErr w:type="spellEnd"/>
      <w:r w:rsidR="006606FA">
        <w:t xml:space="preserve"> Museum </w:t>
      </w:r>
      <w:r w:rsidR="00AA0361">
        <w:t xml:space="preserve">of Science and Technology </w:t>
      </w:r>
      <w:r w:rsidR="00F307D1">
        <w:t>had a fascinating set of results</w:t>
      </w:r>
      <w:r w:rsidR="00FE62CF">
        <w:t xml:space="preserve"> showing the sophisticated way</w:t>
      </w:r>
      <w:r w:rsidR="00F13C88">
        <w:t>s</w:t>
      </w:r>
      <w:r w:rsidR="00FE62CF">
        <w:t xml:space="preserve"> audiences vie</w:t>
      </w:r>
      <w:r w:rsidR="00F13C88">
        <w:t>w</w:t>
      </w:r>
      <w:r w:rsidR="00FE62CF">
        <w:t xml:space="preserve"> objects, in which authenticity was less important</w:t>
      </w:r>
      <w:r w:rsidR="00F307D1">
        <w:t>.</w:t>
      </w:r>
      <w:r w:rsidR="00F307D1">
        <w:rPr>
          <w:rStyle w:val="FootnoteReference"/>
        </w:rPr>
        <w:footnoteReference w:id="32"/>
      </w:r>
      <w:r w:rsidR="00B11FAC">
        <w:t xml:space="preserve"> </w:t>
      </w:r>
      <w:r w:rsidR="00E22C4E">
        <w:t xml:space="preserve">Participants were selected </w:t>
      </w:r>
      <w:r w:rsidR="00F13C88">
        <w:t>from</w:t>
      </w:r>
      <w:r w:rsidR="00E22C4E">
        <w:t xml:space="preserve"> two original artefacts, half of the participants were </w:t>
      </w:r>
      <w:r w:rsidR="00851420">
        <w:t xml:space="preserve">falsely </w:t>
      </w:r>
      <w:r w:rsidR="00E22C4E">
        <w:t xml:space="preserve">told it was a replica, and half were not. </w:t>
      </w:r>
      <w:r w:rsidR="00B87630">
        <w:t>Criteria for the audience evaluation of objects</w:t>
      </w:r>
      <w:r w:rsidR="00B11FAC">
        <w:t xml:space="preserve"> </w:t>
      </w:r>
      <w:r w:rsidR="00B87630">
        <w:t xml:space="preserve">was </w:t>
      </w:r>
      <w:r w:rsidR="008D3A30">
        <w:t>g</w:t>
      </w:r>
      <w:r w:rsidR="008522A0">
        <w:t xml:space="preserve">rouped into three categories: </w:t>
      </w:r>
      <w:r w:rsidR="008D3A30">
        <w:t xml:space="preserve">the outward appearance of the object, intellectual insights imparted by the object, </w:t>
      </w:r>
      <w:r w:rsidR="006769BB">
        <w:t xml:space="preserve">and the individual characteristics of the </w:t>
      </w:r>
      <w:r w:rsidR="006769BB">
        <w:lastRenderedPageBreak/>
        <w:t>participants</w:t>
      </w:r>
      <w:r w:rsidR="00015F64">
        <w:t>.</w:t>
      </w:r>
      <w:r w:rsidR="00695946">
        <w:rPr>
          <w:rStyle w:val="FootnoteReference"/>
        </w:rPr>
        <w:footnoteReference w:id="33"/>
      </w:r>
      <w:r w:rsidR="00695946">
        <w:t xml:space="preserve"> </w:t>
      </w:r>
      <w:r w:rsidR="00C237EB">
        <w:t xml:space="preserve">When questioned on the importance of authenticity, </w:t>
      </w:r>
      <w:r w:rsidR="00D3338F">
        <w:t xml:space="preserve">46% of the 93% who answered </w:t>
      </w:r>
      <w:r w:rsidR="00A91BC5">
        <w:t xml:space="preserve">stated </w:t>
      </w:r>
      <w:r w:rsidR="00D3338F">
        <w:t>that it was important, while 47% answered that it was not.</w:t>
      </w:r>
      <w:r w:rsidR="00D3338F">
        <w:rPr>
          <w:rStyle w:val="FootnoteReference"/>
        </w:rPr>
        <w:footnoteReference w:id="34"/>
      </w:r>
      <w:r w:rsidR="00712A0D">
        <w:t xml:space="preserve"> </w:t>
      </w:r>
      <w:r w:rsidR="00676111">
        <w:t>P</w:t>
      </w:r>
      <w:r w:rsidR="00712A0D">
        <w:t>articipants to whom authenticity was important</w:t>
      </w:r>
      <w:r w:rsidR="00C4692D">
        <w:t xml:space="preserve"> gave arguments that related to the history of the object (43 participants); the</w:t>
      </w:r>
      <w:r w:rsidR="009D2695">
        <w:t xml:space="preserve"> object’s</w:t>
      </w:r>
      <w:r w:rsidR="00C4692D">
        <w:t xml:space="preserve"> c</w:t>
      </w:r>
      <w:r w:rsidR="009D2695">
        <w:t xml:space="preserve">harisma (25 participants); </w:t>
      </w:r>
      <w:r w:rsidR="0062299E">
        <w:t xml:space="preserve">Its rarity (15 participants); The </w:t>
      </w:r>
      <w:r w:rsidR="00626F52">
        <w:t>added prestige, both to the museum and to the viewer (</w:t>
      </w:r>
      <w:r w:rsidR="00676111">
        <w:t>10</w:t>
      </w:r>
      <w:r w:rsidR="00626F52">
        <w:t xml:space="preserve"> participants); and </w:t>
      </w:r>
      <w:r w:rsidR="00676111">
        <w:t xml:space="preserve">to </w:t>
      </w:r>
      <w:r w:rsidR="00626F52">
        <w:t xml:space="preserve">the completeness that only the original could </w:t>
      </w:r>
      <w:r w:rsidR="00246A0B">
        <w:t>obtain</w:t>
      </w:r>
      <w:r w:rsidR="00626F52">
        <w:t xml:space="preserve"> (</w:t>
      </w:r>
      <w:r w:rsidR="00676111">
        <w:t>8</w:t>
      </w:r>
      <w:r w:rsidR="009D2695">
        <w:t xml:space="preserve"> </w:t>
      </w:r>
      <w:r w:rsidR="00676111">
        <w:t>participants).</w:t>
      </w:r>
      <w:r w:rsidR="00246A0B">
        <w:rPr>
          <w:rStyle w:val="FootnoteReference"/>
        </w:rPr>
        <w:footnoteReference w:id="35"/>
      </w:r>
      <w:r w:rsidR="00246A0B">
        <w:t xml:space="preserve"> Participants who </w:t>
      </w:r>
      <w:r w:rsidR="00BE32E7">
        <w:t>disagreed argued instead that the replica was true to the original</w:t>
      </w:r>
      <w:r w:rsidR="00AC6CF8">
        <w:t xml:space="preserve"> (50 participants)</w:t>
      </w:r>
      <w:r w:rsidR="00E22C4E">
        <w:t xml:space="preserve">; </w:t>
      </w:r>
      <w:r w:rsidR="00AC6CF8">
        <w:t>that replicas were more functional</w:t>
      </w:r>
      <w:r w:rsidR="006C21C2">
        <w:t xml:space="preserve"> in the transfer of knowledge (30 participants)</w:t>
      </w:r>
      <w:r w:rsidR="00AC6CF8">
        <w:t>; a</w:t>
      </w:r>
      <w:r w:rsidR="006C21C2">
        <w:t xml:space="preserve">nd that </w:t>
      </w:r>
      <w:r w:rsidR="00267BCF">
        <w:t>replicas</w:t>
      </w:r>
      <w:r w:rsidR="006C21C2">
        <w:t xml:space="preserve"> were reference points </w:t>
      </w:r>
      <w:r w:rsidR="00117646">
        <w:t>used to tell stories (16 participants).</w:t>
      </w:r>
      <w:r w:rsidR="00117646">
        <w:rPr>
          <w:rStyle w:val="FootnoteReference"/>
        </w:rPr>
        <w:footnoteReference w:id="36"/>
      </w:r>
      <w:r w:rsidR="007D792B">
        <w:t xml:space="preserve"> These balanced results show pretty clearly that authenticity is important to viewers, but they also show that </w:t>
      </w:r>
      <w:r w:rsidR="0001332C">
        <w:t xml:space="preserve">many </w:t>
      </w:r>
      <w:r w:rsidR="003755A9">
        <w:t>consum</w:t>
      </w:r>
      <w:r w:rsidR="0001332C">
        <w:t>ers are more interested in learning</w:t>
      </w:r>
      <w:r w:rsidR="005E4AAF">
        <w:t xml:space="preserve"> about </w:t>
      </w:r>
      <w:r w:rsidR="0001332C">
        <w:t>the objects</w:t>
      </w:r>
      <w:r w:rsidR="005E4AAF">
        <w:t xml:space="preserve"> than they are in aura alone</w:t>
      </w:r>
      <w:r w:rsidR="0001332C">
        <w:t xml:space="preserve">. </w:t>
      </w:r>
      <w:r w:rsidR="002F3309">
        <w:t xml:space="preserve">The study is not perfect, for it to work they only interviewed participants who had spent 30 seconds or more inspecting the objects, and </w:t>
      </w:r>
      <w:r w:rsidR="00514B59">
        <w:t xml:space="preserve">when applicable </w:t>
      </w:r>
      <w:r w:rsidR="002F3309">
        <w:t xml:space="preserve">had seen the poster </w:t>
      </w:r>
      <w:r w:rsidR="00514B59">
        <w:t xml:space="preserve">indicating the object was a replica. There </w:t>
      </w:r>
      <w:r w:rsidR="002617C7">
        <w:t>are no conclusions on a diminished interest from the public in the replica</w:t>
      </w:r>
      <w:r w:rsidR="001508EE">
        <w:t xml:space="preserve"> </w:t>
      </w:r>
      <w:r w:rsidR="002617C7">
        <w:t xml:space="preserve">as they </w:t>
      </w:r>
      <w:r w:rsidR="00B86EB8">
        <w:t xml:space="preserve">wanted </w:t>
      </w:r>
      <w:r w:rsidR="00A01F30">
        <w:t xml:space="preserve">to compare </w:t>
      </w:r>
      <w:r w:rsidR="001508EE">
        <w:t xml:space="preserve">an even set of </w:t>
      </w:r>
      <w:r w:rsidR="00A01F30">
        <w:t>numbers. This potentially skews the 50/50 results in favour of the replica</w:t>
      </w:r>
      <w:r w:rsidR="00AC4879">
        <w:t>;</w:t>
      </w:r>
      <w:r w:rsidR="00A01F30">
        <w:t xml:space="preserve"> </w:t>
      </w:r>
      <w:r w:rsidR="00AC4879">
        <w:t>however,</w:t>
      </w:r>
      <w:r w:rsidR="00A01F30">
        <w:t xml:space="preserve"> much can still be gained from this study</w:t>
      </w:r>
      <w:r w:rsidR="00AC4879">
        <w:t xml:space="preserve"> on what</w:t>
      </w:r>
      <w:r w:rsidR="00E43FA5">
        <w:t xml:space="preserve"> museum visitors want to experience from objects. </w:t>
      </w:r>
    </w:p>
    <w:p w14:paraId="7B0FE914" w14:textId="77777777" w:rsidR="00E43FA5" w:rsidRDefault="00E43FA5" w:rsidP="00AC4879">
      <w:pPr>
        <w:ind w:firstLine="720"/>
      </w:pPr>
    </w:p>
    <w:p w14:paraId="341904AB" w14:textId="005A23D6" w:rsidR="009D0F56" w:rsidRDefault="009D0F56" w:rsidP="00330267">
      <w:pPr>
        <w:ind w:firstLine="720"/>
      </w:pPr>
      <w:r>
        <w:t>Another important study into authenticity focused upon new ways of learning in the museum</w:t>
      </w:r>
      <w:r w:rsidR="00FF1155">
        <w:t xml:space="preserve"> for children</w:t>
      </w:r>
      <w:r>
        <w:t>. This study</w:t>
      </w:r>
      <w:r w:rsidR="00AE1519">
        <w:t xml:space="preserve"> from Jackson and Leahy focused upon the use of </w:t>
      </w:r>
      <w:r w:rsidR="00E12D6C">
        <w:t xml:space="preserve">theatre and theatrical techniques as a means of mediating </w:t>
      </w:r>
      <w:r w:rsidR="00F94459">
        <w:t>knowledge and</w:t>
      </w:r>
      <w:r w:rsidR="00E12D6C">
        <w:t xml:space="preserve"> contrasted it with traditional </w:t>
      </w:r>
      <w:r w:rsidR="00FF1155">
        <w:t>methods</w:t>
      </w:r>
      <w:r w:rsidR="004E3E7D">
        <w:t>.</w:t>
      </w:r>
      <w:r w:rsidR="004E3E7D">
        <w:rPr>
          <w:rStyle w:val="FootnoteReference"/>
        </w:rPr>
        <w:footnoteReference w:id="37"/>
      </w:r>
      <w:r w:rsidR="00A32EE7">
        <w:t xml:space="preserve"> What they found was that all students viewed their experiences as authenti</w:t>
      </w:r>
      <w:r w:rsidR="008464C3">
        <w:t>c</w:t>
      </w:r>
      <w:r w:rsidR="004618DF">
        <w:t xml:space="preserve">, taking their cues from </w:t>
      </w:r>
      <w:r w:rsidR="00DE2251">
        <w:t>the presence of real objects</w:t>
      </w:r>
      <w:r w:rsidR="00EE4396">
        <w:t xml:space="preserve"> and not differentiating between the diverse forms of interpretation.</w:t>
      </w:r>
      <w:r w:rsidR="00EE4396">
        <w:rPr>
          <w:rStyle w:val="FootnoteReference"/>
        </w:rPr>
        <w:footnoteReference w:id="38"/>
      </w:r>
      <w:r w:rsidR="0045234E">
        <w:t xml:space="preserve"> The study found that chil</w:t>
      </w:r>
      <w:r w:rsidR="006002E6">
        <w:t xml:space="preserve">dren </w:t>
      </w:r>
      <w:r w:rsidR="009D3EB5">
        <w:t>from</w:t>
      </w:r>
      <w:r w:rsidR="006002E6">
        <w:t xml:space="preserve"> the theatre grou</w:t>
      </w:r>
      <w:r w:rsidR="00974563">
        <w:t xml:space="preserve">p were </w:t>
      </w:r>
      <w:r w:rsidR="00503AFB">
        <w:t xml:space="preserve">better </w:t>
      </w:r>
      <w:r w:rsidR="0013314C">
        <w:t xml:space="preserve">able to recall the narratives given and that they were better able to empathise with the more problematic </w:t>
      </w:r>
      <w:r w:rsidR="00DA61D1">
        <w:t xml:space="preserve">aspects of the period; that said, they also showed a narrower </w:t>
      </w:r>
      <w:r w:rsidR="009D3EB5">
        <w:t>understanding</w:t>
      </w:r>
      <w:r w:rsidR="00DA61D1">
        <w:t xml:space="preserve"> and were less able to </w:t>
      </w:r>
      <w:r w:rsidR="00397D04">
        <w:t>make connections to a broader view</w:t>
      </w:r>
      <w:r w:rsidR="00F9049B">
        <w:t xml:space="preserve"> of the past</w:t>
      </w:r>
      <w:r w:rsidR="00397D04">
        <w:t>.</w:t>
      </w:r>
      <w:r w:rsidR="00397D04">
        <w:rPr>
          <w:rStyle w:val="FootnoteReference"/>
        </w:rPr>
        <w:footnoteReference w:id="39"/>
      </w:r>
      <w:r w:rsidR="00511DDC">
        <w:t xml:space="preserve"> It is clear that both interpretive and traditional methods are </w:t>
      </w:r>
      <w:r w:rsidR="004D5F10">
        <w:t xml:space="preserve">useful in the presentation of heritage, but also that </w:t>
      </w:r>
      <w:r w:rsidR="00342D72">
        <w:t>heritage distributors hold a certain level of inherent authority to their visitors.</w:t>
      </w:r>
    </w:p>
    <w:p w14:paraId="054D3AFF" w14:textId="77777777" w:rsidR="009D0F56" w:rsidRDefault="009D0F56" w:rsidP="00AC4879">
      <w:pPr>
        <w:ind w:firstLine="720"/>
      </w:pPr>
    </w:p>
    <w:p w14:paraId="52F6E68D" w14:textId="151C34CC" w:rsidR="00F00ECF" w:rsidRDefault="00342D72" w:rsidP="00AC4879">
      <w:pPr>
        <w:ind w:firstLine="720"/>
      </w:pPr>
      <w:r>
        <w:t xml:space="preserve">While for the </w:t>
      </w:r>
      <w:r w:rsidR="001E02CD">
        <w:t>children</w:t>
      </w:r>
      <w:r>
        <w:t xml:space="preserve"> </w:t>
      </w:r>
      <w:r w:rsidR="001E02CD">
        <w:t>of</w:t>
      </w:r>
      <w:r>
        <w:t xml:space="preserve"> Jackson and Leahy’s study, the desire to see </w:t>
      </w:r>
      <w:r w:rsidR="00644A0A">
        <w:t xml:space="preserve">the museum as a repository of truthfulness </w:t>
      </w:r>
      <w:r w:rsidR="00821F6A">
        <w:t>may have been fuelled by a</w:t>
      </w:r>
      <w:r w:rsidR="00BD3AF9">
        <w:t>n equally powerful</w:t>
      </w:r>
      <w:r w:rsidR="00821F6A">
        <w:t xml:space="preserve"> desire to escape the classroom, o</w:t>
      </w:r>
      <w:r w:rsidR="00E43FA5">
        <w:t xml:space="preserve">ne of </w:t>
      </w:r>
      <w:proofErr w:type="spellStart"/>
      <w:r w:rsidR="004D5F10">
        <w:t>Hampp</w:t>
      </w:r>
      <w:proofErr w:type="spellEnd"/>
      <w:r w:rsidR="004D5F10">
        <w:t xml:space="preserve"> and </w:t>
      </w:r>
      <w:proofErr w:type="spellStart"/>
      <w:r w:rsidR="004D5F10">
        <w:t>Schwans</w:t>
      </w:r>
      <w:proofErr w:type="spellEnd"/>
      <w:r w:rsidR="004D5F10">
        <w:t xml:space="preserve"> </w:t>
      </w:r>
      <w:r w:rsidR="00E43FA5">
        <w:t xml:space="preserve">most interesting </w:t>
      </w:r>
      <w:r w:rsidR="00821F6A">
        <w:t>findings</w:t>
      </w:r>
      <w:r w:rsidR="00E43FA5">
        <w:t xml:space="preserve"> was that </w:t>
      </w:r>
      <w:r w:rsidR="00C82941">
        <w:t xml:space="preserve">25% of </w:t>
      </w:r>
      <w:r w:rsidR="00E079FC">
        <w:t xml:space="preserve">their </w:t>
      </w:r>
      <w:r w:rsidR="00C82941">
        <w:t>participants who had been seen to inspect the poster informing them the object was a replica</w:t>
      </w:r>
      <w:r w:rsidR="00171C23">
        <w:t xml:space="preserve">, answered incorrectly </w:t>
      </w:r>
      <w:r w:rsidR="005F556A">
        <w:t>on the objects authenticity.</w:t>
      </w:r>
      <w:r w:rsidR="005F556A">
        <w:rPr>
          <w:rStyle w:val="FootnoteReference"/>
        </w:rPr>
        <w:footnoteReference w:id="40"/>
      </w:r>
      <w:r w:rsidR="00AC4879">
        <w:t xml:space="preserve"> </w:t>
      </w:r>
      <w:r w:rsidR="005F556A">
        <w:t xml:space="preserve">This speaks volumes to the authority museums and heritage </w:t>
      </w:r>
      <w:r w:rsidR="00AB5953">
        <w:t xml:space="preserve">locations have as arbiters of historical and archaeological </w:t>
      </w:r>
      <w:r w:rsidR="00AB5953">
        <w:lastRenderedPageBreak/>
        <w:t>truth</w:t>
      </w:r>
      <w:r w:rsidR="00B378F6">
        <w:t>; p</w:t>
      </w:r>
      <w:r w:rsidR="00AB5953">
        <w:t xml:space="preserve">eople believed the objects to be </w:t>
      </w:r>
      <w:r w:rsidR="003072CC">
        <w:t>authentic</w:t>
      </w:r>
      <w:r w:rsidR="00AB5953">
        <w:t xml:space="preserve"> simply because they were </w:t>
      </w:r>
      <w:r w:rsidR="003072CC">
        <w:t xml:space="preserve">presented </w:t>
      </w:r>
      <w:r w:rsidR="00AB5953">
        <w:t xml:space="preserve">in a museum. </w:t>
      </w:r>
      <w:r w:rsidR="00E138BC">
        <w:t>This authority only works if authentic display</w:t>
      </w:r>
      <w:r w:rsidR="00F65D97">
        <w:t>s</w:t>
      </w:r>
      <w:r w:rsidR="00E138BC">
        <w:t xml:space="preserve"> remain </w:t>
      </w:r>
      <w:r w:rsidR="00B378F6">
        <w:t xml:space="preserve">the </w:t>
      </w:r>
      <w:r w:rsidR="00E138BC">
        <w:t xml:space="preserve">expected </w:t>
      </w:r>
      <w:r w:rsidR="00B378F6">
        <w:t xml:space="preserve">norm </w:t>
      </w:r>
      <w:r w:rsidR="00E138BC">
        <w:t>at the museum</w:t>
      </w:r>
      <w:r w:rsidR="002E320F">
        <w:t xml:space="preserve">. Here, Benjamin’s theory on the plurality of facsimile’s </w:t>
      </w:r>
      <w:r w:rsidR="005401C2">
        <w:t>leading to a loss of aura in the original may well turn out to be t</w:t>
      </w:r>
      <w:r w:rsidR="0048542C">
        <w:t>rue</w:t>
      </w:r>
      <w:r w:rsidR="005401C2">
        <w:t xml:space="preserve">. Since historical testimony rests on the authenticity </w:t>
      </w:r>
      <w:r w:rsidR="00455FFC">
        <w:t xml:space="preserve">of the object, it is </w:t>
      </w:r>
      <w:r w:rsidR="00C03677">
        <w:t>jeopardized</w:t>
      </w:r>
      <w:r w:rsidR="00455FFC">
        <w:t xml:space="preserve"> </w:t>
      </w:r>
      <w:r w:rsidR="00E37E12">
        <w:t xml:space="preserve">by reproduction and the authority of the object is </w:t>
      </w:r>
      <w:r w:rsidR="00AD2408">
        <w:t>affected.</w:t>
      </w:r>
      <w:r w:rsidR="00AD2408">
        <w:rPr>
          <w:rStyle w:val="FootnoteReference"/>
        </w:rPr>
        <w:footnoteReference w:id="41"/>
      </w:r>
      <w:r w:rsidR="009D0F56">
        <w:t xml:space="preserve"> </w:t>
      </w:r>
      <w:r w:rsidR="000D0346">
        <w:t xml:space="preserve">Whether or not one takes this view or the more optimistic perspective of Latour and Lowe, </w:t>
      </w:r>
      <w:r w:rsidR="0076673C">
        <w:t>heritage</w:t>
      </w:r>
      <w:r w:rsidR="007B4F5D">
        <w:t xml:space="preserve"> distributors</w:t>
      </w:r>
      <w:r w:rsidR="0076673C">
        <w:t>, imbued with such authority by the public,</w:t>
      </w:r>
      <w:r w:rsidR="007B4F5D">
        <w:t xml:space="preserve"> hold an incredible responsibility </w:t>
      </w:r>
      <w:r w:rsidR="0014184F">
        <w:t>to ‘get it right.’</w:t>
      </w:r>
      <w:r w:rsidR="008877AD">
        <w:t xml:space="preserve"> </w:t>
      </w:r>
      <w:proofErr w:type="spellStart"/>
      <w:r w:rsidR="00C93401">
        <w:t>Kesgin</w:t>
      </w:r>
      <w:proofErr w:type="spellEnd"/>
      <w:r w:rsidR="00C93401">
        <w:t>, Taheri, Murthy, and Gannon</w:t>
      </w:r>
      <w:r w:rsidR="000F3044">
        <w:t xml:space="preserve">’s study into the importance of </w:t>
      </w:r>
      <w:r w:rsidR="00FF29CF">
        <w:t xml:space="preserve">perceived </w:t>
      </w:r>
      <w:r w:rsidR="0081064E">
        <w:t>authentic</w:t>
      </w:r>
      <w:r w:rsidR="00FB7EBA">
        <w:t>ity</w:t>
      </w:r>
      <w:r w:rsidR="0081064E">
        <w:t xml:space="preserve"> to engagement </w:t>
      </w:r>
      <w:r w:rsidR="00FF29CF">
        <w:t xml:space="preserve">and positive </w:t>
      </w:r>
      <w:r w:rsidR="00AE4AD1">
        <w:t xml:space="preserve">visitor experiences </w:t>
      </w:r>
      <w:r w:rsidR="00294D34">
        <w:t xml:space="preserve">with living history </w:t>
      </w:r>
      <w:r w:rsidR="00AE4AD1">
        <w:t>confirmed the</w:t>
      </w:r>
      <w:r w:rsidR="00294D34">
        <w:t>ir</w:t>
      </w:r>
      <w:r w:rsidR="00AE4AD1">
        <w:t xml:space="preserve"> </w:t>
      </w:r>
      <w:r w:rsidR="00173200">
        <w:t>hypothesized relationship between leisure, involvement</w:t>
      </w:r>
      <w:r w:rsidR="007D1E28">
        <w:t>, sincerity and authenticity.</w:t>
      </w:r>
      <w:r w:rsidR="007D1E28">
        <w:rPr>
          <w:rStyle w:val="FootnoteReference"/>
        </w:rPr>
        <w:footnoteReference w:id="42"/>
      </w:r>
      <w:r w:rsidR="007D1E28">
        <w:t xml:space="preserve"> This means that not only are </w:t>
      </w:r>
      <w:r w:rsidR="006B5EB3">
        <w:t>heritage distributors</w:t>
      </w:r>
      <w:r w:rsidR="007D1E28">
        <w:t xml:space="preserve"> </w:t>
      </w:r>
      <w:r w:rsidR="006B5EB3">
        <w:t xml:space="preserve">imbued with </w:t>
      </w:r>
      <w:r w:rsidR="00383A61">
        <w:t xml:space="preserve">historical </w:t>
      </w:r>
      <w:r w:rsidR="00155792">
        <w:t xml:space="preserve">authority </w:t>
      </w:r>
      <w:r w:rsidR="00383A61">
        <w:t xml:space="preserve">by the public, but that this authority </w:t>
      </w:r>
      <w:r w:rsidR="00E91170">
        <w:t xml:space="preserve">requires a </w:t>
      </w:r>
      <w:r w:rsidR="00F97B7A">
        <w:t xml:space="preserve">level of perceived </w:t>
      </w:r>
      <w:r w:rsidR="00E91170">
        <w:t>authenticity to function.</w:t>
      </w:r>
    </w:p>
    <w:p w14:paraId="1BFE35A8" w14:textId="77777777" w:rsidR="00F00ECF" w:rsidRDefault="00F00ECF" w:rsidP="00F00ECF"/>
    <w:p w14:paraId="71F1E50B" w14:textId="59C02341" w:rsidR="00AC4879" w:rsidRDefault="00F00ECF" w:rsidP="00F00ECF">
      <w:pPr>
        <w:ind w:firstLine="720"/>
      </w:pPr>
      <w:r>
        <w:t>A</w:t>
      </w:r>
      <w:r w:rsidR="008F4C85">
        <w:t xml:space="preserve">ppeals to </w:t>
      </w:r>
      <w:r>
        <w:t>historical accuracy are a hugely powerful marketing tool</w:t>
      </w:r>
      <w:r w:rsidR="00EF5DC1">
        <w:t xml:space="preserve"> especially in contemporary media</w:t>
      </w:r>
      <w:r w:rsidR="00E0551B">
        <w:t>;</w:t>
      </w:r>
      <w:r w:rsidR="00EF5DC1">
        <w:t xml:space="preserve"> </w:t>
      </w:r>
      <w:r w:rsidR="0070151A">
        <w:t xml:space="preserve">a large portion of consumers feel </w:t>
      </w:r>
      <w:r w:rsidR="007F3769">
        <w:t xml:space="preserve">very </w:t>
      </w:r>
      <w:r w:rsidR="0070151A">
        <w:t>strongly about the topic.</w:t>
      </w:r>
      <w:r w:rsidR="00514B3B">
        <w:rPr>
          <w:rStyle w:val="FootnoteReference"/>
        </w:rPr>
        <w:footnoteReference w:id="43"/>
      </w:r>
      <w:r w:rsidR="0064295B">
        <w:t xml:space="preserve"> </w:t>
      </w:r>
      <w:proofErr w:type="spellStart"/>
      <w:r w:rsidR="008B433A">
        <w:t>Holtorf’s</w:t>
      </w:r>
      <w:proofErr w:type="spellEnd"/>
      <w:r w:rsidR="008B433A">
        <w:t xml:space="preserve"> concept of pastness</w:t>
      </w:r>
      <w:r w:rsidR="008E36E2">
        <w:t xml:space="preserve"> is a powerful tool for accessing this consumerist authenticity, an</w:t>
      </w:r>
      <w:r w:rsidR="00191F88">
        <w:t xml:space="preserve"> important goal for any serious heritage distributor.</w:t>
      </w:r>
      <w:r w:rsidR="004C3D39">
        <w:rPr>
          <w:rStyle w:val="FootnoteReference"/>
        </w:rPr>
        <w:footnoteReference w:id="44"/>
      </w:r>
      <w:r w:rsidR="00191F88">
        <w:t xml:space="preserve"> </w:t>
      </w:r>
      <w:r w:rsidR="0087794F">
        <w:t>O</w:t>
      </w:r>
      <w:r w:rsidR="00EC2F8D">
        <w:t>nce accessed</w:t>
      </w:r>
      <w:r w:rsidR="005C6BEC">
        <w:t xml:space="preserve"> however</w:t>
      </w:r>
      <w:r w:rsidR="00EC2F8D">
        <w:t xml:space="preserve">, the authority of authenticity </w:t>
      </w:r>
      <w:r w:rsidR="0087794F">
        <w:t xml:space="preserve">places the </w:t>
      </w:r>
      <w:r w:rsidR="005C6BEC">
        <w:t>heritage site above the viewer as a supreme interpreter</w:t>
      </w:r>
      <w:r w:rsidR="00462A71">
        <w:t xml:space="preserve">. The importance of making this interpretation genuinely authentic, an </w:t>
      </w:r>
      <w:r w:rsidR="004764BB">
        <w:t>often-impossible</w:t>
      </w:r>
      <w:r w:rsidR="00462A71">
        <w:t xml:space="preserve"> task, is paramount.</w:t>
      </w:r>
      <w:r w:rsidR="00007363">
        <w:t xml:space="preserve"> Audiences are not passive but play a pivotal role in</w:t>
      </w:r>
      <w:r w:rsidR="008A0ABE">
        <w:t xml:space="preserve"> the creation of authenticity.</w:t>
      </w:r>
      <w:r w:rsidR="008A0ABE">
        <w:rPr>
          <w:rStyle w:val="FootnoteReference"/>
        </w:rPr>
        <w:footnoteReference w:id="45"/>
      </w:r>
      <w:r w:rsidR="004D1E54">
        <w:t xml:space="preserve"> </w:t>
      </w:r>
      <w:r w:rsidR="00414F4B">
        <w:t>Creating a narrative that both fits the audience perception of authenticity</w:t>
      </w:r>
      <w:r w:rsidR="008F6BB1">
        <w:t xml:space="preserve">  whi</w:t>
      </w:r>
      <w:r w:rsidR="008A0ABE">
        <w:t>lst</w:t>
      </w:r>
      <w:r w:rsidR="008F6BB1">
        <w:t xml:space="preserve"> </w:t>
      </w:r>
      <w:r w:rsidR="008A0ABE">
        <w:t>reflecting</w:t>
      </w:r>
      <w:r w:rsidR="008F6BB1">
        <w:t xml:space="preserve"> an accurate picture of the period can be </w:t>
      </w:r>
      <w:r w:rsidR="00007363">
        <w:t>difficult</w:t>
      </w:r>
      <w:r w:rsidR="005A5120">
        <w:t xml:space="preserve">, but it is </w:t>
      </w:r>
      <w:r w:rsidR="003C3249">
        <w:t>paramount in the presentation of heritage.</w:t>
      </w:r>
    </w:p>
    <w:p w14:paraId="31CAF875" w14:textId="77777777" w:rsidR="003C3249" w:rsidRDefault="003C3249" w:rsidP="00A32E05"/>
    <w:p w14:paraId="0C69C2BC" w14:textId="2DC62E40" w:rsidR="006A4880" w:rsidRDefault="003C3249" w:rsidP="00D01803">
      <w:pPr>
        <w:ind w:firstLine="720"/>
      </w:pPr>
      <w:r>
        <w:t xml:space="preserve">To conclude, </w:t>
      </w:r>
      <w:r w:rsidR="000B363D">
        <w:t xml:space="preserve">authenticity is of the upmost relevance in the presentation of heritage. </w:t>
      </w:r>
      <w:r w:rsidR="00F645E8">
        <w:t>Providing an authentic perception to the period allows viewers to form human connections with the past</w:t>
      </w:r>
      <w:r w:rsidR="00E0551B">
        <w:t>.</w:t>
      </w:r>
      <w:r w:rsidR="00F645E8">
        <w:t xml:space="preserve"> </w:t>
      </w:r>
      <w:r w:rsidR="00E0551B">
        <w:t>O</w:t>
      </w:r>
      <w:r w:rsidR="00F645E8">
        <w:t xml:space="preserve">bjects </w:t>
      </w:r>
      <w:r w:rsidR="005C4F83">
        <w:t xml:space="preserve">and even authentic reproductions </w:t>
      </w:r>
      <w:r w:rsidR="003F5B13">
        <w:t>can</w:t>
      </w:r>
      <w:r w:rsidR="005C4F83">
        <w:t xml:space="preserve"> transport viewers and even induce emotive reactions. </w:t>
      </w:r>
      <w:r w:rsidR="003F5B13">
        <w:t xml:space="preserve">Authenticity buys heritage distributers their authority </w:t>
      </w:r>
      <w:r w:rsidR="00793CCE">
        <w:t>to disseminate historical or archaeological narratives. That said, authenticity can also be created</w:t>
      </w:r>
      <w:r w:rsidR="009705AE">
        <w:t xml:space="preserve"> and fostered</w:t>
      </w:r>
      <w:r w:rsidR="007F6E6C">
        <w:t xml:space="preserve">, it could be argued that this diminishes the importance of authenticity, </w:t>
      </w:r>
      <w:r w:rsidR="00FB0DE4">
        <w:t>but rather it is better to see it as a reflection of its importance.</w:t>
      </w:r>
      <w:r w:rsidR="001C4C77">
        <w:t xml:space="preserve"> </w:t>
      </w:r>
      <w:r w:rsidR="001C4C77">
        <w:t xml:space="preserve">As </w:t>
      </w:r>
      <w:proofErr w:type="spellStart"/>
      <w:r w:rsidR="001C4C77">
        <w:t>Holtorf</w:t>
      </w:r>
      <w:proofErr w:type="spellEnd"/>
      <w:r w:rsidR="001C4C77">
        <w:t xml:space="preserve"> puts it</w:t>
      </w:r>
      <w:r w:rsidR="001C4C77">
        <w:t>, a</w:t>
      </w:r>
      <w:r w:rsidR="001C4C77" w:rsidRPr="00755B9D">
        <w:t>uthentic archaeological objects are simultaneously of the past and of the present</w:t>
      </w:r>
      <w:r w:rsidR="001C4C77">
        <w:t>;</w:t>
      </w:r>
      <w:r w:rsidR="001C4C77" w:rsidRPr="00755B9D">
        <w:t xml:space="preserve"> Their authenticity is both culturally situated and firmly connected to </w:t>
      </w:r>
      <w:r w:rsidR="00230552">
        <w:t>object</w:t>
      </w:r>
      <w:r w:rsidR="001C4C77" w:rsidRPr="00755B9D">
        <w:t xml:space="preserve"> materiality</w:t>
      </w:r>
      <w:r w:rsidR="001C4C77">
        <w:t>.</w:t>
      </w:r>
      <w:r w:rsidR="001C4C77">
        <w:rPr>
          <w:rStyle w:val="FootnoteReference"/>
        </w:rPr>
        <w:footnoteReference w:id="46"/>
      </w:r>
      <w:r w:rsidR="00FB0DE4">
        <w:t xml:space="preserve"> </w:t>
      </w:r>
      <w:r w:rsidR="007D1F7D">
        <w:t xml:space="preserve">‘The real thing’ is </w:t>
      </w:r>
      <w:r w:rsidR="00802A4F">
        <w:t xml:space="preserve">the </w:t>
      </w:r>
      <w:r w:rsidR="007D1F7D">
        <w:t xml:space="preserve">experience heritage sites can give that no book </w:t>
      </w:r>
      <w:r w:rsidR="00510C11">
        <w:t>or website can</w:t>
      </w:r>
      <w:r w:rsidR="00802A4F">
        <w:t xml:space="preserve"> ever</w:t>
      </w:r>
      <w:r w:rsidR="00510C11">
        <w:t xml:space="preserve"> replace</w:t>
      </w:r>
      <w:r w:rsidR="00802A4F">
        <w:t>; t</w:t>
      </w:r>
      <w:r w:rsidR="00510C11">
        <w:t>his counts for reproductions (whether physical or theatrical) as it does for original artefacts.</w:t>
      </w:r>
      <w:r w:rsidR="00A32E05">
        <w:t xml:space="preserve"> </w:t>
      </w:r>
      <w:r w:rsidR="00201E5E">
        <w:t xml:space="preserve">While the aura of the original can perceivably migrate as Latour and Lowe lay out, authenticity </w:t>
      </w:r>
      <w:r w:rsidR="000B04DA">
        <w:t>remains of supreme importance in the presentation of heritage</w:t>
      </w:r>
      <w:r w:rsidR="002C0B91">
        <w:t xml:space="preserve"> and must be appropriately fostered</w:t>
      </w:r>
      <w:r w:rsidR="000B04DA">
        <w:t>.</w:t>
      </w:r>
      <w:r w:rsidR="000B04DA">
        <w:rPr>
          <w:rStyle w:val="FootnoteReference"/>
        </w:rPr>
        <w:footnoteReference w:id="47"/>
      </w:r>
    </w:p>
    <w:sdt>
      <w:sdtPr>
        <w:id w:val="2142611185"/>
        <w:docPartObj>
          <w:docPartGallery w:val="Bibliographies"/>
          <w:docPartUnique/>
        </w:docPartObj>
      </w:sdtPr>
      <w:sdtEndPr>
        <w:rPr>
          <w:rFonts w:asciiTheme="minorHAnsi" w:eastAsiaTheme="minorHAnsi" w:hAnsiTheme="minorHAnsi" w:cstheme="minorBidi"/>
          <w:color w:val="auto"/>
          <w:sz w:val="24"/>
          <w:szCs w:val="24"/>
        </w:rPr>
      </w:sdtEndPr>
      <w:sdtContent>
        <w:p w14:paraId="27753AC4" w14:textId="4DD6ADEC" w:rsidR="006A4880" w:rsidRPr="00A778FE" w:rsidRDefault="006A4880">
          <w:pPr>
            <w:pStyle w:val="Heading1"/>
            <w:rPr>
              <w:b/>
              <w:bCs/>
            </w:rPr>
          </w:pPr>
          <w:r>
            <w:t>Bibliograph</w:t>
          </w:r>
          <w:r w:rsidRPr="00A778FE">
            <w:rPr>
              <w:b/>
              <w:bCs/>
            </w:rPr>
            <w:t>y</w:t>
          </w:r>
        </w:p>
        <w:sdt>
          <w:sdtPr>
            <w:rPr>
              <w:b/>
              <w:bCs/>
            </w:rPr>
            <w:id w:val="111145805"/>
            <w:bibliography/>
          </w:sdtPr>
          <w:sdtEndPr>
            <w:rPr>
              <w:b w:val="0"/>
              <w:bCs w:val="0"/>
            </w:rPr>
          </w:sdtEndPr>
          <w:sdtContent>
            <w:p w14:paraId="568A4CA0" w14:textId="77777777" w:rsidR="00A778FE" w:rsidRDefault="00A778FE">
              <w:pPr>
                <w:rPr>
                  <w:b/>
                  <w:bCs/>
                </w:rPr>
              </w:pPr>
              <w:r w:rsidRPr="00A778FE">
                <w:rPr>
                  <w:b/>
                  <w:bCs/>
                </w:rPr>
                <w:t>Secondary Sources</w:t>
              </w:r>
            </w:p>
            <w:p w14:paraId="333C5E5F" w14:textId="77777777" w:rsidR="00A778FE" w:rsidRPr="00F730D6" w:rsidRDefault="00A778FE">
              <w:pPr>
                <w:rPr>
                  <w:b/>
                  <w:bCs/>
                </w:rPr>
              </w:pPr>
            </w:p>
            <w:p w14:paraId="1DCD4DEE" w14:textId="0D8E5883" w:rsidR="00865FD8" w:rsidRPr="00F730D6" w:rsidRDefault="00865FD8" w:rsidP="00865FD8">
              <w:pPr>
                <w:pStyle w:val="ListParagraph"/>
                <w:numPr>
                  <w:ilvl w:val="0"/>
                  <w:numId w:val="3"/>
                </w:numPr>
                <w:rPr>
                  <w:b/>
                  <w:bCs/>
                </w:rPr>
              </w:pPr>
              <w:proofErr w:type="spellStart"/>
              <w:r w:rsidRPr="00F730D6">
                <w:t>Alvesad</w:t>
              </w:r>
              <w:proofErr w:type="spellEnd"/>
              <w:r w:rsidRPr="00F730D6">
                <w:t xml:space="preserve">, Karl C., &amp; Houghton, Robert, </w:t>
              </w:r>
              <w:r w:rsidRPr="00F730D6">
                <w:rPr>
                  <w:i/>
                  <w:iCs/>
                </w:rPr>
                <w:t>The Middle Ages in Modern Culture : History and Authenticity in Contemporary Medievalism</w:t>
              </w:r>
              <w:r w:rsidRPr="00F730D6">
                <w:t xml:space="preserve"> (Bloomsbury Academic, 2021).</w:t>
              </w:r>
            </w:p>
            <w:p w14:paraId="0D290D16" w14:textId="77777777" w:rsidR="00865FD8" w:rsidRPr="00F730D6" w:rsidRDefault="00865FD8" w:rsidP="00865FD8">
              <w:pPr>
                <w:rPr>
                  <w:b/>
                  <w:bCs/>
                </w:rPr>
              </w:pPr>
            </w:p>
            <w:p w14:paraId="58D850CD" w14:textId="14DE7F59" w:rsidR="00865FD8" w:rsidRPr="00F730D6" w:rsidRDefault="006A0A35" w:rsidP="006A0A35">
              <w:pPr>
                <w:pStyle w:val="FootnoteText"/>
                <w:numPr>
                  <w:ilvl w:val="0"/>
                  <w:numId w:val="3"/>
                </w:numPr>
                <w:rPr>
                  <w:sz w:val="24"/>
                  <w:szCs w:val="24"/>
                </w:rPr>
              </w:pPr>
              <w:r w:rsidRPr="00F730D6">
                <w:rPr>
                  <w:sz w:val="24"/>
                  <w:szCs w:val="24"/>
                </w:rPr>
                <w:t>Benjamin, Walter</w:t>
              </w:r>
              <w:r w:rsidRPr="00F730D6">
                <w:rPr>
                  <w:sz w:val="24"/>
                  <w:szCs w:val="24"/>
                </w:rPr>
                <w:t xml:space="preserve">, </w:t>
              </w:r>
              <w:r w:rsidRPr="00F730D6">
                <w:rPr>
                  <w:sz w:val="24"/>
                  <w:szCs w:val="24"/>
                </w:rPr>
                <w:t xml:space="preserve">‘The Work of Art in the Age of Mechanical Reproduction’, in </w:t>
              </w:r>
              <w:r w:rsidRPr="00F730D6">
                <w:rPr>
                  <w:i/>
                  <w:iCs/>
                  <w:sz w:val="24"/>
                  <w:szCs w:val="24"/>
                </w:rPr>
                <w:t xml:space="preserve">Illuminations, </w:t>
              </w:r>
              <w:r w:rsidRPr="00F730D6">
                <w:rPr>
                  <w:sz w:val="24"/>
                  <w:szCs w:val="24"/>
                </w:rPr>
                <w:t xml:space="preserve">ed. Hannah Arendt, trans. Harry Zohn (New York: </w:t>
              </w:r>
              <w:proofErr w:type="spellStart"/>
              <w:r w:rsidRPr="00F730D6">
                <w:rPr>
                  <w:sz w:val="24"/>
                  <w:szCs w:val="24"/>
                </w:rPr>
                <w:t>Schocken</w:t>
              </w:r>
              <w:proofErr w:type="spellEnd"/>
              <w:r w:rsidRPr="00F730D6">
                <w:rPr>
                  <w:sz w:val="24"/>
                  <w:szCs w:val="24"/>
                </w:rPr>
                <w:t xml:space="preserve"> Books, 1969).</w:t>
              </w:r>
            </w:p>
            <w:p w14:paraId="792921D8" w14:textId="77777777" w:rsidR="0053360E" w:rsidRPr="00F730D6" w:rsidRDefault="0053360E" w:rsidP="0053360E">
              <w:pPr>
                <w:pStyle w:val="ListParagraph"/>
              </w:pPr>
            </w:p>
            <w:p w14:paraId="77A467A5" w14:textId="51B4A728" w:rsidR="0053360E" w:rsidRPr="00F730D6" w:rsidRDefault="0053360E" w:rsidP="006A0A35">
              <w:pPr>
                <w:pStyle w:val="FootnoteText"/>
                <w:numPr>
                  <w:ilvl w:val="0"/>
                  <w:numId w:val="3"/>
                </w:numPr>
                <w:rPr>
                  <w:sz w:val="24"/>
                  <w:szCs w:val="24"/>
                </w:rPr>
              </w:pPr>
              <w:r w:rsidRPr="00F730D6">
                <w:rPr>
                  <w:sz w:val="24"/>
                  <w:szCs w:val="24"/>
                </w:rPr>
                <w:t>Cameron, Catherine M.</w:t>
              </w:r>
              <w:r w:rsidRPr="00F730D6">
                <w:rPr>
                  <w:sz w:val="24"/>
                  <w:szCs w:val="24"/>
                </w:rPr>
                <w:t xml:space="preserve">, </w:t>
              </w:r>
              <w:r w:rsidRPr="00F730D6">
                <w:rPr>
                  <w:sz w:val="24"/>
                  <w:szCs w:val="24"/>
                </w:rPr>
                <w:t>&amp; Gatewood,</w:t>
              </w:r>
              <w:r w:rsidRPr="00F730D6">
                <w:rPr>
                  <w:sz w:val="24"/>
                  <w:szCs w:val="24"/>
                </w:rPr>
                <w:t xml:space="preserve"> </w:t>
              </w:r>
              <w:r w:rsidRPr="00F730D6">
                <w:rPr>
                  <w:sz w:val="24"/>
                  <w:szCs w:val="24"/>
                </w:rPr>
                <w:t>John B.</w:t>
              </w:r>
              <w:r w:rsidRPr="00F730D6">
                <w:rPr>
                  <w:sz w:val="24"/>
                  <w:szCs w:val="24"/>
                </w:rPr>
                <w:t>,</w:t>
              </w:r>
              <w:r w:rsidRPr="00F730D6">
                <w:rPr>
                  <w:sz w:val="24"/>
                  <w:szCs w:val="24"/>
                </w:rPr>
                <w:t xml:space="preserve"> ‘Excursions into the Un-Remembered Past: What People Want from Visits to Historical Sites’, </w:t>
              </w:r>
              <w:r w:rsidRPr="00F730D6">
                <w:rPr>
                  <w:i/>
                  <w:iCs/>
                  <w:sz w:val="24"/>
                  <w:szCs w:val="24"/>
                </w:rPr>
                <w:t>The Public Historian</w:t>
              </w:r>
              <w:r w:rsidRPr="00F730D6">
                <w:rPr>
                  <w:sz w:val="24"/>
                  <w:szCs w:val="24"/>
                </w:rPr>
                <w:t>, 22.3 (2000), pp. 107-127</w:t>
              </w:r>
              <w:r w:rsidRPr="00F730D6">
                <w:rPr>
                  <w:sz w:val="24"/>
                  <w:szCs w:val="24"/>
                </w:rPr>
                <w:t>.</w:t>
              </w:r>
            </w:p>
            <w:p w14:paraId="6AA7A9A4" w14:textId="77777777" w:rsidR="00CB4E09" w:rsidRPr="00F730D6" w:rsidRDefault="00CB4E09" w:rsidP="00CB4E09">
              <w:pPr>
                <w:pStyle w:val="ListParagraph"/>
              </w:pPr>
            </w:p>
            <w:p w14:paraId="2837403A" w14:textId="7FB3F4BB" w:rsidR="00CB4E09" w:rsidRPr="00F730D6" w:rsidRDefault="00CB4E09" w:rsidP="006A0A35">
              <w:pPr>
                <w:pStyle w:val="FootnoteText"/>
                <w:numPr>
                  <w:ilvl w:val="0"/>
                  <w:numId w:val="3"/>
                </w:numPr>
                <w:rPr>
                  <w:sz w:val="24"/>
                  <w:szCs w:val="24"/>
                </w:rPr>
              </w:pPr>
              <w:proofErr w:type="spellStart"/>
              <w:r w:rsidRPr="00F730D6">
                <w:rPr>
                  <w:sz w:val="24"/>
                  <w:szCs w:val="24"/>
                </w:rPr>
                <w:t>Groys</w:t>
              </w:r>
              <w:proofErr w:type="spellEnd"/>
              <w:r w:rsidRPr="00F730D6">
                <w:rPr>
                  <w:sz w:val="24"/>
                  <w:szCs w:val="24"/>
                </w:rPr>
                <w:t>, Boris</w:t>
              </w:r>
              <w:r w:rsidRPr="00F730D6">
                <w:rPr>
                  <w:sz w:val="24"/>
                  <w:szCs w:val="24"/>
                </w:rPr>
                <w:t xml:space="preserve">, </w:t>
              </w:r>
              <w:r w:rsidRPr="00F730D6">
                <w:rPr>
                  <w:i/>
                  <w:iCs/>
                  <w:sz w:val="24"/>
                  <w:szCs w:val="24"/>
                </w:rPr>
                <w:t>In the Flow</w:t>
              </w:r>
              <w:r w:rsidRPr="00F730D6">
                <w:rPr>
                  <w:sz w:val="24"/>
                  <w:szCs w:val="24"/>
                </w:rPr>
                <w:t xml:space="preserve"> (London: Verso, 2016)</w:t>
              </w:r>
              <w:r w:rsidRPr="00F730D6">
                <w:rPr>
                  <w:sz w:val="24"/>
                  <w:szCs w:val="24"/>
                </w:rPr>
                <w:t>.</w:t>
              </w:r>
            </w:p>
            <w:p w14:paraId="4B5924C9" w14:textId="77777777" w:rsidR="007755CF" w:rsidRPr="00F730D6" w:rsidRDefault="007755CF" w:rsidP="007755CF">
              <w:pPr>
                <w:pStyle w:val="ListParagraph"/>
              </w:pPr>
            </w:p>
            <w:p w14:paraId="22B9C221" w14:textId="602083A6" w:rsidR="007755CF" w:rsidRPr="00F730D6" w:rsidRDefault="007755CF" w:rsidP="006A0A35">
              <w:pPr>
                <w:pStyle w:val="FootnoteText"/>
                <w:numPr>
                  <w:ilvl w:val="0"/>
                  <w:numId w:val="3"/>
                </w:numPr>
                <w:rPr>
                  <w:sz w:val="24"/>
                  <w:szCs w:val="24"/>
                </w:rPr>
              </w:pPr>
              <w:proofErr w:type="spellStart"/>
              <w:r w:rsidRPr="00F730D6">
                <w:rPr>
                  <w:sz w:val="24"/>
                  <w:szCs w:val="24"/>
                </w:rPr>
                <w:t>Hampp</w:t>
              </w:r>
              <w:proofErr w:type="spellEnd"/>
              <w:r w:rsidRPr="00F730D6">
                <w:rPr>
                  <w:sz w:val="24"/>
                  <w:szCs w:val="24"/>
                </w:rPr>
                <w:t xml:space="preserve">, </w:t>
              </w:r>
              <w:proofErr w:type="spellStart"/>
              <w:r w:rsidRPr="00F730D6">
                <w:rPr>
                  <w:sz w:val="24"/>
                  <w:szCs w:val="24"/>
                </w:rPr>
                <w:t>Constanze</w:t>
              </w:r>
              <w:proofErr w:type="spellEnd"/>
              <w:r w:rsidRPr="00F730D6">
                <w:rPr>
                  <w:sz w:val="24"/>
                  <w:szCs w:val="24"/>
                </w:rPr>
                <w:t xml:space="preserve">, </w:t>
              </w:r>
              <w:r w:rsidRPr="00F730D6">
                <w:rPr>
                  <w:sz w:val="24"/>
                  <w:szCs w:val="24"/>
                </w:rPr>
                <w:t>&amp; Schwan, Stephan</w:t>
              </w:r>
              <w:r w:rsidRPr="00F730D6">
                <w:rPr>
                  <w:sz w:val="24"/>
                  <w:szCs w:val="24"/>
                </w:rPr>
                <w:t xml:space="preserve">, </w:t>
              </w:r>
              <w:r w:rsidRPr="00F730D6">
                <w:rPr>
                  <w:sz w:val="24"/>
                  <w:szCs w:val="24"/>
                </w:rPr>
                <w:t xml:space="preserve">‘Perception and Evaluation of Authentic Objects: Findings from a Visitor Study’, </w:t>
              </w:r>
              <w:r w:rsidRPr="00F730D6">
                <w:rPr>
                  <w:i/>
                  <w:iCs/>
                  <w:sz w:val="24"/>
                  <w:szCs w:val="24"/>
                </w:rPr>
                <w:t>Museum Management and Curatorship</w:t>
              </w:r>
              <w:r w:rsidRPr="00F730D6">
                <w:rPr>
                  <w:sz w:val="24"/>
                  <w:szCs w:val="24"/>
                </w:rPr>
                <w:t>, 29.4 (2014) pp. 349-367</w:t>
              </w:r>
              <w:r w:rsidRPr="00F730D6">
                <w:rPr>
                  <w:sz w:val="24"/>
                  <w:szCs w:val="24"/>
                </w:rPr>
                <w:t>.</w:t>
              </w:r>
            </w:p>
            <w:p w14:paraId="6E9D752F" w14:textId="77777777" w:rsidR="004E3154" w:rsidRPr="00F730D6" w:rsidRDefault="004E3154" w:rsidP="004E3154">
              <w:pPr>
                <w:pStyle w:val="ListParagraph"/>
              </w:pPr>
            </w:p>
            <w:p w14:paraId="74B8BFA8" w14:textId="6729C68B" w:rsidR="004E3154" w:rsidRPr="00F730D6" w:rsidRDefault="004E3154" w:rsidP="006A0A35">
              <w:pPr>
                <w:pStyle w:val="FootnoteText"/>
                <w:numPr>
                  <w:ilvl w:val="0"/>
                  <w:numId w:val="3"/>
                </w:numPr>
                <w:rPr>
                  <w:sz w:val="24"/>
                  <w:szCs w:val="24"/>
                </w:rPr>
              </w:pPr>
              <w:proofErr w:type="spellStart"/>
              <w:r w:rsidRPr="00F730D6">
                <w:rPr>
                  <w:sz w:val="24"/>
                  <w:szCs w:val="24"/>
                </w:rPr>
                <w:t>Holtorf</w:t>
              </w:r>
              <w:proofErr w:type="spellEnd"/>
              <w:r w:rsidRPr="00F730D6">
                <w:rPr>
                  <w:sz w:val="24"/>
                  <w:szCs w:val="24"/>
                </w:rPr>
                <w:t xml:space="preserve">, </w:t>
              </w:r>
              <w:r w:rsidR="003A04EF" w:rsidRPr="00F730D6">
                <w:rPr>
                  <w:sz w:val="24"/>
                  <w:szCs w:val="24"/>
                </w:rPr>
                <w:t>Cornelius</w:t>
              </w:r>
              <w:r w:rsidR="003A04EF" w:rsidRPr="00F730D6">
                <w:rPr>
                  <w:sz w:val="24"/>
                  <w:szCs w:val="24"/>
                </w:rPr>
                <w:t xml:space="preserve">, </w:t>
              </w:r>
              <w:r w:rsidRPr="00F730D6">
                <w:rPr>
                  <w:sz w:val="24"/>
                  <w:szCs w:val="24"/>
                </w:rPr>
                <w:t xml:space="preserve">‘On Pastness: A reconsideration of Materiality in Archaeological Object Authenticity’, </w:t>
              </w:r>
              <w:r w:rsidRPr="00F730D6">
                <w:rPr>
                  <w:i/>
                  <w:iCs/>
                  <w:sz w:val="24"/>
                  <w:szCs w:val="24"/>
                </w:rPr>
                <w:t xml:space="preserve">Anthropological Quarterly , </w:t>
              </w:r>
              <w:r w:rsidRPr="00F730D6">
                <w:rPr>
                  <w:sz w:val="24"/>
                  <w:szCs w:val="24"/>
                </w:rPr>
                <w:t>86.2 (2013) pp. 427-443</w:t>
              </w:r>
              <w:r w:rsidR="005A313E" w:rsidRPr="00F730D6">
                <w:rPr>
                  <w:sz w:val="24"/>
                  <w:szCs w:val="24"/>
                </w:rPr>
                <w:t>.</w:t>
              </w:r>
            </w:p>
            <w:p w14:paraId="4ED5FDFC" w14:textId="77777777" w:rsidR="006F0071" w:rsidRPr="00F730D6" w:rsidRDefault="006F0071" w:rsidP="006F0071">
              <w:pPr>
                <w:pStyle w:val="ListParagraph"/>
              </w:pPr>
            </w:p>
            <w:p w14:paraId="323FA627" w14:textId="1A5E043B" w:rsidR="006F0071" w:rsidRPr="00F730D6" w:rsidRDefault="006F0071" w:rsidP="006A0A35">
              <w:pPr>
                <w:pStyle w:val="FootnoteText"/>
                <w:numPr>
                  <w:ilvl w:val="0"/>
                  <w:numId w:val="3"/>
                </w:numPr>
                <w:rPr>
                  <w:sz w:val="24"/>
                  <w:szCs w:val="24"/>
                </w:rPr>
              </w:pPr>
              <w:r w:rsidRPr="00F730D6">
                <w:rPr>
                  <w:sz w:val="24"/>
                  <w:szCs w:val="24"/>
                </w:rPr>
                <w:t>Jackson, Anthony</w:t>
              </w:r>
              <w:r w:rsidRPr="00F730D6">
                <w:rPr>
                  <w:sz w:val="24"/>
                  <w:szCs w:val="24"/>
                </w:rPr>
                <w:t xml:space="preserve">, </w:t>
              </w:r>
              <w:r w:rsidRPr="00F730D6">
                <w:rPr>
                  <w:sz w:val="24"/>
                  <w:szCs w:val="24"/>
                </w:rPr>
                <w:t>&amp; Leahy, Helen Rees</w:t>
              </w:r>
              <w:r w:rsidRPr="00F730D6">
                <w:rPr>
                  <w:sz w:val="24"/>
                  <w:szCs w:val="24"/>
                </w:rPr>
                <w:t xml:space="preserve">, </w:t>
              </w:r>
              <w:r w:rsidRPr="00F730D6">
                <w:rPr>
                  <w:sz w:val="24"/>
                  <w:szCs w:val="24"/>
                </w:rPr>
                <w:t xml:space="preserve">‘Seeing it for Real…? – Authenticity, Theatre, and Learning in Museums’, </w:t>
              </w:r>
              <w:r w:rsidRPr="00F730D6">
                <w:rPr>
                  <w:i/>
                  <w:iCs/>
                  <w:sz w:val="24"/>
                  <w:szCs w:val="24"/>
                </w:rPr>
                <w:t xml:space="preserve">Research in Drama Education: The Journal of Applied Theatre and Performance, </w:t>
              </w:r>
              <w:r w:rsidRPr="00F730D6">
                <w:rPr>
                  <w:sz w:val="24"/>
                  <w:szCs w:val="24"/>
                </w:rPr>
                <w:t>10.3 (2005) pp. 303-325</w:t>
              </w:r>
              <w:r w:rsidR="00F730D6">
                <w:rPr>
                  <w:sz w:val="24"/>
                  <w:szCs w:val="24"/>
                </w:rPr>
                <w:t>.</w:t>
              </w:r>
            </w:p>
            <w:p w14:paraId="5D18C2A8" w14:textId="77777777" w:rsidR="003A04EF" w:rsidRPr="00F730D6" w:rsidRDefault="003A04EF" w:rsidP="003A04EF">
              <w:pPr>
                <w:pStyle w:val="ListParagraph"/>
              </w:pPr>
            </w:p>
            <w:p w14:paraId="669429E9" w14:textId="2ABE720A" w:rsidR="003A04EF" w:rsidRPr="00F730D6" w:rsidRDefault="003A04EF" w:rsidP="006A0A35">
              <w:pPr>
                <w:pStyle w:val="FootnoteText"/>
                <w:numPr>
                  <w:ilvl w:val="0"/>
                  <w:numId w:val="3"/>
                </w:numPr>
                <w:rPr>
                  <w:sz w:val="24"/>
                  <w:szCs w:val="24"/>
                </w:rPr>
              </w:pPr>
              <w:proofErr w:type="spellStart"/>
              <w:r w:rsidRPr="00F730D6">
                <w:rPr>
                  <w:sz w:val="24"/>
                  <w:szCs w:val="24"/>
                </w:rPr>
                <w:t>Kenderdine</w:t>
              </w:r>
              <w:proofErr w:type="spellEnd"/>
              <w:r w:rsidRPr="00F730D6">
                <w:rPr>
                  <w:sz w:val="24"/>
                  <w:szCs w:val="24"/>
                </w:rPr>
                <w:t>, Sarah</w:t>
              </w:r>
              <w:r w:rsidRPr="00F730D6">
                <w:rPr>
                  <w:sz w:val="24"/>
                  <w:szCs w:val="24"/>
                </w:rPr>
                <w:t xml:space="preserve">, </w:t>
              </w:r>
              <w:r w:rsidRPr="00F730D6">
                <w:rPr>
                  <w:sz w:val="24"/>
                  <w:szCs w:val="24"/>
                </w:rPr>
                <w:t xml:space="preserve">&amp; Yip, </w:t>
              </w:r>
              <w:r w:rsidR="0082715A" w:rsidRPr="00F730D6">
                <w:rPr>
                  <w:sz w:val="24"/>
                  <w:szCs w:val="24"/>
                </w:rPr>
                <w:t>Andrew</w:t>
              </w:r>
              <w:r w:rsidR="0082715A" w:rsidRPr="00F730D6">
                <w:rPr>
                  <w:sz w:val="24"/>
                  <w:szCs w:val="24"/>
                </w:rPr>
                <w:t xml:space="preserve">, </w:t>
              </w:r>
              <w:r w:rsidRPr="00F730D6">
                <w:rPr>
                  <w:sz w:val="24"/>
                  <w:szCs w:val="24"/>
                </w:rPr>
                <w:t xml:space="preserve">‘The Proliferation of Aura: Facsimiles, Authenticity, and Digital Objects’, in </w:t>
              </w:r>
              <w:r w:rsidRPr="00F730D6">
                <w:rPr>
                  <w:i/>
                  <w:iCs/>
                  <w:sz w:val="24"/>
                  <w:szCs w:val="24"/>
                </w:rPr>
                <w:t xml:space="preserve">The Routledge Handbook of Museums, Media, and Communication, </w:t>
              </w:r>
              <w:r w:rsidRPr="00F730D6">
                <w:rPr>
                  <w:sz w:val="24"/>
                  <w:szCs w:val="24"/>
                </w:rPr>
                <w:t xml:space="preserve">ed. Kirsten </w:t>
              </w:r>
              <w:proofErr w:type="spellStart"/>
              <w:r w:rsidRPr="00F730D6">
                <w:rPr>
                  <w:sz w:val="24"/>
                  <w:szCs w:val="24"/>
                </w:rPr>
                <w:t>Drotner</w:t>
              </w:r>
              <w:proofErr w:type="spellEnd"/>
              <w:r w:rsidRPr="00F730D6">
                <w:rPr>
                  <w:sz w:val="24"/>
                  <w:szCs w:val="24"/>
                </w:rPr>
                <w:t xml:space="preserve">, Vince </w:t>
              </w:r>
              <w:proofErr w:type="spellStart"/>
              <w:r w:rsidRPr="00F730D6">
                <w:rPr>
                  <w:sz w:val="24"/>
                  <w:szCs w:val="24"/>
                </w:rPr>
                <w:t>Dziekan</w:t>
              </w:r>
              <w:proofErr w:type="spellEnd"/>
              <w:r w:rsidRPr="00F730D6">
                <w:rPr>
                  <w:sz w:val="24"/>
                  <w:szCs w:val="24"/>
                </w:rPr>
                <w:t xml:space="preserve">, Ross Parry, Kim Christian </w:t>
              </w:r>
              <w:proofErr w:type="spellStart"/>
              <w:r w:rsidRPr="00F730D6">
                <w:rPr>
                  <w:sz w:val="24"/>
                  <w:szCs w:val="24"/>
                </w:rPr>
                <w:t>Schrøder</w:t>
              </w:r>
              <w:proofErr w:type="spellEnd"/>
              <w:r w:rsidRPr="00F730D6">
                <w:rPr>
                  <w:sz w:val="24"/>
                  <w:szCs w:val="24"/>
                </w:rPr>
                <w:t xml:space="preserve"> (London: Routledge, 2018) pp. 274-289</w:t>
              </w:r>
              <w:r w:rsidR="005A313E" w:rsidRPr="00F730D6">
                <w:rPr>
                  <w:sz w:val="24"/>
                  <w:szCs w:val="24"/>
                </w:rPr>
                <w:t>.</w:t>
              </w:r>
            </w:p>
            <w:p w14:paraId="21DA155E" w14:textId="77777777" w:rsidR="00CB58C4" w:rsidRPr="00F730D6" w:rsidRDefault="00CB58C4" w:rsidP="00CB58C4">
              <w:pPr>
                <w:pStyle w:val="ListParagraph"/>
              </w:pPr>
            </w:p>
            <w:p w14:paraId="61C01B09" w14:textId="1222BA3C" w:rsidR="00CB58C4" w:rsidRPr="00F730D6" w:rsidRDefault="00CB58C4" w:rsidP="006A0A35">
              <w:pPr>
                <w:pStyle w:val="FootnoteText"/>
                <w:numPr>
                  <w:ilvl w:val="0"/>
                  <w:numId w:val="3"/>
                </w:numPr>
                <w:rPr>
                  <w:sz w:val="24"/>
                  <w:szCs w:val="24"/>
                </w:rPr>
              </w:pPr>
              <w:proofErr w:type="spellStart"/>
              <w:r w:rsidRPr="00F730D6">
                <w:rPr>
                  <w:sz w:val="24"/>
                  <w:szCs w:val="24"/>
                </w:rPr>
                <w:t>Kesgin</w:t>
              </w:r>
              <w:proofErr w:type="spellEnd"/>
              <w:r w:rsidRPr="00F730D6">
                <w:rPr>
                  <w:sz w:val="24"/>
                  <w:szCs w:val="24"/>
                </w:rPr>
                <w:t xml:space="preserve">, </w:t>
              </w:r>
              <w:proofErr w:type="spellStart"/>
              <w:r w:rsidRPr="00F730D6">
                <w:rPr>
                  <w:sz w:val="24"/>
                  <w:szCs w:val="24"/>
                </w:rPr>
                <w:t>Muhammet</w:t>
              </w:r>
              <w:proofErr w:type="spellEnd"/>
              <w:r w:rsidRPr="00F730D6">
                <w:rPr>
                  <w:sz w:val="24"/>
                  <w:szCs w:val="24"/>
                </w:rPr>
                <w:t xml:space="preserve">; </w:t>
              </w:r>
              <w:r w:rsidRPr="00F730D6">
                <w:rPr>
                  <w:sz w:val="24"/>
                  <w:szCs w:val="24"/>
                </w:rPr>
                <w:t>Taheri, Babak</w:t>
              </w:r>
              <w:r w:rsidRPr="00F730D6">
                <w:rPr>
                  <w:sz w:val="24"/>
                  <w:szCs w:val="24"/>
                </w:rPr>
                <w:t xml:space="preserve">; </w:t>
              </w:r>
              <w:r w:rsidRPr="00F730D6">
                <w:rPr>
                  <w:sz w:val="24"/>
                  <w:szCs w:val="24"/>
                </w:rPr>
                <w:t>Murthy, Rajendran S.</w:t>
              </w:r>
              <w:r w:rsidRPr="00F730D6">
                <w:rPr>
                  <w:sz w:val="24"/>
                  <w:szCs w:val="24"/>
                </w:rPr>
                <w:t xml:space="preserve">; </w:t>
              </w:r>
              <w:r w:rsidRPr="00F730D6">
                <w:rPr>
                  <w:sz w:val="24"/>
                  <w:szCs w:val="24"/>
                </w:rPr>
                <w:t xml:space="preserve">Decker, </w:t>
              </w:r>
              <w:r w:rsidR="00E54683" w:rsidRPr="00F730D6">
                <w:rPr>
                  <w:sz w:val="24"/>
                  <w:szCs w:val="24"/>
                </w:rPr>
                <w:t>Julie</w:t>
              </w:r>
              <w:r w:rsidR="00E54683" w:rsidRPr="00F730D6">
                <w:rPr>
                  <w:sz w:val="24"/>
                  <w:szCs w:val="24"/>
                </w:rPr>
                <w:t xml:space="preserve">, </w:t>
              </w:r>
              <w:r w:rsidRPr="00F730D6">
                <w:rPr>
                  <w:sz w:val="24"/>
                  <w:szCs w:val="24"/>
                </w:rPr>
                <w:t xml:space="preserve">&amp; Gannon, </w:t>
              </w:r>
              <w:r w:rsidR="00E54683" w:rsidRPr="00F730D6">
                <w:rPr>
                  <w:sz w:val="24"/>
                  <w:szCs w:val="24"/>
                </w:rPr>
                <w:t>Martin Joseph</w:t>
              </w:r>
              <w:r w:rsidR="00E54683" w:rsidRPr="00F730D6">
                <w:rPr>
                  <w:sz w:val="24"/>
                  <w:szCs w:val="24"/>
                </w:rPr>
                <w:t xml:space="preserve">, </w:t>
              </w:r>
              <w:r w:rsidRPr="00F730D6">
                <w:rPr>
                  <w:sz w:val="24"/>
                  <w:szCs w:val="24"/>
                </w:rPr>
                <w:t xml:space="preserve">‘Making memories: a consumer-based model of authenticity applied to living history sites’, </w:t>
              </w:r>
              <w:r w:rsidRPr="00F730D6">
                <w:rPr>
                  <w:i/>
                  <w:iCs/>
                  <w:sz w:val="24"/>
                  <w:szCs w:val="24"/>
                </w:rPr>
                <w:t>International Journal of Contemporary Hospitality Management</w:t>
              </w:r>
              <w:r w:rsidRPr="00F730D6">
                <w:rPr>
                  <w:sz w:val="24"/>
                  <w:szCs w:val="24"/>
                </w:rPr>
                <w:t>, 33.10 (2021) pp. 3610-3635</w:t>
              </w:r>
              <w:r w:rsidR="00E54683" w:rsidRPr="00F730D6">
                <w:rPr>
                  <w:sz w:val="24"/>
                  <w:szCs w:val="24"/>
                </w:rPr>
                <w:t>.</w:t>
              </w:r>
            </w:p>
            <w:p w14:paraId="2D74242D" w14:textId="77777777" w:rsidR="0082715A" w:rsidRPr="00F730D6" w:rsidRDefault="0082715A" w:rsidP="0082715A">
              <w:pPr>
                <w:pStyle w:val="ListParagraph"/>
              </w:pPr>
            </w:p>
            <w:p w14:paraId="067ABB67" w14:textId="3DC0DBD6" w:rsidR="0082715A" w:rsidRPr="00F730D6" w:rsidRDefault="0082715A" w:rsidP="006A0A35">
              <w:pPr>
                <w:pStyle w:val="FootnoteText"/>
                <w:numPr>
                  <w:ilvl w:val="0"/>
                  <w:numId w:val="3"/>
                </w:numPr>
                <w:rPr>
                  <w:sz w:val="24"/>
                  <w:szCs w:val="24"/>
                </w:rPr>
              </w:pPr>
              <w:r w:rsidRPr="00F730D6">
                <w:rPr>
                  <w:sz w:val="24"/>
                  <w:szCs w:val="24"/>
                </w:rPr>
                <w:t>Latour</w:t>
              </w:r>
              <w:r w:rsidR="005A313E" w:rsidRPr="00F730D6">
                <w:rPr>
                  <w:sz w:val="24"/>
                  <w:szCs w:val="24"/>
                </w:rPr>
                <w:t xml:space="preserve">, </w:t>
              </w:r>
              <w:r w:rsidR="005A313E" w:rsidRPr="00F730D6">
                <w:rPr>
                  <w:sz w:val="24"/>
                  <w:szCs w:val="24"/>
                </w:rPr>
                <w:t>Bruno</w:t>
              </w:r>
              <w:r w:rsidR="005A313E" w:rsidRPr="00F730D6">
                <w:rPr>
                  <w:sz w:val="24"/>
                  <w:szCs w:val="24"/>
                </w:rPr>
                <w:t xml:space="preserve">, </w:t>
              </w:r>
              <w:r w:rsidRPr="00F730D6">
                <w:rPr>
                  <w:sz w:val="24"/>
                  <w:szCs w:val="24"/>
                </w:rPr>
                <w:t xml:space="preserve">&amp; Lowe, </w:t>
              </w:r>
              <w:r w:rsidR="005A313E" w:rsidRPr="00F730D6">
                <w:rPr>
                  <w:sz w:val="24"/>
                  <w:szCs w:val="24"/>
                </w:rPr>
                <w:t>Adam</w:t>
              </w:r>
              <w:r w:rsidR="005A313E" w:rsidRPr="00F730D6">
                <w:rPr>
                  <w:sz w:val="24"/>
                  <w:szCs w:val="24"/>
                </w:rPr>
                <w:t xml:space="preserve">, </w:t>
              </w:r>
              <w:r w:rsidRPr="00F730D6">
                <w:rPr>
                  <w:sz w:val="24"/>
                  <w:szCs w:val="24"/>
                </w:rPr>
                <w:t xml:space="preserve">‘The Migration of the Aura or How to Explore the Original Through It’s Facsimiles’, in </w:t>
              </w:r>
              <w:r w:rsidRPr="00F730D6">
                <w:rPr>
                  <w:i/>
                  <w:iCs/>
                  <w:sz w:val="24"/>
                  <w:szCs w:val="24"/>
                </w:rPr>
                <w:t>Switching Codes: Thinking Through Digital Technology in the Humanities and the Arts</w:t>
              </w:r>
              <w:r w:rsidRPr="00F730D6">
                <w:rPr>
                  <w:sz w:val="24"/>
                  <w:szCs w:val="24"/>
                </w:rPr>
                <w:t xml:space="preserve">, ed. Thomas </w:t>
              </w:r>
              <w:proofErr w:type="spellStart"/>
              <w:r w:rsidRPr="00F730D6">
                <w:rPr>
                  <w:sz w:val="24"/>
                  <w:szCs w:val="24"/>
                </w:rPr>
                <w:t>Bartscherer</w:t>
              </w:r>
              <w:proofErr w:type="spellEnd"/>
              <w:r w:rsidRPr="00F730D6">
                <w:rPr>
                  <w:sz w:val="24"/>
                  <w:szCs w:val="24"/>
                </w:rPr>
                <w:t xml:space="preserve">, &amp; Roderick </w:t>
              </w:r>
              <w:proofErr w:type="spellStart"/>
              <w:r w:rsidRPr="00F730D6">
                <w:rPr>
                  <w:sz w:val="24"/>
                  <w:szCs w:val="24"/>
                </w:rPr>
                <w:t>Coover</w:t>
              </w:r>
              <w:proofErr w:type="spellEnd"/>
              <w:r w:rsidRPr="00F730D6">
                <w:rPr>
                  <w:sz w:val="24"/>
                  <w:szCs w:val="24"/>
                </w:rPr>
                <w:t xml:space="preserve"> (Chicago: University of Chicago Press, 2010)</w:t>
              </w:r>
              <w:r w:rsidR="005A313E" w:rsidRPr="00F730D6">
                <w:rPr>
                  <w:sz w:val="24"/>
                  <w:szCs w:val="24"/>
                </w:rPr>
                <w:t>.</w:t>
              </w:r>
            </w:p>
            <w:p w14:paraId="06F2FABA" w14:textId="77777777" w:rsidR="00E97849" w:rsidRPr="00F730D6" w:rsidRDefault="00E97849" w:rsidP="00E97849">
              <w:pPr>
                <w:pStyle w:val="ListParagraph"/>
              </w:pPr>
            </w:p>
            <w:p w14:paraId="719547DE" w14:textId="5F25F4F5" w:rsidR="00E97849" w:rsidRPr="00F730D6" w:rsidRDefault="00E97849" w:rsidP="00E97849">
              <w:pPr>
                <w:pStyle w:val="FootnoteText"/>
                <w:numPr>
                  <w:ilvl w:val="0"/>
                  <w:numId w:val="3"/>
                </w:numPr>
                <w:rPr>
                  <w:sz w:val="24"/>
                  <w:szCs w:val="24"/>
                </w:rPr>
              </w:pPr>
              <w:r w:rsidRPr="00F730D6">
                <w:rPr>
                  <w:sz w:val="24"/>
                  <w:szCs w:val="24"/>
                </w:rPr>
                <w:t>Maines, Rachel P.</w:t>
              </w:r>
              <w:r w:rsidRPr="00F730D6">
                <w:rPr>
                  <w:sz w:val="24"/>
                  <w:szCs w:val="24"/>
                </w:rPr>
                <w:t xml:space="preserve">, </w:t>
              </w:r>
              <w:r w:rsidRPr="00F730D6">
                <w:rPr>
                  <w:sz w:val="24"/>
                  <w:szCs w:val="24"/>
                </w:rPr>
                <w:t>&amp; Glynn, James J</w:t>
              </w:r>
              <w:r w:rsidRPr="00F730D6">
                <w:rPr>
                  <w:sz w:val="24"/>
                  <w:szCs w:val="24"/>
                </w:rPr>
                <w:t xml:space="preserve">., </w:t>
              </w:r>
              <w:r w:rsidRPr="00F730D6">
                <w:rPr>
                  <w:sz w:val="24"/>
                  <w:szCs w:val="24"/>
                </w:rPr>
                <w:t xml:space="preserve">‘Numinous Objects’, </w:t>
              </w:r>
              <w:r w:rsidRPr="00F730D6">
                <w:rPr>
                  <w:i/>
                  <w:iCs/>
                  <w:sz w:val="24"/>
                  <w:szCs w:val="24"/>
                </w:rPr>
                <w:t xml:space="preserve">The Public Historian, </w:t>
              </w:r>
              <w:r w:rsidRPr="00F730D6">
                <w:rPr>
                  <w:sz w:val="24"/>
                  <w:szCs w:val="24"/>
                </w:rPr>
                <w:t>15.1 (1993)</w:t>
              </w:r>
              <w:r w:rsidR="0053360E" w:rsidRPr="00F730D6">
                <w:rPr>
                  <w:sz w:val="24"/>
                  <w:szCs w:val="24"/>
                </w:rPr>
                <w:t xml:space="preserve"> pp. 9-25.</w:t>
              </w:r>
            </w:p>
            <w:p w14:paraId="776BFCCF" w14:textId="77777777" w:rsidR="00E97849" w:rsidRPr="00F730D6" w:rsidRDefault="00E97849" w:rsidP="00E97849">
              <w:pPr>
                <w:rPr>
                  <w:b/>
                  <w:bCs/>
                </w:rPr>
              </w:pPr>
            </w:p>
            <w:p w14:paraId="67713552" w14:textId="6833743B" w:rsidR="00A778FE" w:rsidRPr="00F730D6" w:rsidRDefault="00243296" w:rsidP="00A778FE">
              <w:pPr>
                <w:pStyle w:val="ListParagraph"/>
                <w:numPr>
                  <w:ilvl w:val="0"/>
                  <w:numId w:val="3"/>
                </w:numPr>
                <w:rPr>
                  <w:b/>
                  <w:bCs/>
                </w:rPr>
              </w:pPr>
              <w:r w:rsidRPr="00F730D6">
                <w:lastRenderedPageBreak/>
                <w:t xml:space="preserve">Nunes, </w:t>
              </w:r>
              <w:r w:rsidR="00C302B0" w:rsidRPr="00F730D6">
                <w:t>Joseph</w:t>
              </w:r>
              <w:r w:rsidR="005A5ADF" w:rsidRPr="00F730D6">
                <w:t xml:space="preserve"> </w:t>
              </w:r>
              <w:r w:rsidR="00C302B0" w:rsidRPr="00F730D6">
                <w:t>C.</w:t>
              </w:r>
              <w:r w:rsidR="00C302B0" w:rsidRPr="00F730D6">
                <w:t>,</w:t>
              </w:r>
              <w:r w:rsidR="00C302B0" w:rsidRPr="00F730D6">
                <w:t xml:space="preserve"> </w:t>
              </w:r>
              <w:proofErr w:type="spellStart"/>
              <w:r w:rsidRPr="00F730D6">
                <w:t>Ordanini</w:t>
              </w:r>
              <w:proofErr w:type="spellEnd"/>
              <w:r w:rsidRPr="00F730D6">
                <w:t>,</w:t>
              </w:r>
              <w:r w:rsidR="005A5ADF" w:rsidRPr="00F730D6">
                <w:t xml:space="preserve"> </w:t>
              </w:r>
              <w:r w:rsidR="005A5ADF" w:rsidRPr="00F730D6">
                <w:t>Andrea</w:t>
              </w:r>
              <w:r w:rsidR="005A5ADF" w:rsidRPr="00F730D6">
                <w:t>,</w:t>
              </w:r>
              <w:r w:rsidRPr="00F730D6">
                <w:t xml:space="preserve"> </w:t>
              </w:r>
              <w:r w:rsidR="005A5ADF" w:rsidRPr="00F730D6">
                <w:t xml:space="preserve">&amp; </w:t>
              </w:r>
              <w:proofErr w:type="spellStart"/>
              <w:r w:rsidRPr="00F730D6">
                <w:t>Giambastiani</w:t>
              </w:r>
              <w:proofErr w:type="spellEnd"/>
              <w:r w:rsidRPr="00F730D6">
                <w:t>,</w:t>
              </w:r>
              <w:r w:rsidR="005A5ADF" w:rsidRPr="00F730D6">
                <w:t xml:space="preserve"> </w:t>
              </w:r>
              <w:r w:rsidR="005A5ADF" w:rsidRPr="00F730D6">
                <w:t>Gaia</w:t>
              </w:r>
              <w:r w:rsidR="005A5ADF" w:rsidRPr="00F730D6">
                <w:t>,</w:t>
              </w:r>
              <w:r w:rsidRPr="00F730D6">
                <w:t xml:space="preserve"> ‘The Concept of Authenticity: What it Means to Consumers’, </w:t>
              </w:r>
              <w:r w:rsidRPr="00F730D6">
                <w:rPr>
                  <w:i/>
                  <w:iCs/>
                </w:rPr>
                <w:t>Journal of Marketing</w:t>
              </w:r>
              <w:r w:rsidRPr="00F730D6">
                <w:t>, 85.4 (2021) pp. 1-20</w:t>
              </w:r>
              <w:r w:rsidRPr="00F730D6">
                <w:t>.</w:t>
              </w:r>
            </w:p>
            <w:p w14:paraId="17F668F5" w14:textId="77777777" w:rsidR="00A778FE" w:rsidRPr="00F730D6" w:rsidRDefault="00A778FE" w:rsidP="00A778FE">
              <w:pPr>
                <w:rPr>
                  <w:b/>
                  <w:bCs/>
                </w:rPr>
              </w:pPr>
            </w:p>
            <w:p w14:paraId="5E46D1E9" w14:textId="77777777" w:rsidR="00FB3137" w:rsidRPr="00F730D6" w:rsidRDefault="00CB4E09" w:rsidP="00865FD8">
              <w:pPr>
                <w:pStyle w:val="ListParagraph"/>
                <w:numPr>
                  <w:ilvl w:val="0"/>
                  <w:numId w:val="3"/>
                </w:numPr>
              </w:pPr>
              <w:proofErr w:type="spellStart"/>
              <w:r w:rsidRPr="00F730D6">
                <w:t>Westrup</w:t>
              </w:r>
              <w:proofErr w:type="spellEnd"/>
              <w:r w:rsidRPr="00F730D6">
                <w:t>, J. A.</w:t>
              </w:r>
              <w:r w:rsidRPr="00F730D6">
                <w:t xml:space="preserve">, </w:t>
              </w:r>
              <w:r w:rsidRPr="00F730D6">
                <w:t xml:space="preserve">‘Medieval Song’, In </w:t>
              </w:r>
              <w:proofErr w:type="gramStart"/>
              <w:r w:rsidRPr="00F730D6">
                <w:rPr>
                  <w:i/>
                  <w:iCs/>
                </w:rPr>
                <w:t>The</w:t>
              </w:r>
              <w:proofErr w:type="gramEnd"/>
              <w:r w:rsidRPr="00F730D6">
                <w:rPr>
                  <w:i/>
                  <w:iCs/>
                </w:rPr>
                <w:t xml:space="preserve"> New Oxford History of Music vol. II: Early Medieval Music Up to 1300, </w:t>
              </w:r>
              <w:r w:rsidRPr="00F730D6">
                <w:t>2</w:t>
              </w:r>
              <w:r w:rsidRPr="00F730D6">
                <w:rPr>
                  <w:vertAlign w:val="superscript"/>
                </w:rPr>
                <w:t>nd</w:t>
              </w:r>
              <w:r w:rsidRPr="00F730D6">
                <w:t xml:space="preserve"> </w:t>
              </w:r>
              <w:proofErr w:type="spellStart"/>
              <w:r w:rsidRPr="00F730D6">
                <w:t>edn</w:t>
              </w:r>
              <w:proofErr w:type="spellEnd"/>
              <w:r w:rsidRPr="00F730D6">
                <w:t>, ed. Dom Anselm Hughes (London: Oxford University Press, 1955) pp. 220-269</w:t>
              </w:r>
              <w:r w:rsidRPr="00F730D6">
                <w:t>.</w:t>
              </w:r>
            </w:p>
            <w:p w14:paraId="5DEFCD21" w14:textId="77777777" w:rsidR="00FB3137" w:rsidRPr="00F730D6" w:rsidRDefault="00FB3137" w:rsidP="00FB3137">
              <w:pPr>
                <w:pStyle w:val="ListParagraph"/>
              </w:pPr>
            </w:p>
            <w:p w14:paraId="575C41C0" w14:textId="7AD3B848" w:rsidR="006A4880" w:rsidRPr="00F730D6" w:rsidRDefault="00FB3137" w:rsidP="00865FD8">
              <w:pPr>
                <w:pStyle w:val="ListParagraph"/>
                <w:numPr>
                  <w:ilvl w:val="0"/>
                  <w:numId w:val="3"/>
                </w:numPr>
              </w:pPr>
              <w:proofErr w:type="spellStart"/>
              <w:r w:rsidRPr="00F730D6">
                <w:t>Woltz</w:t>
              </w:r>
              <w:proofErr w:type="spellEnd"/>
              <w:r w:rsidRPr="00F730D6">
                <w:t>,</w:t>
              </w:r>
              <w:r w:rsidRPr="00F730D6">
                <w:t xml:space="preserve"> </w:t>
              </w:r>
              <w:r w:rsidRPr="00F730D6">
                <w:t>Catherin</w:t>
              </w:r>
              <w:r w:rsidRPr="00F730D6">
                <w:t>e,</w:t>
              </w:r>
              <w:r w:rsidRPr="00F730D6">
                <w:t xml:space="preserve"> ‘Ruin and Reconstruction: Understanding the Constructed past’, </w:t>
              </w:r>
              <w:proofErr w:type="spellStart"/>
              <w:r w:rsidRPr="00F730D6">
                <w:rPr>
                  <w:i/>
                  <w:iCs/>
                </w:rPr>
                <w:t>Muséologies</w:t>
              </w:r>
              <w:proofErr w:type="spellEnd"/>
              <w:r w:rsidRPr="00F730D6">
                <w:rPr>
                  <w:i/>
                  <w:iCs/>
                </w:rPr>
                <w:t xml:space="preserve">, </w:t>
              </w:r>
              <w:r w:rsidRPr="00F730D6">
                <w:t>4.2 (2010) pp.112-131</w:t>
              </w:r>
              <w:r w:rsidRPr="00F730D6">
                <w:t>.</w:t>
              </w:r>
            </w:p>
          </w:sdtContent>
        </w:sdt>
      </w:sdtContent>
    </w:sdt>
    <w:p w14:paraId="1DB0F7F6" w14:textId="77777777" w:rsidR="006A4880" w:rsidRPr="00EA6D57" w:rsidRDefault="006A4880" w:rsidP="00F00ECF">
      <w:pPr>
        <w:ind w:firstLine="720"/>
      </w:pPr>
    </w:p>
    <w:sectPr w:rsidR="006A4880" w:rsidRPr="00EA6D5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C9B3B7" w14:textId="77777777" w:rsidR="00390E1E" w:rsidRDefault="00390E1E" w:rsidP="00055AF0">
      <w:r>
        <w:separator/>
      </w:r>
    </w:p>
  </w:endnote>
  <w:endnote w:type="continuationSeparator" w:id="0">
    <w:p w14:paraId="43AB062F" w14:textId="77777777" w:rsidR="00390E1E" w:rsidRDefault="00390E1E" w:rsidP="00055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B30305" w14:textId="240E6A58" w:rsidR="00662E57" w:rsidRDefault="00662E57">
    <w:pPr>
      <w:pStyle w:val="Footer"/>
    </w:pPr>
    <w:r>
      <w:t>Caradoc Ewing (2305893)</w:t>
    </w:r>
  </w:p>
  <w:p w14:paraId="67BB61FF" w14:textId="77777777" w:rsidR="00662E57" w:rsidRDefault="00662E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9FFF25" w14:textId="77777777" w:rsidR="00390E1E" w:rsidRDefault="00390E1E" w:rsidP="00055AF0">
      <w:r>
        <w:separator/>
      </w:r>
    </w:p>
  </w:footnote>
  <w:footnote w:type="continuationSeparator" w:id="0">
    <w:p w14:paraId="6D3BA615" w14:textId="77777777" w:rsidR="00390E1E" w:rsidRDefault="00390E1E" w:rsidP="00055AF0">
      <w:r>
        <w:continuationSeparator/>
      </w:r>
    </w:p>
  </w:footnote>
  <w:footnote w:id="1">
    <w:p w14:paraId="531B3533" w14:textId="2EF7D2DD" w:rsidR="004048F9" w:rsidRPr="00BD0130" w:rsidRDefault="004048F9">
      <w:pPr>
        <w:pStyle w:val="FootnoteText"/>
      </w:pPr>
      <w:r>
        <w:rPr>
          <w:rStyle w:val="FootnoteReference"/>
        </w:rPr>
        <w:footnoteRef/>
      </w:r>
      <w:r>
        <w:t xml:space="preserve"> Joseph C. Nune</w:t>
      </w:r>
      <w:r w:rsidR="0006266F">
        <w:t xml:space="preserve">s, Andrea </w:t>
      </w:r>
      <w:proofErr w:type="spellStart"/>
      <w:r w:rsidR="0006266F">
        <w:t>Ordanini</w:t>
      </w:r>
      <w:proofErr w:type="spellEnd"/>
      <w:r w:rsidR="0006266F">
        <w:t xml:space="preserve">, Gaia </w:t>
      </w:r>
      <w:proofErr w:type="spellStart"/>
      <w:r w:rsidR="0006266F">
        <w:t>Giambastiani</w:t>
      </w:r>
      <w:proofErr w:type="spellEnd"/>
      <w:r w:rsidR="00036400">
        <w:t xml:space="preserve">, ‘The Concept of Authenticity: What it Means to Consumers’, </w:t>
      </w:r>
      <w:r w:rsidR="00036400">
        <w:rPr>
          <w:i/>
          <w:iCs/>
        </w:rPr>
        <w:t>Journal of Ma</w:t>
      </w:r>
      <w:r w:rsidR="00BD0130">
        <w:rPr>
          <w:i/>
          <w:iCs/>
        </w:rPr>
        <w:t>rketing</w:t>
      </w:r>
      <w:r w:rsidR="00BD0130">
        <w:t>, 85.4</w:t>
      </w:r>
      <w:r w:rsidR="006D7F21">
        <w:t xml:space="preserve"> (2021) pp. 1-20 (p. 1).</w:t>
      </w:r>
    </w:p>
  </w:footnote>
  <w:footnote w:id="2">
    <w:p w14:paraId="1FD648F3" w14:textId="59C6641A" w:rsidR="00055AF0" w:rsidRDefault="00055AF0">
      <w:pPr>
        <w:pStyle w:val="FootnoteText"/>
      </w:pPr>
      <w:r>
        <w:rPr>
          <w:rStyle w:val="FootnoteReference"/>
        </w:rPr>
        <w:footnoteRef/>
      </w:r>
      <w:r>
        <w:t xml:space="preserve"> Karl C. </w:t>
      </w:r>
      <w:proofErr w:type="spellStart"/>
      <w:r>
        <w:t>Alvesad</w:t>
      </w:r>
      <w:proofErr w:type="spellEnd"/>
      <w:r>
        <w:t xml:space="preserve"> &amp; Robert Houghton, </w:t>
      </w:r>
      <w:r w:rsidRPr="00055AF0">
        <w:rPr>
          <w:i/>
          <w:iCs/>
        </w:rPr>
        <w:t>The Middle Ages in Modern Culture : History and Authenticity in Contemporary Medievalism</w:t>
      </w:r>
      <w:r w:rsidRPr="00055AF0">
        <w:t xml:space="preserve"> (Bloomsbury Academic, 2021)</w:t>
      </w:r>
      <w:r>
        <w:t xml:space="preserve"> p. 3.</w:t>
      </w:r>
    </w:p>
  </w:footnote>
  <w:footnote w:id="3">
    <w:p w14:paraId="6B157643" w14:textId="6B02863D" w:rsidR="00055AF0" w:rsidRDefault="00055AF0">
      <w:pPr>
        <w:pStyle w:val="FootnoteText"/>
      </w:pPr>
      <w:r>
        <w:rPr>
          <w:rStyle w:val="FootnoteReference"/>
        </w:rPr>
        <w:footnoteRef/>
      </w:r>
      <w:r>
        <w:t xml:space="preserve"> </w:t>
      </w:r>
      <w:r w:rsidRPr="00BF4A7A">
        <w:t xml:space="preserve">Walter Benjamin, ‘The Work of Art in the Age of Mechanical Reproduction’, in </w:t>
      </w:r>
      <w:r w:rsidRPr="00BF4A7A">
        <w:rPr>
          <w:i/>
          <w:iCs/>
        </w:rPr>
        <w:t xml:space="preserve">Illuminations, </w:t>
      </w:r>
      <w:r w:rsidRPr="00BF4A7A">
        <w:t xml:space="preserve">ed. Hannah Arendt, trans. Harry Zohn (New York: </w:t>
      </w:r>
      <w:proofErr w:type="spellStart"/>
      <w:r w:rsidRPr="00BF4A7A">
        <w:t>Schocken</w:t>
      </w:r>
      <w:proofErr w:type="spellEnd"/>
      <w:r w:rsidRPr="00BF4A7A">
        <w:t xml:space="preserve"> Books, 1969)</w:t>
      </w:r>
      <w:r>
        <w:t>.</w:t>
      </w:r>
    </w:p>
  </w:footnote>
  <w:footnote w:id="4">
    <w:p w14:paraId="62A39DD7" w14:textId="49D2802B" w:rsidR="00051B42" w:rsidRDefault="00051B42">
      <w:pPr>
        <w:pStyle w:val="FootnoteText"/>
      </w:pPr>
      <w:r>
        <w:rPr>
          <w:rStyle w:val="FootnoteReference"/>
        </w:rPr>
        <w:footnoteRef/>
      </w:r>
      <w:r>
        <w:t xml:space="preserve"> Ibid. p.4.</w:t>
      </w:r>
    </w:p>
  </w:footnote>
  <w:footnote w:id="5">
    <w:p w14:paraId="23AA0B63" w14:textId="2C57078F" w:rsidR="00055AF0" w:rsidRDefault="00055AF0">
      <w:pPr>
        <w:pStyle w:val="FootnoteText"/>
      </w:pPr>
      <w:r>
        <w:rPr>
          <w:rStyle w:val="FootnoteReference"/>
        </w:rPr>
        <w:footnoteRef/>
      </w:r>
      <w:r>
        <w:t xml:space="preserve"> Ibid.</w:t>
      </w:r>
    </w:p>
  </w:footnote>
  <w:footnote w:id="6">
    <w:p w14:paraId="1C1C558F" w14:textId="08C1C0B6" w:rsidR="00C3596F" w:rsidRDefault="00C3596F">
      <w:pPr>
        <w:pStyle w:val="FootnoteText"/>
      </w:pPr>
      <w:r>
        <w:rPr>
          <w:rStyle w:val="FootnoteReference"/>
        </w:rPr>
        <w:footnoteRef/>
      </w:r>
      <w:r>
        <w:t xml:space="preserve"> </w:t>
      </w:r>
      <w:r>
        <w:t xml:space="preserve">Cornelius </w:t>
      </w:r>
      <w:proofErr w:type="spellStart"/>
      <w:r>
        <w:t>Holtorf</w:t>
      </w:r>
      <w:proofErr w:type="spellEnd"/>
      <w:r>
        <w:t xml:space="preserve">, ‘On Pastness: A reconsideration of Materiality in Archaeological Object Authenticity’, </w:t>
      </w:r>
      <w:r>
        <w:rPr>
          <w:i/>
          <w:iCs/>
        </w:rPr>
        <w:t xml:space="preserve">Anthropological Quarterly , </w:t>
      </w:r>
      <w:r>
        <w:t>86.2 (2013) pp. 427-443 (p.</w:t>
      </w:r>
      <w:r>
        <w:t xml:space="preserve"> </w:t>
      </w:r>
      <w:r w:rsidR="00A173ED">
        <w:t>428-430).</w:t>
      </w:r>
    </w:p>
  </w:footnote>
  <w:footnote w:id="7">
    <w:p w14:paraId="51E9B546" w14:textId="06975DE6" w:rsidR="0010637D" w:rsidRDefault="0010637D">
      <w:pPr>
        <w:pStyle w:val="FootnoteText"/>
      </w:pPr>
      <w:r>
        <w:rPr>
          <w:rStyle w:val="FootnoteReference"/>
        </w:rPr>
        <w:footnoteRef/>
      </w:r>
      <w:r>
        <w:t xml:space="preserve"> Ibid. p. 428.</w:t>
      </w:r>
    </w:p>
  </w:footnote>
  <w:footnote w:id="8">
    <w:p w14:paraId="17FD1FAE" w14:textId="1499BFDB" w:rsidR="001B3A01" w:rsidRDefault="001B3A01">
      <w:pPr>
        <w:pStyle w:val="FootnoteText"/>
      </w:pPr>
      <w:r>
        <w:rPr>
          <w:rStyle w:val="FootnoteReference"/>
        </w:rPr>
        <w:footnoteRef/>
      </w:r>
      <w:r>
        <w:t xml:space="preserve"> </w:t>
      </w:r>
      <w:r w:rsidR="003A18B4">
        <w:t>Benjamin, ‘The Work of Art in the Age of Mechanical Reproduction</w:t>
      </w:r>
      <w:r w:rsidR="00046D37">
        <w:t>’, p. 4.</w:t>
      </w:r>
    </w:p>
  </w:footnote>
  <w:footnote w:id="9">
    <w:p w14:paraId="3DA6A3FA" w14:textId="40F81759" w:rsidR="00293D1F" w:rsidRDefault="00293D1F">
      <w:pPr>
        <w:pStyle w:val="FootnoteText"/>
      </w:pPr>
      <w:r>
        <w:rPr>
          <w:rStyle w:val="FootnoteReference"/>
        </w:rPr>
        <w:footnoteRef/>
      </w:r>
      <w:r>
        <w:t xml:space="preserve"> </w:t>
      </w:r>
      <w:r w:rsidR="00EA3CC9">
        <w:t xml:space="preserve">Sarah </w:t>
      </w:r>
      <w:proofErr w:type="spellStart"/>
      <w:r w:rsidR="00EA3CC9">
        <w:t>Kenderdine</w:t>
      </w:r>
      <w:proofErr w:type="spellEnd"/>
      <w:r w:rsidR="00EA3CC9">
        <w:t xml:space="preserve">, &amp; Andrew Yip, ‘The Proliferation of Aura: Facsimiles, Authenticity, and Digital Objects’, in </w:t>
      </w:r>
      <w:r w:rsidR="00EA3CC9">
        <w:rPr>
          <w:i/>
          <w:iCs/>
        </w:rPr>
        <w:t xml:space="preserve">The Routledge Handbook of Museums, Media, and Communication, </w:t>
      </w:r>
      <w:r w:rsidR="00EA3CC9">
        <w:t xml:space="preserve">ed. Kirsten </w:t>
      </w:r>
      <w:proofErr w:type="spellStart"/>
      <w:r w:rsidR="00EA3CC9">
        <w:t>Drotner</w:t>
      </w:r>
      <w:proofErr w:type="spellEnd"/>
      <w:r w:rsidR="00EA3CC9">
        <w:t xml:space="preserve">, Vince </w:t>
      </w:r>
      <w:proofErr w:type="spellStart"/>
      <w:r w:rsidR="00EA3CC9">
        <w:t>Dziekan</w:t>
      </w:r>
      <w:proofErr w:type="spellEnd"/>
      <w:r w:rsidR="00EA3CC9">
        <w:t xml:space="preserve">, Ross Parry, Kim Christian </w:t>
      </w:r>
      <w:proofErr w:type="spellStart"/>
      <w:r w:rsidR="00EA3CC9">
        <w:t>Schrøder</w:t>
      </w:r>
      <w:proofErr w:type="spellEnd"/>
      <w:r w:rsidR="00EA3CC9">
        <w:t xml:space="preserve"> (London: Routledge, 2018) pp. 274-289, p. 275.</w:t>
      </w:r>
    </w:p>
  </w:footnote>
  <w:footnote w:id="10">
    <w:p w14:paraId="727F405A" w14:textId="2F8F94A8" w:rsidR="00A44683" w:rsidRPr="0069674D" w:rsidRDefault="00A44683">
      <w:pPr>
        <w:pStyle w:val="FootnoteText"/>
      </w:pPr>
      <w:r>
        <w:rPr>
          <w:rStyle w:val="FootnoteReference"/>
        </w:rPr>
        <w:footnoteRef/>
      </w:r>
      <w:r>
        <w:t xml:space="preserve"> </w:t>
      </w:r>
      <w:r w:rsidR="0069674D">
        <w:t xml:space="preserve">Nunes, </w:t>
      </w:r>
      <w:proofErr w:type="spellStart"/>
      <w:r w:rsidR="0069674D">
        <w:t>Ordanini</w:t>
      </w:r>
      <w:proofErr w:type="spellEnd"/>
      <w:r w:rsidR="0069674D">
        <w:t xml:space="preserve">, &amp; </w:t>
      </w:r>
      <w:proofErr w:type="spellStart"/>
      <w:r w:rsidR="0069674D">
        <w:t>Giambastiani</w:t>
      </w:r>
      <w:proofErr w:type="spellEnd"/>
      <w:r w:rsidR="0069674D">
        <w:t>, ‘The Concept of Authenticity’, p.1.</w:t>
      </w:r>
    </w:p>
  </w:footnote>
  <w:footnote w:id="11">
    <w:p w14:paraId="638A5CBB" w14:textId="4E1C21A7" w:rsidR="00A319A3" w:rsidRPr="00961BAE" w:rsidRDefault="00A319A3">
      <w:pPr>
        <w:pStyle w:val="FootnoteText"/>
      </w:pPr>
      <w:r>
        <w:rPr>
          <w:rStyle w:val="FootnoteReference"/>
        </w:rPr>
        <w:footnoteRef/>
      </w:r>
      <w:r>
        <w:t xml:space="preserve"> </w:t>
      </w:r>
      <w:r w:rsidR="005F5351">
        <w:t>Bruno Latour &amp; Adam Lowe</w:t>
      </w:r>
      <w:r w:rsidR="007017AB">
        <w:t xml:space="preserve">, ‘The Migration of </w:t>
      </w:r>
      <w:r w:rsidR="00CA0131">
        <w:t xml:space="preserve">the </w:t>
      </w:r>
      <w:r w:rsidR="007017AB">
        <w:t>Aura or How to Explore the Original Through It’s Facsimiles</w:t>
      </w:r>
      <w:r w:rsidR="00CA0131">
        <w:t xml:space="preserve">’, </w:t>
      </w:r>
      <w:r w:rsidR="00961BAE">
        <w:t xml:space="preserve">in </w:t>
      </w:r>
      <w:r w:rsidR="00961BAE">
        <w:rPr>
          <w:i/>
          <w:iCs/>
        </w:rPr>
        <w:t>Switching Codes</w:t>
      </w:r>
      <w:r w:rsidR="00A8222B">
        <w:rPr>
          <w:i/>
          <w:iCs/>
        </w:rPr>
        <w:t>: Thinking Through Digital Technology in the Humanities and the Arts</w:t>
      </w:r>
      <w:r w:rsidR="00961BAE">
        <w:t xml:space="preserve">, ed. Thomas </w:t>
      </w:r>
      <w:proofErr w:type="spellStart"/>
      <w:r w:rsidR="00961BAE">
        <w:t>Bartscherer</w:t>
      </w:r>
      <w:proofErr w:type="spellEnd"/>
      <w:r w:rsidR="00AF3379">
        <w:t>, &amp; Roderick Coover</w:t>
      </w:r>
      <w:r w:rsidR="004A4725">
        <w:t xml:space="preserve"> (Chicago: University of Chicago Press, 2010)</w:t>
      </w:r>
      <w:r w:rsidR="00BD3768">
        <w:t xml:space="preserve"> </w:t>
      </w:r>
      <w:r w:rsidR="00310B92">
        <w:t>p</w:t>
      </w:r>
      <w:r w:rsidR="00897AA8">
        <w:t>.4.</w:t>
      </w:r>
    </w:p>
  </w:footnote>
  <w:footnote w:id="12">
    <w:p w14:paraId="58C5E96C" w14:textId="3C3B6B21" w:rsidR="00363272" w:rsidRDefault="00363272">
      <w:pPr>
        <w:pStyle w:val="FootnoteText"/>
      </w:pPr>
      <w:r>
        <w:rPr>
          <w:rStyle w:val="FootnoteReference"/>
        </w:rPr>
        <w:footnoteRef/>
      </w:r>
      <w:r>
        <w:t xml:space="preserve"> Ibid.</w:t>
      </w:r>
    </w:p>
  </w:footnote>
  <w:footnote w:id="13">
    <w:p w14:paraId="05C66F65" w14:textId="339DC49D" w:rsidR="0038730A" w:rsidRDefault="0038730A">
      <w:pPr>
        <w:pStyle w:val="FootnoteText"/>
      </w:pPr>
      <w:r>
        <w:rPr>
          <w:rStyle w:val="FootnoteReference"/>
        </w:rPr>
        <w:footnoteRef/>
      </w:r>
      <w:r>
        <w:t xml:space="preserve"> Ibid.</w:t>
      </w:r>
    </w:p>
  </w:footnote>
  <w:footnote w:id="14">
    <w:p w14:paraId="79465B50" w14:textId="78A53738" w:rsidR="00DE655A" w:rsidRPr="00FF0417" w:rsidRDefault="00DE655A">
      <w:pPr>
        <w:pStyle w:val="FootnoteText"/>
      </w:pPr>
      <w:r>
        <w:rPr>
          <w:rStyle w:val="FootnoteReference"/>
        </w:rPr>
        <w:footnoteRef/>
      </w:r>
      <w:r>
        <w:t xml:space="preserve"> </w:t>
      </w:r>
      <w:r w:rsidR="00593938">
        <w:t xml:space="preserve">Boris </w:t>
      </w:r>
      <w:proofErr w:type="spellStart"/>
      <w:r w:rsidR="00593938">
        <w:t>Groys</w:t>
      </w:r>
      <w:proofErr w:type="spellEnd"/>
      <w:r w:rsidR="00593938">
        <w:t xml:space="preserve">, </w:t>
      </w:r>
      <w:r w:rsidR="00593938">
        <w:rPr>
          <w:i/>
          <w:iCs/>
        </w:rPr>
        <w:t>In the Flow</w:t>
      </w:r>
      <w:r w:rsidR="00792350">
        <w:t xml:space="preserve"> (London: Verso, 2016) p. 11.</w:t>
      </w:r>
    </w:p>
  </w:footnote>
  <w:footnote w:id="15">
    <w:p w14:paraId="37C3ABDC" w14:textId="508DFEB5" w:rsidR="00436BB6" w:rsidRPr="00424F17" w:rsidRDefault="00436BB6">
      <w:pPr>
        <w:pStyle w:val="FootnoteText"/>
      </w:pPr>
      <w:r>
        <w:rPr>
          <w:rStyle w:val="FootnoteReference"/>
        </w:rPr>
        <w:footnoteRef/>
      </w:r>
      <w:r>
        <w:t xml:space="preserve"> Benjamin, </w:t>
      </w:r>
      <w:r w:rsidR="00424F17">
        <w:t>‘The Work of Art in the Age of Mechanical Reproduction’, p.6.</w:t>
      </w:r>
    </w:p>
  </w:footnote>
  <w:footnote w:id="16">
    <w:p w14:paraId="7903B676" w14:textId="143E0E4C" w:rsidR="007D0031" w:rsidRPr="007D0031" w:rsidRDefault="007D0031">
      <w:pPr>
        <w:pStyle w:val="FootnoteText"/>
      </w:pPr>
      <w:r>
        <w:rPr>
          <w:rStyle w:val="FootnoteReference"/>
        </w:rPr>
        <w:footnoteRef/>
      </w:r>
      <w:r>
        <w:t xml:space="preserve"> </w:t>
      </w:r>
      <w:proofErr w:type="spellStart"/>
      <w:r>
        <w:t>Groys</w:t>
      </w:r>
      <w:proofErr w:type="spellEnd"/>
      <w:r>
        <w:t xml:space="preserve">, </w:t>
      </w:r>
      <w:r>
        <w:rPr>
          <w:i/>
          <w:iCs/>
        </w:rPr>
        <w:t xml:space="preserve">In the Flow, </w:t>
      </w:r>
      <w:r>
        <w:t>p. 11.</w:t>
      </w:r>
    </w:p>
  </w:footnote>
  <w:footnote w:id="17">
    <w:p w14:paraId="2CDFBF9B" w14:textId="77F15FE0" w:rsidR="00415B62" w:rsidRDefault="00415B62">
      <w:pPr>
        <w:pStyle w:val="FootnoteText"/>
      </w:pPr>
      <w:r>
        <w:rPr>
          <w:rStyle w:val="FootnoteReference"/>
        </w:rPr>
        <w:footnoteRef/>
      </w:r>
      <w:r>
        <w:t xml:space="preserve"> </w:t>
      </w:r>
      <w:r w:rsidR="001052B3">
        <w:t xml:space="preserve">J. A. </w:t>
      </w:r>
      <w:proofErr w:type="spellStart"/>
      <w:r w:rsidR="001052B3">
        <w:t>Westrup</w:t>
      </w:r>
      <w:proofErr w:type="spellEnd"/>
      <w:r w:rsidR="001052B3">
        <w:t xml:space="preserve">, ‘Medieval Song’, In </w:t>
      </w:r>
      <w:proofErr w:type="gramStart"/>
      <w:r w:rsidR="001052B3">
        <w:rPr>
          <w:i/>
          <w:iCs/>
        </w:rPr>
        <w:t>The</w:t>
      </w:r>
      <w:proofErr w:type="gramEnd"/>
      <w:r w:rsidR="001052B3">
        <w:rPr>
          <w:i/>
          <w:iCs/>
        </w:rPr>
        <w:t xml:space="preserve"> New Oxford History of Music vol. II: Early Medieval Music Up to 1300, </w:t>
      </w:r>
      <w:r w:rsidR="001052B3">
        <w:t>2</w:t>
      </w:r>
      <w:r w:rsidR="001052B3" w:rsidRPr="00D84801">
        <w:rPr>
          <w:vertAlign w:val="superscript"/>
        </w:rPr>
        <w:t>nd</w:t>
      </w:r>
      <w:r w:rsidR="001052B3">
        <w:t xml:space="preserve"> </w:t>
      </w:r>
      <w:proofErr w:type="spellStart"/>
      <w:r w:rsidR="001052B3">
        <w:t>edn</w:t>
      </w:r>
      <w:proofErr w:type="spellEnd"/>
      <w:r w:rsidR="001052B3">
        <w:t>, ed. Dom Anselm Hughes (London: Oxford University Press, 1955) pp. 220-269 (p. 2</w:t>
      </w:r>
      <w:r w:rsidR="000B7FB8">
        <w:t>23).</w:t>
      </w:r>
    </w:p>
  </w:footnote>
  <w:footnote w:id="18">
    <w:p w14:paraId="05222EB3" w14:textId="4E12FED4" w:rsidR="00DA6BC6" w:rsidRDefault="00DA6BC6">
      <w:pPr>
        <w:pStyle w:val="FootnoteText"/>
      </w:pPr>
      <w:r>
        <w:rPr>
          <w:rStyle w:val="FootnoteReference"/>
        </w:rPr>
        <w:footnoteRef/>
      </w:r>
      <w:r>
        <w:t xml:space="preserve"> Benjamin, ‘The Work of Art </w:t>
      </w:r>
      <w:r w:rsidR="006D6F68">
        <w:t>in the Age of Mechanical Reproduction’, p.18.</w:t>
      </w:r>
    </w:p>
  </w:footnote>
  <w:footnote w:id="19">
    <w:p w14:paraId="4AFD2309" w14:textId="35E89B85" w:rsidR="002226B2" w:rsidRDefault="002226B2">
      <w:pPr>
        <w:pStyle w:val="FootnoteText"/>
      </w:pPr>
      <w:r>
        <w:rPr>
          <w:rStyle w:val="FootnoteReference"/>
        </w:rPr>
        <w:footnoteRef/>
      </w:r>
      <w:r>
        <w:t xml:space="preserve"> </w:t>
      </w:r>
      <w:r w:rsidR="002B1A69">
        <w:t xml:space="preserve">Catherine </w:t>
      </w:r>
      <w:proofErr w:type="spellStart"/>
      <w:r w:rsidR="002B1A69">
        <w:t>Woltz</w:t>
      </w:r>
      <w:proofErr w:type="spellEnd"/>
      <w:r w:rsidR="002B1A69">
        <w:t>, ‘</w:t>
      </w:r>
      <w:r w:rsidR="002B1A69" w:rsidRPr="00F772A5">
        <w:t>Ruin and Reconstruction: Understanding the Constructed past</w:t>
      </w:r>
      <w:r w:rsidR="002B1A69">
        <w:t xml:space="preserve">’, </w:t>
      </w:r>
      <w:proofErr w:type="spellStart"/>
      <w:r w:rsidR="002B1A69">
        <w:rPr>
          <w:i/>
          <w:iCs/>
        </w:rPr>
        <w:t>Muséologies</w:t>
      </w:r>
      <w:proofErr w:type="spellEnd"/>
      <w:r w:rsidR="002B1A69">
        <w:rPr>
          <w:i/>
          <w:iCs/>
        </w:rPr>
        <w:t xml:space="preserve">, </w:t>
      </w:r>
      <w:r w:rsidR="002B1A69">
        <w:t>4.2 (2010) pp.112-131 (p.11</w:t>
      </w:r>
      <w:r w:rsidR="002B1A69">
        <w:t>7).</w:t>
      </w:r>
    </w:p>
  </w:footnote>
  <w:footnote w:id="20">
    <w:p w14:paraId="73DC20F5" w14:textId="24A9CA30" w:rsidR="00E70BB0" w:rsidRDefault="00E70BB0">
      <w:pPr>
        <w:pStyle w:val="FootnoteText"/>
      </w:pPr>
      <w:r>
        <w:rPr>
          <w:rStyle w:val="FootnoteReference"/>
        </w:rPr>
        <w:footnoteRef/>
      </w:r>
      <w:r>
        <w:t xml:space="preserve"> </w:t>
      </w:r>
      <w:proofErr w:type="spellStart"/>
      <w:r w:rsidR="009F3CC2">
        <w:t>Holtorf</w:t>
      </w:r>
      <w:proofErr w:type="spellEnd"/>
      <w:r w:rsidR="009F3CC2">
        <w:t>, ‘On Pastness: A reconsideration of Materiality in Archaeological Object Authenticity’</w:t>
      </w:r>
      <w:r w:rsidR="00A56D76">
        <w:t>, p. 431.</w:t>
      </w:r>
    </w:p>
  </w:footnote>
  <w:footnote w:id="21">
    <w:p w14:paraId="4F116AC6" w14:textId="6EF676A3" w:rsidR="008C1075" w:rsidRDefault="008C1075">
      <w:pPr>
        <w:pStyle w:val="FootnoteText"/>
      </w:pPr>
      <w:r>
        <w:rPr>
          <w:rStyle w:val="FootnoteReference"/>
        </w:rPr>
        <w:footnoteRef/>
      </w:r>
      <w:r>
        <w:t xml:space="preserve"> Ibid. </w:t>
      </w:r>
    </w:p>
  </w:footnote>
  <w:footnote w:id="22">
    <w:p w14:paraId="54E107C0" w14:textId="44FC73EE" w:rsidR="00A05BA6" w:rsidRDefault="00A05BA6">
      <w:pPr>
        <w:pStyle w:val="FootnoteText"/>
      </w:pPr>
      <w:r>
        <w:rPr>
          <w:rStyle w:val="FootnoteReference"/>
        </w:rPr>
        <w:footnoteRef/>
      </w:r>
      <w:r>
        <w:t xml:space="preserve"> </w:t>
      </w:r>
      <w:r w:rsidR="0057722F">
        <w:t>Ibid., pp. 432-437.</w:t>
      </w:r>
    </w:p>
  </w:footnote>
  <w:footnote w:id="23">
    <w:p w14:paraId="75F2483B" w14:textId="6804D792" w:rsidR="00F839B8" w:rsidRDefault="00F839B8">
      <w:pPr>
        <w:pStyle w:val="FootnoteText"/>
      </w:pPr>
      <w:r>
        <w:rPr>
          <w:rStyle w:val="FootnoteReference"/>
        </w:rPr>
        <w:footnoteRef/>
      </w:r>
      <w:r>
        <w:t xml:space="preserve"> Ibi</w:t>
      </w:r>
      <w:r w:rsidR="0057722F">
        <w:t>d., pp. 437-43</w:t>
      </w:r>
      <w:r w:rsidR="002313C2">
        <w:t>9.</w:t>
      </w:r>
      <w:r w:rsidR="0057722F">
        <w:t xml:space="preserve"> </w:t>
      </w:r>
    </w:p>
  </w:footnote>
  <w:footnote w:id="24">
    <w:p w14:paraId="7112E9F5" w14:textId="017FC25E" w:rsidR="00755691" w:rsidRDefault="00755691">
      <w:pPr>
        <w:pStyle w:val="FootnoteText"/>
      </w:pPr>
      <w:r>
        <w:rPr>
          <w:rStyle w:val="FootnoteReference"/>
        </w:rPr>
        <w:footnoteRef/>
      </w:r>
      <w:r>
        <w:t xml:space="preserve"> </w:t>
      </w:r>
      <w:r w:rsidR="00DB6449">
        <w:t xml:space="preserve">Latour, &amp; Lowe, ‘The Migration of Aura’, p. 4. </w:t>
      </w:r>
    </w:p>
  </w:footnote>
  <w:footnote w:id="25">
    <w:p w14:paraId="2D8AA5D2" w14:textId="795B41C8" w:rsidR="00722E33" w:rsidRDefault="00722E33">
      <w:pPr>
        <w:pStyle w:val="FootnoteText"/>
      </w:pPr>
      <w:r>
        <w:rPr>
          <w:rStyle w:val="FootnoteReference"/>
        </w:rPr>
        <w:footnoteRef/>
      </w:r>
      <w:r>
        <w:t xml:space="preserve"> </w:t>
      </w:r>
      <w:r>
        <w:t xml:space="preserve">Rachel P. Maines, &amp; James J. Glynn, ‘Numinous Objects’, </w:t>
      </w:r>
      <w:r>
        <w:rPr>
          <w:i/>
          <w:iCs/>
        </w:rPr>
        <w:t xml:space="preserve">The Public Historian, </w:t>
      </w:r>
      <w:r>
        <w:t>15.1 (1993)</w:t>
      </w:r>
      <w:r>
        <w:t>.</w:t>
      </w:r>
    </w:p>
  </w:footnote>
  <w:footnote w:id="26">
    <w:p w14:paraId="6BFB4A93" w14:textId="46A7D452" w:rsidR="00FF04BB" w:rsidRDefault="00FF04BB">
      <w:pPr>
        <w:pStyle w:val="FootnoteText"/>
      </w:pPr>
      <w:r>
        <w:rPr>
          <w:rStyle w:val="FootnoteReference"/>
        </w:rPr>
        <w:footnoteRef/>
      </w:r>
      <w:r>
        <w:t xml:space="preserve"> </w:t>
      </w:r>
      <w:r w:rsidR="001350DA">
        <w:t xml:space="preserve">Catherine M. Cameron, &amp; John B. Gatewood, ‘Excursions into the Un-Remembered Past: What People Want from Visits to Historical Sites’, </w:t>
      </w:r>
      <w:r w:rsidR="001350DA">
        <w:rPr>
          <w:i/>
          <w:iCs/>
        </w:rPr>
        <w:t>The Public Historian</w:t>
      </w:r>
      <w:r w:rsidR="001350DA">
        <w:t>, 22.3 (2000), pp. 107-127 (p.</w:t>
      </w:r>
      <w:r w:rsidR="00871D9C">
        <w:t xml:space="preserve"> 109).</w:t>
      </w:r>
    </w:p>
  </w:footnote>
  <w:footnote w:id="27">
    <w:p w14:paraId="3C6CC0C4" w14:textId="57E6B43D" w:rsidR="00D632A6" w:rsidRPr="00186EB2" w:rsidRDefault="00D632A6">
      <w:pPr>
        <w:pStyle w:val="FootnoteText"/>
      </w:pPr>
      <w:r>
        <w:rPr>
          <w:rStyle w:val="FootnoteReference"/>
        </w:rPr>
        <w:footnoteRef/>
      </w:r>
      <w:r>
        <w:t xml:space="preserve"> Kiersten F. Latham, ‘Numinous Experiences with Museum Objects.’</w:t>
      </w:r>
      <w:r w:rsidR="00186EB2">
        <w:t xml:space="preserve">, </w:t>
      </w:r>
      <w:r w:rsidR="00186EB2">
        <w:rPr>
          <w:i/>
          <w:iCs/>
        </w:rPr>
        <w:t xml:space="preserve">Visitor Studies, </w:t>
      </w:r>
      <w:r w:rsidR="00186EB2">
        <w:t>16.1 (2013) pp. 3-20 (p.</w:t>
      </w:r>
      <w:r w:rsidR="00011F78">
        <w:t xml:space="preserve"> 5).</w:t>
      </w:r>
    </w:p>
  </w:footnote>
  <w:footnote w:id="28">
    <w:p w14:paraId="16A4AC89" w14:textId="52D6B0C3" w:rsidR="00CB48B4" w:rsidRDefault="00CB48B4">
      <w:pPr>
        <w:pStyle w:val="FootnoteText"/>
      </w:pPr>
      <w:r>
        <w:rPr>
          <w:rStyle w:val="FootnoteReference"/>
        </w:rPr>
        <w:footnoteRef/>
      </w:r>
      <w:r>
        <w:t xml:space="preserve"> Ibid., p. 8.</w:t>
      </w:r>
    </w:p>
  </w:footnote>
  <w:footnote w:id="29">
    <w:p w14:paraId="318C88D5" w14:textId="4D5BFC66" w:rsidR="00D37F87" w:rsidRDefault="00D37F87">
      <w:pPr>
        <w:pStyle w:val="FootnoteText"/>
      </w:pPr>
      <w:r>
        <w:rPr>
          <w:rStyle w:val="FootnoteReference"/>
        </w:rPr>
        <w:footnoteRef/>
      </w:r>
      <w:r>
        <w:t xml:space="preserve"> Ibid., pp. </w:t>
      </w:r>
      <w:r w:rsidR="00525A36">
        <w:t>8-10.</w:t>
      </w:r>
    </w:p>
  </w:footnote>
  <w:footnote w:id="30">
    <w:p w14:paraId="49F07A18" w14:textId="1D13CFFF" w:rsidR="00347615" w:rsidRDefault="00347615">
      <w:pPr>
        <w:pStyle w:val="FootnoteText"/>
      </w:pPr>
      <w:r>
        <w:rPr>
          <w:rStyle w:val="FootnoteReference"/>
        </w:rPr>
        <w:footnoteRef/>
      </w:r>
      <w:r>
        <w:t xml:space="preserve"> Cameron, &amp; Gatewood, </w:t>
      </w:r>
      <w:r w:rsidR="006420CA">
        <w:t>‘</w:t>
      </w:r>
      <w:r w:rsidR="006420CA">
        <w:t>Excursions into the Un-Remembered Past</w:t>
      </w:r>
      <w:r w:rsidR="006420CA">
        <w:t>’, p.108.</w:t>
      </w:r>
    </w:p>
  </w:footnote>
  <w:footnote w:id="31">
    <w:p w14:paraId="7689A7E6" w14:textId="6A2A940D" w:rsidR="00DC245A" w:rsidRPr="009702F0" w:rsidRDefault="00DC245A">
      <w:pPr>
        <w:pStyle w:val="FootnoteText"/>
      </w:pPr>
      <w:r>
        <w:rPr>
          <w:rStyle w:val="FootnoteReference"/>
        </w:rPr>
        <w:footnoteRef/>
      </w:r>
      <w:r>
        <w:t xml:space="preserve"> </w:t>
      </w:r>
      <w:r w:rsidR="00651D73">
        <w:t>Catherine M. Cameron, &amp; John B. Gatewood</w:t>
      </w:r>
      <w:r w:rsidR="00651D73">
        <w:t xml:space="preserve">, ‘Seeking Numinous Experiences in the Unremembered Past’, </w:t>
      </w:r>
      <w:r w:rsidR="009702F0">
        <w:rPr>
          <w:i/>
          <w:iCs/>
        </w:rPr>
        <w:t>Ethnology</w:t>
      </w:r>
      <w:r w:rsidR="009702F0">
        <w:t>, 42.1 (2003) pp. 55-71 (p.</w:t>
      </w:r>
      <w:r w:rsidR="00404466">
        <w:t xml:space="preserve"> 55).</w:t>
      </w:r>
    </w:p>
  </w:footnote>
  <w:footnote w:id="32">
    <w:p w14:paraId="54964AD9" w14:textId="0C9080C3" w:rsidR="00F307D1" w:rsidRPr="00267665" w:rsidRDefault="00F307D1">
      <w:pPr>
        <w:pStyle w:val="FootnoteText"/>
      </w:pPr>
      <w:r>
        <w:rPr>
          <w:rStyle w:val="FootnoteReference"/>
        </w:rPr>
        <w:footnoteRef/>
      </w:r>
      <w:r>
        <w:t xml:space="preserve"> </w:t>
      </w:r>
      <w:proofErr w:type="spellStart"/>
      <w:r w:rsidR="009262A6">
        <w:t>Constanze</w:t>
      </w:r>
      <w:proofErr w:type="spellEnd"/>
      <w:r w:rsidR="009262A6">
        <w:t xml:space="preserve"> </w:t>
      </w:r>
      <w:proofErr w:type="spellStart"/>
      <w:r w:rsidR="009262A6">
        <w:t>Hampp</w:t>
      </w:r>
      <w:proofErr w:type="spellEnd"/>
      <w:r w:rsidR="009262A6">
        <w:t xml:space="preserve">, </w:t>
      </w:r>
      <w:r w:rsidR="000D2C00">
        <w:t>&amp; Stephan Schwan, ‘Perception and Evaluation of Authentic Objects: Findings from a Visitor Study</w:t>
      </w:r>
      <w:r w:rsidR="00526084">
        <w:t xml:space="preserve">’, </w:t>
      </w:r>
      <w:r w:rsidR="00FA33D6">
        <w:rPr>
          <w:i/>
          <w:iCs/>
        </w:rPr>
        <w:t>Museum Management and Curator</w:t>
      </w:r>
      <w:r w:rsidR="00267665">
        <w:rPr>
          <w:i/>
          <w:iCs/>
        </w:rPr>
        <w:t>ship</w:t>
      </w:r>
      <w:r w:rsidR="00267665">
        <w:t>, 29.4 (2014) pp. 349-367</w:t>
      </w:r>
      <w:r w:rsidR="00FE62CF">
        <w:t xml:space="preserve"> (p. 350-351).</w:t>
      </w:r>
    </w:p>
  </w:footnote>
  <w:footnote w:id="33">
    <w:p w14:paraId="338B309C" w14:textId="011C950C" w:rsidR="00695946" w:rsidRDefault="00695946">
      <w:pPr>
        <w:pStyle w:val="FootnoteText"/>
      </w:pPr>
      <w:r>
        <w:rPr>
          <w:rStyle w:val="FootnoteReference"/>
        </w:rPr>
        <w:footnoteRef/>
      </w:r>
      <w:r>
        <w:t xml:space="preserve"> Ibid., p, 351.</w:t>
      </w:r>
    </w:p>
  </w:footnote>
  <w:footnote w:id="34">
    <w:p w14:paraId="04C54356" w14:textId="1776D347" w:rsidR="00D3338F" w:rsidRDefault="00D3338F">
      <w:pPr>
        <w:pStyle w:val="FootnoteText"/>
      </w:pPr>
      <w:r>
        <w:rPr>
          <w:rStyle w:val="FootnoteReference"/>
        </w:rPr>
        <w:footnoteRef/>
      </w:r>
      <w:r>
        <w:t xml:space="preserve"> Ibid., p. 358.</w:t>
      </w:r>
    </w:p>
  </w:footnote>
  <w:footnote w:id="35">
    <w:p w14:paraId="34D955C3" w14:textId="33EA1903" w:rsidR="00246A0B" w:rsidRDefault="00246A0B">
      <w:pPr>
        <w:pStyle w:val="FootnoteText"/>
      </w:pPr>
      <w:r>
        <w:rPr>
          <w:rStyle w:val="FootnoteReference"/>
        </w:rPr>
        <w:footnoteRef/>
      </w:r>
      <w:r>
        <w:t xml:space="preserve"> Ibid., pp. </w:t>
      </w:r>
      <w:r w:rsidR="00432902">
        <w:t>358-360</w:t>
      </w:r>
    </w:p>
  </w:footnote>
  <w:footnote w:id="36">
    <w:p w14:paraId="187B6E33" w14:textId="59314945" w:rsidR="00117646" w:rsidRDefault="00117646">
      <w:pPr>
        <w:pStyle w:val="FootnoteText"/>
      </w:pPr>
      <w:r>
        <w:rPr>
          <w:rStyle w:val="FootnoteReference"/>
        </w:rPr>
        <w:footnoteRef/>
      </w:r>
      <w:r>
        <w:t xml:space="preserve"> Ibid., pp. 36</w:t>
      </w:r>
      <w:r w:rsidR="003523CA">
        <w:t>0-362.</w:t>
      </w:r>
    </w:p>
  </w:footnote>
  <w:footnote w:id="37">
    <w:p w14:paraId="77BF6808" w14:textId="1FDCA8B2" w:rsidR="004E3E7D" w:rsidRPr="00635069" w:rsidRDefault="004E3E7D">
      <w:pPr>
        <w:pStyle w:val="FootnoteText"/>
      </w:pPr>
      <w:r>
        <w:rPr>
          <w:rStyle w:val="FootnoteReference"/>
        </w:rPr>
        <w:footnoteRef/>
      </w:r>
      <w:r>
        <w:t xml:space="preserve"> </w:t>
      </w:r>
      <w:r w:rsidR="002C7968">
        <w:t xml:space="preserve">Anthony </w:t>
      </w:r>
      <w:r w:rsidR="00034373">
        <w:t>Jackson,</w:t>
      </w:r>
      <w:r w:rsidR="002C7968">
        <w:t xml:space="preserve"> </w:t>
      </w:r>
      <w:r w:rsidR="00034373">
        <w:t>&amp;</w:t>
      </w:r>
      <w:r w:rsidR="002C7968">
        <w:t xml:space="preserve"> Helen Rees </w:t>
      </w:r>
      <w:r w:rsidR="00034373">
        <w:t>Leahy, ‘Seeing it for Real</w:t>
      </w:r>
      <w:r w:rsidR="00CF6147">
        <w:t>…? – Authenticity</w:t>
      </w:r>
      <w:r w:rsidR="000C2537">
        <w:t xml:space="preserve">, Theatre, and Learning in Museums’, </w:t>
      </w:r>
      <w:r w:rsidR="000C2537">
        <w:rPr>
          <w:i/>
          <w:iCs/>
        </w:rPr>
        <w:t>Research in Drama Education: The Journal of Applied Theatre and Performance</w:t>
      </w:r>
      <w:r w:rsidR="00635069">
        <w:rPr>
          <w:i/>
          <w:iCs/>
        </w:rPr>
        <w:t xml:space="preserve">, </w:t>
      </w:r>
      <w:r w:rsidR="00635069">
        <w:t>10.3 (2005) pp. 303-3</w:t>
      </w:r>
      <w:r w:rsidR="00F94459">
        <w:t>25 (p. 314)</w:t>
      </w:r>
    </w:p>
  </w:footnote>
  <w:footnote w:id="38">
    <w:p w14:paraId="513D8E50" w14:textId="0B32E60D" w:rsidR="00EE4396" w:rsidRDefault="00EE4396">
      <w:pPr>
        <w:pStyle w:val="FootnoteText"/>
      </w:pPr>
      <w:r>
        <w:rPr>
          <w:rStyle w:val="FootnoteReference"/>
        </w:rPr>
        <w:footnoteRef/>
      </w:r>
      <w:r>
        <w:t xml:space="preserve"> Ibid., p. 319. </w:t>
      </w:r>
    </w:p>
  </w:footnote>
  <w:footnote w:id="39">
    <w:p w14:paraId="7C13B11E" w14:textId="252EAA78" w:rsidR="00397D04" w:rsidRDefault="00397D04">
      <w:pPr>
        <w:pStyle w:val="FootnoteText"/>
      </w:pPr>
      <w:r>
        <w:rPr>
          <w:rStyle w:val="FootnoteReference"/>
        </w:rPr>
        <w:footnoteRef/>
      </w:r>
      <w:r>
        <w:t xml:space="preserve"> Ibid., pp. 311-318.</w:t>
      </w:r>
    </w:p>
  </w:footnote>
  <w:footnote w:id="40">
    <w:p w14:paraId="1268A0BF" w14:textId="290803FE" w:rsidR="005F556A" w:rsidRDefault="005F556A">
      <w:pPr>
        <w:pStyle w:val="FootnoteText"/>
      </w:pPr>
      <w:r>
        <w:rPr>
          <w:rStyle w:val="FootnoteReference"/>
        </w:rPr>
        <w:footnoteRef/>
      </w:r>
      <w:r>
        <w:t xml:space="preserve"> </w:t>
      </w:r>
      <w:r w:rsidR="001E02CD">
        <w:t xml:space="preserve">Jackson, &amp; Leahy, ‘Seeing it for Real…?’, p. </w:t>
      </w:r>
      <w:r w:rsidR="000D0346">
        <w:t xml:space="preserve">319.; </w:t>
      </w:r>
      <w:proofErr w:type="spellStart"/>
      <w:r w:rsidR="0045234E">
        <w:t>Hampp</w:t>
      </w:r>
      <w:proofErr w:type="spellEnd"/>
      <w:r w:rsidR="0045234E">
        <w:t xml:space="preserve">, &amp; Schwann, </w:t>
      </w:r>
      <w:r w:rsidR="0045234E">
        <w:t>‘Perception and Evaluation of Authentic Objects</w:t>
      </w:r>
      <w:r w:rsidR="0045234E">
        <w:t>’</w:t>
      </w:r>
      <w:r>
        <w:t>, p. 355.</w:t>
      </w:r>
    </w:p>
  </w:footnote>
  <w:footnote w:id="41">
    <w:p w14:paraId="107BBEC7" w14:textId="7C8A3B85" w:rsidR="00AD2408" w:rsidRDefault="00AD2408">
      <w:pPr>
        <w:pStyle w:val="FootnoteText"/>
      </w:pPr>
      <w:r>
        <w:rPr>
          <w:rStyle w:val="FootnoteReference"/>
        </w:rPr>
        <w:footnoteRef/>
      </w:r>
      <w:r>
        <w:t xml:space="preserve"> </w:t>
      </w:r>
      <w:r>
        <w:t>Benjamin, ‘The Work of Art in the Age of Mechanical Reproduction’, p.</w:t>
      </w:r>
      <w:r>
        <w:t xml:space="preserve"> 4.</w:t>
      </w:r>
    </w:p>
  </w:footnote>
  <w:footnote w:id="42">
    <w:p w14:paraId="0179002D" w14:textId="2089A872" w:rsidR="007D1E28" w:rsidRPr="00AC72DF" w:rsidRDefault="007D1E28">
      <w:pPr>
        <w:pStyle w:val="FootnoteText"/>
      </w:pPr>
      <w:r>
        <w:rPr>
          <w:rStyle w:val="FootnoteReference"/>
        </w:rPr>
        <w:footnoteRef/>
      </w:r>
      <w:r>
        <w:t xml:space="preserve"> </w:t>
      </w:r>
      <w:proofErr w:type="spellStart"/>
      <w:r w:rsidR="00E54244">
        <w:t>Muhammet</w:t>
      </w:r>
      <w:proofErr w:type="spellEnd"/>
      <w:r w:rsidR="00E54244">
        <w:t xml:space="preserve"> </w:t>
      </w:r>
      <w:proofErr w:type="spellStart"/>
      <w:r w:rsidR="00E54244" w:rsidRPr="00E54244">
        <w:t>Kesgin</w:t>
      </w:r>
      <w:proofErr w:type="spellEnd"/>
      <w:r w:rsidR="00E54244" w:rsidRPr="00E54244">
        <w:t xml:space="preserve">, </w:t>
      </w:r>
      <w:r w:rsidR="00E54244">
        <w:t xml:space="preserve">Babak </w:t>
      </w:r>
      <w:r w:rsidR="00E54244" w:rsidRPr="00E54244">
        <w:t xml:space="preserve">Taheri, </w:t>
      </w:r>
      <w:r w:rsidR="00E54244">
        <w:t>Rajendran S. M</w:t>
      </w:r>
      <w:r w:rsidR="00E54244" w:rsidRPr="00E54244">
        <w:t>urthy,</w:t>
      </w:r>
      <w:r w:rsidR="008D0014">
        <w:t xml:space="preserve"> Julie</w:t>
      </w:r>
      <w:r w:rsidR="00E54244" w:rsidRPr="00E54244">
        <w:t xml:space="preserve"> Decker,</w:t>
      </w:r>
      <w:r w:rsidR="008D0014">
        <w:t xml:space="preserve"> &amp; Martin Joseph G</w:t>
      </w:r>
      <w:r w:rsidR="00E54244" w:rsidRPr="00E54244">
        <w:t xml:space="preserve">annon, </w:t>
      </w:r>
      <w:r w:rsidR="008D0014">
        <w:t>‘</w:t>
      </w:r>
      <w:r w:rsidR="00E54244" w:rsidRPr="00E54244">
        <w:t xml:space="preserve">Making memories: a </w:t>
      </w:r>
      <w:r w:rsidR="008D3272">
        <w:t>c</w:t>
      </w:r>
      <w:r w:rsidR="00E54244" w:rsidRPr="00E54244">
        <w:t>onsumer-based model of authenticity applied to living history sites</w:t>
      </w:r>
      <w:r w:rsidR="008D3272">
        <w:t xml:space="preserve">’, </w:t>
      </w:r>
      <w:r w:rsidR="00AC72DF">
        <w:rPr>
          <w:i/>
          <w:iCs/>
        </w:rPr>
        <w:t>International Journal of Contemporary Hospitality Management</w:t>
      </w:r>
      <w:r w:rsidR="00AC72DF">
        <w:t>, 33.10 (2021)</w:t>
      </w:r>
      <w:r w:rsidR="00CD4669">
        <w:t xml:space="preserve"> pp. 3610-3635 (p. 3610).</w:t>
      </w:r>
    </w:p>
  </w:footnote>
  <w:footnote w:id="43">
    <w:p w14:paraId="689E895F" w14:textId="429934EC" w:rsidR="00514B3B" w:rsidRPr="00EE6BFD" w:rsidRDefault="00514B3B">
      <w:pPr>
        <w:pStyle w:val="FootnoteText"/>
      </w:pPr>
      <w:r>
        <w:rPr>
          <w:rStyle w:val="FootnoteReference"/>
        </w:rPr>
        <w:footnoteRef/>
      </w:r>
      <w:r>
        <w:t xml:space="preserve"> </w:t>
      </w:r>
      <w:proofErr w:type="spellStart"/>
      <w:r w:rsidR="00EE6BFD">
        <w:t>Alvesad</w:t>
      </w:r>
      <w:proofErr w:type="spellEnd"/>
      <w:r w:rsidR="00EE6BFD">
        <w:t>,</w:t>
      </w:r>
      <w:r w:rsidR="00EE6BFD">
        <w:t xml:space="preserve"> &amp; Houghton, </w:t>
      </w:r>
      <w:r w:rsidR="00EE6BFD" w:rsidRPr="00055AF0">
        <w:rPr>
          <w:i/>
          <w:iCs/>
        </w:rPr>
        <w:t>The Middle Ages in Modern Culture</w:t>
      </w:r>
      <w:r w:rsidR="00EE6BFD">
        <w:rPr>
          <w:i/>
          <w:iCs/>
        </w:rPr>
        <w:t>,</w:t>
      </w:r>
      <w:r w:rsidR="00EE6BFD">
        <w:t xml:space="preserve"> p. 4.</w:t>
      </w:r>
    </w:p>
  </w:footnote>
  <w:footnote w:id="44">
    <w:p w14:paraId="67ECF0F0" w14:textId="701B62DF" w:rsidR="004C3D39" w:rsidRDefault="004C3D39">
      <w:pPr>
        <w:pStyle w:val="FootnoteText"/>
      </w:pPr>
      <w:r>
        <w:rPr>
          <w:rStyle w:val="FootnoteReference"/>
        </w:rPr>
        <w:footnoteRef/>
      </w:r>
      <w:r>
        <w:t xml:space="preserve"> </w:t>
      </w:r>
      <w:r>
        <w:t xml:space="preserve">Cornelius </w:t>
      </w:r>
      <w:proofErr w:type="spellStart"/>
      <w:r>
        <w:t>Holtorf</w:t>
      </w:r>
      <w:proofErr w:type="spellEnd"/>
      <w:r>
        <w:t>, ‘On Pastness: A reconsideration of Materiality in Archaeological Object Authenticity’</w:t>
      </w:r>
      <w:r>
        <w:t>.</w:t>
      </w:r>
    </w:p>
  </w:footnote>
  <w:footnote w:id="45">
    <w:p w14:paraId="2C6C7823" w14:textId="54F8075B" w:rsidR="008A0ABE" w:rsidRDefault="008A0ABE">
      <w:pPr>
        <w:pStyle w:val="FootnoteText"/>
      </w:pPr>
      <w:r>
        <w:rPr>
          <w:rStyle w:val="FootnoteReference"/>
        </w:rPr>
        <w:footnoteRef/>
      </w:r>
      <w:r>
        <w:t xml:space="preserve"> </w:t>
      </w:r>
      <w:proofErr w:type="spellStart"/>
      <w:r>
        <w:t>Alvesad</w:t>
      </w:r>
      <w:proofErr w:type="spellEnd"/>
      <w:r>
        <w:t xml:space="preserve">, &amp; Houghton, </w:t>
      </w:r>
      <w:r w:rsidRPr="00055AF0">
        <w:rPr>
          <w:i/>
          <w:iCs/>
        </w:rPr>
        <w:t>The Middle Ages in Modern Culture</w:t>
      </w:r>
      <w:r>
        <w:rPr>
          <w:i/>
          <w:iCs/>
        </w:rPr>
        <w:t>,</w:t>
      </w:r>
      <w:r>
        <w:t xml:space="preserve"> p. 4.</w:t>
      </w:r>
    </w:p>
  </w:footnote>
  <w:footnote w:id="46">
    <w:p w14:paraId="308E4A60" w14:textId="77777777" w:rsidR="001C4C77" w:rsidRDefault="001C4C77" w:rsidP="001C4C77">
      <w:pPr>
        <w:pStyle w:val="FootnoteText"/>
      </w:pPr>
      <w:r>
        <w:rPr>
          <w:rStyle w:val="FootnoteReference"/>
        </w:rPr>
        <w:footnoteRef/>
      </w:r>
      <w:r>
        <w:t xml:space="preserve"> Cornelius </w:t>
      </w:r>
      <w:proofErr w:type="spellStart"/>
      <w:r>
        <w:t>Holtorf</w:t>
      </w:r>
      <w:proofErr w:type="spellEnd"/>
      <w:r>
        <w:t>, ‘On Pastness: A reconsideration of Materiality in Archaeological Object Authenticity’, p. 440.</w:t>
      </w:r>
    </w:p>
  </w:footnote>
  <w:footnote w:id="47">
    <w:p w14:paraId="3869EC72" w14:textId="7B011979" w:rsidR="000B04DA" w:rsidRDefault="000B04DA">
      <w:pPr>
        <w:pStyle w:val="FootnoteText"/>
      </w:pPr>
      <w:r>
        <w:rPr>
          <w:rStyle w:val="FootnoteReference"/>
        </w:rPr>
        <w:footnoteRef/>
      </w:r>
      <w:r>
        <w:t xml:space="preserve"> </w:t>
      </w:r>
      <w:r>
        <w:t>Latour, &amp; Lowe, ‘The Migration of Aura’</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22DFAA" w14:textId="6AA34DE0" w:rsidR="00FC3D6F" w:rsidRDefault="00FC3D6F">
    <w:pPr>
      <w:pStyle w:val="Header"/>
    </w:pPr>
    <w:r>
      <w:t>HPHE5008</w:t>
    </w:r>
    <w:r w:rsidR="009F7624">
      <w:ptab w:relativeTo="margin" w:alignment="center" w:leader="none"/>
    </w:r>
    <w:r w:rsidR="00625BB9">
      <w:t xml:space="preserve">Assignment 2: </w:t>
    </w:r>
    <w:r w:rsidR="00625BB9">
      <w:t>Essay</w:t>
    </w:r>
    <w:r w:rsidR="009F7624">
      <w:ptab w:relativeTo="margin" w:alignment="right" w:leader="none"/>
    </w:r>
    <w:r>
      <w:t>13</w:t>
    </w:r>
    <w:r w:rsidRPr="00FC3D6F">
      <w:rPr>
        <w:vertAlign w:val="superscript"/>
      </w:rPr>
      <w:t>th</w:t>
    </w:r>
    <w:r>
      <w:t xml:space="preserve"> January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3382D"/>
    <w:multiLevelType w:val="hybridMultilevel"/>
    <w:tmpl w:val="4EEAECB6"/>
    <w:lvl w:ilvl="0" w:tplc="4D4811AC">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DA3921"/>
    <w:multiLevelType w:val="hybridMultilevel"/>
    <w:tmpl w:val="74C888CC"/>
    <w:lvl w:ilvl="0" w:tplc="424A93BE">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0541D"/>
    <w:multiLevelType w:val="hybridMultilevel"/>
    <w:tmpl w:val="7F80D24A"/>
    <w:lvl w:ilvl="0" w:tplc="578291BC">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5829221">
    <w:abstractNumId w:val="0"/>
  </w:num>
  <w:num w:numId="2" w16cid:durableId="1983735111">
    <w:abstractNumId w:val="2"/>
  </w:num>
  <w:num w:numId="3" w16cid:durableId="20439377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AF0"/>
    <w:rsid w:val="0000103A"/>
    <w:rsid w:val="000028F3"/>
    <w:rsid w:val="00007363"/>
    <w:rsid w:val="00011F78"/>
    <w:rsid w:val="0001332C"/>
    <w:rsid w:val="00014268"/>
    <w:rsid w:val="00015F64"/>
    <w:rsid w:val="000172FA"/>
    <w:rsid w:val="00034373"/>
    <w:rsid w:val="00036400"/>
    <w:rsid w:val="00046D37"/>
    <w:rsid w:val="00047E9D"/>
    <w:rsid w:val="00051B42"/>
    <w:rsid w:val="00052165"/>
    <w:rsid w:val="00055AF0"/>
    <w:rsid w:val="0006266F"/>
    <w:rsid w:val="000659C4"/>
    <w:rsid w:val="000747FA"/>
    <w:rsid w:val="0009070A"/>
    <w:rsid w:val="000A1948"/>
    <w:rsid w:val="000A204A"/>
    <w:rsid w:val="000A7B35"/>
    <w:rsid w:val="000B04DA"/>
    <w:rsid w:val="000B363D"/>
    <w:rsid w:val="000B7FB8"/>
    <w:rsid w:val="000C2537"/>
    <w:rsid w:val="000D0346"/>
    <w:rsid w:val="000D2C00"/>
    <w:rsid w:val="000E1516"/>
    <w:rsid w:val="000F3044"/>
    <w:rsid w:val="000F70F1"/>
    <w:rsid w:val="001052B3"/>
    <w:rsid w:val="0010637D"/>
    <w:rsid w:val="00117646"/>
    <w:rsid w:val="0011791D"/>
    <w:rsid w:val="00126263"/>
    <w:rsid w:val="00127B54"/>
    <w:rsid w:val="0013314C"/>
    <w:rsid w:val="001350DA"/>
    <w:rsid w:val="0014184F"/>
    <w:rsid w:val="001508EE"/>
    <w:rsid w:val="00155792"/>
    <w:rsid w:val="001621A2"/>
    <w:rsid w:val="00171C23"/>
    <w:rsid w:val="00173200"/>
    <w:rsid w:val="001743B5"/>
    <w:rsid w:val="001855A9"/>
    <w:rsid w:val="00186E62"/>
    <w:rsid w:val="00186EB2"/>
    <w:rsid w:val="00191F88"/>
    <w:rsid w:val="0019621B"/>
    <w:rsid w:val="001A3DEA"/>
    <w:rsid w:val="001A439E"/>
    <w:rsid w:val="001B134E"/>
    <w:rsid w:val="001B3A01"/>
    <w:rsid w:val="001C4C77"/>
    <w:rsid w:val="001D5159"/>
    <w:rsid w:val="001E02CD"/>
    <w:rsid w:val="001F6000"/>
    <w:rsid w:val="00201E5E"/>
    <w:rsid w:val="002034B9"/>
    <w:rsid w:val="002062B3"/>
    <w:rsid w:val="0020673B"/>
    <w:rsid w:val="002177D2"/>
    <w:rsid w:val="002226B2"/>
    <w:rsid w:val="00230552"/>
    <w:rsid w:val="002313C2"/>
    <w:rsid w:val="00236F0D"/>
    <w:rsid w:val="00243296"/>
    <w:rsid w:val="0024375F"/>
    <w:rsid w:val="00246294"/>
    <w:rsid w:val="00246A0B"/>
    <w:rsid w:val="002475C0"/>
    <w:rsid w:val="00254462"/>
    <w:rsid w:val="002617C7"/>
    <w:rsid w:val="002641F3"/>
    <w:rsid w:val="00267665"/>
    <w:rsid w:val="00267BCF"/>
    <w:rsid w:val="00271B9A"/>
    <w:rsid w:val="002745E6"/>
    <w:rsid w:val="00292A86"/>
    <w:rsid w:val="00293D1F"/>
    <w:rsid w:val="00294D34"/>
    <w:rsid w:val="00295726"/>
    <w:rsid w:val="002A1BB0"/>
    <w:rsid w:val="002A456D"/>
    <w:rsid w:val="002B1A69"/>
    <w:rsid w:val="002C0B91"/>
    <w:rsid w:val="002C68DB"/>
    <w:rsid w:val="002C7968"/>
    <w:rsid w:val="002D51DD"/>
    <w:rsid w:val="002E13C0"/>
    <w:rsid w:val="002E231C"/>
    <w:rsid w:val="002E320F"/>
    <w:rsid w:val="002E6802"/>
    <w:rsid w:val="002E7BA6"/>
    <w:rsid w:val="002F3309"/>
    <w:rsid w:val="002F7692"/>
    <w:rsid w:val="003004C7"/>
    <w:rsid w:val="00303406"/>
    <w:rsid w:val="003072CC"/>
    <w:rsid w:val="00310B92"/>
    <w:rsid w:val="00330267"/>
    <w:rsid w:val="003358EC"/>
    <w:rsid w:val="00342D72"/>
    <w:rsid w:val="00347615"/>
    <w:rsid w:val="003523CA"/>
    <w:rsid w:val="00363272"/>
    <w:rsid w:val="00364918"/>
    <w:rsid w:val="003732E6"/>
    <w:rsid w:val="003755A9"/>
    <w:rsid w:val="00383A61"/>
    <w:rsid w:val="0038730A"/>
    <w:rsid w:val="00390E1E"/>
    <w:rsid w:val="00397D04"/>
    <w:rsid w:val="003A04EF"/>
    <w:rsid w:val="003A18B4"/>
    <w:rsid w:val="003B3F22"/>
    <w:rsid w:val="003B5D60"/>
    <w:rsid w:val="003C0C0F"/>
    <w:rsid w:val="003C3249"/>
    <w:rsid w:val="003D2C97"/>
    <w:rsid w:val="003D6D10"/>
    <w:rsid w:val="003E7FA8"/>
    <w:rsid w:val="003F18E1"/>
    <w:rsid w:val="003F2C6F"/>
    <w:rsid w:val="003F5B13"/>
    <w:rsid w:val="00401C6D"/>
    <w:rsid w:val="00404466"/>
    <w:rsid w:val="004048F9"/>
    <w:rsid w:val="00411E45"/>
    <w:rsid w:val="00414F4B"/>
    <w:rsid w:val="00415B62"/>
    <w:rsid w:val="004205CF"/>
    <w:rsid w:val="00424F17"/>
    <w:rsid w:val="00425701"/>
    <w:rsid w:val="00432902"/>
    <w:rsid w:val="00436BB6"/>
    <w:rsid w:val="004466B2"/>
    <w:rsid w:val="00450933"/>
    <w:rsid w:val="00450B70"/>
    <w:rsid w:val="0045234E"/>
    <w:rsid w:val="00455FFC"/>
    <w:rsid w:val="004618DF"/>
    <w:rsid w:val="00462A71"/>
    <w:rsid w:val="004653A2"/>
    <w:rsid w:val="004751D0"/>
    <w:rsid w:val="00475644"/>
    <w:rsid w:val="004764BB"/>
    <w:rsid w:val="00481D46"/>
    <w:rsid w:val="0048542C"/>
    <w:rsid w:val="004864B1"/>
    <w:rsid w:val="004A4725"/>
    <w:rsid w:val="004B39B9"/>
    <w:rsid w:val="004C3D39"/>
    <w:rsid w:val="004D05CC"/>
    <w:rsid w:val="004D1E54"/>
    <w:rsid w:val="004D1FDE"/>
    <w:rsid w:val="004D5F10"/>
    <w:rsid w:val="004E3154"/>
    <w:rsid w:val="004E3E7D"/>
    <w:rsid w:val="004F42C2"/>
    <w:rsid w:val="004F5C70"/>
    <w:rsid w:val="00502152"/>
    <w:rsid w:val="005028C1"/>
    <w:rsid w:val="00503AFB"/>
    <w:rsid w:val="00510C11"/>
    <w:rsid w:val="00511DDC"/>
    <w:rsid w:val="00514B3B"/>
    <w:rsid w:val="00514B59"/>
    <w:rsid w:val="005223C4"/>
    <w:rsid w:val="00525A36"/>
    <w:rsid w:val="00526084"/>
    <w:rsid w:val="0053360E"/>
    <w:rsid w:val="00537C9D"/>
    <w:rsid w:val="005401C2"/>
    <w:rsid w:val="00540CF5"/>
    <w:rsid w:val="00540D14"/>
    <w:rsid w:val="005723FB"/>
    <w:rsid w:val="0057722F"/>
    <w:rsid w:val="00585DE4"/>
    <w:rsid w:val="00592253"/>
    <w:rsid w:val="00593938"/>
    <w:rsid w:val="0059737E"/>
    <w:rsid w:val="005A313E"/>
    <w:rsid w:val="005A48DB"/>
    <w:rsid w:val="005A5120"/>
    <w:rsid w:val="005A5ADF"/>
    <w:rsid w:val="005C4F83"/>
    <w:rsid w:val="005C65F3"/>
    <w:rsid w:val="005C6BEC"/>
    <w:rsid w:val="005D02E1"/>
    <w:rsid w:val="005D2DB8"/>
    <w:rsid w:val="005E0771"/>
    <w:rsid w:val="005E1B95"/>
    <w:rsid w:val="005E4AAF"/>
    <w:rsid w:val="005F5351"/>
    <w:rsid w:val="005F556A"/>
    <w:rsid w:val="005F5ADE"/>
    <w:rsid w:val="006002E6"/>
    <w:rsid w:val="00615679"/>
    <w:rsid w:val="0062299E"/>
    <w:rsid w:val="00625BB9"/>
    <w:rsid w:val="00626F52"/>
    <w:rsid w:val="00635069"/>
    <w:rsid w:val="00640289"/>
    <w:rsid w:val="006420CA"/>
    <w:rsid w:val="0064295B"/>
    <w:rsid w:val="00644A0A"/>
    <w:rsid w:val="00651D73"/>
    <w:rsid w:val="006606FA"/>
    <w:rsid w:val="00662E57"/>
    <w:rsid w:val="0066650A"/>
    <w:rsid w:val="00676111"/>
    <w:rsid w:val="006769BB"/>
    <w:rsid w:val="00685F0B"/>
    <w:rsid w:val="00695460"/>
    <w:rsid w:val="00695946"/>
    <w:rsid w:val="0069674D"/>
    <w:rsid w:val="006A0A35"/>
    <w:rsid w:val="006A41A7"/>
    <w:rsid w:val="006A4880"/>
    <w:rsid w:val="006A7369"/>
    <w:rsid w:val="006B5EB3"/>
    <w:rsid w:val="006C0C29"/>
    <w:rsid w:val="006C21C2"/>
    <w:rsid w:val="006D1FBA"/>
    <w:rsid w:val="006D2128"/>
    <w:rsid w:val="006D6F68"/>
    <w:rsid w:val="006D7F21"/>
    <w:rsid w:val="006F0071"/>
    <w:rsid w:val="006F078A"/>
    <w:rsid w:val="006F2A02"/>
    <w:rsid w:val="0070151A"/>
    <w:rsid w:val="007017AB"/>
    <w:rsid w:val="00703837"/>
    <w:rsid w:val="00707DE6"/>
    <w:rsid w:val="007104BA"/>
    <w:rsid w:val="00712194"/>
    <w:rsid w:val="00712A0D"/>
    <w:rsid w:val="00714908"/>
    <w:rsid w:val="007150FA"/>
    <w:rsid w:val="007162C7"/>
    <w:rsid w:val="00722E33"/>
    <w:rsid w:val="007361A8"/>
    <w:rsid w:val="00736C69"/>
    <w:rsid w:val="00744DBA"/>
    <w:rsid w:val="00747304"/>
    <w:rsid w:val="00755691"/>
    <w:rsid w:val="00755B9D"/>
    <w:rsid w:val="00760EE2"/>
    <w:rsid w:val="00761244"/>
    <w:rsid w:val="0076673C"/>
    <w:rsid w:val="007755CF"/>
    <w:rsid w:val="00792233"/>
    <w:rsid w:val="00792350"/>
    <w:rsid w:val="00793CCE"/>
    <w:rsid w:val="007A3124"/>
    <w:rsid w:val="007B3E04"/>
    <w:rsid w:val="007B4F5D"/>
    <w:rsid w:val="007C372A"/>
    <w:rsid w:val="007D0031"/>
    <w:rsid w:val="007D1E28"/>
    <w:rsid w:val="007D1F7D"/>
    <w:rsid w:val="007D792B"/>
    <w:rsid w:val="007F3769"/>
    <w:rsid w:val="007F4E05"/>
    <w:rsid w:val="007F6E6C"/>
    <w:rsid w:val="00801A87"/>
    <w:rsid w:val="00802A4F"/>
    <w:rsid w:val="008031C6"/>
    <w:rsid w:val="0081064E"/>
    <w:rsid w:val="008179F2"/>
    <w:rsid w:val="00821F6A"/>
    <w:rsid w:val="008253E8"/>
    <w:rsid w:val="0082715A"/>
    <w:rsid w:val="008328F1"/>
    <w:rsid w:val="008464C3"/>
    <w:rsid w:val="00851420"/>
    <w:rsid w:val="008522A0"/>
    <w:rsid w:val="008555C2"/>
    <w:rsid w:val="00860CF4"/>
    <w:rsid w:val="00865FD8"/>
    <w:rsid w:val="008710C2"/>
    <w:rsid w:val="00871D9C"/>
    <w:rsid w:val="0087794F"/>
    <w:rsid w:val="00877ABD"/>
    <w:rsid w:val="00885AA4"/>
    <w:rsid w:val="008877AD"/>
    <w:rsid w:val="00890188"/>
    <w:rsid w:val="00897AA8"/>
    <w:rsid w:val="008A0ABE"/>
    <w:rsid w:val="008A5671"/>
    <w:rsid w:val="008B433A"/>
    <w:rsid w:val="008C1075"/>
    <w:rsid w:val="008C4A49"/>
    <w:rsid w:val="008D0014"/>
    <w:rsid w:val="008D3272"/>
    <w:rsid w:val="008D3A30"/>
    <w:rsid w:val="008E1256"/>
    <w:rsid w:val="008E36E2"/>
    <w:rsid w:val="008F0CA7"/>
    <w:rsid w:val="008F4C85"/>
    <w:rsid w:val="008F6BB1"/>
    <w:rsid w:val="008F7D0E"/>
    <w:rsid w:val="00903F93"/>
    <w:rsid w:val="0091510D"/>
    <w:rsid w:val="00917564"/>
    <w:rsid w:val="009262A6"/>
    <w:rsid w:val="00934E10"/>
    <w:rsid w:val="00940133"/>
    <w:rsid w:val="00954BBC"/>
    <w:rsid w:val="00961BAE"/>
    <w:rsid w:val="009702F0"/>
    <w:rsid w:val="009705AE"/>
    <w:rsid w:val="00974563"/>
    <w:rsid w:val="009826D2"/>
    <w:rsid w:val="0098361D"/>
    <w:rsid w:val="00984B81"/>
    <w:rsid w:val="009A1C16"/>
    <w:rsid w:val="009A4551"/>
    <w:rsid w:val="009B2663"/>
    <w:rsid w:val="009C238B"/>
    <w:rsid w:val="009C33AE"/>
    <w:rsid w:val="009D0F56"/>
    <w:rsid w:val="009D2695"/>
    <w:rsid w:val="009D3EB5"/>
    <w:rsid w:val="009E20A9"/>
    <w:rsid w:val="009F3CC2"/>
    <w:rsid w:val="009F7624"/>
    <w:rsid w:val="00A01F30"/>
    <w:rsid w:val="00A05BA6"/>
    <w:rsid w:val="00A1435F"/>
    <w:rsid w:val="00A173ED"/>
    <w:rsid w:val="00A319A3"/>
    <w:rsid w:val="00A319EA"/>
    <w:rsid w:val="00A32E05"/>
    <w:rsid w:val="00A32EE7"/>
    <w:rsid w:val="00A33515"/>
    <w:rsid w:val="00A377FB"/>
    <w:rsid w:val="00A44683"/>
    <w:rsid w:val="00A47EF6"/>
    <w:rsid w:val="00A47F22"/>
    <w:rsid w:val="00A54FEB"/>
    <w:rsid w:val="00A558F9"/>
    <w:rsid w:val="00A56D76"/>
    <w:rsid w:val="00A64573"/>
    <w:rsid w:val="00A67EB3"/>
    <w:rsid w:val="00A778FE"/>
    <w:rsid w:val="00A8222B"/>
    <w:rsid w:val="00A90D1D"/>
    <w:rsid w:val="00A91BC5"/>
    <w:rsid w:val="00AA0361"/>
    <w:rsid w:val="00AA528C"/>
    <w:rsid w:val="00AB5953"/>
    <w:rsid w:val="00AB7513"/>
    <w:rsid w:val="00AC2B8A"/>
    <w:rsid w:val="00AC2EA6"/>
    <w:rsid w:val="00AC4879"/>
    <w:rsid w:val="00AC6CF8"/>
    <w:rsid w:val="00AC72DF"/>
    <w:rsid w:val="00AD2408"/>
    <w:rsid w:val="00AD69DD"/>
    <w:rsid w:val="00AE1519"/>
    <w:rsid w:val="00AE1AC4"/>
    <w:rsid w:val="00AE4AD1"/>
    <w:rsid w:val="00AF3379"/>
    <w:rsid w:val="00AF63D8"/>
    <w:rsid w:val="00B11FAC"/>
    <w:rsid w:val="00B16D7E"/>
    <w:rsid w:val="00B378F6"/>
    <w:rsid w:val="00B51B43"/>
    <w:rsid w:val="00B75FE0"/>
    <w:rsid w:val="00B86EB8"/>
    <w:rsid w:val="00B87630"/>
    <w:rsid w:val="00BA276E"/>
    <w:rsid w:val="00BA2D8C"/>
    <w:rsid w:val="00BA41F3"/>
    <w:rsid w:val="00BB0C32"/>
    <w:rsid w:val="00BB2E67"/>
    <w:rsid w:val="00BC406E"/>
    <w:rsid w:val="00BC41BC"/>
    <w:rsid w:val="00BC5F0B"/>
    <w:rsid w:val="00BD0130"/>
    <w:rsid w:val="00BD3768"/>
    <w:rsid w:val="00BD3AF9"/>
    <w:rsid w:val="00BE298F"/>
    <w:rsid w:val="00BE32E7"/>
    <w:rsid w:val="00BF204C"/>
    <w:rsid w:val="00C0168A"/>
    <w:rsid w:val="00C02A15"/>
    <w:rsid w:val="00C03677"/>
    <w:rsid w:val="00C03D7F"/>
    <w:rsid w:val="00C122CB"/>
    <w:rsid w:val="00C14817"/>
    <w:rsid w:val="00C15687"/>
    <w:rsid w:val="00C237EB"/>
    <w:rsid w:val="00C242F2"/>
    <w:rsid w:val="00C302B0"/>
    <w:rsid w:val="00C31C95"/>
    <w:rsid w:val="00C3596F"/>
    <w:rsid w:val="00C4692D"/>
    <w:rsid w:val="00C56CAB"/>
    <w:rsid w:val="00C76201"/>
    <w:rsid w:val="00C82941"/>
    <w:rsid w:val="00C93401"/>
    <w:rsid w:val="00CA0131"/>
    <w:rsid w:val="00CA26B3"/>
    <w:rsid w:val="00CB48B4"/>
    <w:rsid w:val="00CB4E09"/>
    <w:rsid w:val="00CB52EB"/>
    <w:rsid w:val="00CB58C4"/>
    <w:rsid w:val="00CC67BC"/>
    <w:rsid w:val="00CD3AA8"/>
    <w:rsid w:val="00CD3E6F"/>
    <w:rsid w:val="00CD4669"/>
    <w:rsid w:val="00CD55F8"/>
    <w:rsid w:val="00CE2ED7"/>
    <w:rsid w:val="00CE5C8F"/>
    <w:rsid w:val="00CF3536"/>
    <w:rsid w:val="00CF6147"/>
    <w:rsid w:val="00CF72DD"/>
    <w:rsid w:val="00D01803"/>
    <w:rsid w:val="00D02C32"/>
    <w:rsid w:val="00D05113"/>
    <w:rsid w:val="00D3338F"/>
    <w:rsid w:val="00D33747"/>
    <w:rsid w:val="00D3596E"/>
    <w:rsid w:val="00D37F87"/>
    <w:rsid w:val="00D45579"/>
    <w:rsid w:val="00D5592F"/>
    <w:rsid w:val="00D632A6"/>
    <w:rsid w:val="00D736AC"/>
    <w:rsid w:val="00D80B54"/>
    <w:rsid w:val="00D82745"/>
    <w:rsid w:val="00DA61D1"/>
    <w:rsid w:val="00DA6BC6"/>
    <w:rsid w:val="00DB6449"/>
    <w:rsid w:val="00DC245A"/>
    <w:rsid w:val="00DD73A5"/>
    <w:rsid w:val="00DE2251"/>
    <w:rsid w:val="00DE4768"/>
    <w:rsid w:val="00DE655A"/>
    <w:rsid w:val="00DF203D"/>
    <w:rsid w:val="00DF4A18"/>
    <w:rsid w:val="00E0551B"/>
    <w:rsid w:val="00E079FC"/>
    <w:rsid w:val="00E114D4"/>
    <w:rsid w:val="00E12D6C"/>
    <w:rsid w:val="00E138BC"/>
    <w:rsid w:val="00E17F42"/>
    <w:rsid w:val="00E22288"/>
    <w:rsid w:val="00E22C4E"/>
    <w:rsid w:val="00E24D1A"/>
    <w:rsid w:val="00E32BA3"/>
    <w:rsid w:val="00E33B66"/>
    <w:rsid w:val="00E37E12"/>
    <w:rsid w:val="00E417F2"/>
    <w:rsid w:val="00E423BD"/>
    <w:rsid w:val="00E43FA5"/>
    <w:rsid w:val="00E44F4A"/>
    <w:rsid w:val="00E46936"/>
    <w:rsid w:val="00E51F65"/>
    <w:rsid w:val="00E54244"/>
    <w:rsid w:val="00E54683"/>
    <w:rsid w:val="00E57E16"/>
    <w:rsid w:val="00E70BB0"/>
    <w:rsid w:val="00E86152"/>
    <w:rsid w:val="00E91170"/>
    <w:rsid w:val="00E95CA7"/>
    <w:rsid w:val="00E97849"/>
    <w:rsid w:val="00EA1DD8"/>
    <w:rsid w:val="00EA35AB"/>
    <w:rsid w:val="00EA3CC9"/>
    <w:rsid w:val="00EA6D57"/>
    <w:rsid w:val="00EB0FBB"/>
    <w:rsid w:val="00EB2888"/>
    <w:rsid w:val="00EB46F0"/>
    <w:rsid w:val="00EC1510"/>
    <w:rsid w:val="00EC2F8D"/>
    <w:rsid w:val="00ED07E2"/>
    <w:rsid w:val="00ED30D7"/>
    <w:rsid w:val="00EE4396"/>
    <w:rsid w:val="00EE6BFD"/>
    <w:rsid w:val="00EF5DC1"/>
    <w:rsid w:val="00F00ECF"/>
    <w:rsid w:val="00F1208C"/>
    <w:rsid w:val="00F13C88"/>
    <w:rsid w:val="00F307D1"/>
    <w:rsid w:val="00F420F5"/>
    <w:rsid w:val="00F43F2C"/>
    <w:rsid w:val="00F47083"/>
    <w:rsid w:val="00F60D93"/>
    <w:rsid w:val="00F645E8"/>
    <w:rsid w:val="00F65D97"/>
    <w:rsid w:val="00F730D6"/>
    <w:rsid w:val="00F81405"/>
    <w:rsid w:val="00F839B8"/>
    <w:rsid w:val="00F85214"/>
    <w:rsid w:val="00F9049B"/>
    <w:rsid w:val="00F94459"/>
    <w:rsid w:val="00F97B7A"/>
    <w:rsid w:val="00FA33D6"/>
    <w:rsid w:val="00FB0DE4"/>
    <w:rsid w:val="00FB10B5"/>
    <w:rsid w:val="00FB3137"/>
    <w:rsid w:val="00FB7EBA"/>
    <w:rsid w:val="00FC03F8"/>
    <w:rsid w:val="00FC3279"/>
    <w:rsid w:val="00FC3D6F"/>
    <w:rsid w:val="00FD0851"/>
    <w:rsid w:val="00FD7D03"/>
    <w:rsid w:val="00FE62CF"/>
    <w:rsid w:val="00FF0417"/>
    <w:rsid w:val="00FF04BB"/>
    <w:rsid w:val="00FF1155"/>
    <w:rsid w:val="00FF29CF"/>
    <w:rsid w:val="00FF39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AD1999"/>
  <w15:chartTrackingRefBased/>
  <w15:docId w15:val="{65520032-B416-2F46-849F-3D5323D99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AF0"/>
  </w:style>
  <w:style w:type="paragraph" w:styleId="Heading1">
    <w:name w:val="heading 1"/>
    <w:basedOn w:val="Normal"/>
    <w:next w:val="Normal"/>
    <w:link w:val="Heading1Char"/>
    <w:uiPriority w:val="9"/>
    <w:qFormat/>
    <w:rsid w:val="00055AF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55AF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55AF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55AF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55AF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55AF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AF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AF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AF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AF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55AF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55AF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55AF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55AF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55A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A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A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AF0"/>
    <w:rPr>
      <w:rFonts w:eastAsiaTheme="majorEastAsia" w:cstheme="majorBidi"/>
      <w:color w:val="272727" w:themeColor="text1" w:themeTint="D8"/>
    </w:rPr>
  </w:style>
  <w:style w:type="paragraph" w:styleId="Title">
    <w:name w:val="Title"/>
    <w:basedOn w:val="Normal"/>
    <w:next w:val="Normal"/>
    <w:link w:val="TitleChar"/>
    <w:uiPriority w:val="10"/>
    <w:qFormat/>
    <w:rsid w:val="00055AF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A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AF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A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AF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55AF0"/>
    <w:rPr>
      <w:i/>
      <w:iCs/>
      <w:color w:val="404040" w:themeColor="text1" w:themeTint="BF"/>
    </w:rPr>
  </w:style>
  <w:style w:type="paragraph" w:styleId="ListParagraph">
    <w:name w:val="List Paragraph"/>
    <w:basedOn w:val="Normal"/>
    <w:uiPriority w:val="34"/>
    <w:qFormat/>
    <w:rsid w:val="00055AF0"/>
    <w:pPr>
      <w:ind w:left="720"/>
      <w:contextualSpacing/>
    </w:pPr>
  </w:style>
  <w:style w:type="character" w:styleId="IntenseEmphasis">
    <w:name w:val="Intense Emphasis"/>
    <w:basedOn w:val="DefaultParagraphFont"/>
    <w:uiPriority w:val="21"/>
    <w:qFormat/>
    <w:rsid w:val="00055AF0"/>
    <w:rPr>
      <w:i/>
      <w:iCs/>
      <w:color w:val="2F5496" w:themeColor="accent1" w:themeShade="BF"/>
    </w:rPr>
  </w:style>
  <w:style w:type="paragraph" w:styleId="IntenseQuote">
    <w:name w:val="Intense Quote"/>
    <w:basedOn w:val="Normal"/>
    <w:next w:val="Normal"/>
    <w:link w:val="IntenseQuoteChar"/>
    <w:uiPriority w:val="30"/>
    <w:qFormat/>
    <w:rsid w:val="00055A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55AF0"/>
    <w:rPr>
      <w:i/>
      <w:iCs/>
      <w:color w:val="2F5496" w:themeColor="accent1" w:themeShade="BF"/>
    </w:rPr>
  </w:style>
  <w:style w:type="character" w:styleId="IntenseReference">
    <w:name w:val="Intense Reference"/>
    <w:basedOn w:val="DefaultParagraphFont"/>
    <w:uiPriority w:val="32"/>
    <w:qFormat/>
    <w:rsid w:val="00055AF0"/>
    <w:rPr>
      <w:b/>
      <w:bCs/>
      <w:smallCaps/>
      <w:color w:val="2F5496" w:themeColor="accent1" w:themeShade="BF"/>
      <w:spacing w:val="5"/>
    </w:rPr>
  </w:style>
  <w:style w:type="paragraph" w:styleId="FootnoteText">
    <w:name w:val="footnote text"/>
    <w:basedOn w:val="Normal"/>
    <w:link w:val="FootnoteTextChar"/>
    <w:uiPriority w:val="99"/>
    <w:unhideWhenUsed/>
    <w:rsid w:val="00055AF0"/>
    <w:rPr>
      <w:sz w:val="20"/>
      <w:szCs w:val="20"/>
    </w:rPr>
  </w:style>
  <w:style w:type="character" w:customStyle="1" w:styleId="FootnoteTextChar">
    <w:name w:val="Footnote Text Char"/>
    <w:basedOn w:val="DefaultParagraphFont"/>
    <w:link w:val="FootnoteText"/>
    <w:uiPriority w:val="99"/>
    <w:rsid w:val="00055AF0"/>
    <w:rPr>
      <w:sz w:val="20"/>
      <w:szCs w:val="20"/>
    </w:rPr>
  </w:style>
  <w:style w:type="character" w:styleId="FootnoteReference">
    <w:name w:val="footnote reference"/>
    <w:basedOn w:val="DefaultParagraphFont"/>
    <w:uiPriority w:val="99"/>
    <w:semiHidden/>
    <w:unhideWhenUsed/>
    <w:rsid w:val="00055AF0"/>
    <w:rPr>
      <w:vertAlign w:val="superscript"/>
    </w:rPr>
  </w:style>
  <w:style w:type="paragraph" w:styleId="Header">
    <w:name w:val="header"/>
    <w:basedOn w:val="Normal"/>
    <w:link w:val="HeaderChar"/>
    <w:uiPriority w:val="99"/>
    <w:unhideWhenUsed/>
    <w:rsid w:val="009F7624"/>
    <w:pPr>
      <w:tabs>
        <w:tab w:val="center" w:pos="4513"/>
        <w:tab w:val="right" w:pos="9026"/>
      </w:tabs>
    </w:pPr>
  </w:style>
  <w:style w:type="character" w:customStyle="1" w:styleId="HeaderChar">
    <w:name w:val="Header Char"/>
    <w:basedOn w:val="DefaultParagraphFont"/>
    <w:link w:val="Header"/>
    <w:uiPriority w:val="99"/>
    <w:rsid w:val="009F7624"/>
  </w:style>
  <w:style w:type="paragraph" w:styleId="Footer">
    <w:name w:val="footer"/>
    <w:basedOn w:val="Normal"/>
    <w:link w:val="FooterChar"/>
    <w:uiPriority w:val="99"/>
    <w:unhideWhenUsed/>
    <w:rsid w:val="009F7624"/>
    <w:pPr>
      <w:tabs>
        <w:tab w:val="center" w:pos="4513"/>
        <w:tab w:val="right" w:pos="9026"/>
      </w:tabs>
    </w:pPr>
  </w:style>
  <w:style w:type="character" w:customStyle="1" w:styleId="FooterChar">
    <w:name w:val="Footer Char"/>
    <w:basedOn w:val="DefaultParagraphFont"/>
    <w:link w:val="Footer"/>
    <w:uiPriority w:val="99"/>
    <w:rsid w:val="009F76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C49F33-0B64-F84C-88C0-DC10F60C8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616</TotalTime>
  <Pages>8</Pages>
  <Words>3235</Words>
  <Characters>17313</Characters>
  <Application>Microsoft Office Word</Application>
  <DocSecurity>0</DocSecurity>
  <Lines>314</Lines>
  <Paragraphs>91</Paragraphs>
  <ScaleCrop>false</ScaleCrop>
  <Company/>
  <LinksUpToDate>false</LinksUpToDate>
  <CharactersWithSpaces>20457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Caradoc Ewing (2305893)</dc:creator>
  <cp:keywords/>
  <dc:description/>
  <cp:lastModifiedBy>Caradoc Ewing (2305893)</cp:lastModifiedBy>
  <cp:revision>511</cp:revision>
  <dcterms:created xsi:type="dcterms:W3CDTF">2026-01-17T15:21:00Z</dcterms:created>
  <dcterms:modified xsi:type="dcterms:W3CDTF">2026-01-18T22:24:00Z</dcterms:modified>
</cp:coreProperties>
</file>