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4-Accent5"/>
        <w:tblpPr w:leftFromText="180" w:rightFromText="180" w:vertAnchor="text" w:horzAnchor="margin" w:tblpY="2613"/>
        <w:tblW w:w="0" w:type="auto"/>
        <w:tblLook w:val="04A0" w:firstRow="1" w:lastRow="0" w:firstColumn="1" w:lastColumn="0" w:noHBand="0" w:noVBand="1"/>
      </w:tblPr>
      <w:tblGrid>
        <w:gridCol w:w="2405"/>
        <w:gridCol w:w="6611"/>
      </w:tblGrid>
      <w:tr w:rsidR="006B7D04" w14:paraId="45E3C4FE" w14:textId="77777777" w:rsidTr="006B7D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8EA3F90" w14:textId="3E20F8D7" w:rsidR="006B7D04" w:rsidRPr="00AE4E62" w:rsidRDefault="006B7D04" w:rsidP="006B7D04">
            <w:pPr>
              <w:rPr>
                <w:rFonts w:cs="Arial"/>
                <w:sz w:val="28"/>
                <w:szCs w:val="28"/>
              </w:rPr>
            </w:pPr>
            <w:bookmarkStart w:id="0" w:name="_Hlk192789062"/>
            <w:bookmarkStart w:id="1" w:name="_GoBack"/>
            <w:bookmarkEnd w:id="1"/>
            <w:r w:rsidRPr="00AE4E62">
              <w:t>Programme:</w:t>
            </w:r>
          </w:p>
        </w:tc>
        <w:tc>
          <w:tcPr>
            <w:tcW w:w="6611" w:type="dxa"/>
          </w:tcPr>
          <w:p w14:paraId="5D955B7D" w14:textId="77777777" w:rsidR="006B7D04" w:rsidRDefault="006B7D04" w:rsidP="006B7D04">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6B7D04" w14:paraId="0DF65976" w14:textId="77777777" w:rsidTr="006B7D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E092468" w14:textId="77777777" w:rsidR="006B7D04" w:rsidRPr="003B11AB" w:rsidRDefault="006B7D04" w:rsidP="006B7D04">
            <w:pPr>
              <w:rPr>
                <w:rFonts w:cs="Arial"/>
                <w:b w:val="0"/>
                <w:bCs w:val="0"/>
                <w:sz w:val="28"/>
                <w:szCs w:val="28"/>
              </w:rPr>
            </w:pPr>
            <w:r w:rsidRPr="003B11AB">
              <w:rPr>
                <w:b w:val="0"/>
                <w:bCs w:val="0"/>
              </w:rPr>
              <w:t>Module:</w:t>
            </w:r>
          </w:p>
        </w:tc>
        <w:tc>
          <w:tcPr>
            <w:tcW w:w="6611" w:type="dxa"/>
          </w:tcPr>
          <w:p w14:paraId="4FC68558" w14:textId="77777777" w:rsidR="006B7D04" w:rsidRDefault="006B7D04" w:rsidP="006B7D04">
            <w:pPr>
              <w:cnfStyle w:val="000000100000" w:firstRow="0" w:lastRow="0" w:firstColumn="0" w:lastColumn="0" w:oddVBand="0" w:evenVBand="0" w:oddHBand="1" w:evenHBand="0" w:firstRowFirstColumn="0" w:firstRowLastColumn="0" w:lastRowFirstColumn="0" w:lastRowLastColumn="0"/>
            </w:pPr>
            <w:r w:rsidRPr="000B7329">
              <w:t>Quality Assurance and Service Improvements</w:t>
            </w:r>
          </w:p>
        </w:tc>
      </w:tr>
      <w:tr w:rsidR="006B7D04" w14:paraId="642E15FE" w14:textId="77777777" w:rsidTr="006B7D04">
        <w:tc>
          <w:tcPr>
            <w:cnfStyle w:val="001000000000" w:firstRow="0" w:lastRow="0" w:firstColumn="1" w:lastColumn="0" w:oddVBand="0" w:evenVBand="0" w:oddHBand="0" w:evenHBand="0" w:firstRowFirstColumn="0" w:firstRowLastColumn="0" w:lastRowFirstColumn="0" w:lastRowLastColumn="0"/>
            <w:tcW w:w="2405" w:type="dxa"/>
          </w:tcPr>
          <w:p w14:paraId="3ED2CB33" w14:textId="708D0958" w:rsidR="006B7D04" w:rsidRPr="003B11AB" w:rsidRDefault="006B7D04" w:rsidP="006B7D04">
            <w:pPr>
              <w:rPr>
                <w:rFonts w:cs="Arial"/>
                <w:b w:val="0"/>
                <w:bCs w:val="0"/>
                <w:sz w:val="28"/>
                <w:szCs w:val="28"/>
              </w:rPr>
            </w:pPr>
            <w:r w:rsidRPr="003B11AB">
              <w:rPr>
                <w:b w:val="0"/>
                <w:bCs w:val="0"/>
              </w:rPr>
              <w:t>Module code:</w:t>
            </w:r>
          </w:p>
        </w:tc>
        <w:tc>
          <w:tcPr>
            <w:tcW w:w="6611" w:type="dxa"/>
          </w:tcPr>
          <w:p w14:paraId="37CA3A5F" w14:textId="77777777" w:rsidR="006B7D04" w:rsidRDefault="006B7D04" w:rsidP="006B7D04">
            <w:pPr>
              <w:cnfStyle w:val="000000000000" w:firstRow="0" w:lastRow="0" w:firstColumn="0" w:lastColumn="0" w:oddVBand="0" w:evenVBand="0" w:oddHBand="0" w:evenHBand="0" w:firstRowFirstColumn="0" w:firstRowLastColumn="0" w:lastRowFirstColumn="0" w:lastRowLastColumn="0"/>
            </w:pPr>
            <w:r w:rsidRPr="000B7329">
              <w:t>LCHS7006</w:t>
            </w:r>
          </w:p>
        </w:tc>
      </w:tr>
      <w:tr w:rsidR="006B7D04" w14:paraId="4C9158C5" w14:textId="77777777" w:rsidTr="006B7D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70E960D" w14:textId="77777777" w:rsidR="006B7D04" w:rsidRPr="003B11AB" w:rsidRDefault="006B7D04" w:rsidP="006B7D04">
            <w:pPr>
              <w:rPr>
                <w:rFonts w:cs="Arial"/>
                <w:b w:val="0"/>
                <w:bCs w:val="0"/>
                <w:sz w:val="28"/>
                <w:szCs w:val="28"/>
              </w:rPr>
            </w:pPr>
            <w:r w:rsidRPr="003B11AB">
              <w:rPr>
                <w:b w:val="0"/>
                <w:bCs w:val="0"/>
              </w:rPr>
              <w:t>Assignment Title:</w:t>
            </w:r>
          </w:p>
        </w:tc>
        <w:tc>
          <w:tcPr>
            <w:tcW w:w="6611" w:type="dxa"/>
          </w:tcPr>
          <w:p w14:paraId="659F5653" w14:textId="77777777" w:rsidR="006B7D04" w:rsidRDefault="006B7D04" w:rsidP="006B7D04">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2CBF93AF" w14:textId="77777777" w:rsidR="006B7D04" w:rsidRDefault="006B7D04" w:rsidP="006B7D04">
            <w:pPr>
              <w:jc w:val="left"/>
              <w:cnfStyle w:val="000000100000" w:firstRow="0" w:lastRow="0" w:firstColumn="0" w:lastColumn="0" w:oddVBand="0" w:evenVBand="0" w:oddHBand="1" w:evenHBand="0" w:firstRowFirstColumn="0" w:firstRowLastColumn="0" w:lastRowFirstColumn="0" w:lastRowLastColumn="0"/>
            </w:pPr>
            <w:r>
              <w:t>Service Improvement Report</w:t>
            </w:r>
          </w:p>
        </w:tc>
      </w:tr>
      <w:tr w:rsidR="006B7D04" w14:paraId="7D80288E" w14:textId="77777777" w:rsidTr="006B7D04">
        <w:tc>
          <w:tcPr>
            <w:cnfStyle w:val="001000000000" w:firstRow="0" w:lastRow="0" w:firstColumn="1" w:lastColumn="0" w:oddVBand="0" w:evenVBand="0" w:oddHBand="0" w:evenHBand="0" w:firstRowFirstColumn="0" w:firstRowLastColumn="0" w:lastRowFirstColumn="0" w:lastRowLastColumn="0"/>
            <w:tcW w:w="2405" w:type="dxa"/>
          </w:tcPr>
          <w:p w14:paraId="7F07603E" w14:textId="77777777" w:rsidR="006B7D04" w:rsidRPr="008A74B8" w:rsidRDefault="006B7D04" w:rsidP="006B7D04">
            <w:pPr>
              <w:rPr>
                <w:b w:val="0"/>
                <w:bCs w:val="0"/>
              </w:rPr>
            </w:pPr>
            <w:r w:rsidRPr="008A74B8">
              <w:rPr>
                <w:b w:val="0"/>
                <w:bCs w:val="0"/>
              </w:rPr>
              <w:t>Lecturer:</w:t>
            </w:r>
          </w:p>
        </w:tc>
        <w:tc>
          <w:tcPr>
            <w:tcW w:w="6611" w:type="dxa"/>
          </w:tcPr>
          <w:p w14:paraId="59043331" w14:textId="77777777" w:rsidR="006B7D04" w:rsidRDefault="006B7D04" w:rsidP="006B7D04">
            <w:pPr>
              <w:jc w:val="left"/>
              <w:cnfStyle w:val="000000000000" w:firstRow="0" w:lastRow="0" w:firstColumn="0" w:lastColumn="0" w:oddVBand="0" w:evenVBand="0" w:oddHBand="0" w:evenHBand="0" w:firstRowFirstColumn="0" w:firstRowLastColumn="0" w:lastRowFirstColumn="0" w:lastRowLastColumn="0"/>
            </w:pPr>
            <w:r>
              <w:t>Arif Ahmed</w:t>
            </w:r>
          </w:p>
          <w:p w14:paraId="112CC4A2" w14:textId="77777777" w:rsidR="006B7D04" w:rsidRDefault="006B7D04" w:rsidP="006B7D04">
            <w:pPr>
              <w:jc w:val="left"/>
              <w:cnfStyle w:val="000000000000" w:firstRow="0" w:lastRow="0" w:firstColumn="0" w:lastColumn="0" w:oddVBand="0" w:evenVBand="0" w:oddHBand="0" w:evenHBand="0" w:firstRowFirstColumn="0" w:firstRowLastColumn="0" w:lastRowFirstColumn="0" w:lastRowLastColumn="0"/>
            </w:pPr>
            <w:r>
              <w:t>Brian Mashumba</w:t>
            </w:r>
          </w:p>
        </w:tc>
      </w:tr>
      <w:tr w:rsidR="006B7D04" w14:paraId="0F2A8380" w14:textId="77777777" w:rsidTr="006B7D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8A0C825" w14:textId="77777777" w:rsidR="006B7D04" w:rsidRPr="003B11AB" w:rsidRDefault="006B7D04" w:rsidP="006B7D04">
            <w:pPr>
              <w:rPr>
                <w:b w:val="0"/>
                <w:bCs w:val="0"/>
              </w:rPr>
            </w:pPr>
            <w:r w:rsidRPr="003B11AB">
              <w:rPr>
                <w:b w:val="0"/>
                <w:bCs w:val="0"/>
              </w:rPr>
              <w:t>Student Name:</w:t>
            </w:r>
          </w:p>
        </w:tc>
        <w:tc>
          <w:tcPr>
            <w:tcW w:w="6611" w:type="dxa"/>
          </w:tcPr>
          <w:p w14:paraId="0B2B1753" w14:textId="3B78F399" w:rsidR="006B7D04" w:rsidRDefault="006B7D04" w:rsidP="006B7D04">
            <w:pPr>
              <w:cnfStyle w:val="000000100000" w:firstRow="0" w:lastRow="0" w:firstColumn="0" w:lastColumn="0" w:oddVBand="0" w:evenVBand="0" w:oddHBand="1" w:evenHBand="0" w:firstRowFirstColumn="0" w:firstRowLastColumn="0" w:lastRowFirstColumn="0" w:lastRowLastColumn="0"/>
            </w:pPr>
            <w:r w:rsidRPr="006B7D04">
              <w:t>Md. Al Zakaria</w:t>
            </w:r>
          </w:p>
        </w:tc>
      </w:tr>
      <w:tr w:rsidR="006B7D04" w14:paraId="1602DA14" w14:textId="77777777" w:rsidTr="006B7D04">
        <w:tc>
          <w:tcPr>
            <w:cnfStyle w:val="001000000000" w:firstRow="0" w:lastRow="0" w:firstColumn="1" w:lastColumn="0" w:oddVBand="0" w:evenVBand="0" w:oddHBand="0" w:evenHBand="0" w:firstRowFirstColumn="0" w:firstRowLastColumn="0" w:lastRowFirstColumn="0" w:lastRowLastColumn="0"/>
            <w:tcW w:w="2405" w:type="dxa"/>
          </w:tcPr>
          <w:p w14:paraId="6D038FC0" w14:textId="77777777" w:rsidR="006B7D04" w:rsidRPr="003B11AB" w:rsidRDefault="006B7D04" w:rsidP="006B7D04">
            <w:pPr>
              <w:rPr>
                <w:b w:val="0"/>
                <w:bCs w:val="0"/>
              </w:rPr>
            </w:pPr>
            <w:r w:rsidRPr="003B11AB">
              <w:rPr>
                <w:b w:val="0"/>
                <w:bCs w:val="0"/>
              </w:rPr>
              <w:t>Student ID:</w:t>
            </w:r>
          </w:p>
        </w:tc>
        <w:tc>
          <w:tcPr>
            <w:tcW w:w="6611" w:type="dxa"/>
          </w:tcPr>
          <w:p w14:paraId="3CAEB92D" w14:textId="0AC0724F" w:rsidR="006B7D04" w:rsidRDefault="006B7D04" w:rsidP="006B7D04">
            <w:pPr>
              <w:cnfStyle w:val="000000000000" w:firstRow="0" w:lastRow="0" w:firstColumn="0" w:lastColumn="0" w:oddVBand="0" w:evenVBand="0" w:oddHBand="0" w:evenHBand="0" w:firstRowFirstColumn="0" w:firstRowLastColumn="0" w:lastRowFirstColumn="0" w:lastRowLastColumn="0"/>
            </w:pPr>
            <w:r w:rsidRPr="006B7D04">
              <w:t>2511048</w:t>
            </w:r>
          </w:p>
        </w:tc>
      </w:tr>
    </w:tbl>
    <w:bookmarkEnd w:id="0"/>
    <w:p w14:paraId="71BD0A72" w14:textId="2CADA26B" w:rsidR="006B7D04" w:rsidRDefault="006B7D04" w:rsidP="006B7D04">
      <w:r>
        <w:rPr>
          <w:noProof/>
          <w:lang w:val="en-US"/>
        </w:rPr>
        <w:drawing>
          <wp:anchor distT="0" distB="0" distL="114300" distR="114300" simplePos="0" relativeHeight="251659264" behindDoc="0" locked="0" layoutInCell="1" allowOverlap="1" wp14:anchorId="795C4802" wp14:editId="6F2A297E">
            <wp:simplePos x="0" y="0"/>
            <wp:positionH relativeFrom="column">
              <wp:posOffset>1409700</wp:posOffset>
            </wp:positionH>
            <wp:positionV relativeFrom="paragraph">
              <wp:posOffset>0</wp:posOffset>
            </wp:positionV>
            <wp:extent cx="2527300" cy="1125855"/>
            <wp:effectExtent l="0" t="0" r="6350" b="0"/>
            <wp:wrapThrough wrapText="bothSides">
              <wp:wrapPolygon edited="0">
                <wp:start x="0" y="0"/>
                <wp:lineTo x="0" y="21198"/>
                <wp:lineTo x="21491" y="21198"/>
                <wp:lineTo x="21491" y="0"/>
                <wp:lineTo x="0" y="0"/>
              </wp:wrapPolygon>
            </wp:wrapThrough>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7300" cy="112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9D131C" w14:textId="77777777" w:rsidR="006B7D04" w:rsidRDefault="006B7D04" w:rsidP="006B7D04"/>
    <w:p w14:paraId="5431307D" w14:textId="12D6F8D6" w:rsidR="006B7D04" w:rsidRDefault="006B7D04" w:rsidP="006B7D04"/>
    <w:p w14:paraId="0FAD3C96" w14:textId="004D3317" w:rsidR="006B7D04" w:rsidRDefault="006B7D04" w:rsidP="006B7D04">
      <w:r>
        <w:br w:type="page"/>
      </w:r>
    </w:p>
    <w:sdt>
      <w:sdtPr>
        <w:rPr>
          <w:rFonts w:ascii="Arial" w:eastAsiaTheme="minorHAnsi" w:hAnsi="Arial" w:cstheme="minorBidi"/>
          <w:color w:val="auto"/>
          <w:sz w:val="22"/>
          <w:szCs w:val="22"/>
          <w:lang w:val="en-GB"/>
        </w:rPr>
        <w:id w:val="-1903360075"/>
        <w:docPartObj>
          <w:docPartGallery w:val="Table of Contents"/>
          <w:docPartUnique/>
        </w:docPartObj>
      </w:sdtPr>
      <w:sdtEndPr>
        <w:rPr>
          <w:b/>
          <w:bCs/>
          <w:noProof/>
        </w:rPr>
      </w:sdtEndPr>
      <w:sdtContent>
        <w:p w14:paraId="179A320F" w14:textId="725430AC" w:rsidR="00297C68" w:rsidRDefault="00297C68">
          <w:pPr>
            <w:pStyle w:val="TOCHeading"/>
          </w:pPr>
          <w:r>
            <w:t>Table of Contents</w:t>
          </w:r>
        </w:p>
        <w:p w14:paraId="3CB9FAB6" w14:textId="23167EF2" w:rsidR="00297C68" w:rsidRDefault="00297C68">
          <w:pPr>
            <w:pStyle w:val="TOC1"/>
            <w:tabs>
              <w:tab w:val="right" w:leader="dot" w:pos="9016"/>
            </w:tabs>
            <w:rPr>
              <w:noProof/>
            </w:rPr>
          </w:pPr>
          <w:r>
            <w:fldChar w:fldCharType="begin"/>
          </w:r>
          <w:r>
            <w:instrText xml:space="preserve"> TOC \o "1-3" \h \z \u </w:instrText>
          </w:r>
          <w:r>
            <w:fldChar w:fldCharType="separate"/>
          </w:r>
          <w:hyperlink w:anchor="_Toc226812980" w:history="1">
            <w:r w:rsidRPr="00210A78">
              <w:rPr>
                <w:rStyle w:val="Hyperlink"/>
                <w:noProof/>
              </w:rPr>
              <w:t>1. Introduction</w:t>
            </w:r>
            <w:r>
              <w:rPr>
                <w:noProof/>
                <w:webHidden/>
              </w:rPr>
              <w:tab/>
            </w:r>
            <w:r>
              <w:rPr>
                <w:noProof/>
                <w:webHidden/>
              </w:rPr>
              <w:fldChar w:fldCharType="begin"/>
            </w:r>
            <w:r>
              <w:rPr>
                <w:noProof/>
                <w:webHidden/>
              </w:rPr>
              <w:instrText xml:space="preserve"> PAGEREF _Toc226812980 \h </w:instrText>
            </w:r>
            <w:r>
              <w:rPr>
                <w:noProof/>
                <w:webHidden/>
              </w:rPr>
            </w:r>
            <w:r>
              <w:rPr>
                <w:noProof/>
                <w:webHidden/>
              </w:rPr>
              <w:fldChar w:fldCharType="separate"/>
            </w:r>
            <w:r>
              <w:rPr>
                <w:noProof/>
                <w:webHidden/>
              </w:rPr>
              <w:t>3</w:t>
            </w:r>
            <w:r>
              <w:rPr>
                <w:noProof/>
                <w:webHidden/>
              </w:rPr>
              <w:fldChar w:fldCharType="end"/>
            </w:r>
          </w:hyperlink>
        </w:p>
        <w:p w14:paraId="45D3DABA" w14:textId="4B23D779" w:rsidR="00297C68" w:rsidRDefault="009539FD">
          <w:pPr>
            <w:pStyle w:val="TOC1"/>
            <w:tabs>
              <w:tab w:val="right" w:leader="dot" w:pos="9016"/>
            </w:tabs>
            <w:rPr>
              <w:noProof/>
            </w:rPr>
          </w:pPr>
          <w:hyperlink w:anchor="_Toc226812981" w:history="1">
            <w:r w:rsidR="00297C68" w:rsidRPr="00210A78">
              <w:rPr>
                <w:rStyle w:val="Hyperlink"/>
                <w:noProof/>
              </w:rPr>
              <w:t>2. Main Body</w:t>
            </w:r>
            <w:r w:rsidR="00297C68">
              <w:rPr>
                <w:noProof/>
                <w:webHidden/>
              </w:rPr>
              <w:tab/>
            </w:r>
            <w:r w:rsidR="00297C68">
              <w:rPr>
                <w:noProof/>
                <w:webHidden/>
              </w:rPr>
              <w:fldChar w:fldCharType="begin"/>
            </w:r>
            <w:r w:rsidR="00297C68">
              <w:rPr>
                <w:noProof/>
                <w:webHidden/>
              </w:rPr>
              <w:instrText xml:space="preserve"> PAGEREF _Toc226812981 \h </w:instrText>
            </w:r>
            <w:r w:rsidR="00297C68">
              <w:rPr>
                <w:noProof/>
                <w:webHidden/>
              </w:rPr>
            </w:r>
            <w:r w:rsidR="00297C68">
              <w:rPr>
                <w:noProof/>
                <w:webHidden/>
              </w:rPr>
              <w:fldChar w:fldCharType="separate"/>
            </w:r>
            <w:r w:rsidR="00297C68">
              <w:rPr>
                <w:noProof/>
                <w:webHidden/>
              </w:rPr>
              <w:t>5</w:t>
            </w:r>
            <w:r w:rsidR="00297C68">
              <w:rPr>
                <w:noProof/>
                <w:webHidden/>
              </w:rPr>
              <w:fldChar w:fldCharType="end"/>
            </w:r>
          </w:hyperlink>
        </w:p>
        <w:p w14:paraId="6B7AFDC4" w14:textId="44F6494C" w:rsidR="00297C68" w:rsidRDefault="009539FD">
          <w:pPr>
            <w:pStyle w:val="TOC2"/>
            <w:tabs>
              <w:tab w:val="right" w:leader="dot" w:pos="9016"/>
            </w:tabs>
            <w:rPr>
              <w:noProof/>
            </w:rPr>
          </w:pPr>
          <w:hyperlink w:anchor="_Toc226812982" w:history="1">
            <w:r w:rsidR="00297C68" w:rsidRPr="00210A78">
              <w:rPr>
                <w:rStyle w:val="Hyperlink"/>
                <w:noProof/>
              </w:rPr>
              <w:t>2.1 The Swiss Cheese Model: Understanding Systemic Vulnerability</w:t>
            </w:r>
            <w:r w:rsidR="00297C68">
              <w:rPr>
                <w:noProof/>
                <w:webHidden/>
              </w:rPr>
              <w:tab/>
            </w:r>
            <w:r w:rsidR="00297C68">
              <w:rPr>
                <w:noProof/>
                <w:webHidden/>
              </w:rPr>
              <w:fldChar w:fldCharType="begin"/>
            </w:r>
            <w:r w:rsidR="00297C68">
              <w:rPr>
                <w:noProof/>
                <w:webHidden/>
              </w:rPr>
              <w:instrText xml:space="preserve"> PAGEREF _Toc226812982 \h </w:instrText>
            </w:r>
            <w:r w:rsidR="00297C68">
              <w:rPr>
                <w:noProof/>
                <w:webHidden/>
              </w:rPr>
            </w:r>
            <w:r w:rsidR="00297C68">
              <w:rPr>
                <w:noProof/>
                <w:webHidden/>
              </w:rPr>
              <w:fldChar w:fldCharType="separate"/>
            </w:r>
            <w:r w:rsidR="00297C68">
              <w:rPr>
                <w:noProof/>
                <w:webHidden/>
              </w:rPr>
              <w:t>5</w:t>
            </w:r>
            <w:r w:rsidR="00297C68">
              <w:rPr>
                <w:noProof/>
                <w:webHidden/>
              </w:rPr>
              <w:fldChar w:fldCharType="end"/>
            </w:r>
          </w:hyperlink>
        </w:p>
        <w:p w14:paraId="68662D21" w14:textId="6F28D6F7" w:rsidR="00297C68" w:rsidRDefault="009539FD">
          <w:pPr>
            <w:pStyle w:val="TOC2"/>
            <w:tabs>
              <w:tab w:val="right" w:leader="dot" w:pos="9016"/>
            </w:tabs>
            <w:rPr>
              <w:noProof/>
            </w:rPr>
          </w:pPr>
          <w:hyperlink w:anchor="_Toc226812983" w:history="1">
            <w:r w:rsidR="00297C68" w:rsidRPr="00210A78">
              <w:rPr>
                <w:rStyle w:val="Hyperlink"/>
                <w:noProof/>
              </w:rPr>
              <w:t>2.2 Fishbone Diagram: Structured Root Cause Identification</w:t>
            </w:r>
            <w:r w:rsidR="00297C68">
              <w:rPr>
                <w:noProof/>
                <w:webHidden/>
              </w:rPr>
              <w:tab/>
            </w:r>
            <w:r w:rsidR="00297C68">
              <w:rPr>
                <w:noProof/>
                <w:webHidden/>
              </w:rPr>
              <w:fldChar w:fldCharType="begin"/>
            </w:r>
            <w:r w:rsidR="00297C68">
              <w:rPr>
                <w:noProof/>
                <w:webHidden/>
              </w:rPr>
              <w:instrText xml:space="preserve"> PAGEREF _Toc226812983 \h </w:instrText>
            </w:r>
            <w:r w:rsidR="00297C68">
              <w:rPr>
                <w:noProof/>
                <w:webHidden/>
              </w:rPr>
            </w:r>
            <w:r w:rsidR="00297C68">
              <w:rPr>
                <w:noProof/>
                <w:webHidden/>
              </w:rPr>
              <w:fldChar w:fldCharType="separate"/>
            </w:r>
            <w:r w:rsidR="00297C68">
              <w:rPr>
                <w:noProof/>
                <w:webHidden/>
              </w:rPr>
              <w:t>6</w:t>
            </w:r>
            <w:r w:rsidR="00297C68">
              <w:rPr>
                <w:noProof/>
                <w:webHidden/>
              </w:rPr>
              <w:fldChar w:fldCharType="end"/>
            </w:r>
          </w:hyperlink>
        </w:p>
        <w:p w14:paraId="32DE3E9B" w14:textId="464574E7" w:rsidR="00297C68" w:rsidRDefault="009539FD">
          <w:pPr>
            <w:pStyle w:val="TOC2"/>
            <w:tabs>
              <w:tab w:val="right" w:leader="dot" w:pos="9016"/>
            </w:tabs>
            <w:rPr>
              <w:noProof/>
            </w:rPr>
          </w:pPr>
          <w:hyperlink w:anchor="_Toc226812984" w:history="1">
            <w:r w:rsidR="00297C68" w:rsidRPr="00210A78">
              <w:rPr>
                <w:rStyle w:val="Hyperlink"/>
                <w:noProof/>
              </w:rPr>
              <w:t>2.3 The Donabedian Model</w:t>
            </w:r>
            <w:r w:rsidR="00297C68">
              <w:rPr>
                <w:noProof/>
                <w:webHidden/>
              </w:rPr>
              <w:tab/>
            </w:r>
            <w:r w:rsidR="00297C68">
              <w:rPr>
                <w:noProof/>
                <w:webHidden/>
              </w:rPr>
              <w:fldChar w:fldCharType="begin"/>
            </w:r>
            <w:r w:rsidR="00297C68">
              <w:rPr>
                <w:noProof/>
                <w:webHidden/>
              </w:rPr>
              <w:instrText xml:space="preserve"> PAGEREF _Toc226812984 \h </w:instrText>
            </w:r>
            <w:r w:rsidR="00297C68">
              <w:rPr>
                <w:noProof/>
                <w:webHidden/>
              </w:rPr>
            </w:r>
            <w:r w:rsidR="00297C68">
              <w:rPr>
                <w:noProof/>
                <w:webHidden/>
              </w:rPr>
              <w:fldChar w:fldCharType="separate"/>
            </w:r>
            <w:r w:rsidR="00297C68">
              <w:rPr>
                <w:noProof/>
                <w:webHidden/>
              </w:rPr>
              <w:t>8</w:t>
            </w:r>
            <w:r w:rsidR="00297C68">
              <w:rPr>
                <w:noProof/>
                <w:webHidden/>
              </w:rPr>
              <w:fldChar w:fldCharType="end"/>
            </w:r>
          </w:hyperlink>
        </w:p>
        <w:p w14:paraId="13147E34" w14:textId="7E1F3DBC" w:rsidR="00297C68" w:rsidRDefault="009539FD">
          <w:pPr>
            <w:pStyle w:val="TOC2"/>
            <w:tabs>
              <w:tab w:val="right" w:leader="dot" w:pos="9016"/>
            </w:tabs>
            <w:rPr>
              <w:noProof/>
            </w:rPr>
          </w:pPr>
          <w:hyperlink w:anchor="_Toc226812985" w:history="1">
            <w:r w:rsidR="00297C68" w:rsidRPr="00210A78">
              <w:rPr>
                <w:rStyle w:val="Hyperlink"/>
                <w:noProof/>
              </w:rPr>
              <w:t>2.4 Systems Theory and Organizational Failures</w:t>
            </w:r>
            <w:r w:rsidR="00297C68">
              <w:rPr>
                <w:noProof/>
                <w:webHidden/>
              </w:rPr>
              <w:tab/>
            </w:r>
            <w:r w:rsidR="00297C68">
              <w:rPr>
                <w:noProof/>
                <w:webHidden/>
              </w:rPr>
              <w:fldChar w:fldCharType="begin"/>
            </w:r>
            <w:r w:rsidR="00297C68">
              <w:rPr>
                <w:noProof/>
                <w:webHidden/>
              </w:rPr>
              <w:instrText xml:space="preserve"> PAGEREF _Toc226812985 \h </w:instrText>
            </w:r>
            <w:r w:rsidR="00297C68">
              <w:rPr>
                <w:noProof/>
                <w:webHidden/>
              </w:rPr>
            </w:r>
            <w:r w:rsidR="00297C68">
              <w:rPr>
                <w:noProof/>
                <w:webHidden/>
              </w:rPr>
              <w:fldChar w:fldCharType="separate"/>
            </w:r>
            <w:r w:rsidR="00297C68">
              <w:rPr>
                <w:noProof/>
                <w:webHidden/>
              </w:rPr>
              <w:t>9</w:t>
            </w:r>
            <w:r w:rsidR="00297C68">
              <w:rPr>
                <w:noProof/>
                <w:webHidden/>
              </w:rPr>
              <w:fldChar w:fldCharType="end"/>
            </w:r>
          </w:hyperlink>
        </w:p>
        <w:p w14:paraId="143A45B8" w14:textId="454517B7" w:rsidR="00297C68" w:rsidRDefault="009539FD">
          <w:pPr>
            <w:pStyle w:val="TOC1"/>
            <w:tabs>
              <w:tab w:val="right" w:leader="dot" w:pos="9016"/>
            </w:tabs>
            <w:rPr>
              <w:noProof/>
            </w:rPr>
          </w:pPr>
          <w:hyperlink w:anchor="_Toc226812986" w:history="1">
            <w:r w:rsidR="00297C68" w:rsidRPr="00210A78">
              <w:rPr>
                <w:rStyle w:val="Hyperlink"/>
                <w:noProof/>
              </w:rPr>
              <w:t>3. Recommendations: Evidence-Based Quality Assurance and Service Improvement Methods</w:t>
            </w:r>
            <w:r w:rsidR="00297C68">
              <w:rPr>
                <w:noProof/>
                <w:webHidden/>
              </w:rPr>
              <w:tab/>
            </w:r>
            <w:r w:rsidR="00297C68">
              <w:rPr>
                <w:noProof/>
                <w:webHidden/>
              </w:rPr>
              <w:fldChar w:fldCharType="begin"/>
            </w:r>
            <w:r w:rsidR="00297C68">
              <w:rPr>
                <w:noProof/>
                <w:webHidden/>
              </w:rPr>
              <w:instrText xml:space="preserve"> PAGEREF _Toc226812986 \h </w:instrText>
            </w:r>
            <w:r w:rsidR="00297C68">
              <w:rPr>
                <w:noProof/>
                <w:webHidden/>
              </w:rPr>
            </w:r>
            <w:r w:rsidR="00297C68">
              <w:rPr>
                <w:noProof/>
                <w:webHidden/>
              </w:rPr>
              <w:fldChar w:fldCharType="separate"/>
            </w:r>
            <w:r w:rsidR="00297C68">
              <w:rPr>
                <w:noProof/>
                <w:webHidden/>
              </w:rPr>
              <w:t>11</w:t>
            </w:r>
            <w:r w:rsidR="00297C68">
              <w:rPr>
                <w:noProof/>
                <w:webHidden/>
              </w:rPr>
              <w:fldChar w:fldCharType="end"/>
            </w:r>
          </w:hyperlink>
        </w:p>
        <w:p w14:paraId="1A91597F" w14:textId="1F0A38C4" w:rsidR="00297C68" w:rsidRDefault="009539FD">
          <w:pPr>
            <w:pStyle w:val="TOC2"/>
            <w:tabs>
              <w:tab w:val="right" w:leader="dot" w:pos="9016"/>
            </w:tabs>
            <w:rPr>
              <w:noProof/>
            </w:rPr>
          </w:pPr>
          <w:hyperlink w:anchor="_Toc226812987" w:history="1">
            <w:r w:rsidR="00297C68" w:rsidRPr="00210A78">
              <w:rPr>
                <w:rStyle w:val="Hyperlink"/>
                <w:noProof/>
              </w:rPr>
              <w:t>3.1 Strong Clinical Governance Frameworks</w:t>
            </w:r>
            <w:r w:rsidR="00297C68">
              <w:rPr>
                <w:noProof/>
                <w:webHidden/>
              </w:rPr>
              <w:tab/>
            </w:r>
            <w:r w:rsidR="00297C68">
              <w:rPr>
                <w:noProof/>
                <w:webHidden/>
              </w:rPr>
              <w:fldChar w:fldCharType="begin"/>
            </w:r>
            <w:r w:rsidR="00297C68">
              <w:rPr>
                <w:noProof/>
                <w:webHidden/>
              </w:rPr>
              <w:instrText xml:space="preserve"> PAGEREF _Toc226812987 \h </w:instrText>
            </w:r>
            <w:r w:rsidR="00297C68">
              <w:rPr>
                <w:noProof/>
                <w:webHidden/>
              </w:rPr>
            </w:r>
            <w:r w:rsidR="00297C68">
              <w:rPr>
                <w:noProof/>
                <w:webHidden/>
              </w:rPr>
              <w:fldChar w:fldCharType="separate"/>
            </w:r>
            <w:r w:rsidR="00297C68">
              <w:rPr>
                <w:noProof/>
                <w:webHidden/>
              </w:rPr>
              <w:t>11</w:t>
            </w:r>
            <w:r w:rsidR="00297C68">
              <w:rPr>
                <w:noProof/>
                <w:webHidden/>
              </w:rPr>
              <w:fldChar w:fldCharType="end"/>
            </w:r>
          </w:hyperlink>
        </w:p>
        <w:p w14:paraId="552312B6" w14:textId="5903234A" w:rsidR="00297C68" w:rsidRDefault="009539FD">
          <w:pPr>
            <w:pStyle w:val="TOC2"/>
            <w:tabs>
              <w:tab w:val="right" w:leader="dot" w:pos="9016"/>
            </w:tabs>
            <w:rPr>
              <w:noProof/>
            </w:rPr>
          </w:pPr>
          <w:hyperlink w:anchor="_Toc226812988" w:history="1">
            <w:r w:rsidR="00297C68" w:rsidRPr="00210A78">
              <w:rPr>
                <w:rStyle w:val="Hyperlink"/>
                <w:noProof/>
              </w:rPr>
              <w:t>3.2 Implementing Quality Improvement Using PDSA Tool</w:t>
            </w:r>
            <w:r w:rsidR="00297C68">
              <w:rPr>
                <w:noProof/>
                <w:webHidden/>
              </w:rPr>
              <w:tab/>
            </w:r>
            <w:r w:rsidR="00297C68">
              <w:rPr>
                <w:noProof/>
                <w:webHidden/>
              </w:rPr>
              <w:fldChar w:fldCharType="begin"/>
            </w:r>
            <w:r w:rsidR="00297C68">
              <w:rPr>
                <w:noProof/>
                <w:webHidden/>
              </w:rPr>
              <w:instrText xml:space="preserve"> PAGEREF _Toc226812988 \h </w:instrText>
            </w:r>
            <w:r w:rsidR="00297C68">
              <w:rPr>
                <w:noProof/>
                <w:webHidden/>
              </w:rPr>
            </w:r>
            <w:r w:rsidR="00297C68">
              <w:rPr>
                <w:noProof/>
                <w:webHidden/>
              </w:rPr>
              <w:fldChar w:fldCharType="separate"/>
            </w:r>
            <w:r w:rsidR="00297C68">
              <w:rPr>
                <w:noProof/>
                <w:webHidden/>
              </w:rPr>
              <w:t>12</w:t>
            </w:r>
            <w:r w:rsidR="00297C68">
              <w:rPr>
                <w:noProof/>
                <w:webHidden/>
              </w:rPr>
              <w:fldChar w:fldCharType="end"/>
            </w:r>
          </w:hyperlink>
        </w:p>
        <w:p w14:paraId="3D91A516" w14:textId="0162F9C0" w:rsidR="00297C68" w:rsidRDefault="009539FD">
          <w:pPr>
            <w:pStyle w:val="TOC2"/>
            <w:tabs>
              <w:tab w:val="right" w:leader="dot" w:pos="9016"/>
            </w:tabs>
            <w:rPr>
              <w:noProof/>
            </w:rPr>
          </w:pPr>
          <w:hyperlink w:anchor="_Toc226812989" w:history="1">
            <w:r w:rsidR="00297C68" w:rsidRPr="00210A78">
              <w:rPr>
                <w:rStyle w:val="Hyperlink"/>
                <w:noProof/>
              </w:rPr>
              <w:t>3.3 Applying Six Sigma Tool for Process Standardization</w:t>
            </w:r>
            <w:r w:rsidR="00297C68">
              <w:rPr>
                <w:noProof/>
                <w:webHidden/>
              </w:rPr>
              <w:tab/>
            </w:r>
            <w:r w:rsidR="00297C68">
              <w:rPr>
                <w:noProof/>
                <w:webHidden/>
              </w:rPr>
              <w:fldChar w:fldCharType="begin"/>
            </w:r>
            <w:r w:rsidR="00297C68">
              <w:rPr>
                <w:noProof/>
                <w:webHidden/>
              </w:rPr>
              <w:instrText xml:space="preserve"> PAGEREF _Toc226812989 \h </w:instrText>
            </w:r>
            <w:r w:rsidR="00297C68">
              <w:rPr>
                <w:noProof/>
                <w:webHidden/>
              </w:rPr>
            </w:r>
            <w:r w:rsidR="00297C68">
              <w:rPr>
                <w:noProof/>
                <w:webHidden/>
              </w:rPr>
              <w:fldChar w:fldCharType="separate"/>
            </w:r>
            <w:r w:rsidR="00297C68">
              <w:rPr>
                <w:noProof/>
                <w:webHidden/>
              </w:rPr>
              <w:t>12</w:t>
            </w:r>
            <w:r w:rsidR="00297C68">
              <w:rPr>
                <w:noProof/>
                <w:webHidden/>
              </w:rPr>
              <w:fldChar w:fldCharType="end"/>
            </w:r>
          </w:hyperlink>
        </w:p>
        <w:p w14:paraId="17771616" w14:textId="3AE5E537" w:rsidR="00297C68" w:rsidRDefault="009539FD">
          <w:pPr>
            <w:pStyle w:val="TOC1"/>
            <w:tabs>
              <w:tab w:val="right" w:leader="dot" w:pos="9016"/>
            </w:tabs>
            <w:rPr>
              <w:noProof/>
            </w:rPr>
          </w:pPr>
          <w:hyperlink w:anchor="_Toc226812990" w:history="1">
            <w:r w:rsidR="00297C68" w:rsidRPr="00210A78">
              <w:rPr>
                <w:rStyle w:val="Hyperlink"/>
                <w:noProof/>
              </w:rPr>
              <w:t>4. Conclusion</w:t>
            </w:r>
            <w:r w:rsidR="00297C68">
              <w:rPr>
                <w:noProof/>
                <w:webHidden/>
              </w:rPr>
              <w:tab/>
            </w:r>
            <w:r w:rsidR="00297C68">
              <w:rPr>
                <w:noProof/>
                <w:webHidden/>
              </w:rPr>
              <w:fldChar w:fldCharType="begin"/>
            </w:r>
            <w:r w:rsidR="00297C68">
              <w:rPr>
                <w:noProof/>
                <w:webHidden/>
              </w:rPr>
              <w:instrText xml:space="preserve"> PAGEREF _Toc226812990 \h </w:instrText>
            </w:r>
            <w:r w:rsidR="00297C68">
              <w:rPr>
                <w:noProof/>
                <w:webHidden/>
              </w:rPr>
            </w:r>
            <w:r w:rsidR="00297C68">
              <w:rPr>
                <w:noProof/>
                <w:webHidden/>
              </w:rPr>
              <w:fldChar w:fldCharType="separate"/>
            </w:r>
            <w:r w:rsidR="00297C68">
              <w:rPr>
                <w:noProof/>
                <w:webHidden/>
              </w:rPr>
              <w:t>14</w:t>
            </w:r>
            <w:r w:rsidR="00297C68">
              <w:rPr>
                <w:noProof/>
                <w:webHidden/>
              </w:rPr>
              <w:fldChar w:fldCharType="end"/>
            </w:r>
          </w:hyperlink>
        </w:p>
        <w:p w14:paraId="4E96FC58" w14:textId="6FB5E22C" w:rsidR="00297C68" w:rsidRDefault="009539FD">
          <w:pPr>
            <w:pStyle w:val="TOC1"/>
            <w:tabs>
              <w:tab w:val="right" w:leader="dot" w:pos="9016"/>
            </w:tabs>
            <w:rPr>
              <w:noProof/>
            </w:rPr>
          </w:pPr>
          <w:hyperlink w:anchor="_Toc226812991" w:history="1">
            <w:r w:rsidR="00297C68" w:rsidRPr="00210A78">
              <w:rPr>
                <w:rStyle w:val="Hyperlink"/>
                <w:noProof/>
              </w:rPr>
              <w:t>References</w:t>
            </w:r>
            <w:r w:rsidR="00297C68">
              <w:rPr>
                <w:noProof/>
                <w:webHidden/>
              </w:rPr>
              <w:tab/>
            </w:r>
            <w:r w:rsidR="00297C68">
              <w:rPr>
                <w:noProof/>
                <w:webHidden/>
              </w:rPr>
              <w:fldChar w:fldCharType="begin"/>
            </w:r>
            <w:r w:rsidR="00297C68">
              <w:rPr>
                <w:noProof/>
                <w:webHidden/>
              </w:rPr>
              <w:instrText xml:space="preserve"> PAGEREF _Toc226812991 \h </w:instrText>
            </w:r>
            <w:r w:rsidR="00297C68">
              <w:rPr>
                <w:noProof/>
                <w:webHidden/>
              </w:rPr>
            </w:r>
            <w:r w:rsidR="00297C68">
              <w:rPr>
                <w:noProof/>
                <w:webHidden/>
              </w:rPr>
              <w:fldChar w:fldCharType="separate"/>
            </w:r>
            <w:r w:rsidR="00297C68">
              <w:rPr>
                <w:noProof/>
                <w:webHidden/>
              </w:rPr>
              <w:t>15</w:t>
            </w:r>
            <w:r w:rsidR="00297C68">
              <w:rPr>
                <w:noProof/>
                <w:webHidden/>
              </w:rPr>
              <w:fldChar w:fldCharType="end"/>
            </w:r>
          </w:hyperlink>
        </w:p>
        <w:p w14:paraId="117F332F" w14:textId="2FB29D95" w:rsidR="00297C68" w:rsidRDefault="00297C68">
          <w:r>
            <w:rPr>
              <w:b/>
              <w:bCs/>
              <w:noProof/>
            </w:rPr>
            <w:fldChar w:fldCharType="end"/>
          </w:r>
        </w:p>
      </w:sdtContent>
    </w:sdt>
    <w:p w14:paraId="0623F36A" w14:textId="64775F37" w:rsidR="006B7D04" w:rsidRDefault="006B7D04"/>
    <w:p w14:paraId="0D241C92" w14:textId="77777777" w:rsidR="00556E51" w:rsidRPr="00556E51" w:rsidRDefault="006B7D04" w:rsidP="00556E51">
      <w:pPr>
        <w:spacing w:line="259" w:lineRule="auto"/>
        <w:jc w:val="center"/>
        <w:rPr>
          <w:sz w:val="24"/>
          <w:szCs w:val="24"/>
        </w:rPr>
      </w:pPr>
      <w:r>
        <w:br w:type="page"/>
      </w:r>
      <w:r w:rsidR="00556E51" w:rsidRPr="00556E51">
        <w:rPr>
          <w:b/>
          <w:bCs/>
          <w:sz w:val="24"/>
          <w:szCs w:val="24"/>
        </w:rPr>
        <w:t>Title:</w:t>
      </w:r>
    </w:p>
    <w:p w14:paraId="5E7A10B2" w14:textId="0EAEC173" w:rsidR="006B7D04" w:rsidRPr="00556E51" w:rsidRDefault="00617439" w:rsidP="00556E51">
      <w:pPr>
        <w:spacing w:line="259" w:lineRule="auto"/>
        <w:jc w:val="center"/>
        <w:rPr>
          <w:b/>
          <w:bCs/>
          <w:sz w:val="24"/>
          <w:szCs w:val="24"/>
        </w:rPr>
      </w:pPr>
      <w:r>
        <w:rPr>
          <w:b/>
          <w:bCs/>
          <w:sz w:val="24"/>
          <w:szCs w:val="24"/>
        </w:rPr>
        <w:t>“</w:t>
      </w:r>
      <w:r w:rsidR="00556E51" w:rsidRPr="00556E51">
        <w:rPr>
          <w:b/>
          <w:bCs/>
          <w:sz w:val="24"/>
          <w:szCs w:val="24"/>
        </w:rPr>
        <w:t>Examination of the Bristol Royal Investigation of Infirmary and Systemic Healthcare Deficiencies”</w:t>
      </w:r>
    </w:p>
    <w:p w14:paraId="6AD2FAD5" w14:textId="3AEDB27E" w:rsidR="00556E51" w:rsidRDefault="00556E51" w:rsidP="00556E51">
      <w:pPr>
        <w:spacing w:line="259" w:lineRule="auto"/>
      </w:pPr>
    </w:p>
    <w:p w14:paraId="4BE56204" w14:textId="59539DA1" w:rsidR="00556E51" w:rsidRDefault="00556E51" w:rsidP="00556E51">
      <w:pPr>
        <w:pStyle w:val="Heading1"/>
      </w:pPr>
      <w:bookmarkStart w:id="2" w:name="_Toc226812980"/>
      <w:r w:rsidRPr="00556E51">
        <w:t>1. Introduction</w:t>
      </w:r>
      <w:bookmarkEnd w:id="2"/>
    </w:p>
    <w:p w14:paraId="7C27C9D9" w14:textId="280CA300" w:rsidR="00556E51" w:rsidRDefault="00556E51" w:rsidP="00556E51">
      <w:r>
        <w:t>One of the most significant patient safety incidents in healthcare history occurred at the Bristol Royal Infirmary (BRI) Inquiry. This event may be seen as a turning point in understanding how massive patient harm can occur when there is a lack of clinical governance and systemic quality assurance. There were insufficient quality assurance procedures in place in the child heart surgery service at Bristol Royal Infirmary from 1984 to 1995, leading to fatality rates that were almost double those in comparable NHS units (Wagstaff et al., 2022). According to van Dael et al. (2022), the unit's provision was different from other comparable services throughout England, which contributed to an estimated 30 to 35 additional deaths of infants under one year old between 1991 and 1995.</w:t>
      </w:r>
    </w:p>
    <w:p w14:paraId="07D5F438" w14:textId="72E783A3" w:rsidR="00556E51" w:rsidRDefault="00556E51" w:rsidP="00556E51">
      <w:pPr>
        <w:jc w:val="center"/>
      </w:pPr>
      <w:r>
        <w:rPr>
          <w:noProof/>
          <w:lang w:val="en-US"/>
        </w:rPr>
        <w:drawing>
          <wp:inline distT="0" distB="0" distL="0" distR="0" wp14:anchorId="4825A23D" wp14:editId="74A47C64">
            <wp:extent cx="4483100" cy="2689860"/>
            <wp:effectExtent l="152400" t="152400" r="355600" b="3581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3507" cy="2690104"/>
                    </a:xfrm>
                    <a:prstGeom prst="rect">
                      <a:avLst/>
                    </a:prstGeom>
                    <a:ln>
                      <a:noFill/>
                    </a:ln>
                    <a:effectLst>
                      <a:outerShdw blurRad="292100" dist="139700" dir="2700000" algn="tl" rotWithShape="0">
                        <a:srgbClr val="333333">
                          <a:alpha val="65000"/>
                        </a:srgbClr>
                      </a:outerShdw>
                    </a:effectLst>
                  </pic:spPr>
                </pic:pic>
              </a:graphicData>
            </a:graphic>
          </wp:inline>
        </w:drawing>
      </w:r>
    </w:p>
    <w:p w14:paraId="36B1EB18" w14:textId="4AC59243" w:rsidR="00556E51" w:rsidRPr="00556E51" w:rsidRDefault="00556E51" w:rsidP="00556E51">
      <w:pPr>
        <w:jc w:val="center"/>
        <w:rPr>
          <w:b/>
          <w:bCs/>
          <w:i/>
          <w:iCs/>
        </w:rPr>
      </w:pPr>
      <w:r w:rsidRPr="00556E51">
        <w:rPr>
          <w:b/>
          <w:bCs/>
          <w:i/>
          <w:iCs/>
        </w:rPr>
        <w:t>Figure 1: Bristol Royal infirmary inquiry (Morris, 2016)</w:t>
      </w:r>
    </w:p>
    <w:p w14:paraId="0CE9192D" w14:textId="2CCFC5C2" w:rsidR="00556E51" w:rsidRDefault="00556E51" w:rsidP="00556E51">
      <w:r>
        <w:t xml:space="preserve">Professor Ian Kennedy presided over The Inquiry, which examined the treatment of almost 1,800 children from 1998 to 2001 and heard testimony from 577 witnesses, 238 of them were parents of impacted children (Sinnott et al., 2024). A favourable environment that enabled avoidable harm was created by a conglomeration of problems that this extensive investigation exposed in the organization's accountability structure, clinical governance systems, audit processes, and culture. </w:t>
      </w:r>
      <w:r w:rsidR="00617439" w:rsidRPr="00617439">
        <w:t>The Bristol case exemplifies the failure to address high mortality rates and inadequate quality assurance practices, clinical audit procedures, regulatory controls, and a club culture that discouraged accountability and transparency (Quality and Clinical Audit Procedure, 2025).</w:t>
      </w:r>
    </w:p>
    <w:p w14:paraId="3705EC9B" w14:textId="6A91A52C" w:rsidR="00556E51" w:rsidRDefault="00556E51" w:rsidP="00556E51">
      <w:r>
        <w:t>This case's significance extends much beyond the Bristol context. Following the Inquiry's findings, the National Institute for Health and Care Excellence (NICE) and the Commission in Health Improvement (now known as the Care Quality Commission) were established as national organisations, and statutory revalidation procedures for medical professionals were instituted (GOV. UK, 2025). These reforms have had a profound impact on the NHS's approach to quality assurance. Healthcare organisations today would stop at nothing to prevent a recurrence of the avoidable catastrophes that occurred at Bristol; thus, it is critical that we understand what went wrong and have theoretical models to explain how systemic failures occur.</w:t>
      </w:r>
    </w:p>
    <w:p w14:paraId="77D30E44" w14:textId="7952DA8F" w:rsidR="00556E51" w:rsidRDefault="00556E51" w:rsidP="00556E51">
      <w:r>
        <w:t>The study examines the case study of Bristol Royal Infirmary through the lens of contemporary theories and frameworks for quality management. It seeks to uncover the reasons behind the incident, any gaps in policy, and the significant effects on healthcare resources, public trust, organisational learning, and patient outcomes.  This study demonstrates how quality failures are caused by organisational and policy misalignment using systems theory, the Swiss Cheese Model, the Fishbone Diagram, and the Donabedian Model.  Using PDSA, PDCA, and Six Sigma to provide implementation and organisational improvement techniques, the paper finishes with evidence-based suggestions for averting future quality failures.</w:t>
      </w:r>
    </w:p>
    <w:p w14:paraId="38F95705" w14:textId="62D0AA2F" w:rsidR="00556E51" w:rsidRDefault="00556E51">
      <w:pPr>
        <w:spacing w:line="259" w:lineRule="auto"/>
        <w:jc w:val="left"/>
      </w:pPr>
      <w:r>
        <w:br w:type="page"/>
      </w:r>
    </w:p>
    <w:p w14:paraId="2ED443D6" w14:textId="31875FCE" w:rsidR="00556E51" w:rsidRDefault="00556E51" w:rsidP="00556E51">
      <w:pPr>
        <w:pStyle w:val="Heading1"/>
      </w:pPr>
      <w:bookmarkStart w:id="3" w:name="_Toc226812981"/>
      <w:r>
        <w:t>2. Main Body</w:t>
      </w:r>
      <w:bookmarkEnd w:id="3"/>
    </w:p>
    <w:p w14:paraId="7A1DB55F" w14:textId="02407FB0" w:rsidR="00556E51" w:rsidRDefault="00556E51" w:rsidP="00556E51">
      <w:pPr>
        <w:pStyle w:val="Heading2"/>
      </w:pPr>
      <w:bookmarkStart w:id="4" w:name="_Toc226812982"/>
      <w:r>
        <w:t>2.1 The Swiss Cheese Model</w:t>
      </w:r>
      <w:bookmarkEnd w:id="4"/>
    </w:p>
    <w:p w14:paraId="2B3B5F3D" w14:textId="72DE0BEB" w:rsidR="00556E51" w:rsidRDefault="00817051" w:rsidP="00817051">
      <w:r w:rsidRPr="00817051">
        <w:t>James Reason proposed the Swiss Cheese model, which views healthcare systems as a network of interconnected obstacles, each with its own unique set of flaws. If these cracks are in several levels and the system fails without anybody seeing or fixing them, the patient might suffer serious consequences.</w:t>
      </w:r>
    </w:p>
    <w:p w14:paraId="2231BB20" w14:textId="4B4CECC6" w:rsidR="00817051" w:rsidRDefault="00817051" w:rsidP="00817051">
      <w:pPr>
        <w:jc w:val="center"/>
      </w:pPr>
      <w:r>
        <w:rPr>
          <w:noProof/>
          <w:lang w:val="en-US"/>
        </w:rPr>
        <w:drawing>
          <wp:inline distT="0" distB="0" distL="0" distR="0" wp14:anchorId="2FC75F3E" wp14:editId="53F060E5">
            <wp:extent cx="4886325" cy="2401587"/>
            <wp:effectExtent l="152400" t="152400" r="352425" b="3606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7200" cy="2406932"/>
                    </a:xfrm>
                    <a:prstGeom prst="rect">
                      <a:avLst/>
                    </a:prstGeom>
                    <a:ln>
                      <a:noFill/>
                    </a:ln>
                    <a:effectLst>
                      <a:outerShdw blurRad="292100" dist="139700" dir="2700000" algn="tl" rotWithShape="0">
                        <a:srgbClr val="333333">
                          <a:alpha val="65000"/>
                        </a:srgbClr>
                      </a:outerShdw>
                    </a:effectLst>
                  </pic:spPr>
                </pic:pic>
              </a:graphicData>
            </a:graphic>
          </wp:inline>
        </w:drawing>
      </w:r>
    </w:p>
    <w:p w14:paraId="68E48B9F" w14:textId="77777777" w:rsidR="00817051" w:rsidRPr="00B25A8B" w:rsidRDefault="00817051" w:rsidP="00817051">
      <w:pPr>
        <w:jc w:val="center"/>
        <w:rPr>
          <w:b/>
          <w:bCs/>
          <w:i/>
          <w:iCs/>
        </w:rPr>
      </w:pPr>
      <w:r w:rsidRPr="00B25A8B">
        <w:rPr>
          <w:b/>
          <w:bCs/>
          <w:i/>
          <w:iCs/>
        </w:rPr>
        <w:t>Figure 1: Swiss Cheese model (Stein and Heiss, 2015)</w:t>
      </w:r>
    </w:p>
    <w:p w14:paraId="34A6F320" w14:textId="377FBABD" w:rsidR="00817051" w:rsidRDefault="00817051" w:rsidP="00817051">
      <w:r>
        <w:t>The organisational level failures in Bristol point to a systemic issue with the Trust structure. Bristol Royal Infirmary became administratively independent after the 1989–1991 NHS reforms that granted hospitals Trust status; nonetheless, it failed to establish robust systems for monitoring accountability and quality (Abuzied et al., 2023). Under Dr. Roylance's leadership, the Trust's corporately isolated clinical directorates inhibited employees from bringing issues to the attention of upper management.</w:t>
      </w:r>
    </w:p>
    <w:p w14:paraId="72ACE37B" w14:textId="3A2BAE3E" w:rsidR="00817051" w:rsidRDefault="00817051" w:rsidP="00817051">
      <w:r>
        <w:t>Because of the shortcomings at the management and supervisory levels, there was a pervasive club culture that concentrated authority around a small group of influential people, most notably among the senior cardiologists and surgeons (Barr and Brannan, 2024). Problems with patient safety took a back seat to professional hierarchy and loyalty in this society. Without a history or culture of reviewing clinical outcome data and responding to concerning patterns, the Trust Board was severely lacking in clinical quality management. Across the country, oversight was seriously jeopardised (Dyer, 2001). No one explicitly assumed responsibility for quality monitoring, despite claims to the contrary by professional groups including the Royal College of Surgeons, regional health administrations, and the Supra Regional Services Advisory Group (SRSAG) (Bottle and Aylin, 2025). As early as 1991, anaesthesiologist Stephen Bolsin was among the frontline staff whose objections and concerning death numbers were disregarded and uninvestigated due to the administration's laissez-faire attitude (Buist and Arnold, 2022).</w:t>
      </w:r>
    </w:p>
    <w:p w14:paraId="4B7C324D" w14:textId="38C8423C" w:rsidR="00817051" w:rsidRDefault="00817051" w:rsidP="00817051">
      <w:r>
        <w:t>The working environment was not conducive to conducting safe paediatric heart surgery due to unsafe circumstances and preconditions. Due to a lack of paediatric expertise and an unsuitable location, paediatric patients were treated with adult patients in the intensive care unit (Endeshaw, 2020). Inadequately qualified paediatric nurses and cardiologists also contributed to the problem of unsafe healthcare delivery. Despite the fact that these systemic shortcomings persisted over time, they were never severe enough to warrant immediate attention from service providers (Esposito and Dal Canton, 2014).</w:t>
      </w:r>
    </w:p>
    <w:p w14:paraId="75A1DD19" w14:textId="08B16DEB" w:rsidR="00817051" w:rsidRDefault="00817051" w:rsidP="00817051">
      <w:r w:rsidRPr="00817051">
        <w:t>In the face of failure, clinical judgements were maintained and risky surgical procedures were seen as examples of active failures at the clinical level. There was a lack of formal regulation, ethical evaluation, and a defined method for patient permission when surgeons began performing new and potentially dangerous treatments (Exworthy, Mannion and Powell, 2023). Despite the unsatisfactory cumulative death rate, risky procedures were proceeded with in at-risk groups, particularly in children less than one year. Despite clinicians having access to mortality data demonstrating that their performance was poorer than comparable units, they remained mired in a growth mindset focused on the learning curve rather than critically evaluating whether their procedures were endangering patients (Gilmore et al., 2022). Healthcare Skills Training International (2024) states that there is an urgent need for professional reflection and a failure to intellectualise excess fatalities as sentinel instances that warrant investigation, rather than as normal stages of surgical education.</w:t>
      </w:r>
    </w:p>
    <w:p w14:paraId="40ECF76F" w14:textId="2699BC3E" w:rsidR="00817051" w:rsidRDefault="00817051" w:rsidP="00817051">
      <w:pPr>
        <w:pStyle w:val="Heading2"/>
      </w:pPr>
      <w:bookmarkStart w:id="5" w:name="_Toc226812983"/>
      <w:r w:rsidRPr="00817051">
        <w:t>2.2 Fishbone Diagram: Structured Root Cause Identification</w:t>
      </w:r>
      <w:bookmarkEnd w:id="5"/>
    </w:p>
    <w:p w14:paraId="72D75696" w14:textId="5A42DFA0" w:rsidR="00817051" w:rsidRDefault="00817051" w:rsidP="00817051">
      <w:r w:rsidRPr="00817051">
        <w:t>A multi-cause quality failure may be better understood and analysed with the use of the Fishbone (Ishikawa) Diagram. Preventable damage in Bristol was caused by failures across numerous operational categories, as shown in the figure.</w:t>
      </w:r>
    </w:p>
    <w:p w14:paraId="589A2729" w14:textId="77777777" w:rsidR="00817051" w:rsidRDefault="00817051" w:rsidP="00817051">
      <w:pPr>
        <w:jc w:val="center"/>
      </w:pPr>
      <w:r>
        <w:rPr>
          <w:noProof/>
          <w:lang w:val="en-US"/>
        </w:rPr>
        <w:drawing>
          <wp:inline distT="0" distB="0" distL="0" distR="0" wp14:anchorId="3F87D593" wp14:editId="0B445025">
            <wp:extent cx="4017010" cy="2372555"/>
            <wp:effectExtent l="152400" t="152400" r="364490" b="370840"/>
            <wp:docPr id="5" name="Picture 5" descr="A generic representation of the Ishikawa diagram aka Fishbone diagr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eneric representation of the Ishikawa diagram aka Fishbone diagram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1108" cy="2374975"/>
                    </a:xfrm>
                    <a:prstGeom prst="rect">
                      <a:avLst/>
                    </a:prstGeom>
                    <a:ln>
                      <a:noFill/>
                    </a:ln>
                    <a:effectLst>
                      <a:outerShdw blurRad="292100" dist="139700" dir="2700000" algn="tl" rotWithShape="0">
                        <a:srgbClr val="333333">
                          <a:alpha val="65000"/>
                        </a:srgbClr>
                      </a:outerShdw>
                    </a:effectLst>
                  </pic:spPr>
                </pic:pic>
              </a:graphicData>
            </a:graphic>
          </wp:inline>
        </w:drawing>
      </w:r>
    </w:p>
    <w:p w14:paraId="2CDD4409" w14:textId="7F7451D1" w:rsidR="00817051" w:rsidRPr="0033722F" w:rsidRDefault="00817051" w:rsidP="00817051">
      <w:pPr>
        <w:jc w:val="center"/>
        <w:rPr>
          <w:b/>
          <w:bCs/>
          <w:i/>
          <w:iCs/>
        </w:rPr>
      </w:pPr>
      <w:r w:rsidRPr="0033722F">
        <w:rPr>
          <w:b/>
          <w:bCs/>
          <w:i/>
          <w:iCs/>
        </w:rPr>
        <w:t xml:space="preserve">Figure </w:t>
      </w:r>
      <w:r>
        <w:rPr>
          <w:b/>
          <w:bCs/>
          <w:i/>
          <w:iCs/>
        </w:rPr>
        <w:t>3</w:t>
      </w:r>
      <w:r w:rsidRPr="0033722F">
        <w:rPr>
          <w:b/>
          <w:bCs/>
          <w:i/>
          <w:iCs/>
        </w:rPr>
        <w:t>: Fishbone diagram (Hristoski et al., 2017)</w:t>
      </w:r>
    </w:p>
    <w:p w14:paraId="2C526178" w14:textId="3250223C" w:rsidR="00817051" w:rsidRDefault="00817051" w:rsidP="00817051">
      <w:r w:rsidRPr="00817051">
        <w:rPr>
          <w:b/>
          <w:bCs/>
        </w:rPr>
        <w:t>The workforce</w:t>
      </w:r>
      <w:r>
        <w:t xml:space="preserve"> </w:t>
      </w:r>
      <w:r w:rsidR="00964A63" w:rsidRPr="00964A63">
        <w:t>lacked enough qualified professionals. The service could have used more pediatric nurses and child cardiologists. Not only were there staffing issues, but there was also a noticeable lack of training in informed consent communication skills and insufficient pediatric-specific clinical care (Hough, 2022). These at-risk patients could not be adequately cared for by surgeons who focused on difficult paediatric surgery.</w:t>
      </w:r>
    </w:p>
    <w:p w14:paraId="5D0C61DA" w14:textId="042E23FA" w:rsidR="00817051" w:rsidRDefault="00817051" w:rsidP="00817051">
      <w:r w:rsidRPr="00817051">
        <w:rPr>
          <w:b/>
          <w:bCs/>
        </w:rPr>
        <w:t>Facility and equipment</w:t>
      </w:r>
      <w:r>
        <w:t xml:space="preserve"> considerations revealed an absence of specialised paediatric critical care units, since the combined adult-pediatric ICUs were deficient in paediatric design, personnel, and procedures. The divided operational sites obstructed communication and coordination among essential clinical teams. Maintenance of obsolete equipment was inadequate (Kumah et al., 2024). The operating theatre and intensive care unit were located on separate floors, resulting in an unregulated lift system disrupting clinical care.</w:t>
      </w:r>
    </w:p>
    <w:p w14:paraId="5289E892" w14:textId="1040D30B" w:rsidR="00817051" w:rsidRDefault="00817051" w:rsidP="00817051">
      <w:r w:rsidRPr="00817051">
        <w:rPr>
          <w:b/>
          <w:bCs/>
        </w:rPr>
        <w:t>Material and resource</w:t>
      </w:r>
      <w:r>
        <w:t xml:space="preserve"> </w:t>
      </w:r>
      <w:r w:rsidR="00964A63" w:rsidRPr="00964A63">
        <w:t>There were issues with inadequate equipment finance and ongoing shortages of supplies. Instead of allocating funds specifically for medical equipment, the service relied on philanthropic donations. Critical safety needs were impacted by resource limits (McDermott et al., 2022).</w:t>
      </w:r>
    </w:p>
    <w:p w14:paraId="1B7372EE" w14:textId="4867AC2D" w:rsidR="00817051" w:rsidRDefault="00817051" w:rsidP="00817051">
      <w:r w:rsidRPr="00817051">
        <w:rPr>
          <w:b/>
          <w:bCs/>
        </w:rPr>
        <w:t>Methods and variables</w:t>
      </w:r>
      <w:r>
        <w:t xml:space="preserve"> revealed significant deficiencies. No defined standards existed for the introduction of novel surgical methods or ethical evaluations for experimental treatments (Medic Earth, 2025). </w:t>
      </w:r>
      <w:r w:rsidR="00964A63" w:rsidRPr="00964A63">
        <w:t>The audits were not methodical, and they lacked organization. In order to evaluate complications, mortality, and morbidity in real time, no comprehensive outcome monitoring methods were in place.</w:t>
      </w:r>
    </w:p>
    <w:p w14:paraId="370CCFE1" w14:textId="77777777" w:rsidR="00817051" w:rsidRDefault="00817051" w:rsidP="00817051"/>
    <w:p w14:paraId="03B190BA" w14:textId="2D49EB75" w:rsidR="00817051" w:rsidRDefault="00817051" w:rsidP="00817051">
      <w:r w:rsidRPr="00817051">
        <w:rPr>
          <w:b/>
          <w:bCs/>
        </w:rPr>
        <w:t>Measurement variables</w:t>
      </w:r>
      <w:r>
        <w:t xml:space="preserve"> indicated an absence of a quality measurement infrastructure. No standardised evaluation of care quality was available. The performance measures were ambiguous and unreliable. No systematic approach was used to assess clinical performance against established standards or analogous units. The gathered data was disjointed and not consolidated into quality metrics.</w:t>
      </w:r>
    </w:p>
    <w:p w14:paraId="6ACE523E" w14:textId="143503CE" w:rsidR="00817051" w:rsidRDefault="00817051" w:rsidP="00817051">
      <w:r w:rsidRPr="00817051">
        <w:rPr>
          <w:b/>
          <w:bCs/>
        </w:rPr>
        <w:t>Managerial influences</w:t>
      </w:r>
      <w:r>
        <w:t xml:space="preserve"> included "club culture" characterised by centralised authority. Interdepartmental communication within the clinical setting was significantly obstructed. Distinct clinical directorates mitigated the emergence of safety problems (Moore et al., 2015). Management frameworks emphasised professional autonomy rather than responsibility for outcomes. Leadership strongly opposed openness in clinical decision-making and inquiry.</w:t>
      </w:r>
    </w:p>
    <w:p w14:paraId="50DFC2B6" w14:textId="651DFAAB" w:rsidR="00964A63" w:rsidRDefault="00964A63" w:rsidP="00817051">
      <w:r w:rsidRPr="00964A63">
        <w:rPr>
          <w:b/>
          <w:bCs/>
        </w:rPr>
        <w:t>Outside forces:</w:t>
      </w:r>
      <w:r w:rsidRPr="00964A63">
        <w:t xml:space="preserve"> NHS-wide resource limits due to organizational turmoil were one external driver. Uncertainty permeated the organization as a result of the Trust transition. Recruiting pediatric specialists was difficult because of shortages throughout the nation (Murray et al., 2024). Clinical governance mechanisms and quality monitoring were not required under NHS policy at that time.</w:t>
      </w:r>
    </w:p>
    <w:p w14:paraId="5BE72510" w14:textId="7ADC8D55" w:rsidR="00A977A9" w:rsidRDefault="00A977A9" w:rsidP="00A977A9">
      <w:pPr>
        <w:pStyle w:val="Heading2"/>
      </w:pPr>
      <w:bookmarkStart w:id="6" w:name="_Toc226812984"/>
      <w:r w:rsidRPr="00A977A9">
        <w:t>2.3 The Donabedian Model</w:t>
      </w:r>
      <w:bookmarkEnd w:id="6"/>
    </w:p>
    <w:p w14:paraId="7A26FB19" w14:textId="7DBC549F" w:rsidR="00A977A9" w:rsidRDefault="00A977A9" w:rsidP="00817051">
      <w:r w:rsidRPr="00A977A9">
        <w:t>Clinical process failures and poor patient outcomes are shown by the Donabedian Model, which was established by Avedis Donabedian in 1966.</w:t>
      </w:r>
    </w:p>
    <w:p w14:paraId="07ED0FA2" w14:textId="67C13029" w:rsidR="00A977A9" w:rsidRDefault="00A977A9" w:rsidP="00A977A9">
      <w:pPr>
        <w:jc w:val="center"/>
      </w:pPr>
      <w:r>
        <w:rPr>
          <w:noProof/>
          <w:lang w:val="en-US"/>
        </w:rPr>
        <w:drawing>
          <wp:inline distT="0" distB="0" distL="0" distR="0" wp14:anchorId="3A0B5969" wp14:editId="3959A5DE">
            <wp:extent cx="3206750" cy="2647258"/>
            <wp:effectExtent l="152400" t="152400" r="336550" b="344170"/>
            <wp:docPr id="6" name="Picture 6" descr="Three circles, one on the left and two vertically stacked on the right. The one on the left is labeled structures. On the right, the one on top is labeled processes and the one on the bottom is labeled outcomes. There is a two-way arrow between structures and processes, a one-way arrow from processes down to outcomes, and a two-way arrow from outcomes to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circles, one on the left and two vertically stacked on the right. The one on the left is labeled structures. On the right, the one on top is labeled processes and the one on the bottom is labeled outcomes. There is a two-way arrow between structures and processes, a one-way arrow from processes down to outcomes, and a two-way arrow from outcomes to stru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4951" cy="2654028"/>
                    </a:xfrm>
                    <a:prstGeom prst="rect">
                      <a:avLst/>
                    </a:prstGeom>
                    <a:ln>
                      <a:noFill/>
                    </a:ln>
                    <a:effectLst>
                      <a:outerShdw blurRad="292100" dist="139700" dir="2700000" algn="tl" rotWithShape="0">
                        <a:srgbClr val="333333">
                          <a:alpha val="65000"/>
                        </a:srgbClr>
                      </a:outerShdw>
                    </a:effectLst>
                  </pic:spPr>
                </pic:pic>
              </a:graphicData>
            </a:graphic>
          </wp:inline>
        </w:drawing>
      </w:r>
    </w:p>
    <w:p w14:paraId="2C7D7559" w14:textId="1B3745FA" w:rsidR="00A977A9" w:rsidRPr="0033722F" w:rsidRDefault="00A977A9" w:rsidP="00A977A9">
      <w:pPr>
        <w:jc w:val="center"/>
        <w:rPr>
          <w:b/>
          <w:bCs/>
          <w:i/>
          <w:iCs/>
        </w:rPr>
      </w:pPr>
      <w:r w:rsidRPr="0033722F">
        <w:rPr>
          <w:b/>
          <w:bCs/>
          <w:i/>
          <w:iCs/>
        </w:rPr>
        <w:t xml:space="preserve">Figure </w:t>
      </w:r>
      <w:r>
        <w:rPr>
          <w:b/>
          <w:bCs/>
          <w:i/>
          <w:iCs/>
        </w:rPr>
        <w:t>4</w:t>
      </w:r>
      <w:r w:rsidRPr="0033722F">
        <w:rPr>
          <w:b/>
          <w:bCs/>
          <w:i/>
          <w:iCs/>
        </w:rPr>
        <w:t>: Donabedian Model (Tossaint-Schoenmakers et al., 2021)</w:t>
      </w:r>
    </w:p>
    <w:p w14:paraId="4353AB15" w14:textId="5218C09B" w:rsidR="00A977A9" w:rsidRDefault="00964A63" w:rsidP="00A977A9">
      <w:r w:rsidRPr="00964A63">
        <w:t>A lack of qualified paediatric specialists, antiquated medical equipment, inefficient organizational structures that hampered clinical quality, and inadequate physical infrastructure (split-site operations, poor ICU design) were some of the systemic problems shown by Bristol (Murray and Barnes, 2023).</w:t>
      </w:r>
      <w:r>
        <w:t xml:space="preserve"> </w:t>
      </w:r>
      <w:r w:rsidR="00A977A9">
        <w:t>The business culture deliberately hindered quality improvement. Inadequate and volatile financial resources resulted in uncertainty over personnel and equipment. Importantly, there were no governance frameworks established for quality supervision, auditing, or result evaluation. The structural flaws were enduring and indicative of organisational design decisions taken over ten years earlier (Noronha et al., 2021).</w:t>
      </w:r>
    </w:p>
    <w:p w14:paraId="0753EC49" w14:textId="4AC57014" w:rsidR="00A977A9" w:rsidRDefault="00A977A9" w:rsidP="00A977A9">
      <w:r w:rsidRPr="00A977A9">
        <w:rPr>
          <w:b/>
          <w:bCs/>
        </w:rPr>
        <w:t>Failures in processes</w:t>
      </w:r>
      <w:r>
        <w:t xml:space="preserve"> were evident throughout clinical treatment. Inaccurate pre-operative evaluation and risk stratification hindered diagnosis. </w:t>
      </w:r>
      <w:r w:rsidR="00964A63" w:rsidRPr="00964A63">
        <w:t>Unsuccessful high-risk therapies continued because no systematic outcome data influenced treatment decisions. The perioperative treatment of critical care patients was not standardized. The clinical teams' communication was disorganized. Notably, systems for reporting mistakes, investigating incidents, or learning from bad experiences were nonexistent. The inability to assess results for patients and make adjustments to procedures was noted by Penix et al. (2019).</w:t>
      </w:r>
    </w:p>
    <w:p w14:paraId="402F7EE5" w14:textId="400DE0B4" w:rsidR="00A977A9" w:rsidRDefault="00A977A9" w:rsidP="00A977A9">
      <w:r>
        <w:t xml:space="preserve">Catastrophic and measurable </w:t>
      </w:r>
      <w:r w:rsidRPr="00A977A9">
        <w:rPr>
          <w:b/>
          <w:bCs/>
        </w:rPr>
        <w:t>failed results</w:t>
      </w:r>
      <w:r>
        <w:t>. Infants under one year of age receiving open-heart surgery in Bristol had a death rate twice the national norm. From 1991 to 1995, the unit resulted in 30 to 35 more fatalities over the anticipated figures for similar facilities. A multitude of youngsters had irreversible neurological impairment, extended durations in critical care, and problems from inadequate treatment, including fatality (Phillips et al., 2025). The feedback system, intended to prompt inquiry and process modification, did not rectify these result failures despite the presence of data.</w:t>
      </w:r>
    </w:p>
    <w:p w14:paraId="3D074263" w14:textId="181431BA" w:rsidR="00A977A9" w:rsidRDefault="00A977A9" w:rsidP="00A977A9">
      <w:r>
        <w:t>The Donabedian Model demonstrates that structural deficiencies and ineffective procedures lead to Bristol's subpar outcomes. The model's principal notion that structures influences process and results is pertinent here.</w:t>
      </w:r>
    </w:p>
    <w:p w14:paraId="2A717777" w14:textId="77777777" w:rsidR="00A977A9" w:rsidRDefault="00A977A9" w:rsidP="00A977A9">
      <w:pPr>
        <w:pStyle w:val="Heading2"/>
      </w:pPr>
      <w:bookmarkStart w:id="7" w:name="_Toc215965592"/>
      <w:bookmarkStart w:id="8" w:name="_Toc226812985"/>
      <w:r w:rsidRPr="0033722F">
        <w:t>2.4 Systems Theory and Organizational Failures</w:t>
      </w:r>
      <w:bookmarkEnd w:id="7"/>
      <w:bookmarkEnd w:id="8"/>
    </w:p>
    <w:p w14:paraId="04147174" w14:textId="26A16ED5" w:rsidR="00A977A9" w:rsidRDefault="00A977A9" w:rsidP="00A977A9">
      <w:r>
        <w:t>Poor organisational and systemic design, rather than individual clinical mistakes, is the root cause of healthcare quality failures, according to systems theory. There were systemic problems within the National Health Service (NHS) as a whole, as well as individual mistakes, according to the Bristol Inquiry, which adopted a systems perspective.</w:t>
      </w:r>
    </w:p>
    <w:p w14:paraId="07CC2C03" w14:textId="1A259947" w:rsidR="00A977A9" w:rsidRDefault="00A977A9" w:rsidP="00A977A9">
      <w:r>
        <w:t>Bristol had systemic mismatch in several domains. Clinical concerns were downplayed rather than brought to light owing to the organization's structural hierarchies, which impeded the free flow of information (Sangani et al., 2021). Patient safety and openness were pushed to the back burner in an old-boy, culturally prejudiced network where preserving one's reputation and one's collegiality took precedence. Systematic monitoring of results was not possible due to outdated equipment and inadequate IT infrastructure (Sjarifudin and Kurnia, 2022). There was no need for clinical oversight, auditing, or accountability procedures in the local or national policy. Regulatory systems in the workplace lacked mechanisms to identify and address subpar performance.</w:t>
      </w:r>
    </w:p>
    <w:p w14:paraId="59C4752D" w14:textId="2F75FF9A" w:rsidR="00A977A9" w:rsidRDefault="00A977A9" w:rsidP="00A977A9">
      <w:r>
        <w:t>The coexistence of all these misalignments for over a decade may be explained by systems theory. Whether it's disciplining individual physicians, adding additional personnel, or purchasing new and improved equipment, there is no silver bullet to remedy the systemic failing. To prevent a repeat, a comprehensive system redesign is required, one that addresses internal and external factors such as governance, cultural norms, policy requirements, professional regulation, and supervision (Thakur, Akerele and Randell, 2022).</w:t>
      </w:r>
    </w:p>
    <w:p w14:paraId="5CDB835F" w14:textId="6C4BB7D7" w:rsidR="00A977A9" w:rsidRDefault="00A977A9">
      <w:pPr>
        <w:spacing w:line="259" w:lineRule="auto"/>
        <w:jc w:val="left"/>
      </w:pPr>
      <w:r>
        <w:br w:type="page"/>
      </w:r>
    </w:p>
    <w:p w14:paraId="4A5936C8" w14:textId="02D12ED3" w:rsidR="00A977A9" w:rsidRDefault="00A977A9" w:rsidP="00A977A9">
      <w:pPr>
        <w:pStyle w:val="Heading1"/>
      </w:pPr>
      <w:bookmarkStart w:id="9" w:name="_Toc226812986"/>
      <w:r>
        <w:t xml:space="preserve">3. </w:t>
      </w:r>
      <w:r w:rsidRPr="00A977A9">
        <w:t>Recommendations:</w:t>
      </w:r>
      <w:r>
        <w:t xml:space="preserve"> Evidence-Based Quality Assurance and Service Improvement Methods</w:t>
      </w:r>
      <w:bookmarkEnd w:id="9"/>
    </w:p>
    <w:p w14:paraId="2FD89543" w14:textId="2DFE1039" w:rsidR="00A977A9" w:rsidRDefault="00A977A9" w:rsidP="00A977A9">
      <w:pPr>
        <w:pStyle w:val="Heading2"/>
      </w:pPr>
      <w:bookmarkStart w:id="10" w:name="_Toc226812987"/>
      <w:r>
        <w:t>3.1 Strong Clinical Governance Frameworks</w:t>
      </w:r>
      <w:bookmarkEnd w:id="10"/>
    </w:p>
    <w:p w14:paraId="06C11DB3" w14:textId="355B2656" w:rsidR="00A977A9" w:rsidRDefault="00A977A9" w:rsidP="00A977A9">
      <w:r w:rsidRPr="00A977A9">
        <w:t>The failings at Bristol point to the need for enterprise-wide clinical governance systems that include clear quality responsibility, audit protocols, reporting of clinical outcomes that is both transparent and accountable, and leadership that is devoted to constant improvement (Tufail et al., 2021).  Quality assurance is not enough; clinical governance as a whole has to be strengthened. To complete, it requires:</w:t>
      </w:r>
    </w:p>
    <w:p w14:paraId="2E22E960" w14:textId="608197FD" w:rsidR="00A977A9" w:rsidRDefault="00A977A9" w:rsidP="00A977A9">
      <w:r w:rsidRPr="00A977A9">
        <w:rPr>
          <w:b/>
          <w:bCs/>
        </w:rPr>
        <w:t>Governance and Responsibility of the Board:</w:t>
      </w:r>
      <w:r>
        <w:t xml:space="preserve"> </w:t>
      </w:r>
      <w:r w:rsidR="00964A63" w:rsidRPr="00964A63">
        <w:t>Instead, then concentrating just on access or financial success, the board should make clinical excellence its mission. Board members are expected to have strong clinical skills, consistently work with high-quality data, and prioritize transparency and analytical thinking. Instead of focusing on symptoms, committees at the board level should analyze clinical outcome data for trends and address the underlying causes (Wiegmann et al., 2022).</w:t>
      </w:r>
    </w:p>
    <w:p w14:paraId="5701E84D" w14:textId="22FA6413" w:rsidR="00A977A9" w:rsidRDefault="00A977A9" w:rsidP="00A977A9">
      <w:r w:rsidRPr="00A977A9">
        <w:rPr>
          <w:b/>
          <w:bCs/>
        </w:rPr>
        <w:t>Methodical Clinical Audit Protocols:</w:t>
      </w:r>
      <w:r>
        <w:t xml:space="preserve"> Organisational clinical audits must be conducted routinely rather than sporadically. Audits must juxtapose real practices against evidence-based standards using standardised methodologies. The audit must provide periodic reports with explicit suggestions, implementation strategies, and follow-up schedules to verify modifications and enhanced outcomes (Barr and Brannan, 2024). Audits must include professionals, managers, and patients to guarantee that varied views contribute to enhancements.</w:t>
      </w:r>
    </w:p>
    <w:p w14:paraId="7ADE0431" w14:textId="2018968F" w:rsidR="00964A63" w:rsidRDefault="00964A63" w:rsidP="00A977A9">
      <w:r w:rsidRPr="00964A63">
        <w:t>Institutions must have thorough methods to collect, evaluate, and report clinical outcomes including mortality, morbidity, complication rates, and patient experience in order to establish transparent outcome monitoring and data systems. Outliers should be identified for further investigation by a thorough data analysis in accordance with national and international standards (Bottle and Aylin, 2025). Improvement and accountability are fostered when outcome data is made transparent to external regulators, patients, families, and clinicians.</w:t>
      </w:r>
    </w:p>
    <w:p w14:paraId="04DA8F22" w14:textId="71536F4B" w:rsidR="00A977A9" w:rsidRDefault="00A977A9" w:rsidP="00A977A9">
      <w:r w:rsidRPr="00A977A9">
        <w:rPr>
          <w:b/>
          <w:bCs/>
        </w:rPr>
        <w:t>Professional Advancement and Instruction:</w:t>
      </w:r>
      <w:r>
        <w:t xml:space="preserve"> All clinical personnel are required to participate in continuous professional development addressing knowledge and skill deficiencies. Instruction in clinical competence, communication, collaboration, mistake control, and reflective practice is essential (Buist and Arnold, 2022). Organisations should foster a culture of learning by allowing employees to derive insights from errors and near-misses without facing sanctions.</w:t>
      </w:r>
    </w:p>
    <w:p w14:paraId="28E18429" w14:textId="3F17F1F7" w:rsidR="00A977A9" w:rsidRDefault="00A977A9" w:rsidP="00A977A9">
      <w:pPr>
        <w:pStyle w:val="Heading2"/>
      </w:pPr>
      <w:bookmarkStart w:id="11" w:name="_Toc215965595"/>
      <w:bookmarkStart w:id="12" w:name="_Toc226812988"/>
      <w:r w:rsidRPr="003C37FF">
        <w:t>3.</w:t>
      </w:r>
      <w:r>
        <w:t>2</w:t>
      </w:r>
      <w:r w:rsidRPr="003C37FF">
        <w:t xml:space="preserve"> Implementing Quality Improvement Using PDSA </w:t>
      </w:r>
      <w:r>
        <w:t>Tool</w:t>
      </w:r>
      <w:bookmarkEnd w:id="11"/>
      <w:bookmarkEnd w:id="12"/>
    </w:p>
    <w:p w14:paraId="64A3FF7C" w14:textId="322216EE" w:rsidR="00A977A9" w:rsidRDefault="00A977A9" w:rsidP="00A977A9">
      <w:r>
        <w:t>The Plan-Do-Study-Act (PDSA) cycle is a methodical, evidence-driven framework for evaluating and executing quality improvement at the local level, enabling rapid feedback and process refinement prior to broader implementation.</w:t>
      </w:r>
    </w:p>
    <w:p w14:paraId="028D25E5" w14:textId="77777777" w:rsidR="00A977A9" w:rsidRPr="00A977A9" w:rsidRDefault="00A977A9" w:rsidP="00A977A9">
      <w:pPr>
        <w:rPr>
          <w:b/>
          <w:bCs/>
        </w:rPr>
      </w:pPr>
      <w:r w:rsidRPr="00A977A9">
        <w:rPr>
          <w:b/>
          <w:bCs/>
        </w:rPr>
        <w:t>Phase 1: Plan</w:t>
      </w:r>
    </w:p>
    <w:p w14:paraId="47999FEA" w14:textId="60D66766" w:rsidR="00A977A9" w:rsidRDefault="00A977A9" w:rsidP="00A977A9">
      <w:r>
        <w:t>Specify the recognised quality issue requiring improvement (e.g., comprehensive evaluation of all outcomes related to paediatric cardiac surgery; standardisation of the informed consent procedure; multidisciplinary team assessment of all high-risk patients) (Abuzied et al., 2023). Establish objectives for improvement.</w:t>
      </w:r>
    </w:p>
    <w:p w14:paraId="5AC835B6" w14:textId="1C49A413" w:rsidR="00A977A9" w:rsidRPr="00A977A9" w:rsidRDefault="00A977A9" w:rsidP="00A977A9">
      <w:pPr>
        <w:rPr>
          <w:b/>
          <w:bCs/>
        </w:rPr>
      </w:pPr>
      <w:r w:rsidRPr="00A977A9">
        <w:rPr>
          <w:b/>
          <w:bCs/>
        </w:rPr>
        <w:t>Phase 2: Do</w:t>
      </w:r>
    </w:p>
    <w:p w14:paraId="0F8BDEDA" w14:textId="50283595" w:rsidR="00A977A9" w:rsidRDefault="00A977A9" w:rsidP="00A977A9">
      <w:r>
        <w:t>Implement the modification in a pilot study, specifically regarding the patient count or duration. Systematically collect implementation data, including adherence to new procedures, encountered hurdles, and unintended consequences (Sinnott et al., 2024). Engage frontline personnel in the implementation process, elucidate the need for change, and empower them to make choices to address any obstacles to change.</w:t>
      </w:r>
    </w:p>
    <w:p w14:paraId="4F4A57CC" w14:textId="319C7650" w:rsidR="00A977A9" w:rsidRPr="00A977A9" w:rsidRDefault="00A977A9" w:rsidP="00A977A9">
      <w:pPr>
        <w:rPr>
          <w:b/>
          <w:bCs/>
        </w:rPr>
      </w:pPr>
      <w:r w:rsidRPr="00A977A9">
        <w:rPr>
          <w:b/>
          <w:bCs/>
        </w:rPr>
        <w:t>Phase 3: Study</w:t>
      </w:r>
    </w:p>
    <w:p w14:paraId="767880B5" w14:textId="5A73A517" w:rsidR="00A977A9" w:rsidRDefault="00A977A9" w:rsidP="00A977A9">
      <w:r>
        <w:t>Contrast pilot stage data and outcomes with the baseline. Determine whether the anticipated improvements were achieved via the intervention or if additional negative consequences occurred (Wagstaff et al., 2022). Identify barriers to successful execution. Enquire with stakeholders on their experiences with the change and their perceptions of its effectiveness.</w:t>
      </w:r>
    </w:p>
    <w:p w14:paraId="67E5D279" w14:textId="21914EE1" w:rsidR="00A977A9" w:rsidRPr="00A977A9" w:rsidRDefault="00A977A9" w:rsidP="00A977A9">
      <w:pPr>
        <w:rPr>
          <w:b/>
          <w:bCs/>
        </w:rPr>
      </w:pPr>
      <w:r w:rsidRPr="00A977A9">
        <w:rPr>
          <w:b/>
          <w:bCs/>
        </w:rPr>
        <w:t>Stage 4:  Act</w:t>
      </w:r>
    </w:p>
    <w:p w14:paraId="14AA5D76" w14:textId="5E8BDA50" w:rsidR="00A977A9" w:rsidRDefault="00A977A9" w:rsidP="00A977A9">
      <w:r>
        <w:t>The findings indicate that either the modification should be accepted for broader implementation or need further development via more PDSA cycles (Wiegmann et al., 2022). Implement procedures that ensure continued adoption, evaluate outcomes, and prevent regression to previous practices. In the event of failure, modify the intervention design based on the insights gained and conduct more PDSA cycles (Tufail et al., 2021).</w:t>
      </w:r>
    </w:p>
    <w:p w14:paraId="030CED9B" w14:textId="77777777" w:rsidR="00A977A9" w:rsidRDefault="00A977A9" w:rsidP="00A977A9">
      <w:pPr>
        <w:pStyle w:val="Heading2"/>
      </w:pPr>
      <w:bookmarkStart w:id="13" w:name="_Toc215965596"/>
      <w:bookmarkStart w:id="14" w:name="_Toc226812989"/>
      <w:r w:rsidRPr="003C37FF">
        <w:t>3.</w:t>
      </w:r>
      <w:r>
        <w:t>3</w:t>
      </w:r>
      <w:r w:rsidRPr="003C37FF">
        <w:t xml:space="preserve"> Applying Six Sigma </w:t>
      </w:r>
      <w:r>
        <w:t>Tool</w:t>
      </w:r>
      <w:r w:rsidRPr="003C37FF">
        <w:t xml:space="preserve"> for Process Standardization</w:t>
      </w:r>
      <w:bookmarkEnd w:id="13"/>
      <w:bookmarkEnd w:id="14"/>
    </w:p>
    <w:p w14:paraId="4CDFD811" w14:textId="100AC8B8" w:rsidR="00A977A9" w:rsidRDefault="00A977A9" w:rsidP="00A977A9">
      <w:r>
        <w:t>Six Sigma offers a data-driven approach for detecting and reducing process irregularities that undermine quality.</w:t>
      </w:r>
    </w:p>
    <w:p w14:paraId="1F310ADD" w14:textId="362E48B0" w:rsidR="00A977A9" w:rsidRDefault="00A977A9" w:rsidP="00A977A9">
      <w:r w:rsidRPr="00D43B98">
        <w:rPr>
          <w:b/>
          <w:bCs/>
        </w:rPr>
        <w:t>Definition Phase:</w:t>
      </w:r>
      <w:r>
        <w:t xml:space="preserve"> Detail the enhancement procedure (e.g., the preoperative assessment of paediatric cardiac patients, or the administration of critical care scenarios). Establishing customer expectations and requirements, particularly for patients and families, requires an understanding of hazards and reasonable result anticipations (Tufail et al., 2021).</w:t>
      </w:r>
    </w:p>
    <w:p w14:paraId="28DC1D93" w14:textId="3F2548D4" w:rsidR="00A977A9" w:rsidRDefault="00A977A9" w:rsidP="00A977A9">
      <w:r w:rsidRPr="00D43B98">
        <w:rPr>
          <w:b/>
          <w:bCs/>
        </w:rPr>
        <w:t>Measurement Phase:</w:t>
      </w:r>
      <w:r>
        <w:t xml:space="preserve"> Systematically collect performance data in the current process. Evaluate if the present implementation of the process involves distinct clinical teams using different methodologies. What is the present status of safety measures, outcome measures, and patient satisfaction? Establish baseline metrics for comparison with post-intervention performance (Thakur, Akerele, and Randell, 2022). Acquire statistical methodologies to understand patterns of variance.</w:t>
      </w:r>
    </w:p>
    <w:p w14:paraId="64D8E9BD" w14:textId="6489D35E" w:rsidR="00A977A9" w:rsidRDefault="00A977A9" w:rsidP="00A977A9">
      <w:r w:rsidRPr="00D43B98">
        <w:rPr>
          <w:b/>
          <w:bCs/>
        </w:rPr>
        <w:t>Analyze Phase:</w:t>
      </w:r>
      <w:r>
        <w:t xml:space="preserve"> Identify the root causes of process failures with Fishbone diagrams, process flow analysis, and statistical analysis. Determine the process differences associated with result variations (Phillips et al., 2025). Identify organisational impediments to excellence (inadequate personnel, outdated equipment, insufficient training, ambiguous processes). Involve frontline personnel in the study, since they possess insight into the actual restrictions and obstacles.</w:t>
      </w:r>
    </w:p>
    <w:p w14:paraId="0FB0034A" w14:textId="37C1D935" w:rsidR="00A977A9" w:rsidRDefault="00A977A9" w:rsidP="00A977A9">
      <w:r w:rsidRPr="00D43B98">
        <w:rPr>
          <w:b/>
          <w:bCs/>
        </w:rPr>
        <w:t>Improve Phase:</w:t>
      </w:r>
      <w:r>
        <w:t xml:space="preserve"> Standardised methods for the process, grounded on best practices and analytical outcomes, were developed (Penix et al., 2019). Implement the improved procedure in regulated pilot settings. Document new processes comprehensively, ensuring that all employees are aware of and required to execute them consistently.</w:t>
      </w:r>
    </w:p>
    <w:p w14:paraId="36432154" w14:textId="6930AC1A" w:rsidR="00A977A9" w:rsidRDefault="00A977A9" w:rsidP="00A977A9">
      <w:r w:rsidRPr="00D43B98">
        <w:rPr>
          <w:b/>
          <w:bCs/>
        </w:rPr>
        <w:t xml:space="preserve">Control Phase: </w:t>
      </w:r>
      <w:r>
        <w:t>Implement procedures to verify ongoing adherence to the new processes and the achievement of performance targets. Standardisation is guaranteed by the implementation of frequent audits that verify its existence. Establish feedback control systems that facilitate the prompt detection of standard deviations or the emergence of new concerns (Noronha et al., 2021).</w:t>
      </w:r>
    </w:p>
    <w:p w14:paraId="0B4758CF" w14:textId="4B26BE3D" w:rsidR="00A977A9" w:rsidRDefault="00A977A9">
      <w:pPr>
        <w:spacing w:line="259" w:lineRule="auto"/>
        <w:jc w:val="left"/>
      </w:pPr>
      <w:r>
        <w:br w:type="page"/>
      </w:r>
    </w:p>
    <w:p w14:paraId="17818BAF" w14:textId="77777777" w:rsidR="00A977A9" w:rsidRDefault="00A977A9" w:rsidP="00A977A9">
      <w:pPr>
        <w:pStyle w:val="Heading1"/>
      </w:pPr>
      <w:bookmarkStart w:id="15" w:name="_Toc215965597"/>
      <w:bookmarkStart w:id="16" w:name="_Toc226812990"/>
      <w:r w:rsidRPr="00CA0475">
        <w:t>4. Conclusion</w:t>
      </w:r>
      <w:bookmarkEnd w:id="15"/>
      <w:bookmarkEnd w:id="16"/>
    </w:p>
    <w:p w14:paraId="16DE0215" w14:textId="02FC9753" w:rsidR="00D43B98" w:rsidRDefault="00D43B98" w:rsidP="00D43B98">
      <w:r>
        <w:t>The Bristol Royal Infirmary Inquiry marked a watershed moment in healthcare quality assurance history, marking the transition from an era of lax external oversight and individual accountability to one in which organisations were held directly accountable for healthcare safety and quality. This analysis will demonstrate that there are widespread systemic failures within organisational structures, governance structures, policy gaps, professional regulation gaps, and organisational culture by methodically applying quality management theories such as the Systems Theory, the Swiss Cheese Model, the Fishbone Diagram, and the Donabedian Model.</w:t>
      </w:r>
    </w:p>
    <w:p w14:paraId="27A95841" w14:textId="3BCC020E" w:rsidR="00D43B98" w:rsidRDefault="00D43B98" w:rsidP="00D43B98">
      <w:r>
        <w:t>The system failures had devastating consequences, including the needless deaths of 30-35 children between 1991 and 1995, other children with permanent complications, the public's distrust in healthcare facilities, and the state's loss of millions of dollars in investigation and clean-up costs. The tragedy may have been prevented with the support of robust clinical governance systems, standard audit processes, open outcome monitoring, and cultures that value accountability, openness, and ongoing learning.</w:t>
      </w:r>
    </w:p>
    <w:p w14:paraId="1A5B587A" w14:textId="1C77B77E" w:rsidR="00D43B98" w:rsidRDefault="00D43B98" w:rsidP="00D43B98">
      <w:r>
        <w:t>By establishing PDSA cycles for quality improvement and using the Six Sigma tool for process standardisation, the offered solutions build clinical governance frameworks and directly address the underlying causes found via systematic analysis. The many advancements in healthcare throughout the globe have validated these approaches. The implementation of these suggestions requires a shift in culture that values quality and safety more than ease of use or maintaining a good name, as well as the undivided attention of top management.</w:t>
      </w:r>
    </w:p>
    <w:p w14:paraId="285CF71D" w14:textId="00C0DF4C" w:rsidR="00A977A9" w:rsidRDefault="00D43B98" w:rsidP="00D43B98">
      <w:r>
        <w:t>On a global scale, several changes have been implemented to promote accountability, openness, and systematic quality assurance as a result of Bristol's efforts to improve healthcare quality. But still carefulness is necessary.</w:t>
      </w:r>
    </w:p>
    <w:p w14:paraId="6D119E89" w14:textId="57FBF0D1" w:rsidR="00D43B98" w:rsidRDefault="00D43B98">
      <w:pPr>
        <w:spacing w:line="259" w:lineRule="auto"/>
        <w:jc w:val="left"/>
      </w:pPr>
      <w:r>
        <w:br w:type="page"/>
      </w:r>
    </w:p>
    <w:p w14:paraId="77527649" w14:textId="4F5B73F7" w:rsidR="00D43B98" w:rsidRDefault="00D43B98" w:rsidP="00D43B98">
      <w:pPr>
        <w:pStyle w:val="Heading1"/>
      </w:pPr>
      <w:bookmarkStart w:id="17" w:name="_Toc226812991"/>
      <w:r>
        <w:t>References</w:t>
      </w:r>
      <w:bookmarkEnd w:id="17"/>
    </w:p>
    <w:p w14:paraId="04E429DE" w14:textId="77777777" w:rsidR="00297C68" w:rsidRDefault="00297C68" w:rsidP="00297C68">
      <w:r>
        <w:t xml:space="preserve">Abuzied, Y., Alshammary, S.A., Alhalahlah, T. and Somduth, S. (2023). Using FOCUS-PDSA Quality Improvement Methodology Model in Healthcare: Process and Outcomes. </w:t>
      </w:r>
      <w:r>
        <w:rPr>
          <w:i/>
          <w:iCs/>
        </w:rPr>
        <w:t>Global Journal on Quality and Safety in Healthcare</w:t>
      </w:r>
      <w:r>
        <w:t xml:space="preserve">, [online] 6(2), pp.70–72. doi: </w:t>
      </w:r>
      <w:hyperlink r:id="rId12" w:history="1">
        <w:r w:rsidRPr="009F02A2">
          <w:rPr>
            <w:rStyle w:val="Hyperlink"/>
          </w:rPr>
          <w:t>https://doi.org/10.36401/jqsh-22-19</w:t>
        </w:r>
      </w:hyperlink>
      <w:r>
        <w:t>.</w:t>
      </w:r>
    </w:p>
    <w:p w14:paraId="4026D1CF" w14:textId="77777777" w:rsidR="00297C68" w:rsidRDefault="00297C68" w:rsidP="00297C68">
      <w:r>
        <w:t xml:space="preserve">Barr, E. and Brannan, G.D. (2024). </w:t>
      </w:r>
      <w:r>
        <w:rPr>
          <w:i/>
          <w:iCs/>
        </w:rPr>
        <w:t>Quality improvement methods (LEAN, PDSA, SIX SIGMA)</w:t>
      </w:r>
      <w:r>
        <w:t xml:space="preserve">. [online] PubMed. Available at: </w:t>
      </w:r>
      <w:hyperlink r:id="rId13" w:history="1">
        <w:r w:rsidRPr="009F02A2">
          <w:rPr>
            <w:rStyle w:val="Hyperlink"/>
          </w:rPr>
          <w:t>https://www.ncbi.nlm.nih.gov/books/NBK599556/</w:t>
        </w:r>
      </w:hyperlink>
      <w:r>
        <w:t>.</w:t>
      </w:r>
    </w:p>
    <w:p w14:paraId="2C4BD9D4" w14:textId="77777777" w:rsidR="00297C68" w:rsidRDefault="00297C68" w:rsidP="00297C68">
      <w:r>
        <w:t xml:space="preserve">Bottle, A. and Aylin, P. (2025). Improving the Safety and Quality of Healthcare Using Statistical Analysis of Routinely Collected Data. </w:t>
      </w:r>
      <w:r>
        <w:rPr>
          <w:i/>
          <w:iCs/>
        </w:rPr>
        <w:t>Mathematics in Industry</w:t>
      </w:r>
      <w:r>
        <w:t xml:space="preserve">, pp.155–161. doi: </w:t>
      </w:r>
      <w:hyperlink r:id="rId14" w:history="1">
        <w:r w:rsidRPr="009F02A2">
          <w:rPr>
            <w:rStyle w:val="Hyperlink"/>
          </w:rPr>
          <w:t>https://doi.org/10.1007/978-3-031-48683-8_20</w:t>
        </w:r>
      </w:hyperlink>
      <w:r>
        <w:t>.</w:t>
      </w:r>
    </w:p>
    <w:p w14:paraId="74F05581" w14:textId="77777777" w:rsidR="00297C68" w:rsidRDefault="00297C68" w:rsidP="00297C68">
      <w:r>
        <w:t xml:space="preserve">Buist, M. and Arnold, G. (2022). </w:t>
      </w:r>
      <w:r>
        <w:rPr>
          <w:i/>
          <w:iCs/>
        </w:rPr>
        <w:t>Clinical Futile Cycles: Systematic Microeconomic Reform of Health Care by Reform of the Traditional Hierarchical Referral Model of Care</w:t>
      </w:r>
      <w:r>
        <w:t xml:space="preserve">. [online] www.intechopen.com. Available at: </w:t>
      </w:r>
      <w:hyperlink r:id="rId15" w:history="1">
        <w:r w:rsidRPr="009F02A2">
          <w:rPr>
            <w:rStyle w:val="Hyperlink"/>
          </w:rPr>
          <w:t>https://www.intechopen.com/chapters/82848</w:t>
        </w:r>
      </w:hyperlink>
      <w:r>
        <w:t>.</w:t>
      </w:r>
    </w:p>
    <w:p w14:paraId="430D3E9C" w14:textId="77777777" w:rsidR="00297C68" w:rsidRDefault="00297C68" w:rsidP="00297C68">
      <w:r>
        <w:t xml:space="preserve">Dyer, C. (2001). Bristol inquiry. </w:t>
      </w:r>
      <w:r>
        <w:rPr>
          <w:i/>
          <w:iCs/>
        </w:rPr>
        <w:t>BMJ</w:t>
      </w:r>
      <w:r>
        <w:t xml:space="preserve">, [online] 323(7306), pp.181–181. doi: </w:t>
      </w:r>
      <w:hyperlink r:id="rId16" w:history="1">
        <w:r w:rsidRPr="009F02A2">
          <w:rPr>
            <w:rStyle w:val="Hyperlink"/>
          </w:rPr>
          <w:t>https://doi.org/10.1136/bmj.323.7306.181</w:t>
        </w:r>
      </w:hyperlink>
      <w:r>
        <w:t>.</w:t>
      </w:r>
    </w:p>
    <w:p w14:paraId="6E27AD2D" w14:textId="77777777" w:rsidR="00297C68" w:rsidRDefault="00297C68" w:rsidP="00297C68">
      <w:r>
        <w:t xml:space="preserve">Endeshaw, B. (2020). Healthcare service quality-measurement models: A review. </w:t>
      </w:r>
      <w:r>
        <w:rPr>
          <w:i/>
          <w:iCs/>
        </w:rPr>
        <w:t>Journal of Health Research</w:t>
      </w:r>
      <w:r>
        <w:t>, 35(2).</w:t>
      </w:r>
    </w:p>
    <w:p w14:paraId="032B94A2" w14:textId="77777777" w:rsidR="00297C68" w:rsidRDefault="00297C68" w:rsidP="00297C68">
      <w:r>
        <w:t xml:space="preserve">Esposito, P. and Dal Canton, A. (2014). Clinical audit, a Valuable Tool to Improve Quality of care: General Methodology and Applications in Nephrology. </w:t>
      </w:r>
      <w:r>
        <w:rPr>
          <w:i/>
          <w:iCs/>
        </w:rPr>
        <w:t>World Journal of Nephrology</w:t>
      </w:r>
      <w:r>
        <w:t xml:space="preserve">, [online] 3(4), pp.249–255. doi: </w:t>
      </w:r>
      <w:hyperlink r:id="rId17" w:history="1">
        <w:r w:rsidRPr="009F02A2">
          <w:rPr>
            <w:rStyle w:val="Hyperlink"/>
          </w:rPr>
          <w:t>https://doi.org/10.5527/wjn.v3.i4.249</w:t>
        </w:r>
      </w:hyperlink>
      <w:r>
        <w:t>.</w:t>
      </w:r>
    </w:p>
    <w:p w14:paraId="39F1B2F0" w14:textId="77777777" w:rsidR="00297C68" w:rsidRDefault="00297C68" w:rsidP="00297C68">
      <w:r>
        <w:t xml:space="preserve">Exworthy, M., Mannion, R. and Powell, M. (2023). </w:t>
      </w:r>
      <w:r>
        <w:rPr>
          <w:i/>
          <w:iCs/>
        </w:rPr>
        <w:t>The NHS at 75</w:t>
      </w:r>
      <w:r>
        <w:t>. Policy Press.</w:t>
      </w:r>
    </w:p>
    <w:p w14:paraId="086A81DA" w14:textId="77777777" w:rsidR="00297C68" w:rsidRDefault="00297C68" w:rsidP="00297C68">
      <w:r>
        <w:t xml:space="preserve">Gilmore, K.J., Corazza, I., Coletta, L. and Allin, S. (2022). The uses of Patient Reported Experience Measures in health systems: a systematic narrative review. </w:t>
      </w:r>
      <w:r>
        <w:rPr>
          <w:i/>
          <w:iCs/>
        </w:rPr>
        <w:t>Health Policy</w:t>
      </w:r>
      <w:r>
        <w:t xml:space="preserve">, [online] 128. doi: </w:t>
      </w:r>
      <w:hyperlink r:id="rId18" w:history="1">
        <w:r w:rsidRPr="009F02A2">
          <w:rPr>
            <w:rStyle w:val="Hyperlink"/>
          </w:rPr>
          <w:t>https://doi.org/10.1016/j.healthpol.2022.07.008</w:t>
        </w:r>
      </w:hyperlink>
      <w:r>
        <w:t>.</w:t>
      </w:r>
    </w:p>
    <w:p w14:paraId="79043872" w14:textId="77777777" w:rsidR="00297C68" w:rsidRDefault="00297C68" w:rsidP="00297C68">
      <w:r>
        <w:t xml:space="preserve">GOV. UK (2025). </w:t>
      </w:r>
      <w:r>
        <w:rPr>
          <w:i/>
          <w:iCs/>
        </w:rPr>
        <w:t>Clinical Governance Annual Report 2024 to 2025</w:t>
      </w:r>
      <w:r>
        <w:t xml:space="preserve">. [online] GOV.UK. Available at: </w:t>
      </w:r>
      <w:hyperlink r:id="rId19" w:history="1">
        <w:r w:rsidRPr="009F02A2">
          <w:rPr>
            <w:rStyle w:val="Hyperlink"/>
          </w:rPr>
          <w:t>https://www.gov.uk/government/publications/clinical-governance-annual-report-2024-to-2025/clinical-governance-annual-report-2024-to-2025</w:t>
        </w:r>
      </w:hyperlink>
      <w:r>
        <w:t>.</w:t>
      </w:r>
    </w:p>
    <w:p w14:paraId="31F66CB8" w14:textId="77777777" w:rsidR="00297C68" w:rsidRDefault="00297C68" w:rsidP="00297C68">
      <w:r>
        <w:t xml:space="preserve">Healthcare Skills Training International. (2024). </w:t>
      </w:r>
      <w:r>
        <w:rPr>
          <w:i/>
          <w:iCs/>
        </w:rPr>
        <w:t>UK Governance in Healthcare – What Went Wrong? - Healthcare Skills Training International</w:t>
      </w:r>
      <w:r>
        <w:t xml:space="preserve">. [online] Available at: </w:t>
      </w:r>
      <w:hyperlink r:id="rId20" w:history="1">
        <w:r w:rsidRPr="009F02A2">
          <w:rPr>
            <w:rStyle w:val="Hyperlink"/>
          </w:rPr>
          <w:t>https://healthcareskills.com/news-item/uk-governance-in-healthcare-what-went-wrong/</w:t>
        </w:r>
      </w:hyperlink>
      <w:r>
        <w:t>.</w:t>
      </w:r>
    </w:p>
    <w:p w14:paraId="55B599B2" w14:textId="77777777" w:rsidR="00297C68" w:rsidRDefault="00297C68" w:rsidP="00297C68"/>
    <w:p w14:paraId="32D62D1D" w14:textId="77777777" w:rsidR="00297C68" w:rsidRDefault="00297C68" w:rsidP="00297C68">
      <w:r>
        <w:t xml:space="preserve">Hough, A. (2022). Governing for quality and safeguarding: what might disability service provider boards learn from others? </w:t>
      </w:r>
      <w:r>
        <w:rPr>
          <w:i/>
          <w:iCs/>
        </w:rPr>
        <w:t>Research and Practice in Intellectual and Developmental Disabilities</w:t>
      </w:r>
      <w:r>
        <w:t xml:space="preserve">, pp.1–16. doi: </w:t>
      </w:r>
      <w:hyperlink r:id="rId21" w:history="1">
        <w:r w:rsidRPr="009F02A2">
          <w:rPr>
            <w:rStyle w:val="Hyperlink"/>
          </w:rPr>
          <w:t>https://doi.org/10.1080/23297018.2022.2109193</w:t>
        </w:r>
      </w:hyperlink>
      <w:r>
        <w:t>.</w:t>
      </w:r>
    </w:p>
    <w:p w14:paraId="5D8D7724" w14:textId="77777777" w:rsidR="00297C68" w:rsidRDefault="00297C68" w:rsidP="00297C68">
      <w:r>
        <w:t xml:space="preserve">Hristoski, I.S., Olivera Kostoska, Zoran Kotevski and Dimovski, T. (2017). Causality of Factors Reducing Competitiveness of e-Commerce Firms. [online] Vol. 3(No. 2), p.pp. 109-127. Available at: </w:t>
      </w:r>
      <w:hyperlink r:id="rId22" w:history="1">
        <w:r w:rsidRPr="009F02A2">
          <w:rPr>
            <w:rStyle w:val="Hyperlink"/>
          </w:rPr>
          <w:t>https://www.researchgate.net/publication/317196193_Causality_of_Factors_Reducing_Competitiveness_of_e-Commerce_Firms</w:t>
        </w:r>
      </w:hyperlink>
      <w:r>
        <w:t>.</w:t>
      </w:r>
    </w:p>
    <w:p w14:paraId="17209678" w14:textId="77777777" w:rsidR="00297C68" w:rsidRDefault="00297C68" w:rsidP="00297C68">
      <w:r>
        <w:t xml:space="preserve">Kumah, A., Nwogu, C.N., Issah, A.-R., Obot, E., Kanamitie, D.T., Sifa, J.S. and Aidoo, L.A. (2024). Cause-and-Effect (Fishbone) Diagram: a Tool for Generating and Organizing Quality Improvement Ideas. </w:t>
      </w:r>
      <w:r>
        <w:rPr>
          <w:i/>
          <w:iCs/>
        </w:rPr>
        <w:t>Innovations Journals</w:t>
      </w:r>
      <w:r>
        <w:t xml:space="preserve">, [online] 7(2), pp.85–87. doi: </w:t>
      </w:r>
      <w:hyperlink r:id="rId23" w:history="1">
        <w:r w:rsidRPr="009F02A2">
          <w:rPr>
            <w:rStyle w:val="Hyperlink"/>
          </w:rPr>
          <w:t>https://doi.org/10.36401/JQSH-23-42</w:t>
        </w:r>
      </w:hyperlink>
      <w:r>
        <w:t>.</w:t>
      </w:r>
    </w:p>
    <w:p w14:paraId="58392CC5" w14:textId="77777777" w:rsidR="00297C68" w:rsidRDefault="00297C68" w:rsidP="00297C68">
      <w:r w:rsidRPr="00D43B98">
        <w:t xml:space="preserve">Morris, S. (2016). Staff and skills shortages at Bristol hospital ‘put children at risk’. The Guardian. [online] 29 Jun. Available at: </w:t>
      </w:r>
      <w:hyperlink r:id="rId24" w:history="1">
        <w:r w:rsidRPr="001D5F86">
          <w:rPr>
            <w:rStyle w:val="Hyperlink"/>
          </w:rPr>
          <w:t>https://www.theguardian.com/society/2016/jun/30/staff-and-skills-shortages-bristol-hospital-royal-children-at-risk</w:t>
        </w:r>
      </w:hyperlink>
      <w:r w:rsidRPr="00D43B98">
        <w:t>.</w:t>
      </w:r>
    </w:p>
    <w:p w14:paraId="24775DBB" w14:textId="77777777" w:rsidR="00297C68" w:rsidRDefault="00297C68" w:rsidP="00297C68">
      <w:r>
        <w:t xml:space="preserve">McDermott, O., Antony, J., Sony, M., Rosa, A., Hickey, M. and Grant, T.A. (2022). A study on Ishikawa’s original basic tools of quality control in healthcare. </w:t>
      </w:r>
      <w:r>
        <w:rPr>
          <w:i/>
          <w:iCs/>
        </w:rPr>
        <w:t>The TQM Journal</w:t>
      </w:r>
      <w:r>
        <w:t xml:space="preserve">, 35(7). doi: </w:t>
      </w:r>
      <w:hyperlink r:id="rId25" w:history="1">
        <w:r w:rsidRPr="009F02A2">
          <w:rPr>
            <w:rStyle w:val="Hyperlink"/>
          </w:rPr>
          <w:t>https://doi.org/10.1108/tqm-06-2022-0187</w:t>
        </w:r>
      </w:hyperlink>
      <w:r>
        <w:t>.</w:t>
      </w:r>
    </w:p>
    <w:p w14:paraId="12539272" w14:textId="77777777" w:rsidR="00297C68" w:rsidRDefault="00297C68" w:rsidP="00297C68">
      <w:r>
        <w:t xml:space="preserve">Medic Earth. (2025). </w:t>
      </w:r>
      <w:r>
        <w:rPr>
          <w:i/>
          <w:iCs/>
        </w:rPr>
        <w:t>Donabedian Model: Structure, Process, and Outcome for Healthcare Quality Assessment - Medic Earth</w:t>
      </w:r>
      <w:r>
        <w:t xml:space="preserve">. [online] Available at: </w:t>
      </w:r>
      <w:hyperlink r:id="rId26" w:history="1">
        <w:r w:rsidRPr="009F02A2">
          <w:rPr>
            <w:rStyle w:val="Hyperlink"/>
          </w:rPr>
          <w:t>https://medicearth.in/total-quality-management/donabedian-model-healthcare-quality/</w:t>
        </w:r>
      </w:hyperlink>
      <w:r>
        <w:t>.</w:t>
      </w:r>
    </w:p>
    <w:p w14:paraId="2B25EC24" w14:textId="77777777" w:rsidR="00297C68" w:rsidRDefault="00297C68" w:rsidP="00297C68">
      <w:r>
        <w:t xml:space="preserve">Moore, L., Lavoie, A., Bourgeois, G. and Lapointe, J. (2015). Donabedian’s structure-process-outcome quality of care model: Validation in an integrated trauma system. </w:t>
      </w:r>
      <w:r>
        <w:rPr>
          <w:i/>
          <w:iCs/>
        </w:rPr>
        <w:t>The journal of trauma and acute care surgery</w:t>
      </w:r>
      <w:r>
        <w:t xml:space="preserve">, 78(6), pp.1168–75. doi: </w:t>
      </w:r>
      <w:hyperlink r:id="rId27" w:history="1">
        <w:r w:rsidRPr="009F02A2">
          <w:rPr>
            <w:rStyle w:val="Hyperlink"/>
          </w:rPr>
          <w:t>https://doi.org/10.1097/TA.0000000000000663</w:t>
        </w:r>
      </w:hyperlink>
      <w:r>
        <w:t>.</w:t>
      </w:r>
    </w:p>
    <w:p w14:paraId="68E0FAEA" w14:textId="77777777" w:rsidR="00297C68" w:rsidRDefault="00297C68" w:rsidP="00297C68">
      <w:r>
        <w:t xml:space="preserve">Murray, J., Sorra, J., Gale, B. and Mossburg, S. (2024). Ensuring Patient and Workforce Safety Culture in Healthcare. </w:t>
      </w:r>
      <w:r>
        <w:rPr>
          <w:i/>
          <w:iCs/>
        </w:rPr>
        <w:t>psnet.ahrq.gov</w:t>
      </w:r>
      <w:r>
        <w:t xml:space="preserve">. [online] Available at: </w:t>
      </w:r>
      <w:hyperlink r:id="rId28" w:history="1">
        <w:r w:rsidRPr="009F02A2">
          <w:rPr>
            <w:rStyle w:val="Hyperlink"/>
          </w:rPr>
          <w:t>https://psnet.ahrq.gov/perspective/ensuring-patient-and-workforce-safety-culture-healthcare</w:t>
        </w:r>
      </w:hyperlink>
      <w:r>
        <w:t>.</w:t>
      </w:r>
    </w:p>
    <w:p w14:paraId="1A06DB0C" w14:textId="77777777" w:rsidR="00297C68" w:rsidRDefault="00297C68" w:rsidP="00297C68">
      <w:r>
        <w:t xml:space="preserve">Murray, M. and Barnes, A. (2023). Safety and Quality in Healthcare. </w:t>
      </w:r>
      <w:r>
        <w:rPr>
          <w:i/>
          <w:iCs/>
        </w:rPr>
        <w:t>oercollective.caul.edu.au</w:t>
      </w:r>
      <w:r>
        <w:t xml:space="preserve">. [online] Available at: </w:t>
      </w:r>
      <w:hyperlink r:id="rId29" w:history="1">
        <w:r w:rsidRPr="009F02A2">
          <w:rPr>
            <w:rStyle w:val="Hyperlink"/>
          </w:rPr>
          <w:t>https://oercollective.caul.edu.au/leading-in-health-and-social-care/chapter/quality-and-safety-in-healthcare/</w:t>
        </w:r>
      </w:hyperlink>
      <w:r>
        <w:t>.</w:t>
      </w:r>
    </w:p>
    <w:p w14:paraId="140E0E63" w14:textId="77777777" w:rsidR="00297C68" w:rsidRDefault="00297C68" w:rsidP="00297C68">
      <w:r>
        <w:t xml:space="preserve">Noronha, A., Bhat, S., Gijo, E.V., Antony, J., Laureani, A. and Laux, C. (2021). Performance and service quality enhancement in a healthcare setting through lean six sigma strategy. </w:t>
      </w:r>
      <w:r>
        <w:rPr>
          <w:i/>
          <w:iCs/>
        </w:rPr>
        <w:t>International Journal of Quality &amp; Reliability Management</w:t>
      </w:r>
      <w:r>
        <w:t xml:space="preserve">, ahead-of-print(ahead-of-print). doi: </w:t>
      </w:r>
      <w:hyperlink r:id="rId30" w:history="1">
        <w:r w:rsidRPr="009F02A2">
          <w:rPr>
            <w:rStyle w:val="Hyperlink"/>
          </w:rPr>
          <w:t>https://doi.org/10.1108/ijqrm-07-2021-0226</w:t>
        </w:r>
      </w:hyperlink>
      <w:r>
        <w:t>.</w:t>
      </w:r>
    </w:p>
    <w:p w14:paraId="7A4ABA30" w14:textId="77777777" w:rsidR="00297C68" w:rsidRDefault="00297C68" w:rsidP="00297C68">
      <w:r>
        <w:t xml:space="preserve">Penix, R., Kish, J., Gustovich, M. and Cudnik, M. (2019). Lean Six Sigma Methodology in the Implementation of a Standardized Health Literacy Assessment in a Safety Net Internal Medicine Residency Clinic. </w:t>
      </w:r>
      <w:r>
        <w:rPr>
          <w:i/>
          <w:iCs/>
        </w:rPr>
        <w:t>HLRP: Health Literacy Research and Practice</w:t>
      </w:r>
      <w:r>
        <w:t xml:space="preserve">, 3(1), pp.e25–e30. doi: </w:t>
      </w:r>
      <w:hyperlink r:id="rId31" w:history="1">
        <w:r w:rsidRPr="009F02A2">
          <w:rPr>
            <w:rStyle w:val="Hyperlink"/>
          </w:rPr>
          <w:t>https://doi.org/10.3928/24748307-20181217-01</w:t>
        </w:r>
      </w:hyperlink>
      <w:r>
        <w:t>.</w:t>
      </w:r>
    </w:p>
    <w:p w14:paraId="1FD5B58E" w14:textId="77777777" w:rsidR="00297C68" w:rsidRDefault="00297C68" w:rsidP="00297C68">
      <w:r>
        <w:t xml:space="preserve">Phillips, A.J., Bowen, R., Wells, M., McNeish, I. and Sundar, S. (2025). Key clinical findings from the IMPROVE-UK quality improvement projects: an overview. </w:t>
      </w:r>
      <w:r>
        <w:rPr>
          <w:i/>
          <w:iCs/>
        </w:rPr>
        <w:t>BMJ open quality</w:t>
      </w:r>
      <w:r>
        <w:t xml:space="preserve">, [online] 14(Suppl 1), p.e002902. doi: </w:t>
      </w:r>
      <w:hyperlink r:id="rId32" w:history="1">
        <w:r w:rsidRPr="009F02A2">
          <w:rPr>
            <w:rStyle w:val="Hyperlink"/>
          </w:rPr>
          <w:t>https://doi.org/10.1136/bmjoq-2024-002902</w:t>
        </w:r>
      </w:hyperlink>
      <w:r>
        <w:t>.</w:t>
      </w:r>
    </w:p>
    <w:p w14:paraId="64A2D4A3" w14:textId="77777777" w:rsidR="00297C68" w:rsidRDefault="00297C68" w:rsidP="00297C68">
      <w:r>
        <w:t xml:space="preserve">Quality and Clinical Audit Procedure. (2025). Available at: </w:t>
      </w:r>
      <w:hyperlink r:id="rId33" w:history="1">
        <w:r w:rsidRPr="009F02A2">
          <w:rPr>
            <w:rStyle w:val="Hyperlink"/>
          </w:rPr>
          <w:t>https://phw.nhs.wales/about-us/policies-and-procedures/policies-and-procedures-documents/clinical-governance-and-infection-control-policies/quality-and-clinical-audit-procedure/</w:t>
        </w:r>
      </w:hyperlink>
      <w:r>
        <w:t>.</w:t>
      </w:r>
    </w:p>
    <w:p w14:paraId="55C45910" w14:textId="77777777" w:rsidR="00297C68" w:rsidRDefault="00297C68" w:rsidP="00297C68">
      <w:r>
        <w:t xml:space="preserve">Sangani, D., Krupadev, V., Crawford, M., Deere, B. and Hendel, R. (2021). A quality improvement initiative for increasing cardiac rehabilitation referrals using plan-do-study-act (PDSA) methodology. </w:t>
      </w:r>
      <w:r>
        <w:rPr>
          <w:i/>
          <w:iCs/>
        </w:rPr>
        <w:t>The American Journal of Medicine</w:t>
      </w:r>
      <w:r>
        <w:t xml:space="preserve">, 135(4). doi: </w:t>
      </w:r>
      <w:hyperlink r:id="rId34" w:history="1">
        <w:r w:rsidRPr="009F02A2">
          <w:rPr>
            <w:rStyle w:val="Hyperlink"/>
          </w:rPr>
          <w:t>https://doi.org/10.1016/j.amjmed.2021.10.027</w:t>
        </w:r>
      </w:hyperlink>
      <w:r>
        <w:t>.</w:t>
      </w:r>
    </w:p>
    <w:p w14:paraId="6899B192" w14:textId="77777777" w:rsidR="00297C68" w:rsidRDefault="00297C68" w:rsidP="00297C68">
      <w:r>
        <w:t xml:space="preserve">Sinnott, C., Alboksmaty, A., Moxey, J.M., Morley, K.I., Parkinson, S., Burt, J. and Dixon-Woods, M. (2024). Operational failures in general practice: a consensus-building study on the priorities for improvement. </w:t>
      </w:r>
      <w:r>
        <w:rPr>
          <w:i/>
          <w:iCs/>
        </w:rPr>
        <w:t>British Journal of General Practice</w:t>
      </w:r>
      <w:r>
        <w:t xml:space="preserve">, [online] 74(742), pp.e339–e346. doi: </w:t>
      </w:r>
      <w:hyperlink r:id="rId35" w:history="1">
        <w:r w:rsidRPr="009F02A2">
          <w:rPr>
            <w:rStyle w:val="Hyperlink"/>
          </w:rPr>
          <w:t>https://doi.org/10.3399/BJGP.2023.0321</w:t>
        </w:r>
      </w:hyperlink>
      <w:r>
        <w:t>.</w:t>
      </w:r>
    </w:p>
    <w:p w14:paraId="6B3E2A6B" w14:textId="77777777" w:rsidR="00297C68" w:rsidRDefault="00297C68" w:rsidP="00297C68">
      <w:r>
        <w:t xml:space="preserve">Sjarifudin, D. and Kurnia, H. (2022). The PDCA Approach with Seven Quality Tools for Quality Improvement Men’s Formal Jackets in Indonesia Garment Industry. </w:t>
      </w:r>
      <w:r>
        <w:rPr>
          <w:i/>
          <w:iCs/>
        </w:rPr>
        <w:t>Jurnal Sistem Teknik Industri</w:t>
      </w:r>
      <w:r>
        <w:t xml:space="preserve">, 24(2), pp.159–176. doi: </w:t>
      </w:r>
      <w:hyperlink r:id="rId36" w:history="1">
        <w:r w:rsidRPr="009F02A2">
          <w:rPr>
            <w:rStyle w:val="Hyperlink"/>
          </w:rPr>
          <w:t>https://doi.org/10.32734/jsti.v24i2.7711</w:t>
        </w:r>
      </w:hyperlink>
      <w:r>
        <w:t>.</w:t>
      </w:r>
    </w:p>
    <w:p w14:paraId="4AEE38CA" w14:textId="77777777" w:rsidR="00297C68" w:rsidRDefault="00297C68" w:rsidP="00297C68">
      <w:r>
        <w:t xml:space="preserve">Stein, J.E. and Heiss, K. (2015). The Swiss cheese model of adverse event occurrence—Closing the holes. </w:t>
      </w:r>
      <w:r>
        <w:rPr>
          <w:i/>
          <w:iCs/>
        </w:rPr>
        <w:t>Seminars in Pediatric Surgery</w:t>
      </w:r>
      <w:r>
        <w:t xml:space="preserve">, [online] 24(6), pp.278–282. doi: </w:t>
      </w:r>
      <w:hyperlink r:id="rId37" w:history="1">
        <w:r w:rsidRPr="009F02A2">
          <w:rPr>
            <w:rStyle w:val="Hyperlink"/>
          </w:rPr>
          <w:t>https://doi.org/10.1053/j.sempedsurg.2015.08.003</w:t>
        </w:r>
      </w:hyperlink>
      <w:r>
        <w:t>.</w:t>
      </w:r>
    </w:p>
    <w:p w14:paraId="30058935" w14:textId="77777777" w:rsidR="00297C68" w:rsidRDefault="00297C68" w:rsidP="00297C68">
      <w:r>
        <w:t xml:space="preserve">Thakur, V., Akerele, O.A. and Randell, E. (2022). Lean and Six Sigma as continuous quality improvement frameworks in the clinical diagnostic laboratory. </w:t>
      </w:r>
      <w:r>
        <w:rPr>
          <w:i/>
          <w:iCs/>
        </w:rPr>
        <w:t>Critical Reviews in Clinical Laboratory Sciences</w:t>
      </w:r>
      <w:r>
        <w:t xml:space="preserve">, 60(1), pp.1–19. doi: </w:t>
      </w:r>
      <w:hyperlink r:id="rId38" w:history="1">
        <w:r w:rsidRPr="009F02A2">
          <w:rPr>
            <w:rStyle w:val="Hyperlink"/>
          </w:rPr>
          <w:t>https://doi.org/10.1080/10408363.2022.2106544</w:t>
        </w:r>
      </w:hyperlink>
      <w:r>
        <w:t>.</w:t>
      </w:r>
    </w:p>
    <w:p w14:paraId="05AE8364" w14:textId="65F22212" w:rsidR="00297C68" w:rsidRDefault="00297C68" w:rsidP="00297C68">
      <w:r>
        <w:t xml:space="preserve">Tossaint-Schoenmakers, R., Versluis, A., Chavannes, N., Talboom-Kamp, E. and Kasteleyn, M. (2021). The Challenge of Integrating eHealth Into Health Care: Systematic Literature Review of the Donabedian Model of Structure, Process, and Outcome. </w:t>
      </w:r>
      <w:r>
        <w:rPr>
          <w:i/>
          <w:iCs/>
        </w:rPr>
        <w:t>Journal of Medical Internet Research</w:t>
      </w:r>
      <w:r>
        <w:t xml:space="preserve">, [online] 23(5), p.e27180. doi: </w:t>
      </w:r>
      <w:hyperlink r:id="rId39" w:history="1">
        <w:r w:rsidRPr="009F02A2">
          <w:rPr>
            <w:rStyle w:val="Hyperlink"/>
          </w:rPr>
          <w:t>https://doi.org/10.2196/27180</w:t>
        </w:r>
      </w:hyperlink>
      <w:r>
        <w:t>.</w:t>
      </w:r>
    </w:p>
    <w:p w14:paraId="12F34861" w14:textId="77777777" w:rsidR="00297C68" w:rsidRDefault="00297C68" w:rsidP="00297C68">
      <w:r>
        <w:t xml:space="preserve">Tufail, M.M.B., Shakeel, M., Sheikh, F. and Anjum, N. (2021). Implementation of lean Six-Sigma project in enhancing health care service quality during COVID-19 pandemic. </w:t>
      </w:r>
      <w:r>
        <w:rPr>
          <w:i/>
          <w:iCs/>
        </w:rPr>
        <w:t>AIMS Public Health</w:t>
      </w:r>
      <w:r>
        <w:t xml:space="preserve">, [online] 8(4), pp.704–719. doi: </w:t>
      </w:r>
      <w:hyperlink r:id="rId40" w:history="1">
        <w:r w:rsidRPr="009F02A2">
          <w:rPr>
            <w:rStyle w:val="Hyperlink"/>
          </w:rPr>
          <w:t>https://doi.org/10.3934/publichealth.2021056</w:t>
        </w:r>
      </w:hyperlink>
      <w:r>
        <w:t>.</w:t>
      </w:r>
    </w:p>
    <w:p w14:paraId="1A2C7BCB" w14:textId="77777777" w:rsidR="00297C68" w:rsidRDefault="00297C68" w:rsidP="00297C68">
      <w:r>
        <w:t xml:space="preserve">van Dael, J., Reader, T., Gillespie, A., Freise, L., Darzi, A. and Mayer, E. (2022). Do national policies for complaint handling in English hospitals support quality improvement? Lessons from a case study. </w:t>
      </w:r>
      <w:r>
        <w:rPr>
          <w:i/>
          <w:iCs/>
        </w:rPr>
        <w:t>Journal of the Royal Society of Medicine</w:t>
      </w:r>
      <w:r>
        <w:t xml:space="preserve">, 115(10), p.014107682210982. doi: </w:t>
      </w:r>
      <w:hyperlink r:id="rId41" w:history="1">
        <w:r w:rsidRPr="009F02A2">
          <w:rPr>
            <w:rStyle w:val="Hyperlink"/>
          </w:rPr>
          <w:t>https://doi.org/10.1177/01410768221098247</w:t>
        </w:r>
      </w:hyperlink>
      <w:r>
        <w:t>.</w:t>
      </w:r>
    </w:p>
    <w:p w14:paraId="3795EA52" w14:textId="77777777" w:rsidR="00297C68" w:rsidRDefault="00297C68" w:rsidP="00297C68">
      <w:r>
        <w:t xml:space="preserve">Wagstaff, D., Warnakulasuriya, S., Singleton, G., Moonesinghe, S.R., Fulop, N. and Vindrola-Padros, C. (2022). A scoping review of local quality improvement using data from UK perioperative National Clinical Audits. </w:t>
      </w:r>
      <w:r>
        <w:rPr>
          <w:i/>
          <w:iCs/>
        </w:rPr>
        <w:t>Perioperative Medicine</w:t>
      </w:r>
      <w:r>
        <w:t xml:space="preserve">, 11(1). doi: </w:t>
      </w:r>
      <w:hyperlink r:id="rId42" w:history="1">
        <w:r w:rsidRPr="009F02A2">
          <w:rPr>
            <w:rStyle w:val="Hyperlink"/>
          </w:rPr>
          <w:t>https://doi.org/10.1186/s13741-022-00273-0</w:t>
        </w:r>
      </w:hyperlink>
      <w:r>
        <w:t>.</w:t>
      </w:r>
    </w:p>
    <w:p w14:paraId="0D4B21E3" w14:textId="77777777" w:rsidR="00297C68" w:rsidRDefault="00297C68" w:rsidP="00297C68">
      <w:r>
        <w:t xml:space="preserve">Wiegmann, D.A., J. Wood, L., N. Cohen, T. and Shappell, S.A. (2022). Understanding the ‘Swiss cheese model’ and its application to patient safety. </w:t>
      </w:r>
      <w:r>
        <w:rPr>
          <w:i/>
          <w:iCs/>
        </w:rPr>
        <w:t>Journal of Patient Safety</w:t>
      </w:r>
      <w:r>
        <w:t xml:space="preserve">, [online] 18(2), pp.119–123. Available at: </w:t>
      </w:r>
      <w:hyperlink r:id="rId43" w:history="1">
        <w:r w:rsidRPr="009F02A2">
          <w:rPr>
            <w:rStyle w:val="Hyperlink"/>
          </w:rPr>
          <w:t>https://www.ncbi.nlm.nih.gov/pmc/articles/PMC8514562/</w:t>
        </w:r>
      </w:hyperlink>
      <w:r>
        <w:t>.</w:t>
      </w:r>
    </w:p>
    <w:p w14:paraId="18A1032E" w14:textId="77777777" w:rsidR="00D43B98" w:rsidRPr="00A977A9" w:rsidRDefault="00D43B98" w:rsidP="00D43B98"/>
    <w:sectPr w:rsidR="00D43B98" w:rsidRPr="00A977A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17FB50" w14:textId="77777777" w:rsidR="009539FD" w:rsidRDefault="009539FD" w:rsidP="006B7D04">
      <w:pPr>
        <w:spacing w:after="0" w:line="240" w:lineRule="auto"/>
      </w:pPr>
      <w:r>
        <w:separator/>
      </w:r>
    </w:p>
  </w:endnote>
  <w:endnote w:type="continuationSeparator" w:id="0">
    <w:p w14:paraId="7F3F9896" w14:textId="77777777" w:rsidR="009539FD" w:rsidRDefault="009539FD" w:rsidP="006B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8150159"/>
      <w:docPartObj>
        <w:docPartGallery w:val="Page Numbers (Bottom of Page)"/>
        <w:docPartUnique/>
      </w:docPartObj>
    </w:sdtPr>
    <w:sdtEndPr>
      <w:rPr>
        <w:noProof/>
      </w:rPr>
    </w:sdtEndPr>
    <w:sdtContent>
      <w:p w14:paraId="72784382" w14:textId="6F2696AC" w:rsidR="006B7D04" w:rsidRDefault="006B7D04">
        <w:pPr>
          <w:pStyle w:val="Footer"/>
          <w:jc w:val="center"/>
        </w:pPr>
        <w:r>
          <w:fldChar w:fldCharType="begin"/>
        </w:r>
        <w:r>
          <w:instrText xml:space="preserve"> PAGE   \* MERGEFORMAT </w:instrText>
        </w:r>
        <w:r>
          <w:fldChar w:fldCharType="separate"/>
        </w:r>
        <w:r w:rsidR="009539FD">
          <w:rPr>
            <w:noProof/>
          </w:rPr>
          <w:t>1</w:t>
        </w:r>
        <w:r>
          <w:rPr>
            <w:noProof/>
          </w:rPr>
          <w:fldChar w:fldCharType="end"/>
        </w:r>
      </w:p>
    </w:sdtContent>
  </w:sdt>
  <w:p w14:paraId="19C04BD5" w14:textId="77777777" w:rsidR="006B7D04" w:rsidRDefault="006B7D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8ED9F4" w14:textId="77777777" w:rsidR="009539FD" w:rsidRDefault="009539FD" w:rsidP="006B7D04">
      <w:pPr>
        <w:spacing w:after="0" w:line="240" w:lineRule="auto"/>
      </w:pPr>
      <w:r>
        <w:separator/>
      </w:r>
    </w:p>
  </w:footnote>
  <w:footnote w:type="continuationSeparator" w:id="0">
    <w:p w14:paraId="6D9EF2AC" w14:textId="77777777" w:rsidR="009539FD" w:rsidRDefault="009539FD" w:rsidP="006B7D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D04"/>
    <w:rsid w:val="001D1CBB"/>
    <w:rsid w:val="00297C68"/>
    <w:rsid w:val="00307B06"/>
    <w:rsid w:val="00556E51"/>
    <w:rsid w:val="00617439"/>
    <w:rsid w:val="006B7D04"/>
    <w:rsid w:val="007B15E0"/>
    <w:rsid w:val="00817051"/>
    <w:rsid w:val="009109B0"/>
    <w:rsid w:val="009539FD"/>
    <w:rsid w:val="00955F96"/>
    <w:rsid w:val="00964A63"/>
    <w:rsid w:val="00A977A9"/>
    <w:rsid w:val="00AF1894"/>
    <w:rsid w:val="00B961AB"/>
    <w:rsid w:val="00C12E49"/>
    <w:rsid w:val="00D43B98"/>
    <w:rsid w:val="00D76BDA"/>
    <w:rsid w:val="00D979EB"/>
    <w:rsid w:val="00DF32C1"/>
    <w:rsid w:val="00EB1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BCC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7D04"/>
    <w:pPr>
      <w:spacing w:line="360" w:lineRule="auto"/>
      <w:jc w:val="both"/>
    </w:pPr>
    <w:rPr>
      <w:rFonts w:ascii="Arial" w:hAnsi="Arial"/>
    </w:rPr>
  </w:style>
  <w:style w:type="paragraph" w:styleId="Heading1">
    <w:name w:val="heading 1"/>
    <w:basedOn w:val="Normal"/>
    <w:next w:val="Normal"/>
    <w:link w:val="Heading1Char"/>
    <w:autoRedefine/>
    <w:uiPriority w:val="9"/>
    <w:qFormat/>
    <w:rsid w:val="006B7D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B7D04"/>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7D04"/>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6B7D04"/>
    <w:rPr>
      <w:rFonts w:ascii="Arial" w:eastAsiaTheme="majorEastAsia" w:hAnsi="Arial" w:cstheme="majorBidi"/>
      <w:color w:val="2F5496" w:themeColor="accent1" w:themeShade="BF"/>
      <w:sz w:val="32"/>
      <w:szCs w:val="32"/>
    </w:rPr>
  </w:style>
  <w:style w:type="table" w:styleId="GridTable4">
    <w:name w:val="Grid Table 4"/>
    <w:basedOn w:val="TableNormal"/>
    <w:uiPriority w:val="49"/>
    <w:rsid w:val="006B7D04"/>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5">
    <w:name w:val="Grid Table 4 Accent 5"/>
    <w:basedOn w:val="TableNormal"/>
    <w:uiPriority w:val="49"/>
    <w:rsid w:val="006B7D04"/>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6B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D04"/>
    <w:rPr>
      <w:rFonts w:ascii="Arial" w:hAnsi="Arial"/>
    </w:rPr>
  </w:style>
  <w:style w:type="paragraph" w:styleId="Footer">
    <w:name w:val="footer"/>
    <w:basedOn w:val="Normal"/>
    <w:link w:val="FooterChar"/>
    <w:uiPriority w:val="99"/>
    <w:unhideWhenUsed/>
    <w:rsid w:val="006B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D04"/>
    <w:rPr>
      <w:rFonts w:ascii="Arial" w:hAnsi="Arial"/>
    </w:rPr>
  </w:style>
  <w:style w:type="paragraph" w:styleId="ListParagraph">
    <w:name w:val="List Paragraph"/>
    <w:basedOn w:val="Normal"/>
    <w:uiPriority w:val="34"/>
    <w:qFormat/>
    <w:rsid w:val="00556E51"/>
    <w:pPr>
      <w:ind w:left="720"/>
      <w:contextualSpacing/>
    </w:pPr>
  </w:style>
  <w:style w:type="character" w:styleId="Hyperlink">
    <w:name w:val="Hyperlink"/>
    <w:basedOn w:val="DefaultParagraphFont"/>
    <w:uiPriority w:val="99"/>
    <w:unhideWhenUsed/>
    <w:rsid w:val="00D43B98"/>
    <w:rPr>
      <w:color w:val="0563C1" w:themeColor="hyperlink"/>
      <w:u w:val="single"/>
    </w:rPr>
  </w:style>
  <w:style w:type="character" w:customStyle="1" w:styleId="UnresolvedMention">
    <w:name w:val="Unresolved Mention"/>
    <w:basedOn w:val="DefaultParagraphFont"/>
    <w:uiPriority w:val="99"/>
    <w:semiHidden/>
    <w:unhideWhenUsed/>
    <w:rsid w:val="00D43B98"/>
    <w:rPr>
      <w:color w:val="605E5C"/>
      <w:shd w:val="clear" w:color="auto" w:fill="E1DFDD"/>
    </w:rPr>
  </w:style>
  <w:style w:type="paragraph" w:styleId="TOCHeading">
    <w:name w:val="TOC Heading"/>
    <w:basedOn w:val="Heading1"/>
    <w:next w:val="Normal"/>
    <w:uiPriority w:val="39"/>
    <w:unhideWhenUsed/>
    <w:qFormat/>
    <w:rsid w:val="00297C6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97C68"/>
    <w:pPr>
      <w:spacing w:after="100"/>
    </w:pPr>
  </w:style>
  <w:style w:type="paragraph" w:styleId="TOC2">
    <w:name w:val="toc 2"/>
    <w:basedOn w:val="Normal"/>
    <w:next w:val="Normal"/>
    <w:autoRedefine/>
    <w:uiPriority w:val="39"/>
    <w:unhideWhenUsed/>
    <w:rsid w:val="00297C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8996025">
      <w:bodyDiv w:val="1"/>
      <w:marLeft w:val="0"/>
      <w:marRight w:val="0"/>
      <w:marTop w:val="0"/>
      <w:marBottom w:val="0"/>
      <w:divBdr>
        <w:top w:val="none" w:sz="0" w:space="0" w:color="auto"/>
        <w:left w:val="none" w:sz="0" w:space="0" w:color="auto"/>
        <w:bottom w:val="none" w:sz="0" w:space="0" w:color="auto"/>
        <w:right w:val="none" w:sz="0" w:space="0" w:color="auto"/>
      </w:divBdr>
      <w:divsChild>
        <w:div w:id="1394816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599556/" TargetMode="External"/><Relationship Id="rId18" Type="http://schemas.openxmlformats.org/officeDocument/2006/relationships/hyperlink" Target="https://doi.org/10.1016/j.healthpol.2022.07.008" TargetMode="External"/><Relationship Id="rId26" Type="http://schemas.openxmlformats.org/officeDocument/2006/relationships/hyperlink" Target="https://medicearth.in/total-quality-management/donabedian-model-healthcare-quality/" TargetMode="External"/><Relationship Id="rId39" Type="http://schemas.openxmlformats.org/officeDocument/2006/relationships/hyperlink" Target="https://doi.org/10.2196/27180" TargetMode="External"/><Relationship Id="rId21" Type="http://schemas.openxmlformats.org/officeDocument/2006/relationships/hyperlink" Target="https://doi.org/10.1080/23297018.2022.2109193" TargetMode="External"/><Relationship Id="rId34" Type="http://schemas.openxmlformats.org/officeDocument/2006/relationships/hyperlink" Target="https://doi.org/10.1016/j.amjmed.2021.10.027" TargetMode="External"/><Relationship Id="rId42" Type="http://schemas.openxmlformats.org/officeDocument/2006/relationships/hyperlink" Target="https://doi.org/10.1186/s13741-022-00273-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36/bmj.323.7306.181" TargetMode="External"/><Relationship Id="rId29" Type="http://schemas.openxmlformats.org/officeDocument/2006/relationships/hyperlink" Target="https://oercollective.caul.edu.au/leading-in-health-and-social-care/chapter/quality-and-safety-in-healthca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guardian.com/society/2016/jun/30/staff-and-skills-shortages-bristol-hospital-royal-children-at-risk" TargetMode="External"/><Relationship Id="rId32" Type="http://schemas.openxmlformats.org/officeDocument/2006/relationships/hyperlink" Target="https://doi.org/10.1136/bmjoq-2024-002902" TargetMode="External"/><Relationship Id="rId37" Type="http://schemas.openxmlformats.org/officeDocument/2006/relationships/hyperlink" Target="https://doi.org/10.1053/j.sempedsurg.2015.08.003" TargetMode="External"/><Relationship Id="rId40" Type="http://schemas.openxmlformats.org/officeDocument/2006/relationships/hyperlink" Target="https://doi.org/10.3934/publichealth.2021056"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ntechopen.com/chapters/82848" TargetMode="External"/><Relationship Id="rId23" Type="http://schemas.openxmlformats.org/officeDocument/2006/relationships/hyperlink" Target="https://doi.org/10.36401/JQSH-23-42" TargetMode="External"/><Relationship Id="rId28" Type="http://schemas.openxmlformats.org/officeDocument/2006/relationships/hyperlink" Target="https://psnet.ahrq.gov/perspective/ensuring-patient-and-workforce-safety-culture-healthcare" TargetMode="External"/><Relationship Id="rId36" Type="http://schemas.openxmlformats.org/officeDocument/2006/relationships/hyperlink" Target="https://doi.org/10.32734/jsti.v24i2.7711" TargetMode="External"/><Relationship Id="rId10" Type="http://schemas.openxmlformats.org/officeDocument/2006/relationships/image" Target="media/image4.png"/><Relationship Id="rId19" Type="http://schemas.openxmlformats.org/officeDocument/2006/relationships/hyperlink" Target="https://www.gov.uk/government/publications/clinical-governance-annual-report-2024-to-2025/clinical-governance-annual-report-2024-to-2025" TargetMode="External"/><Relationship Id="rId31" Type="http://schemas.openxmlformats.org/officeDocument/2006/relationships/hyperlink" Target="https://doi.org/10.3928/24748307-20181217-01"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978-3-031-48683-8_20" TargetMode="External"/><Relationship Id="rId22" Type="http://schemas.openxmlformats.org/officeDocument/2006/relationships/hyperlink" Target="https://www.researchgate.net/publication/317196193_Causality_of_Factors_Reducing_Competitiveness_of_e-Commerce_Firms" TargetMode="External"/><Relationship Id="rId27" Type="http://schemas.openxmlformats.org/officeDocument/2006/relationships/hyperlink" Target="https://doi.org/10.1097/TA.0000000000000663" TargetMode="External"/><Relationship Id="rId30" Type="http://schemas.openxmlformats.org/officeDocument/2006/relationships/hyperlink" Target="https://doi.org/10.1108/ijqrm-07-2021-0226" TargetMode="External"/><Relationship Id="rId35" Type="http://schemas.openxmlformats.org/officeDocument/2006/relationships/hyperlink" Target="https://doi.org/10.3399/BJGP.2023.0321" TargetMode="External"/><Relationship Id="rId43" Type="http://schemas.openxmlformats.org/officeDocument/2006/relationships/hyperlink" Target="https://www.ncbi.nlm.nih.gov/pmc/articles/PMC8514562/"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36401/jqsh-22-19" TargetMode="External"/><Relationship Id="rId17" Type="http://schemas.openxmlformats.org/officeDocument/2006/relationships/hyperlink" Target="https://doi.org/10.5527/wjn.v3.i4.249" TargetMode="External"/><Relationship Id="rId25" Type="http://schemas.openxmlformats.org/officeDocument/2006/relationships/hyperlink" Target="https://doi.org/10.1108/tqm-06-2022-0187" TargetMode="External"/><Relationship Id="rId33" Type="http://schemas.openxmlformats.org/officeDocument/2006/relationships/hyperlink" Target="https://phw.nhs.wales/about-us/policies-and-procedures/policies-and-procedures-documents/clinical-governance-and-infection-control-policies/quality-and-clinical-audit-procedure/" TargetMode="External"/><Relationship Id="rId38" Type="http://schemas.openxmlformats.org/officeDocument/2006/relationships/hyperlink" Target="https://doi.org/10.1080/10408363.2022.2106544" TargetMode="External"/><Relationship Id="rId46" Type="http://schemas.openxmlformats.org/officeDocument/2006/relationships/theme" Target="theme/theme1.xml"/><Relationship Id="rId20" Type="http://schemas.openxmlformats.org/officeDocument/2006/relationships/hyperlink" Target="https://healthcareskills.com/news-item/uk-governance-in-healthcare-what-went-wrong/" TargetMode="External"/><Relationship Id="rId41" Type="http://schemas.openxmlformats.org/officeDocument/2006/relationships/hyperlink" Target="https://doi.org/10.1177/01410768221098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999E1-F6F6-46AF-A607-7BFD57799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5278</Words>
  <Characters>30090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2026-04-16T11:02:00Z</dcterms:created>
  <dcterms:modified xsi:type="dcterms:W3CDTF">2026-04-16T11:02:00Z</dcterms:modified>
</cp:coreProperties>
</file>