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sz w:val="72"/>
          <w:szCs w:val="72"/>
        </w:rPr>
      </w:pPr>
    </w:p>
    <w:p>
      <w:pPr>
        <w:pStyle w:val="Body A"/>
        <w:jc w:val="center"/>
        <w:rPr>
          <w:sz w:val="72"/>
          <w:szCs w:val="72"/>
        </w:rPr>
      </w:pPr>
    </w:p>
    <w:p>
      <w:pPr>
        <w:pStyle w:val="Body A"/>
        <w:jc w:val="center"/>
        <w:rPr>
          <w:sz w:val="72"/>
          <w:szCs w:val="72"/>
        </w:rPr>
      </w:pPr>
    </w:p>
    <w:p>
      <w:pPr>
        <w:pStyle w:val="Body A"/>
        <w:jc w:val="center"/>
        <w:rPr>
          <w:sz w:val="72"/>
          <w:szCs w:val="72"/>
        </w:rPr>
      </w:pPr>
    </w:p>
    <w:p>
      <w:pPr>
        <w:pStyle w:val="Body A"/>
        <w:jc w:val="center"/>
        <w:rPr>
          <w:sz w:val="22"/>
          <w:szCs w:val="22"/>
        </w:rPr>
      </w:pPr>
    </w:p>
    <w:p>
      <w:pPr>
        <w:pStyle w:val="Body A"/>
        <w:jc w:val="center"/>
        <w:rPr>
          <w:rFonts w:ascii="Arial" w:cs="Arial" w:hAnsi="Arial" w:eastAsia="Arial"/>
          <w:sz w:val="22"/>
          <w:szCs w:val="22"/>
        </w:rPr>
      </w:pPr>
      <w:r>
        <w:rPr>
          <w:rFonts w:ascii="Arial" w:hAnsi="Arial"/>
          <w:sz w:val="22"/>
          <w:szCs w:val="22"/>
          <w:rtl w:val="0"/>
          <w:lang w:val="en-US"/>
        </w:rPr>
        <w:t>Introduction to Health and Social Care</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r>
        <w:rPr>
          <w:rFonts w:ascii="Arial" w:hAnsi="Arial"/>
          <w:sz w:val="22"/>
          <w:szCs w:val="22"/>
          <w:rtl w:val="0"/>
          <w:lang w:val="en-US"/>
        </w:rPr>
        <w:t>Name:Chanelle hay</w:t>
      </w:r>
    </w:p>
    <w:p>
      <w:pPr>
        <w:pStyle w:val="Body A"/>
        <w:jc w:val="both"/>
        <w:rPr>
          <w:rFonts w:ascii="Arial" w:cs="Arial" w:hAnsi="Arial" w:eastAsia="Arial"/>
          <w:sz w:val="22"/>
          <w:szCs w:val="22"/>
        </w:rPr>
      </w:pPr>
      <w:r>
        <w:rPr>
          <w:rFonts w:ascii="Arial" w:hAnsi="Arial"/>
          <w:sz w:val="22"/>
          <w:szCs w:val="22"/>
          <w:rtl w:val="0"/>
          <w:lang w:val="en-US"/>
        </w:rPr>
        <w:t>Student ID:2505019</w:t>
      </w:r>
    </w:p>
    <w:p>
      <w:pPr>
        <w:pStyle w:val="Body A"/>
        <w:jc w:val="both"/>
        <w:rPr>
          <w:rFonts w:ascii="Arial" w:cs="Arial" w:hAnsi="Arial" w:eastAsia="Arial"/>
          <w:sz w:val="22"/>
          <w:szCs w:val="22"/>
        </w:rPr>
      </w:pPr>
      <w:r>
        <w:rPr>
          <w:rFonts w:ascii="Arial" w:hAnsi="Arial"/>
          <w:sz w:val="22"/>
          <w:szCs w:val="22"/>
          <w:rtl w:val="0"/>
          <w:lang w:val="en-US"/>
        </w:rPr>
        <w:t>Module Code:(LCHS4003_BIRM)</w:t>
      </w:r>
    </w:p>
    <w:p>
      <w:pPr>
        <w:pStyle w:val="Body A"/>
        <w:jc w:val="both"/>
        <w:rPr>
          <w:rFonts w:ascii="Arial" w:cs="Arial" w:hAnsi="Arial" w:eastAsia="Arial"/>
          <w:sz w:val="22"/>
          <w:szCs w:val="22"/>
        </w:rPr>
      </w:pPr>
      <w:r>
        <w:rPr>
          <w:rFonts w:ascii="Arial" w:hAnsi="Arial"/>
          <w:sz w:val="22"/>
          <w:szCs w:val="22"/>
          <w:rtl w:val="0"/>
          <w:lang w:val="en-US"/>
        </w:rPr>
        <w:t>Lecturer:Daniel Hanura</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Heading"/>
        <w:rPr>
          <w:rFonts w:ascii="Arial" w:cs="Arial" w:hAnsi="Arial" w:eastAsia="Arial"/>
          <w:sz w:val="22"/>
          <w:szCs w:val="22"/>
        </w:rPr>
      </w:pPr>
      <w:r>
        <w:rPr>
          <w:rFonts w:ascii="Arial" w:hAnsi="Arial"/>
          <w:sz w:val="22"/>
          <w:szCs w:val="22"/>
          <w:rtl w:val="0"/>
          <w:lang w:val="en-US"/>
        </w:rPr>
        <w:t>Poster: Residential Care Homes in the UK: Development, Role and Challenges</w:t>
      </w:r>
    </w:p>
    <w:p>
      <w:pPr>
        <w:pStyle w:val="Body A"/>
        <w:jc w:val="both"/>
        <w:rPr>
          <w:rFonts w:ascii="Arial" w:cs="Arial" w:hAnsi="Arial" w:eastAsia="Arial"/>
          <w:sz w:val="22"/>
          <w:szCs w:val="22"/>
        </w:rPr>
      </w:pPr>
      <w:r>
        <w:rPr>
          <w:rFonts w:ascii="Arial" w:cs="Arial" w:hAnsi="Arial" w:eastAsia="Arial"/>
          <w:sz w:val="22"/>
          <w:szCs w:val="22"/>
        </w:rPr>
        <w:drawing xmlns:a="http://schemas.openxmlformats.org/drawingml/2006/main">
          <wp:inline distT="0" distB="0" distL="0" distR="0">
            <wp:extent cx="5725796" cy="7631432"/>
            <wp:effectExtent l="0" t="0" r="0" b="0"/>
            <wp:docPr id="1073741825" name="officeArt object" descr="image1.jpeg"/>
            <wp:cNvGraphicFramePr/>
            <a:graphic xmlns:a="http://schemas.openxmlformats.org/drawingml/2006/main">
              <a:graphicData uri="http://schemas.openxmlformats.org/drawingml/2006/picture">
                <pic:pic xmlns:pic="http://schemas.openxmlformats.org/drawingml/2006/picture">
                  <pic:nvPicPr>
                    <pic:cNvPr id="1073741825" name="image1.jpeg" descr="image1.jpeg"/>
                    <pic:cNvPicPr>
                      <a:picLocks noChangeAspect="1"/>
                    </pic:cNvPicPr>
                  </pic:nvPicPr>
                  <pic:blipFill>
                    <a:blip r:embed="rId4">
                      <a:extLst/>
                    </a:blip>
                    <a:stretch>
                      <a:fillRect/>
                    </a:stretch>
                  </pic:blipFill>
                  <pic:spPr>
                    <a:xfrm>
                      <a:off x="0" y="0"/>
                      <a:ext cx="5725796" cy="7631432"/>
                    </a:xfrm>
                    <a:prstGeom prst="rect">
                      <a:avLst/>
                    </a:prstGeom>
                    <a:ln w="12700" cap="flat">
                      <a:noFill/>
                      <a:miter lim="400000"/>
                    </a:ln>
                    <a:effectLst/>
                  </pic:spPr>
                </pic:pic>
              </a:graphicData>
            </a:graphic>
          </wp:inline>
        </w:drawing>
      </w:r>
    </w:p>
    <w:p>
      <w:pPr>
        <w:pStyle w:val="Body A"/>
        <w:jc w:val="both"/>
        <w:rPr>
          <w:rFonts w:ascii="Arial" w:cs="Arial" w:hAnsi="Arial" w:eastAsia="Arial"/>
          <w:sz w:val="22"/>
          <w:szCs w:val="22"/>
        </w:rPr>
      </w:pPr>
    </w:p>
    <w:p>
      <w:pPr>
        <w:pStyle w:val="Heading"/>
        <w:rPr>
          <w:rFonts w:ascii="Arial" w:cs="Arial" w:hAnsi="Arial" w:eastAsia="Arial"/>
          <w:sz w:val="22"/>
          <w:szCs w:val="22"/>
        </w:rPr>
      </w:pPr>
      <w:r>
        <w:rPr>
          <w:rFonts w:ascii="Arial" w:hAnsi="Arial"/>
          <w:sz w:val="22"/>
          <w:szCs w:val="22"/>
          <w:rtl w:val="0"/>
          <w:lang w:val="en-US"/>
        </w:rPr>
        <w:t>Essay: Pharmacy Services in the UK: Development, Functioning and Contribution to Quality of Life</w:t>
      </w:r>
    </w:p>
    <w:p>
      <w:pPr>
        <w:pStyle w:val="Heading 2"/>
        <w:rPr>
          <w:rFonts w:ascii="Arial" w:cs="Arial" w:hAnsi="Arial" w:eastAsia="Arial"/>
          <w:sz w:val="22"/>
          <w:szCs w:val="22"/>
        </w:rPr>
      </w:pPr>
      <w:r>
        <w:rPr>
          <w:rFonts w:ascii="Arial" w:hAnsi="Arial"/>
          <w:sz w:val="22"/>
          <w:szCs w:val="22"/>
          <w:rtl w:val="0"/>
          <w:lang w:val="fr-FR"/>
        </w:rPr>
        <w:t>Introduction</w:t>
      </w:r>
    </w:p>
    <w:p>
      <w:pPr>
        <w:pStyle w:val="Body A"/>
        <w:jc w:val="both"/>
        <w:rPr>
          <w:rFonts w:ascii="Arial" w:cs="Arial" w:hAnsi="Arial" w:eastAsia="Arial"/>
          <w:sz w:val="22"/>
          <w:szCs w:val="22"/>
        </w:rPr>
      </w:pPr>
      <w:r>
        <w:rPr>
          <w:rFonts w:ascii="Arial" w:hAnsi="Arial"/>
          <w:sz w:val="22"/>
          <w:szCs w:val="22"/>
          <w:rtl w:val="0"/>
          <w:lang w:val="en-US"/>
        </w:rPr>
        <w:t>The pharmacy services are among the valuable aspects of the healthcare system in the United Kingdom that ensure the population of this nation an opportunity of using medicines, clinical consultation, and preventive health care (Savickas et al., 2020). The functions of the pharmacies have developed over the years since the traditional functions of dispensing to include patient education, support of the chronic diseases as well as services to the people. This essay examines the history of the pharmacy services, explains the contemporary activities of the services in a critical manner and the relevance of the services in improving the living standards of the service users.</w:t>
      </w:r>
    </w:p>
    <w:p>
      <w:pPr>
        <w:pStyle w:val="Heading 2"/>
        <w:rPr>
          <w:rFonts w:ascii="Arial" w:cs="Arial" w:hAnsi="Arial" w:eastAsia="Arial"/>
          <w:sz w:val="22"/>
          <w:szCs w:val="22"/>
          <w:lang w:val="en-US"/>
        </w:rPr>
      </w:pPr>
      <w:r>
        <w:rPr>
          <w:rFonts w:ascii="Arial" w:hAnsi="Arial"/>
          <w:sz w:val="22"/>
          <w:szCs w:val="22"/>
          <w:rtl w:val="0"/>
          <w:lang w:val="en-US"/>
        </w:rPr>
        <w:t>Historical Origins of Pharmacy Services</w:t>
      </w:r>
    </w:p>
    <w:p>
      <w:pPr>
        <w:pStyle w:val="Body A"/>
        <w:jc w:val="both"/>
        <w:rPr>
          <w:rFonts w:ascii="Arial" w:cs="Arial" w:hAnsi="Arial" w:eastAsia="Arial"/>
          <w:sz w:val="22"/>
          <w:szCs w:val="22"/>
        </w:rPr>
      </w:pPr>
      <w:r>
        <w:rPr>
          <w:rFonts w:ascii="Arial" w:hAnsi="Arial"/>
          <w:sz w:val="22"/>
          <w:szCs w:val="22"/>
          <w:rtl w:val="0"/>
          <w:lang w:val="en-US"/>
        </w:rPr>
        <w:t xml:space="preserve">The roots of the modern structure of healthcare services in the UK Early apothecaries and dispensaries who prepared and dispensed drugs are the beginnings of the current organised healthcare services. In the time before the twentieth century, medicine was not available equally, and could be privately obtained or donated (Wiffen and Stoner, 2024). This marked a great transformation in the supply of pharmacy since National Health Service was established in 1948. A universal system and the community pharmacy became part of the primary service provision making drugs available to the society. During the next decades, the training standards and the regulation systems were strengthened and the professionalisation of pharmacy was the aspect that enabled pharmacists to have more responsibilities. </w:t>
      </w:r>
    </w:p>
    <w:p>
      <w:pPr>
        <w:pStyle w:val="Heading 2"/>
        <w:rPr>
          <w:rFonts w:ascii="Arial" w:cs="Arial" w:hAnsi="Arial" w:eastAsia="Arial"/>
          <w:sz w:val="22"/>
          <w:szCs w:val="22"/>
          <w:lang w:val="en-US"/>
        </w:rPr>
      </w:pPr>
      <w:r>
        <w:rPr>
          <w:rFonts w:ascii="Arial" w:hAnsi="Arial"/>
          <w:sz w:val="22"/>
          <w:szCs w:val="22"/>
          <w:rtl w:val="0"/>
          <w:lang w:val="en-US"/>
        </w:rPr>
        <w:t>Critical Evaluation of Current Functioning</w:t>
      </w:r>
    </w:p>
    <w:p>
      <w:pPr>
        <w:pStyle w:val="Body A"/>
        <w:jc w:val="both"/>
        <w:rPr>
          <w:rFonts w:ascii="Arial" w:cs="Arial" w:hAnsi="Arial" w:eastAsia="Arial"/>
          <w:sz w:val="22"/>
          <w:szCs w:val="22"/>
        </w:rPr>
      </w:pPr>
      <w:r>
        <w:rPr>
          <w:rFonts w:ascii="Arial" w:hAnsi="Arial"/>
          <w:sz w:val="22"/>
          <w:szCs w:val="22"/>
          <w:rtl w:val="0"/>
          <w:lang w:val="en-US"/>
        </w:rPr>
        <w:t xml:space="preserve">Community pharmacies are a highly convenient pattern of healthcare nowadays. They receive long hours and walk in accessibility making them their initial point of contact to the patients seeking advice or treatment. Pharmacists also provide services such as counselling in relation to medication, treatment of minor illnesses and chronic illnesses that are bound to overwork the general practitioners and the emergency service. These roles provide insights into the way pharmacies may be used to assist in the provision of healthcare in an integrated way (Cunha et al., 2025). However, pharmacy services have an impact on their efficacy which is influenced by several challenges. The shortage of funds over the recent years has reduced the financial provisions in the community pharmacies where most are understaffed and underserved. This may restrain the amount of time that the pharmacist can have with the patient and may be concerned more with dispensing than with clinical encounter. </w:t>
      </w:r>
    </w:p>
    <w:p>
      <w:pPr>
        <w:pStyle w:val="Heading 2"/>
        <w:rPr>
          <w:rFonts w:ascii="Arial" w:cs="Arial" w:hAnsi="Arial" w:eastAsia="Arial"/>
          <w:sz w:val="22"/>
          <w:szCs w:val="22"/>
          <w:lang w:val="en-US"/>
        </w:rPr>
      </w:pPr>
      <w:r>
        <w:rPr>
          <w:rFonts w:ascii="Arial" w:hAnsi="Arial"/>
          <w:sz w:val="22"/>
          <w:szCs w:val="22"/>
          <w:rtl w:val="0"/>
          <w:lang w:val="en-US"/>
        </w:rPr>
        <w:t>Impact on Quality of Life</w:t>
      </w:r>
    </w:p>
    <w:p>
      <w:pPr>
        <w:pStyle w:val="Body A"/>
        <w:jc w:val="both"/>
        <w:rPr>
          <w:rFonts w:ascii="Arial" w:cs="Arial" w:hAnsi="Arial" w:eastAsia="Arial"/>
          <w:sz w:val="22"/>
          <w:szCs w:val="22"/>
        </w:rPr>
      </w:pPr>
      <w:r>
        <w:rPr>
          <w:rFonts w:ascii="Arial" w:hAnsi="Arial"/>
          <w:sz w:val="22"/>
          <w:szCs w:val="22"/>
          <w:rtl w:val="0"/>
          <w:lang w:val="en-US"/>
        </w:rPr>
        <w:t>The role of pharmacy services is immense in ensuring that the service users live a life considerably improved since they will help to access healthcare services and use drugs safely. The primary role played by pharmacists in preventing medication errors, enhancing treatment adherence, and potential drug interactions. An evidence of regular contact with pharmacy experts maintains the disease control and complicates it in the patients with chronic diseases (Twigg et al., 2017). In addition, community health interventions such as smoking cessation therapy, immunisation campaign, and screening healthcare which are located in the pharmacy are also assisting in the prevention and early diagnosis of diseases. The services not only promote personal wellbeing, it strengthens the population health outcomes. Pharmacies can also improve patient satisfaction and health management through the elimination of the barriers to travelling, waiting periods and system inefficiency and the addition of convenience and local access to the healthcare.</w:t>
      </w:r>
    </w:p>
    <w:p>
      <w:pPr>
        <w:pStyle w:val="Heading 2"/>
        <w:rPr>
          <w:rFonts w:ascii="Arial" w:cs="Arial" w:hAnsi="Arial" w:eastAsia="Arial"/>
          <w:sz w:val="22"/>
          <w:szCs w:val="22"/>
          <w:lang w:val="it-IT"/>
        </w:rPr>
      </w:pPr>
      <w:r>
        <w:rPr>
          <w:rFonts w:ascii="Arial" w:hAnsi="Arial"/>
          <w:sz w:val="22"/>
          <w:szCs w:val="22"/>
          <w:rtl w:val="0"/>
          <w:lang w:val="it-IT"/>
        </w:rPr>
        <w:t>Conclusion</w:t>
      </w:r>
    </w:p>
    <w:p>
      <w:pPr>
        <w:pStyle w:val="Body A"/>
        <w:jc w:val="both"/>
        <w:rPr>
          <w:rFonts w:ascii="Arial" w:cs="Arial" w:hAnsi="Arial" w:eastAsia="Arial"/>
          <w:sz w:val="22"/>
          <w:szCs w:val="22"/>
        </w:rPr>
      </w:pPr>
      <w:r>
        <w:rPr>
          <w:rFonts w:ascii="Arial" w:hAnsi="Arial"/>
          <w:sz w:val="22"/>
          <w:szCs w:val="22"/>
          <w:rtl w:val="0"/>
          <w:lang w:val="en-US"/>
        </w:rPr>
        <w:t>Pharmacy services have been taken to form an important component of UK health care system which incorporates accessibility and professionalism. Despite the fact that their optimal benefits are discouraged by the need to locate the funds and create awareness about the population, pharmacies are required to provide medication safety and prevention along with assisting patients. This will be necessary to empower their clinical role and invest adequately to make the maximum possible contribution to patient wellbeing and quality of healthcare.</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Heading 2"/>
        <w:rPr>
          <w:rFonts w:ascii="Arial" w:cs="Arial" w:hAnsi="Arial" w:eastAsia="Arial"/>
          <w:sz w:val="22"/>
          <w:szCs w:val="22"/>
        </w:rPr>
      </w:pPr>
      <w:r>
        <w:rPr>
          <w:rFonts w:ascii="Arial" w:hAnsi="Arial"/>
          <w:sz w:val="22"/>
          <w:szCs w:val="22"/>
          <w:rtl w:val="0"/>
          <w:lang w:val="fr-FR"/>
        </w:rPr>
        <w:t>References</w:t>
      </w:r>
    </w:p>
    <w:p>
      <w:pPr>
        <w:pStyle w:val="Body A"/>
        <w:spacing w:line="240" w:lineRule="auto"/>
        <w:ind w:left="567" w:hanging="567"/>
        <w:jc w:val="both"/>
        <w:rPr>
          <w:rStyle w:val="None"/>
          <w:rFonts w:ascii="Arial" w:cs="Arial" w:hAnsi="Arial" w:eastAsia="Arial"/>
          <w:sz w:val="22"/>
          <w:szCs w:val="22"/>
        </w:rPr>
      </w:pPr>
      <w:r>
        <w:rPr>
          <w:rFonts w:ascii="Arial" w:hAnsi="Arial"/>
          <w:sz w:val="22"/>
          <w:szCs w:val="22"/>
          <w:rtl w:val="0"/>
          <w:lang w:val="pt-PT"/>
        </w:rPr>
        <w:t>Cunha, J.P.A., Rodrigues, J.P.V., Rocha, K.S.S., Gon</w:t>
      </w:r>
      <w:r>
        <w:rPr>
          <w:rFonts w:ascii="Arial" w:hAnsi="Arial" w:hint="default"/>
          <w:sz w:val="22"/>
          <w:szCs w:val="22"/>
          <w:rtl w:val="0"/>
        </w:rPr>
        <w:t>ç</w:t>
      </w:r>
      <w:r>
        <w:rPr>
          <w:rFonts w:ascii="Arial" w:hAnsi="Arial"/>
          <w:sz w:val="22"/>
          <w:szCs w:val="22"/>
          <w:rtl w:val="0"/>
          <w:lang w:val="en-US"/>
        </w:rPr>
        <w:t xml:space="preserve">alves, A.M.R.F., Varallo, F.R. and Pereira, L.R.L. (2025). Knowledge of medication dispensing among community pharmacists in Brazil: A national cross-sectional survey. </w:t>
      </w:r>
      <w:r>
        <w:rPr>
          <w:rFonts w:ascii="Arial" w:hAnsi="Arial"/>
          <w:i w:val="1"/>
          <w:iCs w:val="1"/>
          <w:sz w:val="22"/>
          <w:szCs w:val="22"/>
          <w:rtl w:val="0"/>
          <w:lang w:val="en-US"/>
        </w:rPr>
        <w:t>PloS one</w:t>
      </w:r>
      <w:r>
        <w:rPr>
          <w:rFonts w:ascii="Arial" w:hAnsi="Arial"/>
          <w:sz w:val="22"/>
          <w:szCs w:val="22"/>
          <w:rtl w:val="0"/>
          <w:lang w:val="pt-PT"/>
        </w:rPr>
        <w:t xml:space="preserve">, [online] 20(10), p.e0326817. doi: </w:t>
      </w:r>
      <w:r>
        <w:rPr>
          <w:rStyle w:val="Hyperlink.0"/>
        </w:rPr>
        <w:fldChar w:fldCharType="begin" w:fldLock="0"/>
      </w:r>
      <w:r>
        <w:rPr>
          <w:rStyle w:val="Hyperlink.0"/>
        </w:rPr>
        <w:instrText xml:space="preserve"> HYPERLINK "https://doi.org/10.1371/journal.pone.0326817"</w:instrText>
      </w:r>
      <w:r>
        <w:rPr>
          <w:rStyle w:val="Hyperlink.0"/>
        </w:rPr>
        <w:fldChar w:fldCharType="separate" w:fldLock="0"/>
      </w:r>
      <w:r>
        <w:rPr>
          <w:rStyle w:val="Hyperlink.0"/>
          <w:rtl w:val="0"/>
          <w:lang w:val="fr-FR"/>
        </w:rPr>
        <w:t>https://doi.org/10.1371/journal.pone.0326817</w:t>
      </w:r>
      <w:r>
        <w:rPr/>
        <w:fldChar w:fldCharType="end" w:fldLock="0"/>
      </w:r>
      <w:r>
        <w:rPr>
          <w:rStyle w:val="None"/>
          <w:rFonts w:ascii="Arial" w:hAnsi="Arial"/>
          <w:sz w:val="22"/>
          <w:szCs w:val="22"/>
          <w:rtl w:val="0"/>
        </w:rPr>
        <w:t xml:space="preserve">. </w:t>
      </w:r>
    </w:p>
    <w:p>
      <w:pPr>
        <w:pStyle w:val="Body A"/>
        <w:spacing w:line="240" w:lineRule="auto"/>
        <w:ind w:left="567" w:hanging="567"/>
        <w:jc w:val="both"/>
        <w:rPr>
          <w:rStyle w:val="None"/>
          <w:rFonts w:ascii="Arial" w:cs="Arial" w:hAnsi="Arial" w:eastAsia="Arial"/>
          <w:sz w:val="22"/>
          <w:szCs w:val="22"/>
        </w:rPr>
      </w:pPr>
      <w:r>
        <w:rPr>
          <w:rStyle w:val="None"/>
          <w:rFonts w:ascii="Arial" w:hAnsi="Arial"/>
          <w:sz w:val="22"/>
          <w:szCs w:val="22"/>
          <w:rtl w:val="0"/>
          <w:lang w:val="en-US"/>
        </w:rPr>
        <w:t xml:space="preserve">Savickas, V., Foreman, E., Ladva, A., Bhamra, S.K., Sharma, R. and Corlett, S.A. (2020). Pharmacy services and role development in UK general practice: a cross-sectional survey. </w:t>
      </w:r>
      <w:r>
        <w:rPr>
          <w:rStyle w:val="None"/>
          <w:rFonts w:ascii="Arial" w:hAnsi="Arial"/>
          <w:i w:val="1"/>
          <w:iCs w:val="1"/>
          <w:sz w:val="22"/>
          <w:szCs w:val="22"/>
          <w:rtl w:val="0"/>
          <w:lang w:val="en-US"/>
        </w:rPr>
        <w:t>International Journal of Pharmacy Practice</w:t>
      </w:r>
      <w:r>
        <w:rPr>
          <w:rStyle w:val="None"/>
          <w:rFonts w:ascii="Arial" w:hAnsi="Arial"/>
          <w:sz w:val="22"/>
          <w:szCs w:val="22"/>
          <w:rtl w:val="0"/>
        </w:rPr>
        <w:t xml:space="preserve">, 29(1). doi: </w:t>
      </w:r>
      <w:r>
        <w:rPr>
          <w:rStyle w:val="Hyperlink.1"/>
        </w:rPr>
        <w:fldChar w:fldCharType="begin" w:fldLock="0"/>
      </w:r>
      <w:r>
        <w:rPr>
          <w:rStyle w:val="Hyperlink.1"/>
        </w:rPr>
        <w:instrText xml:space="preserve"> HYPERLINK "https://doi.org/10.1111/ijpp.12653"</w:instrText>
      </w:r>
      <w:r>
        <w:rPr>
          <w:rStyle w:val="Hyperlink.1"/>
        </w:rPr>
        <w:fldChar w:fldCharType="separate" w:fldLock="0"/>
      </w:r>
      <w:r>
        <w:rPr>
          <w:rStyle w:val="Hyperlink.1"/>
          <w:rtl w:val="0"/>
        </w:rPr>
        <w:t>https://doi.org/10.1111/ijpp.12653</w:t>
      </w:r>
      <w:r>
        <w:rPr/>
        <w:fldChar w:fldCharType="end" w:fldLock="0"/>
      </w:r>
      <w:r>
        <w:rPr>
          <w:rStyle w:val="None"/>
          <w:rFonts w:ascii="Arial" w:hAnsi="Arial"/>
          <w:sz w:val="22"/>
          <w:szCs w:val="22"/>
          <w:rtl w:val="0"/>
        </w:rPr>
        <w:t xml:space="preserve">. </w:t>
      </w:r>
    </w:p>
    <w:p>
      <w:pPr>
        <w:pStyle w:val="Body A"/>
        <w:spacing w:line="240" w:lineRule="auto"/>
        <w:ind w:left="567" w:hanging="567"/>
        <w:jc w:val="both"/>
        <w:rPr>
          <w:rStyle w:val="None"/>
          <w:rFonts w:ascii="Arial" w:cs="Arial" w:hAnsi="Arial" w:eastAsia="Arial"/>
          <w:sz w:val="22"/>
          <w:szCs w:val="22"/>
        </w:rPr>
      </w:pPr>
      <w:r>
        <w:rPr>
          <w:rStyle w:val="None"/>
          <w:rFonts w:ascii="Arial" w:hAnsi="Arial"/>
          <w:sz w:val="22"/>
          <w:szCs w:val="22"/>
          <w:rtl w:val="0"/>
          <w:lang w:val="en-US"/>
        </w:rPr>
        <w:t xml:space="preserve">Twigg, M.J., Wright, D., Kirkdale, C.L., Desborough, J.A. and Thornley, T. (2017). The UK Pharmacy Care Plan service: Description, recruitment and initial views on a new community pharmacy intervention. </w:t>
      </w:r>
      <w:r>
        <w:rPr>
          <w:rStyle w:val="None"/>
          <w:rFonts w:ascii="Arial" w:hAnsi="Arial"/>
          <w:i w:val="1"/>
          <w:iCs w:val="1"/>
          <w:sz w:val="22"/>
          <w:szCs w:val="22"/>
          <w:rtl w:val="0"/>
          <w:lang w:val="de-DE"/>
        </w:rPr>
        <w:t>PLOS ONE</w:t>
      </w:r>
      <w:r>
        <w:rPr>
          <w:rStyle w:val="None"/>
          <w:rFonts w:ascii="Arial" w:hAnsi="Arial"/>
          <w:sz w:val="22"/>
          <w:szCs w:val="22"/>
          <w:rtl w:val="0"/>
          <w:lang w:val="pt-PT"/>
        </w:rPr>
        <w:t xml:space="preserve">, 12(4), p.e0174500. doi: </w:t>
      </w:r>
      <w:r>
        <w:rPr>
          <w:rStyle w:val="Hyperlink.0"/>
        </w:rPr>
        <w:fldChar w:fldCharType="begin" w:fldLock="0"/>
      </w:r>
      <w:r>
        <w:rPr>
          <w:rStyle w:val="Hyperlink.0"/>
        </w:rPr>
        <w:instrText xml:space="preserve"> HYPERLINK "https://doi.org/10.1371/journal.pone.0174500"</w:instrText>
      </w:r>
      <w:r>
        <w:rPr>
          <w:rStyle w:val="Hyperlink.0"/>
        </w:rPr>
        <w:fldChar w:fldCharType="separate" w:fldLock="0"/>
      </w:r>
      <w:r>
        <w:rPr>
          <w:rStyle w:val="Hyperlink.0"/>
          <w:rtl w:val="0"/>
          <w:lang w:val="fr-FR"/>
        </w:rPr>
        <w:t>https://doi.org/10.1371/journal.pone.0174500</w:t>
      </w:r>
      <w:r>
        <w:rPr/>
        <w:fldChar w:fldCharType="end" w:fldLock="0"/>
      </w:r>
      <w:r>
        <w:rPr>
          <w:rStyle w:val="None"/>
          <w:rFonts w:ascii="Arial" w:hAnsi="Arial"/>
          <w:sz w:val="22"/>
          <w:szCs w:val="22"/>
          <w:rtl w:val="0"/>
        </w:rPr>
        <w:t xml:space="preserve">. </w:t>
      </w:r>
    </w:p>
    <w:p>
      <w:pPr>
        <w:pStyle w:val="Body A"/>
        <w:spacing w:line="240" w:lineRule="auto"/>
        <w:ind w:left="567" w:hanging="567"/>
        <w:jc w:val="both"/>
      </w:pPr>
      <w:r>
        <w:rPr>
          <w:rStyle w:val="None"/>
          <w:rFonts w:ascii="Arial" w:hAnsi="Arial"/>
          <w:sz w:val="22"/>
          <w:szCs w:val="22"/>
          <w:rtl w:val="0"/>
          <w:lang w:val="en-US"/>
        </w:rPr>
        <w:t xml:space="preserve">Wiffen, P. and Stoner, N. (2024). A retrospective view of hospital pharmacy in the UK over the last 20 years. </w:t>
      </w:r>
      <w:r>
        <w:rPr>
          <w:rStyle w:val="None"/>
          <w:rFonts w:ascii="Arial" w:hAnsi="Arial"/>
          <w:i w:val="1"/>
          <w:iCs w:val="1"/>
          <w:sz w:val="22"/>
          <w:szCs w:val="22"/>
          <w:rtl w:val="0"/>
          <w:lang w:val="en-US"/>
        </w:rPr>
        <w:t>Future Healthcare Journal</w:t>
      </w:r>
      <w:r>
        <w:rPr>
          <w:rStyle w:val="None"/>
          <w:rFonts w:ascii="Arial" w:hAnsi="Arial"/>
          <w:sz w:val="22"/>
          <w:szCs w:val="22"/>
          <w:rtl w:val="0"/>
          <w:lang w:val="pt-PT"/>
        </w:rPr>
        <w:t xml:space="preserve">, [online] 11(4), p.100206. doi: </w:t>
      </w:r>
      <w:r>
        <w:rPr>
          <w:rStyle w:val="Hyperlink.1"/>
        </w:rPr>
        <w:fldChar w:fldCharType="begin" w:fldLock="0"/>
      </w:r>
      <w:r>
        <w:rPr>
          <w:rStyle w:val="Hyperlink.1"/>
        </w:rPr>
        <w:instrText xml:space="preserve"> HYPERLINK "https://doi.org/10.1016/j.fhj.2024.100206"</w:instrText>
      </w:r>
      <w:r>
        <w:rPr>
          <w:rStyle w:val="Hyperlink.1"/>
        </w:rPr>
        <w:fldChar w:fldCharType="separate" w:fldLock="0"/>
      </w:r>
      <w:r>
        <w:rPr>
          <w:rStyle w:val="Hyperlink.1"/>
          <w:rtl w:val="0"/>
        </w:rPr>
        <w:t>https://doi.org/10.1016/j.fhj.2024.100206</w:t>
      </w:r>
      <w:r>
        <w:rPr/>
        <w:fldChar w:fldCharType="end" w:fldLock="0"/>
      </w:r>
      <w:r>
        <w:rPr>
          <w:rStyle w:val="None"/>
          <w:rFonts w:ascii="Arial" w:hAnsi="Arial"/>
          <w:sz w:val="22"/>
          <w:szCs w:val="22"/>
          <w:rtl w:val="0"/>
        </w:rPr>
        <w:t xml:space="preserve">. </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360" w:lineRule="auto"/>
      <w:ind w:left="0" w:right="0" w:firstLine="0"/>
      <w:jc w:val="left"/>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fr-FR"/>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563c1"/>
      <w:sz w:val="22"/>
      <w:szCs w:val="22"/>
      <w:u w:val="single" w:color="0563c1"/>
      <w:lang w:val="fr-FR"/>
      <w14:textFill>
        <w14:solidFill>
          <w14:srgbClr w14:val="0563C1"/>
        </w14:solidFill>
      </w14:textFill>
    </w:rPr>
  </w:style>
  <w:style w:type="character" w:styleId="Hyperlink.1">
    <w:name w:val="Hyperlink.1"/>
    <w:basedOn w:val="None"/>
    <w:next w:val="Hyperlink.1"/>
    <w:rPr>
      <w:rFonts w:ascii="Arial" w:cs="Arial" w:hAnsi="Arial" w:eastAsia="Arial"/>
      <w:outline w:val="0"/>
      <w:color w:val="0563c1"/>
      <w:sz w:val="22"/>
      <w:szCs w:val="22"/>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