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96474" w14:textId="79C6167B" w:rsidR="00367C1A" w:rsidRPr="00A252BE" w:rsidRDefault="000D1818" w:rsidP="00E0191D">
      <w:pPr>
        <w:spacing w:line="360" w:lineRule="auto"/>
        <w:jc w:val="both"/>
        <w:rPr>
          <w:rFonts w:ascii="Arial" w:eastAsia="Arial" w:hAnsi="Arial" w:cs="Arial"/>
        </w:rPr>
      </w:pPr>
      <w:r w:rsidRPr="00A252BE">
        <w:rPr>
          <w:rFonts w:ascii="Arial" w:eastAsia="Arial" w:hAnsi="Arial" w:cs="Arial"/>
          <w:noProof/>
        </w:rPr>
        <w:drawing>
          <wp:inline distT="0" distB="0" distL="0" distR="0" wp14:anchorId="3F5973DB" wp14:editId="65BE661B">
            <wp:extent cx="4362450" cy="1685925"/>
            <wp:effectExtent l="0" t="0" r="0" b="9525"/>
            <wp:docPr id="1026" name="Picture 2">
              <a:extLst xmlns:a="http://schemas.openxmlformats.org/drawingml/2006/main">
                <a:ext uri="{FF2B5EF4-FFF2-40B4-BE49-F238E27FC236}">
                  <a16:creationId xmlns:a16="http://schemas.microsoft.com/office/drawing/2014/main" id="{5417AEF0-98BE-22AB-71E6-433B86DED6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a:extLst>
                        <a:ext uri="{FF2B5EF4-FFF2-40B4-BE49-F238E27FC236}">
                          <a16:creationId xmlns:a16="http://schemas.microsoft.com/office/drawing/2014/main" id="{5417AEF0-98BE-22AB-71E6-433B86DED6B7}"/>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62450" cy="16859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3DD102D" w14:textId="77777777" w:rsidR="003155C1" w:rsidRDefault="003155C1" w:rsidP="00E0191D">
      <w:pPr>
        <w:spacing w:line="360" w:lineRule="auto"/>
        <w:jc w:val="both"/>
        <w:rPr>
          <w:rFonts w:ascii="Arial" w:eastAsia="Arial" w:hAnsi="Arial" w:cs="Arial"/>
        </w:rPr>
      </w:pPr>
    </w:p>
    <w:p w14:paraId="36E48DF5" w14:textId="77777777" w:rsidR="003155C1" w:rsidRDefault="003155C1" w:rsidP="00E0191D">
      <w:pPr>
        <w:spacing w:line="360" w:lineRule="auto"/>
        <w:jc w:val="both"/>
        <w:rPr>
          <w:rFonts w:ascii="Arial" w:eastAsia="Arial" w:hAnsi="Arial" w:cs="Arial"/>
        </w:rPr>
      </w:pPr>
    </w:p>
    <w:p w14:paraId="44788E76" w14:textId="46110EA8" w:rsidR="00367C1A" w:rsidRPr="009045DB" w:rsidRDefault="006A742F" w:rsidP="009045DB">
      <w:pPr>
        <w:spacing w:line="360" w:lineRule="auto"/>
        <w:rPr>
          <w:rFonts w:ascii="Arial" w:eastAsia="Arial" w:hAnsi="Arial" w:cs="Arial"/>
          <w:sz w:val="56"/>
          <w:szCs w:val="56"/>
        </w:rPr>
      </w:pPr>
      <w:r w:rsidRPr="009045DB">
        <w:rPr>
          <w:rFonts w:ascii="Arial" w:eastAsia="Arial" w:hAnsi="Arial" w:cs="Arial"/>
          <w:sz w:val="56"/>
          <w:szCs w:val="56"/>
        </w:rPr>
        <w:t>Institute</w:t>
      </w:r>
      <w:r w:rsidR="003155C1" w:rsidRPr="009045DB">
        <w:rPr>
          <w:rFonts w:ascii="Arial" w:eastAsia="Arial" w:hAnsi="Arial" w:cs="Arial"/>
          <w:sz w:val="56"/>
          <w:szCs w:val="56"/>
        </w:rPr>
        <w:t xml:space="preserve"> </w:t>
      </w:r>
      <w:r w:rsidRPr="009045DB">
        <w:rPr>
          <w:rFonts w:ascii="Arial" w:eastAsia="Arial" w:hAnsi="Arial" w:cs="Arial"/>
          <w:sz w:val="56"/>
          <w:szCs w:val="56"/>
        </w:rPr>
        <w:t xml:space="preserve">of Inner-City </w:t>
      </w:r>
      <w:r w:rsidR="00E06D6D" w:rsidRPr="009045DB">
        <w:rPr>
          <w:rFonts w:ascii="Arial" w:eastAsia="Arial" w:hAnsi="Arial" w:cs="Arial"/>
          <w:sz w:val="56"/>
          <w:szCs w:val="56"/>
        </w:rPr>
        <w:t xml:space="preserve">Learning </w:t>
      </w:r>
      <w:r w:rsidR="000D72FF" w:rsidRPr="009045DB">
        <w:rPr>
          <w:rFonts w:ascii="Arial" w:eastAsia="Arial" w:hAnsi="Arial" w:cs="Arial"/>
          <w:sz w:val="56"/>
          <w:szCs w:val="56"/>
        </w:rPr>
        <w:t xml:space="preserve">     </w:t>
      </w:r>
      <w:r w:rsidR="00E06D6D" w:rsidRPr="009045DB">
        <w:rPr>
          <w:rFonts w:ascii="Arial" w:eastAsia="Arial" w:hAnsi="Arial" w:cs="Arial"/>
          <w:sz w:val="56"/>
          <w:szCs w:val="56"/>
        </w:rPr>
        <w:t xml:space="preserve">Birmingham Campus </w:t>
      </w:r>
    </w:p>
    <w:p w14:paraId="3F280BEE" w14:textId="44C41132" w:rsidR="003155C1" w:rsidRPr="009045DB" w:rsidRDefault="00E06D6D" w:rsidP="009045DB">
      <w:pPr>
        <w:spacing w:line="360" w:lineRule="auto"/>
        <w:rPr>
          <w:rFonts w:ascii="Arial" w:eastAsia="Arial" w:hAnsi="Arial" w:cs="Arial"/>
          <w:sz w:val="56"/>
          <w:szCs w:val="56"/>
        </w:rPr>
      </w:pPr>
      <w:r w:rsidRPr="009045DB">
        <w:rPr>
          <w:rFonts w:ascii="Arial" w:eastAsia="Arial" w:hAnsi="Arial" w:cs="Arial"/>
          <w:sz w:val="56"/>
          <w:szCs w:val="56"/>
        </w:rPr>
        <w:t>BSc</w:t>
      </w:r>
      <w:r w:rsidR="003155C1" w:rsidRPr="009045DB">
        <w:rPr>
          <w:rFonts w:ascii="Arial" w:eastAsia="Arial" w:hAnsi="Arial" w:cs="Arial"/>
          <w:sz w:val="56"/>
          <w:szCs w:val="56"/>
        </w:rPr>
        <w:t xml:space="preserve"> </w:t>
      </w:r>
      <w:r w:rsidRPr="009045DB">
        <w:rPr>
          <w:rFonts w:ascii="Arial" w:eastAsia="Arial" w:hAnsi="Arial" w:cs="Arial"/>
          <w:sz w:val="56"/>
          <w:szCs w:val="56"/>
        </w:rPr>
        <w:t xml:space="preserve">(Hons) Health and Social </w:t>
      </w:r>
    </w:p>
    <w:p w14:paraId="759E27A9" w14:textId="361AD9F3" w:rsidR="00367C1A" w:rsidRPr="00E06D6D" w:rsidRDefault="00E06D6D" w:rsidP="009045DB">
      <w:pPr>
        <w:spacing w:line="360" w:lineRule="auto"/>
        <w:rPr>
          <w:rFonts w:ascii="Arial" w:eastAsia="Arial" w:hAnsi="Arial" w:cs="Arial"/>
        </w:rPr>
      </w:pPr>
      <w:r w:rsidRPr="009045DB">
        <w:rPr>
          <w:rFonts w:ascii="Arial" w:eastAsia="Arial" w:hAnsi="Arial" w:cs="Arial"/>
          <w:sz w:val="56"/>
          <w:szCs w:val="56"/>
        </w:rPr>
        <w:t>Care</w:t>
      </w:r>
      <w:r w:rsidR="77A517E5" w:rsidRPr="00A252BE">
        <w:br/>
      </w:r>
      <w:r w:rsidR="77A517E5" w:rsidRPr="00A252BE">
        <w:rPr>
          <w:rFonts w:ascii="Arial" w:eastAsia="Arial" w:hAnsi="Arial" w:cs="Arial"/>
          <w:sz w:val="60"/>
          <w:szCs w:val="60"/>
        </w:rPr>
        <w:t xml:space="preserve"> </w:t>
      </w:r>
    </w:p>
    <w:p w14:paraId="1D9A1661" w14:textId="11CC9A89" w:rsidR="00367C1A" w:rsidRPr="00A252BE" w:rsidRDefault="58802F49" w:rsidP="00E0191D">
      <w:pPr>
        <w:pStyle w:val="Heading1"/>
        <w:spacing w:before="0" w:after="0" w:line="360" w:lineRule="auto"/>
        <w:jc w:val="both"/>
        <w:rPr>
          <w:rFonts w:ascii="Arial" w:eastAsia="Arial" w:hAnsi="Arial" w:cs="Arial"/>
          <w:b/>
          <w:bCs/>
          <w:sz w:val="32"/>
          <w:szCs w:val="32"/>
        </w:rPr>
      </w:pPr>
      <w:r w:rsidRPr="00A252BE">
        <w:rPr>
          <w:rFonts w:ascii="Arial" w:eastAsia="Arial" w:hAnsi="Arial" w:cs="Arial"/>
          <w:b/>
          <w:bCs/>
          <w:sz w:val="32"/>
          <w:szCs w:val="32"/>
        </w:rPr>
        <w:t xml:space="preserve"> </w:t>
      </w:r>
    </w:p>
    <w:p w14:paraId="28E5BD84" w14:textId="77777777" w:rsidR="009045DB" w:rsidRPr="00A252BE" w:rsidRDefault="009045DB" w:rsidP="009045DB">
      <w:pPr>
        <w:jc w:val="both"/>
        <w:rPr>
          <w:rFonts w:ascii="Arial" w:eastAsia="Arial" w:hAnsi="Arial" w:cs="Arial"/>
          <w:b/>
          <w:bCs/>
          <w:sz w:val="32"/>
          <w:szCs w:val="32"/>
        </w:rPr>
      </w:pPr>
      <w:bookmarkStart w:id="0" w:name="_Toc225143083"/>
      <w:r w:rsidRPr="00A252BE">
        <w:rPr>
          <w:rFonts w:ascii="Arial" w:eastAsia="Arial" w:hAnsi="Arial" w:cs="Arial"/>
          <w:b/>
          <w:bCs/>
          <w:sz w:val="32"/>
          <w:szCs w:val="32"/>
        </w:rPr>
        <w:t>Disclaimer</w:t>
      </w:r>
      <w:bookmarkEnd w:id="0"/>
    </w:p>
    <w:p w14:paraId="10A434C4" w14:textId="77777777" w:rsidR="009045DB" w:rsidRPr="00A252BE" w:rsidRDefault="009045DB" w:rsidP="009045DB">
      <w:pPr>
        <w:spacing w:before="62" w:line="360" w:lineRule="auto"/>
        <w:ind w:right="96"/>
        <w:jc w:val="both"/>
        <w:rPr>
          <w:rFonts w:ascii="Arial" w:eastAsia="Arial" w:hAnsi="Arial" w:cs="Arial"/>
          <w:sz w:val="20"/>
          <w:szCs w:val="20"/>
        </w:rPr>
      </w:pPr>
      <w:r w:rsidRPr="00A252BE">
        <w:rPr>
          <w:rFonts w:ascii="Arial" w:eastAsia="Arial" w:hAnsi="Arial" w:cs="Arial"/>
          <w:sz w:val="20"/>
          <w:szCs w:val="20"/>
        </w:rPr>
        <w:t xml:space="preserve">This document was correct at the time of publication. The Module Coordinator reserves the right to modify any </w:t>
      </w:r>
      <w:proofErr w:type="gramStart"/>
      <w:r w:rsidRPr="00A252BE">
        <w:rPr>
          <w:rFonts w:ascii="Arial" w:eastAsia="Arial" w:hAnsi="Arial" w:cs="Arial"/>
          <w:sz w:val="20"/>
          <w:szCs w:val="20"/>
        </w:rPr>
        <w:t>statement</w:t>
      </w:r>
      <w:proofErr w:type="gramEnd"/>
      <w:r w:rsidRPr="00A252BE">
        <w:rPr>
          <w:rFonts w:ascii="Arial" w:eastAsia="Arial" w:hAnsi="Arial" w:cs="Arial"/>
          <w:sz w:val="20"/>
          <w:szCs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10AC50AA" w14:textId="636E867C" w:rsidR="3A7CED5F" w:rsidRPr="00A252BE" w:rsidRDefault="3A7CED5F" w:rsidP="00E0191D">
      <w:pPr>
        <w:jc w:val="both"/>
      </w:pPr>
    </w:p>
    <w:p w14:paraId="7D4F74A4" w14:textId="7346F420" w:rsidR="3A7CED5F" w:rsidRPr="00A252BE" w:rsidRDefault="3A7CED5F" w:rsidP="00E0191D">
      <w:pPr>
        <w:jc w:val="both"/>
      </w:pPr>
    </w:p>
    <w:p w14:paraId="268CBA50" w14:textId="4C52437D" w:rsidR="53DC7FE0" w:rsidRDefault="53DC7FE0" w:rsidP="00E0191D">
      <w:pPr>
        <w:spacing w:line="360" w:lineRule="auto"/>
        <w:jc w:val="both"/>
      </w:pPr>
    </w:p>
    <w:p w14:paraId="3982E8A0" w14:textId="77777777" w:rsidR="009045DB" w:rsidRPr="00A252BE" w:rsidRDefault="009045DB" w:rsidP="00E0191D">
      <w:pPr>
        <w:spacing w:line="360" w:lineRule="auto"/>
        <w:jc w:val="both"/>
        <w:rPr>
          <w:rFonts w:ascii="Arial" w:eastAsia="Arial" w:hAnsi="Arial" w:cs="Arial"/>
          <w:b/>
          <w:bCs/>
          <w:sz w:val="28"/>
          <w:szCs w:val="28"/>
        </w:rPr>
      </w:pPr>
    </w:p>
    <w:p w14:paraId="14DF76A0" w14:textId="716C5C33" w:rsidR="00367C1A" w:rsidRPr="00A252BE" w:rsidRDefault="72C3B2B0" w:rsidP="00E0191D">
      <w:pPr>
        <w:spacing w:line="360" w:lineRule="auto"/>
        <w:jc w:val="both"/>
        <w:rPr>
          <w:rFonts w:ascii="Arial" w:eastAsia="Arial" w:hAnsi="Arial" w:cs="Arial"/>
          <w:b/>
          <w:bCs/>
          <w:sz w:val="28"/>
          <w:szCs w:val="28"/>
        </w:rPr>
      </w:pPr>
      <w:r w:rsidRPr="00A252BE">
        <w:rPr>
          <w:rFonts w:ascii="Arial" w:eastAsia="Arial" w:hAnsi="Arial" w:cs="Arial"/>
          <w:b/>
          <w:bCs/>
          <w:sz w:val="28"/>
          <w:szCs w:val="28"/>
        </w:rPr>
        <w:t>DECLARATION</w:t>
      </w:r>
    </w:p>
    <w:p w14:paraId="090E3C1F" w14:textId="69AAD564" w:rsidR="00367C1A" w:rsidRPr="00A252BE" w:rsidRDefault="72C3B2B0" w:rsidP="00E0191D">
      <w:pPr>
        <w:spacing w:line="360" w:lineRule="auto"/>
        <w:jc w:val="both"/>
        <w:rPr>
          <w:rFonts w:ascii="Arial" w:eastAsia="Arial" w:hAnsi="Arial" w:cs="Arial"/>
        </w:rPr>
      </w:pPr>
      <w:r w:rsidRPr="00A252BE">
        <w:rPr>
          <w:rFonts w:ascii="Arial" w:eastAsia="Arial" w:hAnsi="Arial" w:cs="Arial"/>
        </w:rPr>
        <w:t>This work has not previously been accepted in substance for any degree and is not being concurrently submitted in candidature for any degree</w:t>
      </w:r>
    </w:p>
    <w:p w14:paraId="31C376DF" w14:textId="73BF6331" w:rsidR="00367C1A" w:rsidRPr="00A252BE" w:rsidRDefault="77A517E5" w:rsidP="00E0191D">
      <w:pPr>
        <w:spacing w:line="360" w:lineRule="auto"/>
        <w:jc w:val="both"/>
        <w:rPr>
          <w:rFonts w:ascii="Arial" w:eastAsia="Arial" w:hAnsi="Arial" w:cs="Arial"/>
        </w:rPr>
      </w:pPr>
      <w:r w:rsidRPr="00A252BE">
        <w:rPr>
          <w:rFonts w:ascii="Arial" w:eastAsia="Arial" w:hAnsi="Arial" w:cs="Arial"/>
        </w:rPr>
        <w:t>Signed………</w:t>
      </w:r>
      <w:r w:rsidR="57127DCE" w:rsidRPr="00A252BE">
        <w:rPr>
          <w:rFonts w:ascii="Arial" w:eastAsia="Arial" w:hAnsi="Arial" w:cs="Arial"/>
        </w:rPr>
        <w:t>Asya Zulfiqar</w:t>
      </w:r>
      <w:r w:rsidRPr="00A252BE">
        <w:rPr>
          <w:rFonts w:ascii="Arial" w:eastAsia="Arial" w:hAnsi="Arial" w:cs="Arial"/>
        </w:rPr>
        <w:t>……………………………………</w:t>
      </w:r>
    </w:p>
    <w:p w14:paraId="1E35C4A1" w14:textId="3B86B219" w:rsidR="00367C1A" w:rsidRPr="00A252BE" w:rsidRDefault="72C3B2B0" w:rsidP="00E0191D">
      <w:pPr>
        <w:spacing w:line="360" w:lineRule="auto"/>
        <w:jc w:val="both"/>
        <w:rPr>
          <w:rFonts w:ascii="Arial" w:eastAsia="Arial" w:hAnsi="Arial" w:cs="Arial"/>
        </w:rPr>
      </w:pPr>
      <w:r w:rsidRPr="00A252BE">
        <w:rPr>
          <w:rFonts w:ascii="Arial" w:eastAsia="Arial" w:hAnsi="Arial" w:cs="Arial"/>
        </w:rPr>
        <w:t>Date…………</w:t>
      </w:r>
      <w:r w:rsidR="001666E2" w:rsidRPr="00A252BE">
        <w:rPr>
          <w:rFonts w:ascii="Arial" w:eastAsia="Arial" w:hAnsi="Arial" w:cs="Arial"/>
        </w:rPr>
        <w:t xml:space="preserve">07 </w:t>
      </w:r>
      <w:r w:rsidR="00F51B32" w:rsidRPr="00A252BE">
        <w:rPr>
          <w:rFonts w:ascii="Arial" w:eastAsia="Arial" w:hAnsi="Arial" w:cs="Arial"/>
        </w:rPr>
        <w:t>April 2026</w:t>
      </w:r>
      <w:r w:rsidRPr="00A252BE">
        <w:rPr>
          <w:rFonts w:ascii="Arial" w:eastAsia="Arial" w:hAnsi="Arial" w:cs="Arial"/>
        </w:rPr>
        <w:t>……………………………………</w:t>
      </w:r>
    </w:p>
    <w:p w14:paraId="1B116B36" w14:textId="3CEE529A" w:rsidR="00367C1A" w:rsidRPr="00A252BE" w:rsidRDefault="72C3B2B0" w:rsidP="00E0191D">
      <w:pPr>
        <w:spacing w:line="360" w:lineRule="auto"/>
        <w:jc w:val="both"/>
        <w:rPr>
          <w:rFonts w:ascii="Arial" w:eastAsia="Arial" w:hAnsi="Arial" w:cs="Arial"/>
          <w:b/>
          <w:bCs/>
        </w:rPr>
      </w:pPr>
      <w:r w:rsidRPr="00A252BE">
        <w:rPr>
          <w:rFonts w:ascii="Arial" w:eastAsia="Arial" w:hAnsi="Arial" w:cs="Arial"/>
          <w:b/>
          <w:bCs/>
        </w:rPr>
        <w:t xml:space="preserve">STATEMENT 1 </w:t>
      </w:r>
    </w:p>
    <w:p w14:paraId="11D0F12B" w14:textId="66A1E6D8" w:rsidR="00367C1A" w:rsidRPr="00A252BE" w:rsidRDefault="77A517E5" w:rsidP="00E0191D">
      <w:pPr>
        <w:spacing w:line="360" w:lineRule="auto"/>
        <w:jc w:val="both"/>
        <w:rPr>
          <w:rFonts w:ascii="Arial" w:eastAsia="Arial" w:hAnsi="Arial" w:cs="Arial"/>
        </w:rPr>
      </w:pPr>
      <w:r w:rsidRPr="00A252BE">
        <w:rPr>
          <w:rFonts w:ascii="Arial" w:eastAsia="Arial" w:hAnsi="Arial" w:cs="Arial"/>
        </w:rPr>
        <w:t>This dissertation is being submitted in partial fulfilment of the requirements for the degree of BSc.</w:t>
      </w:r>
    </w:p>
    <w:p w14:paraId="5F3CDD3B" w14:textId="0B3B083A" w:rsidR="00367C1A" w:rsidRPr="00A252BE" w:rsidRDefault="77A517E5" w:rsidP="00E0191D">
      <w:pPr>
        <w:spacing w:line="360" w:lineRule="auto"/>
        <w:jc w:val="both"/>
        <w:rPr>
          <w:rFonts w:ascii="Arial" w:eastAsia="Arial" w:hAnsi="Arial" w:cs="Arial"/>
        </w:rPr>
      </w:pPr>
      <w:r w:rsidRPr="00A252BE">
        <w:rPr>
          <w:rFonts w:ascii="Arial" w:eastAsia="Arial" w:hAnsi="Arial" w:cs="Arial"/>
        </w:rPr>
        <w:t>Signed…………</w:t>
      </w:r>
      <w:r w:rsidR="2D60AA87" w:rsidRPr="00A252BE">
        <w:rPr>
          <w:rFonts w:ascii="Arial" w:eastAsia="Arial" w:hAnsi="Arial" w:cs="Arial"/>
        </w:rPr>
        <w:t>Asya Zulfiqar</w:t>
      </w:r>
      <w:r w:rsidRPr="00A252BE">
        <w:rPr>
          <w:rFonts w:ascii="Arial" w:eastAsia="Arial" w:hAnsi="Arial" w:cs="Arial"/>
        </w:rPr>
        <w:t xml:space="preserve">…………………………………. </w:t>
      </w:r>
    </w:p>
    <w:p w14:paraId="0DC4CE64" w14:textId="46D6621D" w:rsidR="00367C1A" w:rsidRPr="00A252BE" w:rsidRDefault="72C3B2B0" w:rsidP="00E0191D">
      <w:pPr>
        <w:spacing w:line="360" w:lineRule="auto"/>
        <w:jc w:val="both"/>
        <w:rPr>
          <w:rFonts w:ascii="Arial" w:eastAsia="Arial" w:hAnsi="Arial" w:cs="Arial"/>
        </w:rPr>
      </w:pPr>
      <w:r w:rsidRPr="00A252BE">
        <w:rPr>
          <w:rFonts w:ascii="Arial" w:eastAsia="Arial" w:hAnsi="Arial" w:cs="Arial"/>
        </w:rPr>
        <w:t>Date……………</w:t>
      </w:r>
      <w:r w:rsidR="00F51B32" w:rsidRPr="00A252BE">
        <w:rPr>
          <w:rFonts w:ascii="Arial" w:eastAsia="Arial" w:hAnsi="Arial" w:cs="Arial"/>
        </w:rPr>
        <w:t>07 April 2026</w:t>
      </w:r>
      <w:r w:rsidRPr="00A252BE">
        <w:rPr>
          <w:rFonts w:ascii="Arial" w:eastAsia="Arial" w:hAnsi="Arial" w:cs="Arial"/>
        </w:rPr>
        <w:t>…………………………………</w:t>
      </w:r>
    </w:p>
    <w:p w14:paraId="3FEF422B" w14:textId="328E343C" w:rsidR="00367C1A" w:rsidRPr="00A252BE" w:rsidRDefault="72C3B2B0" w:rsidP="00E0191D">
      <w:pPr>
        <w:spacing w:line="360" w:lineRule="auto"/>
        <w:jc w:val="both"/>
        <w:rPr>
          <w:rFonts w:ascii="Arial" w:eastAsia="Arial" w:hAnsi="Arial" w:cs="Arial"/>
          <w:b/>
          <w:bCs/>
        </w:rPr>
      </w:pPr>
      <w:r w:rsidRPr="00A252BE">
        <w:rPr>
          <w:rFonts w:ascii="Arial" w:eastAsia="Arial" w:hAnsi="Arial" w:cs="Arial"/>
          <w:b/>
          <w:bCs/>
        </w:rPr>
        <w:t>STATEMENT 2</w:t>
      </w:r>
    </w:p>
    <w:p w14:paraId="447C480A" w14:textId="68FF9422" w:rsidR="00367C1A" w:rsidRPr="00A252BE" w:rsidRDefault="72C3B2B0" w:rsidP="00E0191D">
      <w:pPr>
        <w:spacing w:line="360" w:lineRule="auto"/>
        <w:jc w:val="both"/>
        <w:rPr>
          <w:rFonts w:ascii="Arial" w:eastAsia="Arial" w:hAnsi="Arial" w:cs="Arial"/>
        </w:rPr>
      </w:pPr>
      <w:r w:rsidRPr="00A252BE">
        <w:rPr>
          <w:rFonts w:ascii="Arial" w:eastAsia="Arial" w:hAnsi="Arial" w:cs="Arial"/>
        </w:rPr>
        <w:t>This dissertation is the result of my own independent work/investigation, except where otherwise stated. Other sources are acknowledged by footnotes giving explicit references.  A bibliography is appended.</w:t>
      </w:r>
    </w:p>
    <w:p w14:paraId="61AF51A5" w14:textId="49642F60" w:rsidR="00367C1A" w:rsidRPr="00A252BE" w:rsidRDefault="77A517E5" w:rsidP="00E0191D">
      <w:pPr>
        <w:spacing w:line="360" w:lineRule="auto"/>
        <w:jc w:val="both"/>
        <w:rPr>
          <w:rFonts w:ascii="Arial" w:eastAsia="Arial" w:hAnsi="Arial" w:cs="Arial"/>
        </w:rPr>
      </w:pPr>
      <w:r w:rsidRPr="00A252BE">
        <w:rPr>
          <w:rFonts w:ascii="Arial" w:eastAsia="Arial" w:hAnsi="Arial" w:cs="Arial"/>
        </w:rPr>
        <w:t>Signed…………</w:t>
      </w:r>
      <w:r w:rsidR="41694E2E" w:rsidRPr="00A252BE">
        <w:rPr>
          <w:rFonts w:ascii="Arial" w:eastAsia="Arial" w:hAnsi="Arial" w:cs="Arial"/>
        </w:rPr>
        <w:t>Asya Zulfiqar</w:t>
      </w:r>
      <w:r w:rsidRPr="00A252BE">
        <w:rPr>
          <w:rFonts w:ascii="Arial" w:eastAsia="Arial" w:hAnsi="Arial" w:cs="Arial"/>
        </w:rPr>
        <w:t>…………………………………</w:t>
      </w:r>
    </w:p>
    <w:p w14:paraId="40508747" w14:textId="00E8594F" w:rsidR="3A7CED5F" w:rsidRPr="009045DB" w:rsidRDefault="58802F49" w:rsidP="00E0191D">
      <w:pPr>
        <w:spacing w:line="360" w:lineRule="auto"/>
        <w:jc w:val="both"/>
        <w:rPr>
          <w:rFonts w:ascii="Arial" w:eastAsia="Arial" w:hAnsi="Arial" w:cs="Arial"/>
        </w:rPr>
      </w:pPr>
      <w:r w:rsidRPr="00A252BE">
        <w:rPr>
          <w:rFonts w:ascii="Arial" w:eastAsia="Arial" w:hAnsi="Arial" w:cs="Arial"/>
        </w:rPr>
        <w:t>Date……………</w:t>
      </w:r>
      <w:r w:rsidR="00F51B32" w:rsidRPr="00A252BE">
        <w:rPr>
          <w:rFonts w:ascii="Arial" w:eastAsia="Arial" w:hAnsi="Arial" w:cs="Arial"/>
        </w:rPr>
        <w:t>07 April 2026</w:t>
      </w:r>
      <w:r w:rsidRPr="00A252BE">
        <w:rPr>
          <w:rFonts w:ascii="Arial" w:eastAsia="Arial" w:hAnsi="Arial" w:cs="Arial"/>
        </w:rPr>
        <w:t xml:space="preserve">………………………………… </w:t>
      </w:r>
    </w:p>
    <w:p w14:paraId="03DD3C10" w14:textId="4FFA5BC7" w:rsidR="00367C1A" w:rsidRPr="00A252BE" w:rsidRDefault="72C3B2B0" w:rsidP="00E0191D">
      <w:pPr>
        <w:spacing w:line="360" w:lineRule="auto"/>
        <w:jc w:val="both"/>
        <w:rPr>
          <w:rFonts w:ascii="Arial" w:eastAsia="Arial" w:hAnsi="Arial" w:cs="Arial"/>
          <w:b/>
          <w:bCs/>
        </w:rPr>
      </w:pPr>
      <w:r w:rsidRPr="00A252BE">
        <w:rPr>
          <w:rFonts w:ascii="Arial" w:eastAsia="Arial" w:hAnsi="Arial" w:cs="Arial"/>
          <w:b/>
          <w:bCs/>
        </w:rPr>
        <w:t>STATEMENT 3</w:t>
      </w:r>
    </w:p>
    <w:p w14:paraId="41FB3597" w14:textId="0A6392B5" w:rsidR="00367C1A" w:rsidRPr="00A252BE" w:rsidRDefault="72C3B2B0" w:rsidP="00E0191D">
      <w:pPr>
        <w:spacing w:line="360" w:lineRule="auto"/>
        <w:jc w:val="both"/>
        <w:rPr>
          <w:rFonts w:ascii="Arial" w:eastAsia="Arial" w:hAnsi="Arial" w:cs="Arial"/>
        </w:rPr>
      </w:pPr>
      <w:r w:rsidRPr="00A252BE">
        <w:rPr>
          <w:rFonts w:ascii="Arial" w:eastAsia="Arial" w:hAnsi="Arial" w:cs="Arial"/>
        </w:rPr>
        <w:t>I hereby give consent for my dissertation, if accepted, to be available for photocopying and for interlibrary loan, and for the title and summary to be made available to outside organisations.</w:t>
      </w:r>
    </w:p>
    <w:p w14:paraId="2B9B40C2" w14:textId="28F6C04B" w:rsidR="00367C1A" w:rsidRPr="00A252BE" w:rsidRDefault="77A517E5" w:rsidP="00E0191D">
      <w:pPr>
        <w:spacing w:line="360" w:lineRule="auto"/>
        <w:jc w:val="both"/>
        <w:rPr>
          <w:rFonts w:ascii="Arial" w:eastAsia="Arial" w:hAnsi="Arial" w:cs="Arial"/>
        </w:rPr>
      </w:pPr>
      <w:r w:rsidRPr="00A252BE">
        <w:rPr>
          <w:rFonts w:ascii="Arial" w:eastAsia="Arial" w:hAnsi="Arial" w:cs="Arial"/>
        </w:rPr>
        <w:t>Signed………</w:t>
      </w:r>
      <w:r w:rsidR="36DE530B" w:rsidRPr="00A252BE">
        <w:rPr>
          <w:rFonts w:ascii="Arial" w:eastAsia="Arial" w:hAnsi="Arial" w:cs="Arial"/>
        </w:rPr>
        <w:t>Asya Zulfiqar</w:t>
      </w:r>
      <w:r w:rsidRPr="00A252BE">
        <w:rPr>
          <w:rFonts w:ascii="Arial" w:eastAsia="Arial" w:hAnsi="Arial" w:cs="Arial"/>
        </w:rPr>
        <w:t>………………………………………</w:t>
      </w:r>
    </w:p>
    <w:p w14:paraId="4FCF467A" w14:textId="7E204B50" w:rsidR="00367C1A" w:rsidRPr="00A252BE" w:rsidRDefault="72C3B2B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r w:rsidRPr="00A252BE">
        <w:rPr>
          <w:rFonts w:ascii="Arial" w:eastAsia="Arial" w:hAnsi="Arial" w:cs="Arial"/>
        </w:rPr>
        <w:t>Date…………</w:t>
      </w:r>
      <w:r w:rsidR="00F51B32" w:rsidRPr="00A252BE">
        <w:rPr>
          <w:rFonts w:ascii="Arial" w:eastAsia="Arial" w:hAnsi="Arial" w:cs="Arial"/>
        </w:rPr>
        <w:t>07 April 2026</w:t>
      </w:r>
      <w:r w:rsidRPr="00A252BE">
        <w:rPr>
          <w:rFonts w:ascii="Arial" w:eastAsia="Arial" w:hAnsi="Arial" w:cs="Arial"/>
        </w:rPr>
        <w:t>………………………………………</w:t>
      </w:r>
    </w:p>
    <w:p w14:paraId="3EBC3199" w14:textId="77777777" w:rsidR="009045DB" w:rsidRDefault="009045DB" w:rsidP="00E0191D">
      <w:pPr>
        <w:spacing w:line="360" w:lineRule="auto"/>
        <w:jc w:val="both"/>
        <w:rPr>
          <w:rFonts w:ascii="Arial" w:eastAsia="Arial" w:hAnsi="Arial" w:cs="Arial"/>
          <w:b/>
          <w:bCs/>
        </w:rPr>
      </w:pPr>
    </w:p>
    <w:p w14:paraId="0836BDAB" w14:textId="77777777" w:rsidR="009045DB" w:rsidRDefault="009045DB" w:rsidP="00E0191D">
      <w:pPr>
        <w:spacing w:line="360" w:lineRule="auto"/>
        <w:jc w:val="both"/>
        <w:rPr>
          <w:rFonts w:ascii="Arial" w:eastAsia="Arial" w:hAnsi="Arial" w:cs="Arial"/>
          <w:b/>
          <w:bCs/>
        </w:rPr>
      </w:pPr>
    </w:p>
    <w:p w14:paraId="07BD0D11" w14:textId="77777777" w:rsidR="009045DB" w:rsidRDefault="009045DB" w:rsidP="00E0191D">
      <w:pPr>
        <w:spacing w:line="360" w:lineRule="auto"/>
        <w:jc w:val="both"/>
        <w:rPr>
          <w:rFonts w:ascii="Arial" w:eastAsia="Arial" w:hAnsi="Arial" w:cs="Arial"/>
          <w:b/>
          <w:bCs/>
        </w:rPr>
      </w:pPr>
    </w:p>
    <w:p w14:paraId="09F0F1A5" w14:textId="3716FB8C" w:rsidR="00367C1A" w:rsidRPr="00A252BE" w:rsidRDefault="72C3B2B0" w:rsidP="00E0191D">
      <w:pPr>
        <w:spacing w:line="360" w:lineRule="auto"/>
        <w:jc w:val="both"/>
        <w:rPr>
          <w:rFonts w:ascii="Arial" w:eastAsia="Arial" w:hAnsi="Arial" w:cs="Arial"/>
          <w:b/>
          <w:bCs/>
        </w:rPr>
      </w:pPr>
      <w:r w:rsidRPr="00A252BE">
        <w:rPr>
          <w:rFonts w:ascii="Arial" w:eastAsia="Arial" w:hAnsi="Arial" w:cs="Arial"/>
          <w:b/>
          <w:bCs/>
        </w:rPr>
        <w:lastRenderedPageBreak/>
        <w:t>STATEMENT 4</w:t>
      </w:r>
    </w:p>
    <w:p w14:paraId="2C3E15A4" w14:textId="42B9DD18" w:rsidR="00367C1A" w:rsidRPr="00A252BE" w:rsidRDefault="72C3B2B0" w:rsidP="00E0191D">
      <w:pPr>
        <w:spacing w:line="360" w:lineRule="auto"/>
        <w:jc w:val="both"/>
        <w:rPr>
          <w:rFonts w:ascii="Arial" w:eastAsia="Arial" w:hAnsi="Arial" w:cs="Arial"/>
        </w:rPr>
      </w:pPr>
      <w:r w:rsidRPr="00A252BE">
        <w:rPr>
          <w:rFonts w:ascii="Arial" w:eastAsia="Arial" w:hAnsi="Arial" w:cs="Arial"/>
        </w:rPr>
        <w:t>I hereby give consent for my dissertation, if accepted, to be available on the university’s IT system to those who have consent to use the system.</w:t>
      </w:r>
    </w:p>
    <w:p w14:paraId="5B3C761D" w14:textId="1DAE366D" w:rsidR="00367C1A" w:rsidRPr="00A252BE" w:rsidRDefault="77A517E5" w:rsidP="00E0191D">
      <w:pPr>
        <w:spacing w:line="360" w:lineRule="auto"/>
        <w:jc w:val="both"/>
        <w:rPr>
          <w:rFonts w:ascii="Arial" w:eastAsia="Arial" w:hAnsi="Arial" w:cs="Arial"/>
        </w:rPr>
      </w:pPr>
      <w:r w:rsidRPr="00A252BE">
        <w:rPr>
          <w:rFonts w:ascii="Arial" w:eastAsia="Arial" w:hAnsi="Arial" w:cs="Arial"/>
        </w:rPr>
        <w:t>Signed…………</w:t>
      </w:r>
      <w:r w:rsidR="11780ABE" w:rsidRPr="00A252BE">
        <w:rPr>
          <w:rFonts w:ascii="Arial" w:eastAsia="Arial" w:hAnsi="Arial" w:cs="Arial"/>
        </w:rPr>
        <w:t>Asya Zulfiqar</w:t>
      </w:r>
      <w:r w:rsidRPr="00A252BE">
        <w:rPr>
          <w:rFonts w:ascii="Arial" w:eastAsia="Arial" w:hAnsi="Arial" w:cs="Arial"/>
        </w:rPr>
        <w:t>……………………………………</w:t>
      </w:r>
    </w:p>
    <w:p w14:paraId="2068C1D5" w14:textId="37F644E2" w:rsidR="00367C1A" w:rsidRPr="00A252BE" w:rsidRDefault="77A517E5"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r w:rsidRPr="00A252BE">
        <w:rPr>
          <w:rFonts w:ascii="Arial" w:eastAsia="Arial" w:hAnsi="Arial" w:cs="Arial"/>
        </w:rPr>
        <w:t>Date……………</w:t>
      </w:r>
      <w:r w:rsidR="00F51B32" w:rsidRPr="00A252BE">
        <w:rPr>
          <w:rFonts w:ascii="Arial" w:eastAsia="Arial" w:hAnsi="Arial" w:cs="Arial"/>
        </w:rPr>
        <w:t>07 April 2026</w:t>
      </w:r>
      <w:r w:rsidRPr="00A252BE">
        <w:rPr>
          <w:rFonts w:ascii="Arial" w:eastAsia="Arial" w:hAnsi="Arial" w:cs="Arial"/>
        </w:rPr>
        <w:t>……………………………………</w:t>
      </w:r>
    </w:p>
    <w:p w14:paraId="4D9B6DC1" w14:textId="3DA295C3"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125273F5" w14:textId="4DBBE87B"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70AC4C5A" w14:textId="3E06213D"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559F8DB9" w14:textId="45B6B30C"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23A47E8D" w14:textId="0E199CDF"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065574AE" w14:textId="35BA2F95"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4DB64E17" w14:textId="4DD84445"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26FB40E0" w14:textId="741327B0"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283AE055" w14:textId="318D986A"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040C6CCE" w14:textId="46F7E3CB"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062D368B" w14:textId="2F81D5C1"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42CAB878" w14:textId="5EE30823"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2A3B944F" w14:textId="38284CD9"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1E7F570A" w14:textId="25C943D7" w:rsidR="53DC7FE0" w:rsidRPr="00A252BE"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7D057C56" w14:textId="36BED095" w:rsidR="53DC7FE0" w:rsidRDefault="53DC7FE0"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0EE64FC1" w14:textId="77777777" w:rsidR="009045DB" w:rsidRDefault="009045DB"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529041B3" w14:textId="77777777" w:rsidR="009045DB" w:rsidRDefault="009045DB"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30034871" w14:textId="77777777" w:rsidR="009045DB" w:rsidRDefault="009045DB"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336CF18B" w14:textId="77777777" w:rsidR="009045DB" w:rsidRDefault="009045DB"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1397844E" w14:textId="77777777" w:rsidR="009045DB" w:rsidRDefault="009045DB"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4DF0838B" w14:textId="77777777" w:rsidR="009045DB" w:rsidRDefault="009045DB"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7492931A" w14:textId="77777777" w:rsidR="009045DB" w:rsidRPr="00A252BE" w:rsidRDefault="009045DB" w:rsidP="00E0191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36A6B78C" w14:textId="34076B33" w:rsidR="00367C1A" w:rsidRPr="00A252BE" w:rsidRDefault="58802F49" w:rsidP="002D08A7">
      <w:pPr>
        <w:spacing w:line="360" w:lineRule="auto"/>
        <w:rPr>
          <w:rFonts w:ascii="Arial" w:eastAsia="Arial" w:hAnsi="Arial" w:cs="Arial"/>
          <w:b/>
          <w:bCs/>
          <w:color w:val="000000" w:themeColor="text1"/>
          <w:sz w:val="28"/>
          <w:szCs w:val="28"/>
        </w:rPr>
      </w:pPr>
      <w:r w:rsidRPr="00A252BE">
        <w:rPr>
          <w:rFonts w:ascii="Arial" w:eastAsia="Arial" w:hAnsi="Arial" w:cs="Arial"/>
        </w:rPr>
        <w:t xml:space="preserve"> </w:t>
      </w:r>
      <w:r w:rsidR="139B2D20" w:rsidRPr="00A252BE">
        <w:rPr>
          <w:rFonts w:ascii="Arial" w:eastAsia="Arial" w:hAnsi="Arial" w:cs="Arial"/>
          <w:b/>
          <w:bCs/>
          <w:color w:val="000000" w:themeColor="text1"/>
          <w:sz w:val="52"/>
          <w:szCs w:val="52"/>
        </w:rPr>
        <w:t>Exploring</w:t>
      </w:r>
      <w:r w:rsidR="002D08A7">
        <w:rPr>
          <w:rFonts w:ascii="Arial" w:eastAsia="Arial" w:hAnsi="Arial" w:cs="Arial"/>
          <w:b/>
          <w:bCs/>
          <w:color w:val="000000" w:themeColor="text1"/>
          <w:sz w:val="52"/>
          <w:szCs w:val="52"/>
        </w:rPr>
        <w:t xml:space="preserve"> </w:t>
      </w:r>
      <w:r w:rsidR="139B2D20" w:rsidRPr="00A252BE">
        <w:rPr>
          <w:rFonts w:ascii="Arial" w:eastAsia="Arial" w:hAnsi="Arial" w:cs="Arial"/>
          <w:b/>
          <w:bCs/>
          <w:color w:val="000000" w:themeColor="text1"/>
          <w:sz w:val="52"/>
          <w:szCs w:val="52"/>
        </w:rPr>
        <w:t xml:space="preserve">the Impact of </w:t>
      </w:r>
      <w:r w:rsidR="3D8B740B" w:rsidRPr="00A252BE">
        <w:rPr>
          <w:rFonts w:ascii="Arial" w:eastAsia="Arial" w:hAnsi="Arial" w:cs="Arial"/>
          <w:b/>
          <w:bCs/>
          <w:color w:val="000000" w:themeColor="text1"/>
          <w:sz w:val="52"/>
          <w:szCs w:val="52"/>
        </w:rPr>
        <w:t>Social Support</w:t>
      </w:r>
      <w:r w:rsidR="139B2D20" w:rsidRPr="00A252BE">
        <w:rPr>
          <w:rFonts w:ascii="Arial" w:eastAsia="Arial" w:hAnsi="Arial" w:cs="Arial"/>
          <w:b/>
          <w:bCs/>
          <w:color w:val="000000" w:themeColor="text1"/>
          <w:sz w:val="52"/>
          <w:szCs w:val="52"/>
        </w:rPr>
        <w:t xml:space="preserve"> on Anxiety Disorders in   Adolescents</w:t>
      </w:r>
    </w:p>
    <w:p w14:paraId="61D76406" w14:textId="3DA1EC8D" w:rsidR="00367C1A" w:rsidRPr="00A252BE" w:rsidRDefault="00367C1A" w:rsidP="002D08A7">
      <w:pPr>
        <w:spacing w:line="360" w:lineRule="auto"/>
        <w:rPr>
          <w:rFonts w:ascii="Arial" w:eastAsia="Arial" w:hAnsi="Arial" w:cs="Arial"/>
          <w:b/>
          <w:bCs/>
          <w:sz w:val="56"/>
          <w:szCs w:val="56"/>
        </w:rPr>
      </w:pPr>
    </w:p>
    <w:p w14:paraId="19D2EF33" w14:textId="5A56A439" w:rsidR="00367C1A" w:rsidRPr="00A252BE" w:rsidRDefault="50AB14DF" w:rsidP="002D08A7">
      <w:pPr>
        <w:spacing w:line="276" w:lineRule="auto"/>
        <w:rPr>
          <w:rFonts w:ascii="Arial" w:eastAsia="Arial" w:hAnsi="Arial" w:cs="Arial"/>
          <w:color w:val="000000" w:themeColor="text1"/>
          <w:sz w:val="56"/>
          <w:szCs w:val="56"/>
        </w:rPr>
      </w:pPr>
      <w:r w:rsidRPr="00A252BE">
        <w:rPr>
          <w:rFonts w:ascii="Arial" w:eastAsia="Arial" w:hAnsi="Arial" w:cs="Arial"/>
          <w:b/>
          <w:bCs/>
          <w:color w:val="000000" w:themeColor="text1"/>
          <w:sz w:val="56"/>
          <w:szCs w:val="56"/>
        </w:rPr>
        <w:t>Student Name: Asya Zulfiqar</w:t>
      </w:r>
    </w:p>
    <w:p w14:paraId="5996A9C4" w14:textId="333C2694" w:rsidR="00367C1A" w:rsidRPr="00A252BE" w:rsidRDefault="00367C1A" w:rsidP="002D08A7">
      <w:pPr>
        <w:spacing w:line="276" w:lineRule="auto"/>
        <w:rPr>
          <w:rFonts w:ascii="Arial" w:eastAsia="Arial" w:hAnsi="Arial" w:cs="Arial"/>
          <w:color w:val="000000" w:themeColor="text1"/>
          <w:sz w:val="56"/>
          <w:szCs w:val="56"/>
        </w:rPr>
      </w:pPr>
    </w:p>
    <w:p w14:paraId="02EE0E44" w14:textId="2F9DA341" w:rsidR="00367C1A" w:rsidRPr="00A252BE" w:rsidRDefault="50AB14DF" w:rsidP="002D08A7">
      <w:pPr>
        <w:spacing w:line="276" w:lineRule="auto"/>
        <w:rPr>
          <w:rFonts w:ascii="Arial" w:eastAsia="Arial" w:hAnsi="Arial" w:cs="Arial"/>
          <w:color w:val="000000" w:themeColor="text1"/>
          <w:sz w:val="56"/>
          <w:szCs w:val="56"/>
        </w:rPr>
      </w:pPr>
      <w:r w:rsidRPr="00A252BE">
        <w:rPr>
          <w:rFonts w:ascii="Arial" w:eastAsia="Arial" w:hAnsi="Arial" w:cs="Arial"/>
          <w:b/>
          <w:bCs/>
          <w:color w:val="000000" w:themeColor="text1"/>
          <w:sz w:val="56"/>
          <w:szCs w:val="56"/>
        </w:rPr>
        <w:t>Student ID: 2229775</w:t>
      </w:r>
    </w:p>
    <w:p w14:paraId="0B4C8523" w14:textId="40A85652" w:rsidR="00367C1A" w:rsidRPr="00A252BE" w:rsidRDefault="58802F49" w:rsidP="00E019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b/>
          <w:bCs/>
          <w:i/>
          <w:iCs/>
          <w:sz w:val="18"/>
          <w:szCs w:val="18"/>
        </w:rPr>
      </w:pPr>
      <w:r w:rsidRPr="00A252BE">
        <w:rPr>
          <w:rFonts w:ascii="Arial" w:eastAsia="Arial" w:hAnsi="Arial" w:cs="Arial"/>
          <w:b/>
          <w:bCs/>
          <w:i/>
          <w:iCs/>
          <w:sz w:val="18"/>
          <w:szCs w:val="18"/>
        </w:rPr>
        <w:t xml:space="preserve"> </w:t>
      </w:r>
    </w:p>
    <w:p w14:paraId="006BC43E" w14:textId="77777777" w:rsidR="00AF69D7" w:rsidRPr="00A252BE" w:rsidRDefault="72C3B2B0" w:rsidP="00AF69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b/>
          <w:bCs/>
          <w:sz w:val="40"/>
          <w:szCs w:val="40"/>
        </w:rPr>
      </w:pPr>
      <w:r w:rsidRPr="00A252BE">
        <w:rPr>
          <w:rFonts w:ascii="Arial" w:eastAsia="Arial" w:hAnsi="Arial" w:cs="Arial"/>
          <w:sz w:val="40"/>
          <w:szCs w:val="40"/>
        </w:rPr>
        <w:t xml:space="preserve"> </w:t>
      </w:r>
      <w:r w:rsidR="00AF69D7" w:rsidRPr="00A252BE">
        <w:rPr>
          <w:rFonts w:ascii="Arial" w:eastAsia="Arial" w:hAnsi="Arial" w:cs="Arial"/>
          <w:b/>
          <w:bCs/>
          <w:sz w:val="40"/>
          <w:szCs w:val="40"/>
        </w:rPr>
        <w:t>Dissertation submitted as part of the requirements for the award BSc (Hons) Health and Social Care</w:t>
      </w:r>
    </w:p>
    <w:p w14:paraId="3EDAB20A" w14:textId="41541FDE" w:rsidR="00367C1A" w:rsidRPr="00A252BE" w:rsidRDefault="00367C1A" w:rsidP="00E019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sz w:val="40"/>
          <w:szCs w:val="40"/>
        </w:rPr>
      </w:pPr>
    </w:p>
    <w:p w14:paraId="0EE20C8C" w14:textId="1292594B" w:rsidR="00367C1A" w:rsidRPr="00A252BE" w:rsidRDefault="72C3B2B0" w:rsidP="00E019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sz w:val="40"/>
          <w:szCs w:val="40"/>
        </w:rPr>
      </w:pPr>
      <w:r w:rsidRPr="00A252BE">
        <w:rPr>
          <w:rFonts w:ascii="Arial" w:eastAsia="Arial" w:hAnsi="Arial" w:cs="Arial"/>
          <w:sz w:val="40"/>
          <w:szCs w:val="40"/>
        </w:rPr>
        <w:t xml:space="preserve"> </w:t>
      </w:r>
    </w:p>
    <w:p w14:paraId="412E322B" w14:textId="3A38D2AC" w:rsidR="00367C1A" w:rsidRPr="00A252BE" w:rsidRDefault="00367C1A" w:rsidP="00E0191D">
      <w:pPr>
        <w:spacing w:line="360" w:lineRule="auto"/>
        <w:jc w:val="both"/>
        <w:rPr>
          <w:rFonts w:ascii="Arial" w:eastAsia="Arial" w:hAnsi="Arial" w:cs="Arial"/>
        </w:rPr>
      </w:pPr>
    </w:p>
    <w:p w14:paraId="54D0EF02" w14:textId="3CCC7B34" w:rsidR="00367C1A" w:rsidRPr="00A252BE" w:rsidRDefault="00367C1A" w:rsidP="00E0191D">
      <w:pPr>
        <w:spacing w:line="360" w:lineRule="auto"/>
        <w:jc w:val="both"/>
        <w:rPr>
          <w:rFonts w:ascii="Arial" w:eastAsia="Arial" w:hAnsi="Arial" w:cs="Arial"/>
        </w:rPr>
      </w:pPr>
    </w:p>
    <w:p w14:paraId="00403F37" w14:textId="3532E411" w:rsidR="3A7CED5F" w:rsidRPr="00A252BE" w:rsidRDefault="3A7CED5F" w:rsidP="00E0191D">
      <w:pPr>
        <w:spacing w:line="360" w:lineRule="auto"/>
        <w:jc w:val="both"/>
        <w:rPr>
          <w:rFonts w:ascii="Arial" w:eastAsia="Arial" w:hAnsi="Arial" w:cs="Arial"/>
        </w:rPr>
      </w:pPr>
    </w:p>
    <w:p w14:paraId="7009A18C" w14:textId="7A0AB5F6" w:rsidR="00367C1A" w:rsidRPr="00A252BE" w:rsidRDefault="58802F49" w:rsidP="00E0191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r w:rsidRPr="00A252BE">
        <w:rPr>
          <w:rFonts w:ascii="Arial" w:eastAsia="Arial" w:hAnsi="Arial" w:cs="Arial"/>
          <w:b/>
          <w:bCs/>
          <w:sz w:val="28"/>
          <w:szCs w:val="28"/>
        </w:rPr>
        <w:lastRenderedPageBreak/>
        <w:t>ACKNOWLEDGEMENTS</w:t>
      </w:r>
      <w:r w:rsidRPr="00A252BE">
        <w:rPr>
          <w:rFonts w:ascii="Arial" w:eastAsia="Arial" w:hAnsi="Arial" w:cs="Arial"/>
          <w:b/>
          <w:bCs/>
        </w:rPr>
        <w:t xml:space="preserve"> </w:t>
      </w:r>
      <w:r w:rsidRPr="00A252BE">
        <w:rPr>
          <w:rFonts w:ascii="Arial" w:eastAsia="Arial" w:hAnsi="Arial" w:cs="Arial"/>
        </w:rPr>
        <w:t xml:space="preserve"> </w:t>
      </w:r>
    </w:p>
    <w:p w14:paraId="778A321C" w14:textId="7185ED88" w:rsidR="1D203C58" w:rsidRPr="00A252BE" w:rsidRDefault="1D203C58" w:rsidP="00E0191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color w:val="242424"/>
          <w:sz w:val="22"/>
          <w:szCs w:val="22"/>
        </w:rPr>
      </w:pPr>
      <w:r w:rsidRPr="00A252BE">
        <w:rPr>
          <w:rFonts w:ascii="Arial" w:eastAsia="Arial" w:hAnsi="Arial" w:cs="Arial"/>
          <w:color w:val="242424"/>
          <w:sz w:val="22"/>
          <w:szCs w:val="22"/>
        </w:rPr>
        <w:t>I would like to express my sincere gratitude to all those who have supported me throughout the completion of this dissertation.</w:t>
      </w:r>
    </w:p>
    <w:p w14:paraId="74D82726" w14:textId="429F12E3" w:rsidR="6B5E3661" w:rsidRPr="00A252BE" w:rsidRDefault="6B5E3661" w:rsidP="00E0191D">
      <w:pPr>
        <w:shd w:val="clear" w:color="auto" w:fill="FFFFFF" w:themeFill="background1"/>
        <w:spacing w:after="180"/>
        <w:jc w:val="both"/>
        <w:rPr>
          <w:rFonts w:ascii="Arial" w:eastAsia="Arial" w:hAnsi="Arial" w:cs="Arial"/>
          <w:color w:val="242424"/>
          <w:sz w:val="22"/>
          <w:szCs w:val="22"/>
        </w:rPr>
      </w:pPr>
      <w:r w:rsidRPr="00A252BE">
        <w:rPr>
          <w:rFonts w:ascii="Arial" w:eastAsia="Arial" w:hAnsi="Arial" w:cs="Arial"/>
          <w:color w:val="242424"/>
          <w:sz w:val="22"/>
          <w:szCs w:val="22"/>
        </w:rPr>
        <w:t>Firstly, I would like to extend my deepest appreciation to</w:t>
      </w:r>
      <w:r w:rsidR="1D203C58" w:rsidRPr="00A252BE">
        <w:rPr>
          <w:rFonts w:ascii="Arial" w:eastAsia="Arial" w:hAnsi="Arial" w:cs="Arial"/>
          <w:color w:val="242424"/>
          <w:sz w:val="22"/>
          <w:szCs w:val="22"/>
        </w:rPr>
        <w:t xml:space="preserve"> the academic staff at the University of Wales Trinity Saint David for providing a stimulating and supportive learning environment. The knowledge and skills I have developed during my studies have been fundamental to the successful completion of this dissertation. </w:t>
      </w:r>
      <w:bookmarkStart w:id="1" w:name="_Int_ScvS2Xhs"/>
      <w:proofErr w:type="gramStart"/>
      <w:r w:rsidR="1D203C58" w:rsidRPr="00A252BE">
        <w:rPr>
          <w:rFonts w:ascii="Arial" w:eastAsia="Arial" w:hAnsi="Arial" w:cs="Arial"/>
          <w:color w:val="242424"/>
          <w:sz w:val="22"/>
          <w:szCs w:val="22"/>
        </w:rPr>
        <w:t>In particular, I</w:t>
      </w:r>
      <w:bookmarkEnd w:id="1"/>
      <w:proofErr w:type="gramEnd"/>
      <w:r w:rsidR="1D203C58" w:rsidRPr="00A252BE">
        <w:rPr>
          <w:rFonts w:ascii="Arial" w:eastAsia="Arial" w:hAnsi="Arial" w:cs="Arial"/>
          <w:color w:val="242424"/>
          <w:sz w:val="22"/>
          <w:szCs w:val="22"/>
        </w:rPr>
        <w:t xml:space="preserve"> would like to thank the university library services for their assistance in accessing a wide range of academic resources, which greatly enhanced the quality and scope of my research.</w:t>
      </w:r>
    </w:p>
    <w:p w14:paraId="1E7C9CC6" w14:textId="73BB80DA" w:rsidR="3A7CED5F" w:rsidRPr="00A252BE" w:rsidRDefault="3A7CED5F" w:rsidP="00E0191D">
      <w:pPr>
        <w:shd w:val="clear" w:color="auto" w:fill="FFFFFF" w:themeFill="background1"/>
        <w:spacing w:after="180"/>
        <w:jc w:val="both"/>
        <w:rPr>
          <w:rFonts w:ascii="Arial" w:eastAsia="Arial" w:hAnsi="Arial" w:cs="Arial"/>
          <w:sz w:val="22"/>
          <w:szCs w:val="22"/>
        </w:rPr>
      </w:pPr>
    </w:p>
    <w:p w14:paraId="35F47972" w14:textId="62E6D605" w:rsidR="1D203C58" w:rsidRPr="00A252BE" w:rsidRDefault="1D203C58" w:rsidP="00E0191D">
      <w:pPr>
        <w:shd w:val="clear" w:color="auto" w:fill="FFFFFF" w:themeFill="background1"/>
        <w:spacing w:after="180"/>
        <w:jc w:val="both"/>
        <w:rPr>
          <w:rFonts w:ascii="Arial" w:eastAsia="Arial" w:hAnsi="Arial" w:cs="Arial"/>
          <w:color w:val="242424"/>
          <w:sz w:val="22"/>
          <w:szCs w:val="22"/>
        </w:rPr>
      </w:pPr>
      <w:r w:rsidRPr="00A252BE">
        <w:rPr>
          <w:rFonts w:ascii="Arial" w:eastAsia="Arial" w:hAnsi="Arial" w:cs="Arial"/>
          <w:color w:val="242424"/>
          <w:sz w:val="22"/>
          <w:szCs w:val="22"/>
        </w:rPr>
        <w:t>My sincere thanks also go to my peers and fellow students, whose encouragement, discussions, and shared experiences have been a constant source of motivation throughout this journey. Their support has made this process both more manageable and more meaningful.</w:t>
      </w:r>
    </w:p>
    <w:p w14:paraId="594FFF35" w14:textId="3FAABEAA" w:rsidR="3A7CED5F" w:rsidRPr="00A252BE" w:rsidRDefault="3A7CED5F" w:rsidP="00E0191D">
      <w:pPr>
        <w:shd w:val="clear" w:color="auto" w:fill="FFFFFF" w:themeFill="background1"/>
        <w:spacing w:after="180"/>
        <w:jc w:val="both"/>
        <w:rPr>
          <w:rFonts w:ascii="Arial" w:eastAsia="Arial" w:hAnsi="Arial" w:cs="Arial"/>
          <w:sz w:val="22"/>
          <w:szCs w:val="22"/>
        </w:rPr>
      </w:pPr>
    </w:p>
    <w:p w14:paraId="443E1CCA" w14:textId="009F8047" w:rsidR="1D203C58" w:rsidRPr="00A252BE" w:rsidRDefault="1D203C58" w:rsidP="00E0191D">
      <w:pPr>
        <w:shd w:val="clear" w:color="auto" w:fill="FFFFFF" w:themeFill="background1"/>
        <w:spacing w:after="180"/>
        <w:jc w:val="both"/>
        <w:rPr>
          <w:rFonts w:ascii="Arial" w:eastAsia="Arial" w:hAnsi="Arial" w:cs="Arial"/>
          <w:color w:val="242424"/>
          <w:sz w:val="22"/>
          <w:szCs w:val="22"/>
        </w:rPr>
      </w:pPr>
      <w:r w:rsidRPr="00A252BE">
        <w:rPr>
          <w:rFonts w:ascii="Arial" w:eastAsia="Arial" w:hAnsi="Arial" w:cs="Arial"/>
          <w:color w:val="242424"/>
          <w:sz w:val="22"/>
          <w:szCs w:val="22"/>
        </w:rPr>
        <w:t xml:space="preserve">Finally, I would like to express my deepest gratitude to my </w:t>
      </w:r>
      <w:r w:rsidR="3EAA38A6" w:rsidRPr="00A252BE">
        <w:rPr>
          <w:rFonts w:ascii="Arial" w:eastAsia="Arial" w:hAnsi="Arial" w:cs="Arial"/>
          <w:color w:val="242424"/>
          <w:sz w:val="22"/>
          <w:szCs w:val="22"/>
        </w:rPr>
        <w:t>daughter, family</w:t>
      </w:r>
      <w:r w:rsidRPr="00A252BE">
        <w:rPr>
          <w:rFonts w:ascii="Arial" w:eastAsia="Arial" w:hAnsi="Arial" w:cs="Arial"/>
          <w:color w:val="242424"/>
          <w:sz w:val="22"/>
          <w:szCs w:val="22"/>
        </w:rPr>
        <w:t xml:space="preserve"> and close friends for their unwavering support, patience, and understanding. Their encouragement has been a constant source of strength, and without their belief in me, the completion of this dissertation would not have been possible.</w:t>
      </w:r>
    </w:p>
    <w:p w14:paraId="509B4E5E" w14:textId="306EAA06" w:rsidR="3A7CED5F" w:rsidRPr="00A252BE" w:rsidRDefault="3A7CED5F" w:rsidP="00E0191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p>
    <w:p w14:paraId="19C6E1A9" w14:textId="1B99E243" w:rsidR="00367C1A" w:rsidRPr="00A252BE" w:rsidRDefault="72C3B2B0" w:rsidP="00E0191D">
      <w:pPr>
        <w:spacing w:line="360" w:lineRule="auto"/>
        <w:jc w:val="both"/>
        <w:rPr>
          <w:rFonts w:ascii="Arial" w:eastAsia="Arial" w:hAnsi="Arial" w:cs="Arial"/>
        </w:rPr>
      </w:pPr>
      <w:r w:rsidRPr="00A252BE">
        <w:rPr>
          <w:rFonts w:ascii="Arial" w:eastAsia="Arial" w:hAnsi="Arial" w:cs="Arial"/>
        </w:rPr>
        <w:t xml:space="preserve"> </w:t>
      </w:r>
    </w:p>
    <w:p w14:paraId="00FAE890" w14:textId="457EF67D" w:rsidR="00367C1A" w:rsidRPr="00A252BE" w:rsidRDefault="58802F49" w:rsidP="00E0191D">
      <w:pPr>
        <w:spacing w:line="360" w:lineRule="auto"/>
        <w:jc w:val="both"/>
        <w:rPr>
          <w:rFonts w:ascii="Arial" w:eastAsia="Arial" w:hAnsi="Arial" w:cs="Arial"/>
        </w:rPr>
      </w:pPr>
      <w:r w:rsidRPr="00A252BE">
        <w:rPr>
          <w:rFonts w:ascii="Arial" w:eastAsia="Arial" w:hAnsi="Arial" w:cs="Arial"/>
        </w:rPr>
        <w:t xml:space="preserve"> </w:t>
      </w:r>
    </w:p>
    <w:p w14:paraId="3C8C34D6" w14:textId="6A6F90F6" w:rsidR="562F300F" w:rsidRPr="00A252BE" w:rsidRDefault="77A517E5" w:rsidP="00E0191D">
      <w:pPr>
        <w:spacing w:line="360" w:lineRule="auto"/>
        <w:jc w:val="both"/>
        <w:rPr>
          <w:rFonts w:ascii="Arial" w:eastAsia="Arial" w:hAnsi="Arial" w:cs="Arial"/>
        </w:rPr>
      </w:pPr>
      <w:r w:rsidRPr="00A252BE">
        <w:rPr>
          <w:rFonts w:ascii="Arial" w:eastAsia="Arial" w:hAnsi="Arial" w:cs="Arial"/>
        </w:rPr>
        <w:t xml:space="preserve"> </w:t>
      </w:r>
    </w:p>
    <w:p w14:paraId="4D124CB5" w14:textId="03BFDF33" w:rsidR="562F300F" w:rsidRPr="00A252BE" w:rsidRDefault="562F300F" w:rsidP="00E0191D">
      <w:pPr>
        <w:spacing w:line="360" w:lineRule="auto"/>
        <w:jc w:val="both"/>
        <w:rPr>
          <w:rFonts w:ascii="Arial" w:eastAsia="Arial" w:hAnsi="Arial" w:cs="Arial"/>
        </w:rPr>
      </w:pPr>
    </w:p>
    <w:p w14:paraId="6EF5E45E" w14:textId="77777777" w:rsidR="003D4395" w:rsidRPr="00A252BE" w:rsidRDefault="003D4395" w:rsidP="00E0191D">
      <w:pPr>
        <w:spacing w:line="360" w:lineRule="auto"/>
        <w:jc w:val="both"/>
        <w:rPr>
          <w:rFonts w:ascii="Arial" w:eastAsia="Arial" w:hAnsi="Arial" w:cs="Arial"/>
        </w:rPr>
      </w:pPr>
    </w:p>
    <w:p w14:paraId="3B184D35" w14:textId="77777777" w:rsidR="003D4395" w:rsidRPr="00A252BE" w:rsidRDefault="003D4395" w:rsidP="00E0191D">
      <w:pPr>
        <w:spacing w:line="360" w:lineRule="auto"/>
        <w:jc w:val="both"/>
        <w:rPr>
          <w:rFonts w:ascii="Arial" w:eastAsia="Arial" w:hAnsi="Arial" w:cs="Arial"/>
        </w:rPr>
      </w:pPr>
    </w:p>
    <w:p w14:paraId="515A4224" w14:textId="77777777" w:rsidR="003D4395" w:rsidRPr="00A252BE" w:rsidRDefault="003D4395" w:rsidP="00E0191D">
      <w:pPr>
        <w:spacing w:line="360" w:lineRule="auto"/>
        <w:jc w:val="both"/>
        <w:rPr>
          <w:rFonts w:ascii="Arial" w:eastAsia="Arial" w:hAnsi="Arial" w:cs="Arial"/>
        </w:rPr>
      </w:pPr>
    </w:p>
    <w:p w14:paraId="6734BA30" w14:textId="77777777" w:rsidR="003D4395" w:rsidRPr="00A252BE" w:rsidRDefault="003D4395" w:rsidP="00E0191D">
      <w:pPr>
        <w:spacing w:line="360" w:lineRule="auto"/>
        <w:jc w:val="both"/>
        <w:rPr>
          <w:rFonts w:ascii="Arial" w:eastAsia="Arial" w:hAnsi="Arial" w:cs="Arial"/>
        </w:rPr>
      </w:pPr>
    </w:p>
    <w:p w14:paraId="286B8AF0" w14:textId="77777777" w:rsidR="003D4395" w:rsidRPr="00A252BE" w:rsidRDefault="003D4395" w:rsidP="00E0191D">
      <w:pPr>
        <w:spacing w:line="360" w:lineRule="auto"/>
        <w:jc w:val="both"/>
        <w:rPr>
          <w:rFonts w:ascii="Arial" w:eastAsia="Arial" w:hAnsi="Arial" w:cs="Arial"/>
        </w:rPr>
      </w:pPr>
    </w:p>
    <w:p w14:paraId="3A3A4030" w14:textId="113E2816" w:rsidR="3A7CED5F" w:rsidRPr="00A252BE" w:rsidRDefault="3A7CED5F" w:rsidP="00E0191D">
      <w:pPr>
        <w:spacing w:line="360" w:lineRule="auto"/>
        <w:jc w:val="both"/>
        <w:rPr>
          <w:rFonts w:ascii="Arial" w:eastAsia="Arial" w:hAnsi="Arial" w:cs="Arial"/>
        </w:rPr>
      </w:pPr>
    </w:p>
    <w:p w14:paraId="18C24FA3" w14:textId="59E511C3" w:rsidR="3A7CED5F" w:rsidRPr="00A252BE" w:rsidRDefault="3A7CED5F" w:rsidP="00E0191D">
      <w:pPr>
        <w:spacing w:line="360" w:lineRule="auto"/>
        <w:jc w:val="both"/>
        <w:rPr>
          <w:rFonts w:ascii="Arial" w:eastAsia="Arial" w:hAnsi="Arial" w:cs="Arial"/>
        </w:rPr>
      </w:pPr>
    </w:p>
    <w:p w14:paraId="55FCC835" w14:textId="5731842B" w:rsidR="00927B14" w:rsidRPr="00A252BE" w:rsidRDefault="00927B14" w:rsidP="00E0191D">
      <w:pPr>
        <w:spacing w:line="360" w:lineRule="auto"/>
        <w:jc w:val="both"/>
        <w:rPr>
          <w:rFonts w:ascii="Arial" w:eastAsia="Arial" w:hAnsi="Arial" w:cs="Arial"/>
        </w:rPr>
      </w:pPr>
    </w:p>
    <w:p w14:paraId="6C65F40B" w14:textId="28C5BA7A" w:rsidR="00367C1A" w:rsidRPr="00A252BE" w:rsidRDefault="72C3B2B0" w:rsidP="00E019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rPr>
      </w:pPr>
      <w:r w:rsidRPr="00A252BE">
        <w:rPr>
          <w:rFonts w:ascii="Arial" w:eastAsia="Arial" w:hAnsi="Arial" w:cs="Arial"/>
          <w:b/>
          <w:bCs/>
          <w:sz w:val="28"/>
          <w:szCs w:val="28"/>
        </w:rPr>
        <w:t>ABSTRACT</w:t>
      </w:r>
      <w:r w:rsidRPr="00A252BE">
        <w:rPr>
          <w:rFonts w:ascii="Arial" w:eastAsia="Arial" w:hAnsi="Arial" w:cs="Arial"/>
          <w:sz w:val="28"/>
          <w:szCs w:val="28"/>
        </w:rPr>
        <w:t xml:space="preserve"> </w:t>
      </w:r>
    </w:p>
    <w:p w14:paraId="7AC4317D" w14:textId="73F6F391" w:rsidR="7B57782D" w:rsidRPr="00A252BE" w:rsidRDefault="7B57782D" w:rsidP="00E019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sz w:val="28"/>
          <w:szCs w:val="28"/>
        </w:rPr>
      </w:pPr>
    </w:p>
    <w:p w14:paraId="1A6A6D02" w14:textId="7993EC63" w:rsidR="00367C1A" w:rsidRPr="00A252BE" w:rsidRDefault="7D3B3865" w:rsidP="00E0191D">
      <w:pPr>
        <w:shd w:val="clear" w:color="auto" w:fill="FFFFFF" w:themeFill="background1"/>
        <w:spacing w:after="0" w:line="360" w:lineRule="auto"/>
        <w:jc w:val="both"/>
        <w:rPr>
          <w:rFonts w:ascii="Arial" w:eastAsia="Arial" w:hAnsi="Arial" w:cs="Arial"/>
          <w:color w:val="242424"/>
          <w:sz w:val="22"/>
          <w:szCs w:val="22"/>
        </w:rPr>
      </w:pPr>
      <w:r w:rsidRPr="00A252BE">
        <w:rPr>
          <w:rFonts w:ascii="Arial" w:eastAsia="Arial" w:hAnsi="Arial" w:cs="Arial"/>
          <w:color w:val="242424"/>
          <w:sz w:val="22"/>
          <w:szCs w:val="22"/>
        </w:rPr>
        <w:t>This dissertation explores the impact of social support on anxiety disorders among adolescents, aiming to understand how various forms of support, including family, peers, and community resources, influence anxiety symptom management. This research is crucial in health and social care, as it addresses the rising prevalence of anxiety disorders in young people and highlights the importance of supportive environments for improving mental health outcomes.</w:t>
      </w:r>
    </w:p>
    <w:p w14:paraId="6C2BC7E0" w14:textId="2A5FCBD4" w:rsidR="00367C1A" w:rsidRPr="00A252BE" w:rsidRDefault="00367C1A" w:rsidP="00E0191D">
      <w:pPr>
        <w:shd w:val="clear" w:color="auto" w:fill="FFFFFF" w:themeFill="background1"/>
        <w:spacing w:after="0" w:line="360" w:lineRule="auto"/>
        <w:jc w:val="both"/>
        <w:rPr>
          <w:rFonts w:ascii="Arial" w:eastAsia="Arial" w:hAnsi="Arial" w:cs="Arial"/>
        </w:rPr>
      </w:pPr>
    </w:p>
    <w:p w14:paraId="47AAC2E3" w14:textId="5D6623BD" w:rsidR="00367C1A" w:rsidRPr="00A252BE" w:rsidRDefault="7D3B3865" w:rsidP="00E0191D">
      <w:pPr>
        <w:shd w:val="clear" w:color="auto" w:fill="FFFFFF" w:themeFill="background1"/>
        <w:spacing w:after="0" w:line="360" w:lineRule="auto"/>
        <w:jc w:val="both"/>
        <w:rPr>
          <w:rFonts w:ascii="Arial" w:eastAsia="Arial" w:hAnsi="Arial" w:cs="Arial"/>
          <w:color w:val="242424"/>
          <w:sz w:val="22"/>
          <w:szCs w:val="22"/>
        </w:rPr>
      </w:pPr>
      <w:r w:rsidRPr="00A252BE">
        <w:rPr>
          <w:rFonts w:ascii="Arial" w:eastAsia="Arial" w:hAnsi="Arial" w:cs="Arial"/>
          <w:color w:val="242424"/>
          <w:sz w:val="22"/>
          <w:szCs w:val="22"/>
        </w:rPr>
        <w:t>The methodology employed a desk-based, literature review approach utili</w:t>
      </w:r>
      <w:r w:rsidR="00C9616B" w:rsidRPr="00A252BE">
        <w:rPr>
          <w:rFonts w:ascii="Arial" w:eastAsia="Arial" w:hAnsi="Arial" w:cs="Arial"/>
          <w:color w:val="242424"/>
          <w:sz w:val="22"/>
          <w:szCs w:val="22"/>
        </w:rPr>
        <w:t>s</w:t>
      </w:r>
      <w:r w:rsidRPr="00A252BE">
        <w:rPr>
          <w:rFonts w:ascii="Arial" w:eastAsia="Arial" w:hAnsi="Arial" w:cs="Arial"/>
          <w:color w:val="242424"/>
          <w:sz w:val="22"/>
          <w:szCs w:val="22"/>
        </w:rPr>
        <w:t>ing thematic analysis to synthesi</w:t>
      </w:r>
      <w:r w:rsidR="00C9616B" w:rsidRPr="00A252BE">
        <w:rPr>
          <w:rFonts w:ascii="Arial" w:eastAsia="Arial" w:hAnsi="Arial" w:cs="Arial"/>
          <w:color w:val="242424"/>
          <w:sz w:val="22"/>
          <w:szCs w:val="22"/>
        </w:rPr>
        <w:t>s</w:t>
      </w:r>
      <w:r w:rsidRPr="00A252BE">
        <w:rPr>
          <w:rFonts w:ascii="Arial" w:eastAsia="Arial" w:hAnsi="Arial" w:cs="Arial"/>
          <w:color w:val="242424"/>
          <w:sz w:val="22"/>
          <w:szCs w:val="22"/>
        </w:rPr>
        <w:t>e findings from peer-reviewed articles published within the last decade. This systematic review facilitated the identification of key themes related to social support and anxiety in adolescents.</w:t>
      </w:r>
    </w:p>
    <w:p w14:paraId="7BA4AC03" w14:textId="699B14E1" w:rsidR="00367C1A" w:rsidRPr="00A252BE" w:rsidRDefault="00367C1A" w:rsidP="00E0191D">
      <w:pPr>
        <w:shd w:val="clear" w:color="auto" w:fill="FFFFFF" w:themeFill="background1"/>
        <w:spacing w:after="0" w:line="360" w:lineRule="auto"/>
        <w:jc w:val="both"/>
        <w:rPr>
          <w:rFonts w:ascii="Arial" w:eastAsia="Arial" w:hAnsi="Arial" w:cs="Arial"/>
        </w:rPr>
      </w:pPr>
    </w:p>
    <w:p w14:paraId="4711FB31" w14:textId="74253741" w:rsidR="00367C1A" w:rsidRPr="00A252BE" w:rsidRDefault="7D3B3865" w:rsidP="00E0191D">
      <w:pPr>
        <w:shd w:val="clear" w:color="auto" w:fill="FFFFFF" w:themeFill="background1"/>
        <w:spacing w:after="0" w:line="360" w:lineRule="auto"/>
        <w:jc w:val="both"/>
        <w:rPr>
          <w:rFonts w:ascii="Arial" w:eastAsia="Arial" w:hAnsi="Arial" w:cs="Arial"/>
          <w:color w:val="242424"/>
          <w:sz w:val="22"/>
          <w:szCs w:val="22"/>
        </w:rPr>
      </w:pPr>
      <w:r w:rsidRPr="00A252BE">
        <w:rPr>
          <w:rFonts w:ascii="Arial" w:eastAsia="Arial" w:hAnsi="Arial" w:cs="Arial"/>
          <w:color w:val="242424"/>
          <w:sz w:val="22"/>
          <w:szCs w:val="22"/>
        </w:rPr>
        <w:t>The main findings reveal three significant themes: the essential role of social support in mitigating anxiety symptoms, the influence of family dynamics on mental health, and the dual impact of peer relationships. Strong social support correlates with lower anxiety levels, while positive family interactions enhance coping strategies. However, negative peer influences, such as bullying, can exacerbate anxiety.</w:t>
      </w:r>
    </w:p>
    <w:p w14:paraId="5E652800" w14:textId="76D4E9B9" w:rsidR="00367C1A" w:rsidRPr="00A252BE" w:rsidRDefault="00367C1A" w:rsidP="00E0191D">
      <w:pPr>
        <w:shd w:val="clear" w:color="auto" w:fill="FFFFFF" w:themeFill="background1"/>
        <w:spacing w:after="0" w:line="360" w:lineRule="auto"/>
        <w:jc w:val="both"/>
        <w:rPr>
          <w:rFonts w:ascii="Arial" w:eastAsia="Arial" w:hAnsi="Arial" w:cs="Arial"/>
        </w:rPr>
      </w:pPr>
    </w:p>
    <w:p w14:paraId="0A8E46FA" w14:textId="4DAF1DA8" w:rsidR="00367C1A" w:rsidRPr="00A252BE" w:rsidRDefault="7D3B3865" w:rsidP="00E0191D">
      <w:pPr>
        <w:shd w:val="clear" w:color="auto" w:fill="FFFFFF" w:themeFill="background1"/>
        <w:spacing w:after="0" w:line="360" w:lineRule="auto"/>
        <w:jc w:val="both"/>
        <w:rPr>
          <w:rFonts w:ascii="Arial" w:eastAsia="Arial" w:hAnsi="Arial" w:cs="Arial"/>
          <w:color w:val="242424"/>
          <w:sz w:val="22"/>
          <w:szCs w:val="22"/>
        </w:rPr>
      </w:pPr>
      <w:r w:rsidRPr="00A252BE">
        <w:rPr>
          <w:rFonts w:ascii="Arial" w:eastAsia="Arial" w:hAnsi="Arial" w:cs="Arial"/>
          <w:color w:val="242424"/>
          <w:sz w:val="22"/>
          <w:szCs w:val="22"/>
        </w:rPr>
        <w:t>Limitations of this research include the reliance on secondary data, which may lack context-specific insights, and the stigma surrounding mental health that can affect engagement with support networks.</w:t>
      </w:r>
    </w:p>
    <w:p w14:paraId="6784BFDF" w14:textId="5F1B37EA" w:rsidR="00367C1A" w:rsidRPr="00A252BE" w:rsidRDefault="00367C1A" w:rsidP="00E0191D">
      <w:pPr>
        <w:shd w:val="clear" w:color="auto" w:fill="FFFFFF" w:themeFill="background1"/>
        <w:spacing w:after="0" w:line="360" w:lineRule="auto"/>
        <w:jc w:val="both"/>
        <w:rPr>
          <w:rFonts w:ascii="Arial" w:eastAsia="Arial" w:hAnsi="Arial" w:cs="Arial"/>
        </w:rPr>
      </w:pPr>
    </w:p>
    <w:p w14:paraId="0A685036" w14:textId="6CFED598" w:rsidR="7B57782D" w:rsidRPr="00A252BE" w:rsidRDefault="7789A1AE" w:rsidP="00E0191D">
      <w:pPr>
        <w:spacing w:line="360" w:lineRule="auto"/>
        <w:jc w:val="both"/>
        <w:rPr>
          <w:rFonts w:ascii="Arial" w:eastAsia="Arial" w:hAnsi="Arial" w:cs="Arial"/>
        </w:rPr>
      </w:pPr>
      <w:r w:rsidRPr="00A252BE">
        <w:rPr>
          <w:rFonts w:ascii="Arial" w:eastAsia="Arial" w:hAnsi="Arial" w:cs="Arial"/>
          <w:color w:val="242424"/>
          <w:sz w:val="22"/>
          <w:szCs w:val="22"/>
        </w:rPr>
        <w:t>Recommendations for future practice include implementing peer support programs in schools, enhancing family engagement in mental health interventions, and promoting community-based mental health initiatives. These strategies aim to foster resilient environments that support adolescents in managing anxiety disorders, ultimately contributing to healthier mental well-being in this vulnerable population.</w:t>
      </w:r>
      <w:r w:rsidR="58802F49" w:rsidRPr="00A252BE">
        <w:rPr>
          <w:rFonts w:ascii="Arial" w:eastAsia="Arial" w:hAnsi="Arial" w:cs="Arial"/>
        </w:rPr>
        <w:t xml:space="preserve"> </w:t>
      </w:r>
    </w:p>
    <w:p w14:paraId="7AB2B46E" w14:textId="30CAB0E8" w:rsidR="00367C1A" w:rsidRPr="00A252BE" w:rsidRDefault="58802F49" w:rsidP="00E0191D">
      <w:pPr>
        <w:pStyle w:val="Heading1"/>
        <w:spacing w:before="0" w:after="0" w:line="360" w:lineRule="auto"/>
        <w:jc w:val="both"/>
        <w:rPr>
          <w:rFonts w:ascii="Arial" w:eastAsia="Arial" w:hAnsi="Arial" w:cs="Arial"/>
          <w:b/>
          <w:bCs/>
          <w:sz w:val="32"/>
          <w:szCs w:val="32"/>
        </w:rPr>
      </w:pPr>
      <w:r w:rsidRPr="00A252BE">
        <w:rPr>
          <w:rFonts w:ascii="Arial" w:eastAsia="Arial" w:hAnsi="Arial" w:cs="Arial"/>
          <w:b/>
          <w:bCs/>
          <w:sz w:val="32"/>
          <w:szCs w:val="32"/>
        </w:rPr>
        <w:t xml:space="preserve"> </w:t>
      </w:r>
    </w:p>
    <w:p w14:paraId="5347546E" w14:textId="62029AFC" w:rsidR="3A7CED5F" w:rsidRPr="00A252BE" w:rsidRDefault="3A7CED5F" w:rsidP="00E0191D">
      <w:pPr>
        <w:jc w:val="both"/>
      </w:pPr>
    </w:p>
    <w:p w14:paraId="59994F15" w14:textId="77777777" w:rsidR="00927B14" w:rsidRPr="00A252BE" w:rsidRDefault="00927B14" w:rsidP="00E0191D">
      <w:pPr>
        <w:jc w:val="both"/>
      </w:pPr>
    </w:p>
    <w:sdt>
      <w:sdtPr>
        <w:rPr>
          <w:rFonts w:asciiTheme="minorHAnsi" w:eastAsiaTheme="minorEastAsia" w:hAnsiTheme="minorHAnsi" w:cstheme="minorBidi"/>
          <w:color w:val="auto"/>
          <w:sz w:val="24"/>
          <w:szCs w:val="24"/>
          <w:lang w:val="en-GB" w:eastAsia="ja-JP"/>
        </w:rPr>
        <w:id w:val="1336945045"/>
        <w:docPartObj>
          <w:docPartGallery w:val="Table of Contents"/>
          <w:docPartUnique/>
        </w:docPartObj>
      </w:sdtPr>
      <w:sdtEndPr>
        <w:rPr>
          <w:rFonts w:ascii="Arial" w:hAnsi="Arial" w:cs="Arial"/>
        </w:rPr>
      </w:sdtEndPr>
      <w:sdtContent>
        <w:p w14:paraId="38C50888" w14:textId="63CD9B57" w:rsidR="00592D2B" w:rsidRPr="00A252BE" w:rsidRDefault="00592D2B" w:rsidP="00E0191D">
          <w:pPr>
            <w:pStyle w:val="TOCHeading"/>
            <w:jc w:val="both"/>
            <w:rPr>
              <w:rFonts w:ascii="Arial" w:hAnsi="Arial" w:cs="Arial"/>
              <w:b/>
              <w:bCs/>
              <w:color w:val="auto"/>
              <w:lang w:val="en-GB"/>
            </w:rPr>
          </w:pPr>
          <w:r w:rsidRPr="00A252BE">
            <w:rPr>
              <w:rFonts w:ascii="Arial" w:hAnsi="Arial" w:cs="Arial"/>
              <w:b/>
              <w:bCs/>
              <w:color w:val="auto"/>
              <w:lang w:val="en-GB"/>
            </w:rPr>
            <w:t>Table of Contents</w:t>
          </w:r>
        </w:p>
        <w:p w14:paraId="68357A8A" w14:textId="77777777" w:rsidR="009D666E" w:rsidRPr="00A252BE" w:rsidRDefault="009D666E" w:rsidP="00E0191D">
          <w:pPr>
            <w:jc w:val="both"/>
            <w:rPr>
              <w:lang w:eastAsia="en-US"/>
            </w:rPr>
          </w:pPr>
        </w:p>
        <w:p w14:paraId="2BCE88F7" w14:textId="55000B17" w:rsidR="00837B3A" w:rsidRDefault="00C334D2">
          <w:pPr>
            <w:pStyle w:val="TOC1"/>
            <w:tabs>
              <w:tab w:val="right" w:leader="dot" w:pos="9016"/>
            </w:tabs>
            <w:rPr>
              <w:noProof/>
              <w:kern w:val="2"/>
              <w:lang w:eastAsia="en-GB"/>
              <w14:ligatures w14:val="standardContextual"/>
            </w:rPr>
          </w:pPr>
          <w:r w:rsidRPr="00A252BE">
            <w:rPr>
              <w:rFonts w:ascii="Arial" w:hAnsi="Arial" w:cs="Arial"/>
            </w:rPr>
            <w:fldChar w:fldCharType="begin"/>
          </w:r>
          <w:r w:rsidR="00592D2B" w:rsidRPr="00A252BE">
            <w:rPr>
              <w:rFonts w:ascii="Arial" w:hAnsi="Arial" w:cs="Arial"/>
            </w:rPr>
            <w:instrText>TOC \o "1-3" \z \u \h</w:instrText>
          </w:r>
          <w:r w:rsidRPr="00A252BE">
            <w:rPr>
              <w:rFonts w:ascii="Arial" w:hAnsi="Arial" w:cs="Arial"/>
            </w:rPr>
            <w:fldChar w:fldCharType="separate"/>
          </w:r>
          <w:hyperlink w:anchor="_Toc226479895" w:history="1">
            <w:r w:rsidR="00837B3A" w:rsidRPr="005A272C">
              <w:rPr>
                <w:rStyle w:val="Hyperlink"/>
                <w:rFonts w:ascii="Arial" w:eastAsia="Arial" w:hAnsi="Arial" w:cs="Arial"/>
                <w:noProof/>
              </w:rPr>
              <w:t>CHAPTER 1: Introduction</w:t>
            </w:r>
            <w:r w:rsidR="00837B3A">
              <w:rPr>
                <w:noProof/>
                <w:webHidden/>
              </w:rPr>
              <w:tab/>
            </w:r>
            <w:r w:rsidR="00837B3A">
              <w:rPr>
                <w:noProof/>
                <w:webHidden/>
              </w:rPr>
              <w:fldChar w:fldCharType="begin"/>
            </w:r>
            <w:r w:rsidR="00837B3A">
              <w:rPr>
                <w:noProof/>
                <w:webHidden/>
              </w:rPr>
              <w:instrText xml:space="preserve"> PAGEREF _Toc226479895 \h </w:instrText>
            </w:r>
            <w:r w:rsidR="00837B3A">
              <w:rPr>
                <w:noProof/>
                <w:webHidden/>
              </w:rPr>
            </w:r>
            <w:r w:rsidR="00837B3A">
              <w:rPr>
                <w:noProof/>
                <w:webHidden/>
              </w:rPr>
              <w:fldChar w:fldCharType="separate"/>
            </w:r>
            <w:r w:rsidR="00837B3A">
              <w:rPr>
                <w:noProof/>
                <w:webHidden/>
              </w:rPr>
              <w:t>9</w:t>
            </w:r>
            <w:r w:rsidR="00837B3A">
              <w:rPr>
                <w:noProof/>
                <w:webHidden/>
              </w:rPr>
              <w:fldChar w:fldCharType="end"/>
            </w:r>
          </w:hyperlink>
        </w:p>
        <w:p w14:paraId="2D6933E3" w14:textId="5583ADEE" w:rsidR="00837B3A" w:rsidRDefault="00837B3A">
          <w:pPr>
            <w:pStyle w:val="TOC2"/>
            <w:tabs>
              <w:tab w:val="left" w:pos="960"/>
              <w:tab w:val="right" w:leader="dot" w:pos="9016"/>
            </w:tabs>
            <w:rPr>
              <w:noProof/>
              <w:kern w:val="2"/>
              <w:lang w:eastAsia="en-GB"/>
              <w14:ligatures w14:val="standardContextual"/>
            </w:rPr>
          </w:pPr>
          <w:hyperlink w:anchor="_Toc226479896" w:history="1">
            <w:r w:rsidRPr="005A272C">
              <w:rPr>
                <w:rStyle w:val="Hyperlink"/>
                <w:rFonts w:ascii="Arial" w:eastAsia="Arial" w:hAnsi="Arial" w:cs="Arial"/>
                <w:noProof/>
              </w:rPr>
              <w:t>1.1</w:t>
            </w:r>
            <w:r>
              <w:rPr>
                <w:noProof/>
                <w:kern w:val="2"/>
                <w:lang w:eastAsia="en-GB"/>
                <w14:ligatures w14:val="standardContextual"/>
              </w:rPr>
              <w:tab/>
            </w:r>
            <w:r w:rsidRPr="005A272C">
              <w:rPr>
                <w:rStyle w:val="Hyperlink"/>
                <w:rFonts w:ascii="Arial" w:eastAsia="Arial" w:hAnsi="Arial" w:cs="Arial"/>
                <w:noProof/>
              </w:rPr>
              <w:t>Introduction</w:t>
            </w:r>
            <w:r>
              <w:rPr>
                <w:noProof/>
                <w:webHidden/>
              </w:rPr>
              <w:tab/>
            </w:r>
            <w:r>
              <w:rPr>
                <w:noProof/>
                <w:webHidden/>
              </w:rPr>
              <w:fldChar w:fldCharType="begin"/>
            </w:r>
            <w:r>
              <w:rPr>
                <w:noProof/>
                <w:webHidden/>
              </w:rPr>
              <w:instrText xml:space="preserve"> PAGEREF _Toc226479896 \h </w:instrText>
            </w:r>
            <w:r>
              <w:rPr>
                <w:noProof/>
                <w:webHidden/>
              </w:rPr>
            </w:r>
            <w:r>
              <w:rPr>
                <w:noProof/>
                <w:webHidden/>
              </w:rPr>
              <w:fldChar w:fldCharType="separate"/>
            </w:r>
            <w:r>
              <w:rPr>
                <w:noProof/>
                <w:webHidden/>
              </w:rPr>
              <w:t>9</w:t>
            </w:r>
            <w:r>
              <w:rPr>
                <w:noProof/>
                <w:webHidden/>
              </w:rPr>
              <w:fldChar w:fldCharType="end"/>
            </w:r>
          </w:hyperlink>
        </w:p>
        <w:p w14:paraId="37F8623C" w14:textId="1ECAD4DE" w:rsidR="00837B3A" w:rsidRDefault="00837B3A">
          <w:pPr>
            <w:pStyle w:val="TOC2"/>
            <w:tabs>
              <w:tab w:val="left" w:pos="960"/>
              <w:tab w:val="right" w:leader="dot" w:pos="9016"/>
            </w:tabs>
            <w:rPr>
              <w:noProof/>
              <w:kern w:val="2"/>
              <w:lang w:eastAsia="en-GB"/>
              <w14:ligatures w14:val="standardContextual"/>
            </w:rPr>
          </w:pPr>
          <w:hyperlink w:anchor="_Toc226479897" w:history="1">
            <w:r w:rsidRPr="005A272C">
              <w:rPr>
                <w:rStyle w:val="Hyperlink"/>
                <w:rFonts w:ascii="Arial" w:eastAsia="Arial" w:hAnsi="Arial" w:cs="Arial"/>
                <w:noProof/>
              </w:rPr>
              <w:t>1.2</w:t>
            </w:r>
            <w:r>
              <w:rPr>
                <w:noProof/>
                <w:kern w:val="2"/>
                <w:lang w:eastAsia="en-GB"/>
                <w14:ligatures w14:val="standardContextual"/>
              </w:rPr>
              <w:tab/>
            </w:r>
            <w:r w:rsidRPr="005A272C">
              <w:rPr>
                <w:rStyle w:val="Hyperlink"/>
                <w:rFonts w:ascii="Arial" w:eastAsia="Arial" w:hAnsi="Arial" w:cs="Arial"/>
                <w:noProof/>
              </w:rPr>
              <w:t>Definitions and Terminology</w:t>
            </w:r>
            <w:r>
              <w:rPr>
                <w:noProof/>
                <w:webHidden/>
              </w:rPr>
              <w:tab/>
            </w:r>
            <w:r>
              <w:rPr>
                <w:noProof/>
                <w:webHidden/>
              </w:rPr>
              <w:fldChar w:fldCharType="begin"/>
            </w:r>
            <w:r>
              <w:rPr>
                <w:noProof/>
                <w:webHidden/>
              </w:rPr>
              <w:instrText xml:space="preserve"> PAGEREF _Toc226479897 \h </w:instrText>
            </w:r>
            <w:r>
              <w:rPr>
                <w:noProof/>
                <w:webHidden/>
              </w:rPr>
            </w:r>
            <w:r>
              <w:rPr>
                <w:noProof/>
                <w:webHidden/>
              </w:rPr>
              <w:fldChar w:fldCharType="separate"/>
            </w:r>
            <w:r>
              <w:rPr>
                <w:noProof/>
                <w:webHidden/>
              </w:rPr>
              <w:t>10</w:t>
            </w:r>
            <w:r>
              <w:rPr>
                <w:noProof/>
                <w:webHidden/>
              </w:rPr>
              <w:fldChar w:fldCharType="end"/>
            </w:r>
          </w:hyperlink>
        </w:p>
        <w:p w14:paraId="4EDD584F" w14:textId="6A6C6ED7" w:rsidR="00837B3A" w:rsidRDefault="00837B3A">
          <w:pPr>
            <w:pStyle w:val="TOC2"/>
            <w:tabs>
              <w:tab w:val="left" w:pos="960"/>
              <w:tab w:val="right" w:leader="dot" w:pos="9016"/>
            </w:tabs>
            <w:rPr>
              <w:noProof/>
              <w:kern w:val="2"/>
              <w:lang w:eastAsia="en-GB"/>
              <w14:ligatures w14:val="standardContextual"/>
            </w:rPr>
          </w:pPr>
          <w:hyperlink w:anchor="_Toc226479898" w:history="1">
            <w:r w:rsidRPr="005A272C">
              <w:rPr>
                <w:rStyle w:val="Hyperlink"/>
                <w:rFonts w:ascii="Arial" w:eastAsia="Arial" w:hAnsi="Arial" w:cs="Arial"/>
                <w:noProof/>
              </w:rPr>
              <w:t>1.3</w:t>
            </w:r>
            <w:r>
              <w:rPr>
                <w:noProof/>
                <w:kern w:val="2"/>
                <w:lang w:eastAsia="en-GB"/>
                <w14:ligatures w14:val="standardContextual"/>
              </w:rPr>
              <w:tab/>
            </w:r>
            <w:r w:rsidRPr="005A272C">
              <w:rPr>
                <w:rStyle w:val="Hyperlink"/>
                <w:rFonts w:ascii="Arial" w:eastAsia="Arial" w:hAnsi="Arial" w:cs="Arial"/>
                <w:noProof/>
              </w:rPr>
              <w:t>Rationale for Research</w:t>
            </w:r>
            <w:r>
              <w:rPr>
                <w:noProof/>
                <w:webHidden/>
              </w:rPr>
              <w:tab/>
            </w:r>
            <w:r>
              <w:rPr>
                <w:noProof/>
                <w:webHidden/>
              </w:rPr>
              <w:fldChar w:fldCharType="begin"/>
            </w:r>
            <w:r>
              <w:rPr>
                <w:noProof/>
                <w:webHidden/>
              </w:rPr>
              <w:instrText xml:space="preserve"> PAGEREF _Toc226479898 \h </w:instrText>
            </w:r>
            <w:r>
              <w:rPr>
                <w:noProof/>
                <w:webHidden/>
              </w:rPr>
            </w:r>
            <w:r>
              <w:rPr>
                <w:noProof/>
                <w:webHidden/>
              </w:rPr>
              <w:fldChar w:fldCharType="separate"/>
            </w:r>
            <w:r>
              <w:rPr>
                <w:noProof/>
                <w:webHidden/>
              </w:rPr>
              <w:t>11</w:t>
            </w:r>
            <w:r>
              <w:rPr>
                <w:noProof/>
                <w:webHidden/>
              </w:rPr>
              <w:fldChar w:fldCharType="end"/>
            </w:r>
          </w:hyperlink>
        </w:p>
        <w:p w14:paraId="1C91B79A" w14:textId="5BECC3E0" w:rsidR="00837B3A" w:rsidRDefault="00837B3A">
          <w:pPr>
            <w:pStyle w:val="TOC2"/>
            <w:tabs>
              <w:tab w:val="left" w:pos="960"/>
              <w:tab w:val="right" w:leader="dot" w:pos="9016"/>
            </w:tabs>
            <w:rPr>
              <w:noProof/>
              <w:kern w:val="2"/>
              <w:lang w:eastAsia="en-GB"/>
              <w14:ligatures w14:val="standardContextual"/>
            </w:rPr>
          </w:pPr>
          <w:hyperlink w:anchor="_Toc226479899" w:history="1">
            <w:r w:rsidRPr="005A272C">
              <w:rPr>
                <w:rStyle w:val="Hyperlink"/>
                <w:rFonts w:ascii="Arial" w:hAnsi="Arial" w:cs="Arial"/>
                <w:noProof/>
              </w:rPr>
              <w:t>1.4</w:t>
            </w:r>
            <w:r>
              <w:rPr>
                <w:noProof/>
                <w:kern w:val="2"/>
                <w:lang w:eastAsia="en-GB"/>
                <w14:ligatures w14:val="standardContextual"/>
              </w:rPr>
              <w:tab/>
            </w:r>
            <w:r w:rsidRPr="005A272C">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_Toc226479899 \h </w:instrText>
            </w:r>
            <w:r>
              <w:rPr>
                <w:noProof/>
                <w:webHidden/>
              </w:rPr>
            </w:r>
            <w:r>
              <w:rPr>
                <w:noProof/>
                <w:webHidden/>
              </w:rPr>
              <w:fldChar w:fldCharType="separate"/>
            </w:r>
            <w:r>
              <w:rPr>
                <w:noProof/>
                <w:webHidden/>
              </w:rPr>
              <w:t>12</w:t>
            </w:r>
            <w:r>
              <w:rPr>
                <w:noProof/>
                <w:webHidden/>
              </w:rPr>
              <w:fldChar w:fldCharType="end"/>
            </w:r>
          </w:hyperlink>
        </w:p>
        <w:p w14:paraId="1D3D4DD0" w14:textId="557F0057" w:rsidR="00837B3A" w:rsidRDefault="00837B3A">
          <w:pPr>
            <w:pStyle w:val="TOC2"/>
            <w:tabs>
              <w:tab w:val="left" w:pos="960"/>
              <w:tab w:val="right" w:leader="dot" w:pos="9016"/>
            </w:tabs>
            <w:rPr>
              <w:noProof/>
              <w:kern w:val="2"/>
              <w:lang w:eastAsia="en-GB"/>
              <w14:ligatures w14:val="standardContextual"/>
            </w:rPr>
          </w:pPr>
          <w:hyperlink w:anchor="_Toc226479900" w:history="1">
            <w:r w:rsidRPr="005A272C">
              <w:rPr>
                <w:rStyle w:val="Hyperlink"/>
                <w:rFonts w:ascii="Arial" w:eastAsia="Arial" w:hAnsi="Arial" w:cs="Arial"/>
                <w:noProof/>
              </w:rPr>
              <w:t>1.5</w:t>
            </w:r>
            <w:r>
              <w:rPr>
                <w:noProof/>
                <w:kern w:val="2"/>
                <w:lang w:eastAsia="en-GB"/>
                <w14:ligatures w14:val="standardContextual"/>
              </w:rPr>
              <w:tab/>
            </w:r>
            <w:r w:rsidRPr="005A272C">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_Toc226479900 \h </w:instrText>
            </w:r>
            <w:r>
              <w:rPr>
                <w:noProof/>
                <w:webHidden/>
              </w:rPr>
            </w:r>
            <w:r>
              <w:rPr>
                <w:noProof/>
                <w:webHidden/>
              </w:rPr>
              <w:fldChar w:fldCharType="separate"/>
            </w:r>
            <w:r>
              <w:rPr>
                <w:noProof/>
                <w:webHidden/>
              </w:rPr>
              <w:t>12</w:t>
            </w:r>
            <w:r>
              <w:rPr>
                <w:noProof/>
                <w:webHidden/>
              </w:rPr>
              <w:fldChar w:fldCharType="end"/>
            </w:r>
          </w:hyperlink>
        </w:p>
        <w:p w14:paraId="53DEE73F" w14:textId="30640D46" w:rsidR="00837B3A" w:rsidRDefault="00837B3A">
          <w:pPr>
            <w:pStyle w:val="TOC1"/>
            <w:tabs>
              <w:tab w:val="right" w:leader="dot" w:pos="9016"/>
            </w:tabs>
            <w:rPr>
              <w:noProof/>
              <w:kern w:val="2"/>
              <w:lang w:eastAsia="en-GB"/>
              <w14:ligatures w14:val="standardContextual"/>
            </w:rPr>
          </w:pPr>
          <w:hyperlink w:anchor="_Toc226479901" w:history="1">
            <w:r w:rsidRPr="005A272C">
              <w:rPr>
                <w:rStyle w:val="Hyperlink"/>
                <w:rFonts w:ascii="Arial" w:eastAsia="Arial" w:hAnsi="Arial" w:cs="Arial"/>
                <w:noProof/>
              </w:rPr>
              <w:t>CHAPTER 2 – Background Information and Analysis</w:t>
            </w:r>
            <w:r>
              <w:rPr>
                <w:noProof/>
                <w:webHidden/>
              </w:rPr>
              <w:tab/>
            </w:r>
            <w:r>
              <w:rPr>
                <w:noProof/>
                <w:webHidden/>
              </w:rPr>
              <w:fldChar w:fldCharType="begin"/>
            </w:r>
            <w:r>
              <w:rPr>
                <w:noProof/>
                <w:webHidden/>
              </w:rPr>
              <w:instrText xml:space="preserve"> PAGEREF _Toc226479901 \h </w:instrText>
            </w:r>
            <w:r>
              <w:rPr>
                <w:noProof/>
                <w:webHidden/>
              </w:rPr>
            </w:r>
            <w:r>
              <w:rPr>
                <w:noProof/>
                <w:webHidden/>
              </w:rPr>
              <w:fldChar w:fldCharType="separate"/>
            </w:r>
            <w:r>
              <w:rPr>
                <w:noProof/>
                <w:webHidden/>
              </w:rPr>
              <w:t>14</w:t>
            </w:r>
            <w:r>
              <w:rPr>
                <w:noProof/>
                <w:webHidden/>
              </w:rPr>
              <w:fldChar w:fldCharType="end"/>
            </w:r>
          </w:hyperlink>
        </w:p>
        <w:p w14:paraId="295A4F0E" w14:textId="78C5772F" w:rsidR="00837B3A" w:rsidRDefault="00837B3A">
          <w:pPr>
            <w:pStyle w:val="TOC2"/>
            <w:tabs>
              <w:tab w:val="right" w:leader="dot" w:pos="9016"/>
            </w:tabs>
            <w:rPr>
              <w:noProof/>
              <w:kern w:val="2"/>
              <w:lang w:eastAsia="en-GB"/>
              <w14:ligatures w14:val="standardContextual"/>
            </w:rPr>
          </w:pPr>
          <w:hyperlink w:anchor="_Toc226479902" w:history="1">
            <w:r w:rsidRPr="005A272C">
              <w:rPr>
                <w:rStyle w:val="Hyperlink"/>
                <w:rFonts w:ascii="Arial" w:eastAsia="Arial" w:hAnsi="Arial" w:cs="Arial"/>
                <w:noProof/>
              </w:rPr>
              <w:t>2.1 Introduction</w:t>
            </w:r>
            <w:r>
              <w:rPr>
                <w:noProof/>
                <w:webHidden/>
              </w:rPr>
              <w:tab/>
            </w:r>
            <w:r>
              <w:rPr>
                <w:noProof/>
                <w:webHidden/>
              </w:rPr>
              <w:fldChar w:fldCharType="begin"/>
            </w:r>
            <w:r>
              <w:rPr>
                <w:noProof/>
                <w:webHidden/>
              </w:rPr>
              <w:instrText xml:space="preserve"> PAGEREF _Toc226479902 \h </w:instrText>
            </w:r>
            <w:r>
              <w:rPr>
                <w:noProof/>
                <w:webHidden/>
              </w:rPr>
            </w:r>
            <w:r>
              <w:rPr>
                <w:noProof/>
                <w:webHidden/>
              </w:rPr>
              <w:fldChar w:fldCharType="separate"/>
            </w:r>
            <w:r>
              <w:rPr>
                <w:noProof/>
                <w:webHidden/>
              </w:rPr>
              <w:t>14</w:t>
            </w:r>
            <w:r>
              <w:rPr>
                <w:noProof/>
                <w:webHidden/>
              </w:rPr>
              <w:fldChar w:fldCharType="end"/>
            </w:r>
          </w:hyperlink>
        </w:p>
        <w:p w14:paraId="08978689" w14:textId="4E2C3775" w:rsidR="00837B3A" w:rsidRDefault="00837B3A">
          <w:pPr>
            <w:pStyle w:val="TOC2"/>
            <w:tabs>
              <w:tab w:val="right" w:leader="dot" w:pos="9016"/>
            </w:tabs>
            <w:rPr>
              <w:noProof/>
              <w:kern w:val="2"/>
              <w:lang w:eastAsia="en-GB"/>
              <w14:ligatures w14:val="standardContextual"/>
            </w:rPr>
          </w:pPr>
          <w:hyperlink w:anchor="_Toc226479903" w:history="1">
            <w:r w:rsidRPr="005A272C">
              <w:rPr>
                <w:rStyle w:val="Hyperlink"/>
                <w:rFonts w:ascii="Arial" w:hAnsi="Arial" w:cs="Arial"/>
                <w:noProof/>
              </w:rPr>
              <w:t>2.2 Historical Background</w:t>
            </w:r>
            <w:r>
              <w:rPr>
                <w:noProof/>
                <w:webHidden/>
              </w:rPr>
              <w:tab/>
            </w:r>
            <w:r>
              <w:rPr>
                <w:noProof/>
                <w:webHidden/>
              </w:rPr>
              <w:fldChar w:fldCharType="begin"/>
            </w:r>
            <w:r>
              <w:rPr>
                <w:noProof/>
                <w:webHidden/>
              </w:rPr>
              <w:instrText xml:space="preserve"> PAGEREF _Toc226479903 \h </w:instrText>
            </w:r>
            <w:r>
              <w:rPr>
                <w:noProof/>
                <w:webHidden/>
              </w:rPr>
            </w:r>
            <w:r>
              <w:rPr>
                <w:noProof/>
                <w:webHidden/>
              </w:rPr>
              <w:fldChar w:fldCharType="separate"/>
            </w:r>
            <w:r>
              <w:rPr>
                <w:noProof/>
                <w:webHidden/>
              </w:rPr>
              <w:t>15</w:t>
            </w:r>
            <w:r>
              <w:rPr>
                <w:noProof/>
                <w:webHidden/>
              </w:rPr>
              <w:fldChar w:fldCharType="end"/>
            </w:r>
          </w:hyperlink>
        </w:p>
        <w:p w14:paraId="3810DCF5" w14:textId="045B3DA8" w:rsidR="00837B3A" w:rsidRDefault="00837B3A">
          <w:pPr>
            <w:pStyle w:val="TOC2"/>
            <w:tabs>
              <w:tab w:val="right" w:leader="dot" w:pos="9016"/>
            </w:tabs>
            <w:rPr>
              <w:noProof/>
              <w:kern w:val="2"/>
              <w:lang w:eastAsia="en-GB"/>
              <w14:ligatures w14:val="standardContextual"/>
            </w:rPr>
          </w:pPr>
          <w:hyperlink w:anchor="_Toc226479904" w:history="1">
            <w:r w:rsidRPr="005A272C">
              <w:rPr>
                <w:rStyle w:val="Hyperlink"/>
                <w:rFonts w:ascii="Arial" w:eastAsia="Arial" w:hAnsi="Arial" w:cs="Arial"/>
                <w:noProof/>
              </w:rPr>
              <w:t>2.3 Theoretical Background</w:t>
            </w:r>
            <w:r>
              <w:rPr>
                <w:noProof/>
                <w:webHidden/>
              </w:rPr>
              <w:tab/>
            </w:r>
            <w:r>
              <w:rPr>
                <w:noProof/>
                <w:webHidden/>
              </w:rPr>
              <w:fldChar w:fldCharType="begin"/>
            </w:r>
            <w:r>
              <w:rPr>
                <w:noProof/>
                <w:webHidden/>
              </w:rPr>
              <w:instrText xml:space="preserve"> PAGEREF _Toc226479904 \h </w:instrText>
            </w:r>
            <w:r>
              <w:rPr>
                <w:noProof/>
                <w:webHidden/>
              </w:rPr>
            </w:r>
            <w:r>
              <w:rPr>
                <w:noProof/>
                <w:webHidden/>
              </w:rPr>
              <w:fldChar w:fldCharType="separate"/>
            </w:r>
            <w:r>
              <w:rPr>
                <w:noProof/>
                <w:webHidden/>
              </w:rPr>
              <w:t>15</w:t>
            </w:r>
            <w:r>
              <w:rPr>
                <w:noProof/>
                <w:webHidden/>
              </w:rPr>
              <w:fldChar w:fldCharType="end"/>
            </w:r>
          </w:hyperlink>
        </w:p>
        <w:p w14:paraId="79F97CC4" w14:textId="6089C083" w:rsidR="00837B3A" w:rsidRDefault="00837B3A">
          <w:pPr>
            <w:pStyle w:val="TOC3"/>
            <w:tabs>
              <w:tab w:val="right" w:leader="dot" w:pos="9016"/>
            </w:tabs>
            <w:rPr>
              <w:noProof/>
              <w:kern w:val="2"/>
              <w:lang w:eastAsia="en-GB"/>
              <w14:ligatures w14:val="standardContextual"/>
            </w:rPr>
          </w:pPr>
          <w:hyperlink w:anchor="_Toc226479905" w:history="1">
            <w:r w:rsidRPr="005A272C">
              <w:rPr>
                <w:rStyle w:val="Hyperlink"/>
                <w:rFonts w:ascii="Arial" w:eastAsia="Arial" w:hAnsi="Arial" w:cs="Arial"/>
                <w:noProof/>
              </w:rPr>
              <w:t>2.3.1 Cognitive Behavioural Theory (CBT)</w:t>
            </w:r>
            <w:r>
              <w:rPr>
                <w:noProof/>
                <w:webHidden/>
              </w:rPr>
              <w:tab/>
            </w:r>
            <w:r>
              <w:rPr>
                <w:noProof/>
                <w:webHidden/>
              </w:rPr>
              <w:fldChar w:fldCharType="begin"/>
            </w:r>
            <w:r>
              <w:rPr>
                <w:noProof/>
                <w:webHidden/>
              </w:rPr>
              <w:instrText xml:space="preserve"> PAGEREF _Toc226479905 \h </w:instrText>
            </w:r>
            <w:r>
              <w:rPr>
                <w:noProof/>
                <w:webHidden/>
              </w:rPr>
            </w:r>
            <w:r>
              <w:rPr>
                <w:noProof/>
                <w:webHidden/>
              </w:rPr>
              <w:fldChar w:fldCharType="separate"/>
            </w:r>
            <w:r>
              <w:rPr>
                <w:noProof/>
                <w:webHidden/>
              </w:rPr>
              <w:t>15</w:t>
            </w:r>
            <w:r>
              <w:rPr>
                <w:noProof/>
                <w:webHidden/>
              </w:rPr>
              <w:fldChar w:fldCharType="end"/>
            </w:r>
          </w:hyperlink>
        </w:p>
        <w:p w14:paraId="73345C44" w14:textId="07CE943B" w:rsidR="00837B3A" w:rsidRDefault="00837B3A">
          <w:pPr>
            <w:pStyle w:val="TOC3"/>
            <w:tabs>
              <w:tab w:val="right" w:leader="dot" w:pos="9016"/>
            </w:tabs>
            <w:rPr>
              <w:noProof/>
              <w:kern w:val="2"/>
              <w:lang w:eastAsia="en-GB"/>
              <w14:ligatures w14:val="standardContextual"/>
            </w:rPr>
          </w:pPr>
          <w:hyperlink w:anchor="_Toc226479906" w:history="1">
            <w:r w:rsidRPr="005A272C">
              <w:rPr>
                <w:rStyle w:val="Hyperlink"/>
                <w:rFonts w:ascii="Arial" w:eastAsia="Arial" w:hAnsi="Arial" w:cs="Arial"/>
                <w:noProof/>
              </w:rPr>
              <w:t>2.3.2 Attachment Theory</w:t>
            </w:r>
            <w:r>
              <w:rPr>
                <w:noProof/>
                <w:webHidden/>
              </w:rPr>
              <w:tab/>
            </w:r>
            <w:r>
              <w:rPr>
                <w:noProof/>
                <w:webHidden/>
              </w:rPr>
              <w:fldChar w:fldCharType="begin"/>
            </w:r>
            <w:r>
              <w:rPr>
                <w:noProof/>
                <w:webHidden/>
              </w:rPr>
              <w:instrText xml:space="preserve"> PAGEREF _Toc226479906 \h </w:instrText>
            </w:r>
            <w:r>
              <w:rPr>
                <w:noProof/>
                <w:webHidden/>
              </w:rPr>
            </w:r>
            <w:r>
              <w:rPr>
                <w:noProof/>
                <w:webHidden/>
              </w:rPr>
              <w:fldChar w:fldCharType="separate"/>
            </w:r>
            <w:r>
              <w:rPr>
                <w:noProof/>
                <w:webHidden/>
              </w:rPr>
              <w:t>16</w:t>
            </w:r>
            <w:r>
              <w:rPr>
                <w:noProof/>
                <w:webHidden/>
              </w:rPr>
              <w:fldChar w:fldCharType="end"/>
            </w:r>
          </w:hyperlink>
        </w:p>
        <w:p w14:paraId="3AC4A0A7" w14:textId="34FDB1EE" w:rsidR="00837B3A" w:rsidRDefault="00837B3A">
          <w:pPr>
            <w:pStyle w:val="TOC3"/>
            <w:tabs>
              <w:tab w:val="right" w:leader="dot" w:pos="9016"/>
            </w:tabs>
            <w:rPr>
              <w:noProof/>
              <w:kern w:val="2"/>
              <w:lang w:eastAsia="en-GB"/>
              <w14:ligatures w14:val="standardContextual"/>
            </w:rPr>
          </w:pPr>
          <w:hyperlink w:anchor="_Toc226479907" w:history="1">
            <w:r w:rsidRPr="005A272C">
              <w:rPr>
                <w:rStyle w:val="Hyperlink"/>
                <w:rFonts w:ascii="Arial" w:eastAsia="Arial" w:hAnsi="Arial" w:cs="Arial"/>
                <w:noProof/>
              </w:rPr>
              <w:t>2.3.3 Social Support Theory</w:t>
            </w:r>
            <w:r>
              <w:rPr>
                <w:noProof/>
                <w:webHidden/>
              </w:rPr>
              <w:tab/>
            </w:r>
            <w:r>
              <w:rPr>
                <w:noProof/>
                <w:webHidden/>
              </w:rPr>
              <w:fldChar w:fldCharType="begin"/>
            </w:r>
            <w:r>
              <w:rPr>
                <w:noProof/>
                <w:webHidden/>
              </w:rPr>
              <w:instrText xml:space="preserve"> PAGEREF _Toc226479907 \h </w:instrText>
            </w:r>
            <w:r>
              <w:rPr>
                <w:noProof/>
                <w:webHidden/>
              </w:rPr>
            </w:r>
            <w:r>
              <w:rPr>
                <w:noProof/>
                <w:webHidden/>
              </w:rPr>
              <w:fldChar w:fldCharType="separate"/>
            </w:r>
            <w:r>
              <w:rPr>
                <w:noProof/>
                <w:webHidden/>
              </w:rPr>
              <w:t>16</w:t>
            </w:r>
            <w:r>
              <w:rPr>
                <w:noProof/>
                <w:webHidden/>
              </w:rPr>
              <w:fldChar w:fldCharType="end"/>
            </w:r>
          </w:hyperlink>
        </w:p>
        <w:p w14:paraId="2453FB90" w14:textId="2341BEC3" w:rsidR="00837B3A" w:rsidRDefault="00837B3A">
          <w:pPr>
            <w:pStyle w:val="TOC3"/>
            <w:tabs>
              <w:tab w:val="right" w:leader="dot" w:pos="9016"/>
            </w:tabs>
            <w:rPr>
              <w:noProof/>
              <w:kern w:val="2"/>
              <w:lang w:eastAsia="en-GB"/>
              <w14:ligatures w14:val="standardContextual"/>
            </w:rPr>
          </w:pPr>
          <w:hyperlink w:anchor="_Toc226479908" w:history="1">
            <w:r w:rsidRPr="005A272C">
              <w:rPr>
                <w:rStyle w:val="Hyperlink"/>
                <w:rFonts w:ascii="Arial" w:hAnsi="Arial" w:cs="Arial"/>
                <w:noProof/>
              </w:rPr>
              <w:t>2.3.4 Integrative Perspective</w:t>
            </w:r>
            <w:r>
              <w:rPr>
                <w:noProof/>
                <w:webHidden/>
              </w:rPr>
              <w:tab/>
            </w:r>
            <w:r>
              <w:rPr>
                <w:noProof/>
                <w:webHidden/>
              </w:rPr>
              <w:fldChar w:fldCharType="begin"/>
            </w:r>
            <w:r>
              <w:rPr>
                <w:noProof/>
                <w:webHidden/>
              </w:rPr>
              <w:instrText xml:space="preserve"> PAGEREF _Toc226479908 \h </w:instrText>
            </w:r>
            <w:r>
              <w:rPr>
                <w:noProof/>
                <w:webHidden/>
              </w:rPr>
            </w:r>
            <w:r>
              <w:rPr>
                <w:noProof/>
                <w:webHidden/>
              </w:rPr>
              <w:fldChar w:fldCharType="separate"/>
            </w:r>
            <w:r>
              <w:rPr>
                <w:noProof/>
                <w:webHidden/>
              </w:rPr>
              <w:t>17</w:t>
            </w:r>
            <w:r>
              <w:rPr>
                <w:noProof/>
                <w:webHidden/>
              </w:rPr>
              <w:fldChar w:fldCharType="end"/>
            </w:r>
          </w:hyperlink>
        </w:p>
        <w:p w14:paraId="44E6956F" w14:textId="2E4DE76F" w:rsidR="00837B3A" w:rsidRDefault="00837B3A">
          <w:pPr>
            <w:pStyle w:val="TOC2"/>
            <w:tabs>
              <w:tab w:val="right" w:leader="dot" w:pos="9016"/>
            </w:tabs>
            <w:rPr>
              <w:noProof/>
              <w:kern w:val="2"/>
              <w:lang w:eastAsia="en-GB"/>
              <w14:ligatures w14:val="standardContextual"/>
            </w:rPr>
          </w:pPr>
          <w:hyperlink w:anchor="_Toc226479909" w:history="1">
            <w:r w:rsidRPr="005A272C">
              <w:rPr>
                <w:rStyle w:val="Hyperlink"/>
                <w:rFonts w:ascii="Arial" w:eastAsia="Arial" w:hAnsi="Arial" w:cs="Arial"/>
                <w:noProof/>
              </w:rPr>
              <w:t>2.4 International Context</w:t>
            </w:r>
            <w:r>
              <w:rPr>
                <w:noProof/>
                <w:webHidden/>
              </w:rPr>
              <w:tab/>
            </w:r>
            <w:r>
              <w:rPr>
                <w:noProof/>
                <w:webHidden/>
              </w:rPr>
              <w:fldChar w:fldCharType="begin"/>
            </w:r>
            <w:r>
              <w:rPr>
                <w:noProof/>
                <w:webHidden/>
              </w:rPr>
              <w:instrText xml:space="preserve"> PAGEREF _Toc226479909 \h </w:instrText>
            </w:r>
            <w:r>
              <w:rPr>
                <w:noProof/>
                <w:webHidden/>
              </w:rPr>
            </w:r>
            <w:r>
              <w:rPr>
                <w:noProof/>
                <w:webHidden/>
              </w:rPr>
              <w:fldChar w:fldCharType="separate"/>
            </w:r>
            <w:r>
              <w:rPr>
                <w:noProof/>
                <w:webHidden/>
              </w:rPr>
              <w:t>17</w:t>
            </w:r>
            <w:r>
              <w:rPr>
                <w:noProof/>
                <w:webHidden/>
              </w:rPr>
              <w:fldChar w:fldCharType="end"/>
            </w:r>
          </w:hyperlink>
        </w:p>
        <w:p w14:paraId="5CFFA029" w14:textId="090C944B" w:rsidR="00837B3A" w:rsidRDefault="00837B3A">
          <w:pPr>
            <w:pStyle w:val="TOC2"/>
            <w:tabs>
              <w:tab w:val="right" w:leader="dot" w:pos="9016"/>
            </w:tabs>
            <w:rPr>
              <w:noProof/>
              <w:kern w:val="2"/>
              <w:lang w:eastAsia="en-GB"/>
              <w14:ligatures w14:val="standardContextual"/>
            </w:rPr>
          </w:pPr>
          <w:hyperlink w:anchor="_Toc226479910" w:history="1">
            <w:r w:rsidRPr="005A272C">
              <w:rPr>
                <w:rStyle w:val="Hyperlink"/>
                <w:rFonts w:ascii="Arial" w:eastAsia="Arial" w:hAnsi="Arial" w:cs="Arial"/>
                <w:noProof/>
              </w:rPr>
              <w:t>2.5 National/Local UK Context</w:t>
            </w:r>
            <w:r>
              <w:rPr>
                <w:noProof/>
                <w:webHidden/>
              </w:rPr>
              <w:tab/>
            </w:r>
            <w:r>
              <w:rPr>
                <w:noProof/>
                <w:webHidden/>
              </w:rPr>
              <w:fldChar w:fldCharType="begin"/>
            </w:r>
            <w:r>
              <w:rPr>
                <w:noProof/>
                <w:webHidden/>
              </w:rPr>
              <w:instrText xml:space="preserve"> PAGEREF _Toc226479910 \h </w:instrText>
            </w:r>
            <w:r>
              <w:rPr>
                <w:noProof/>
                <w:webHidden/>
              </w:rPr>
            </w:r>
            <w:r>
              <w:rPr>
                <w:noProof/>
                <w:webHidden/>
              </w:rPr>
              <w:fldChar w:fldCharType="separate"/>
            </w:r>
            <w:r>
              <w:rPr>
                <w:noProof/>
                <w:webHidden/>
              </w:rPr>
              <w:t>18</w:t>
            </w:r>
            <w:r>
              <w:rPr>
                <w:noProof/>
                <w:webHidden/>
              </w:rPr>
              <w:fldChar w:fldCharType="end"/>
            </w:r>
          </w:hyperlink>
        </w:p>
        <w:p w14:paraId="55B020C1" w14:textId="4FAD79BE" w:rsidR="00837B3A" w:rsidRDefault="00837B3A">
          <w:pPr>
            <w:pStyle w:val="TOC2"/>
            <w:tabs>
              <w:tab w:val="right" w:leader="dot" w:pos="9016"/>
            </w:tabs>
            <w:rPr>
              <w:noProof/>
              <w:kern w:val="2"/>
              <w:lang w:eastAsia="en-GB"/>
              <w14:ligatures w14:val="standardContextual"/>
            </w:rPr>
          </w:pPr>
          <w:hyperlink w:anchor="_Toc226479911" w:history="1">
            <w:r w:rsidRPr="005A272C">
              <w:rPr>
                <w:rStyle w:val="Hyperlink"/>
                <w:rFonts w:ascii="Arial" w:eastAsia="Arial" w:hAnsi="Arial" w:cs="Arial"/>
                <w:noProof/>
              </w:rPr>
              <w:t>2.6 Conclusion</w:t>
            </w:r>
            <w:r>
              <w:rPr>
                <w:noProof/>
                <w:webHidden/>
              </w:rPr>
              <w:tab/>
            </w:r>
            <w:r>
              <w:rPr>
                <w:noProof/>
                <w:webHidden/>
              </w:rPr>
              <w:fldChar w:fldCharType="begin"/>
            </w:r>
            <w:r>
              <w:rPr>
                <w:noProof/>
                <w:webHidden/>
              </w:rPr>
              <w:instrText xml:space="preserve"> PAGEREF _Toc226479911 \h </w:instrText>
            </w:r>
            <w:r>
              <w:rPr>
                <w:noProof/>
                <w:webHidden/>
              </w:rPr>
            </w:r>
            <w:r>
              <w:rPr>
                <w:noProof/>
                <w:webHidden/>
              </w:rPr>
              <w:fldChar w:fldCharType="separate"/>
            </w:r>
            <w:r>
              <w:rPr>
                <w:noProof/>
                <w:webHidden/>
              </w:rPr>
              <w:t>19</w:t>
            </w:r>
            <w:r>
              <w:rPr>
                <w:noProof/>
                <w:webHidden/>
              </w:rPr>
              <w:fldChar w:fldCharType="end"/>
            </w:r>
          </w:hyperlink>
        </w:p>
        <w:p w14:paraId="60E5807A" w14:textId="03F6FA2F" w:rsidR="00837B3A" w:rsidRDefault="00837B3A">
          <w:pPr>
            <w:pStyle w:val="TOC1"/>
            <w:tabs>
              <w:tab w:val="right" w:leader="dot" w:pos="9016"/>
            </w:tabs>
            <w:rPr>
              <w:noProof/>
              <w:kern w:val="2"/>
              <w:lang w:eastAsia="en-GB"/>
              <w14:ligatures w14:val="standardContextual"/>
            </w:rPr>
          </w:pPr>
          <w:hyperlink w:anchor="_Toc226479912" w:history="1">
            <w:r w:rsidRPr="005A272C">
              <w:rPr>
                <w:rStyle w:val="Hyperlink"/>
                <w:rFonts w:ascii="Arial" w:eastAsia="Arial" w:hAnsi="Arial" w:cs="Arial"/>
                <w:noProof/>
              </w:rPr>
              <w:t>CHAPTER 3 – Methods and Search Strategy</w:t>
            </w:r>
            <w:r>
              <w:rPr>
                <w:noProof/>
                <w:webHidden/>
              </w:rPr>
              <w:tab/>
            </w:r>
            <w:r>
              <w:rPr>
                <w:noProof/>
                <w:webHidden/>
              </w:rPr>
              <w:fldChar w:fldCharType="begin"/>
            </w:r>
            <w:r>
              <w:rPr>
                <w:noProof/>
                <w:webHidden/>
              </w:rPr>
              <w:instrText xml:space="preserve"> PAGEREF _Toc226479912 \h </w:instrText>
            </w:r>
            <w:r>
              <w:rPr>
                <w:noProof/>
                <w:webHidden/>
              </w:rPr>
            </w:r>
            <w:r>
              <w:rPr>
                <w:noProof/>
                <w:webHidden/>
              </w:rPr>
              <w:fldChar w:fldCharType="separate"/>
            </w:r>
            <w:r>
              <w:rPr>
                <w:noProof/>
                <w:webHidden/>
              </w:rPr>
              <w:t>20</w:t>
            </w:r>
            <w:r>
              <w:rPr>
                <w:noProof/>
                <w:webHidden/>
              </w:rPr>
              <w:fldChar w:fldCharType="end"/>
            </w:r>
          </w:hyperlink>
        </w:p>
        <w:p w14:paraId="5F7EA588" w14:textId="5AF82C22" w:rsidR="00837B3A" w:rsidRDefault="00837B3A">
          <w:pPr>
            <w:pStyle w:val="TOC2"/>
            <w:tabs>
              <w:tab w:val="right" w:leader="dot" w:pos="9016"/>
            </w:tabs>
            <w:rPr>
              <w:noProof/>
              <w:kern w:val="2"/>
              <w:lang w:eastAsia="en-GB"/>
              <w14:ligatures w14:val="standardContextual"/>
            </w:rPr>
          </w:pPr>
          <w:hyperlink w:anchor="_Toc226479913" w:history="1">
            <w:r w:rsidRPr="005A272C">
              <w:rPr>
                <w:rStyle w:val="Hyperlink"/>
                <w:rFonts w:ascii="Arial" w:eastAsia="Arial" w:hAnsi="Arial" w:cs="Arial"/>
                <w:noProof/>
              </w:rPr>
              <w:t>3.1 – Introduction</w:t>
            </w:r>
            <w:r>
              <w:rPr>
                <w:noProof/>
                <w:webHidden/>
              </w:rPr>
              <w:tab/>
            </w:r>
            <w:r>
              <w:rPr>
                <w:noProof/>
                <w:webHidden/>
              </w:rPr>
              <w:fldChar w:fldCharType="begin"/>
            </w:r>
            <w:r>
              <w:rPr>
                <w:noProof/>
                <w:webHidden/>
              </w:rPr>
              <w:instrText xml:space="preserve"> PAGEREF _Toc226479913 \h </w:instrText>
            </w:r>
            <w:r>
              <w:rPr>
                <w:noProof/>
                <w:webHidden/>
              </w:rPr>
            </w:r>
            <w:r>
              <w:rPr>
                <w:noProof/>
                <w:webHidden/>
              </w:rPr>
              <w:fldChar w:fldCharType="separate"/>
            </w:r>
            <w:r>
              <w:rPr>
                <w:noProof/>
                <w:webHidden/>
              </w:rPr>
              <w:t>20</w:t>
            </w:r>
            <w:r>
              <w:rPr>
                <w:noProof/>
                <w:webHidden/>
              </w:rPr>
              <w:fldChar w:fldCharType="end"/>
            </w:r>
          </w:hyperlink>
        </w:p>
        <w:p w14:paraId="18A12AC0" w14:textId="14545A0B" w:rsidR="00837B3A" w:rsidRDefault="00837B3A">
          <w:pPr>
            <w:pStyle w:val="TOC2"/>
            <w:tabs>
              <w:tab w:val="right" w:leader="dot" w:pos="9016"/>
            </w:tabs>
            <w:rPr>
              <w:noProof/>
              <w:kern w:val="2"/>
              <w:lang w:eastAsia="en-GB"/>
              <w14:ligatures w14:val="standardContextual"/>
            </w:rPr>
          </w:pPr>
          <w:hyperlink w:anchor="_Toc226479914" w:history="1">
            <w:r w:rsidRPr="005A272C">
              <w:rPr>
                <w:rStyle w:val="Hyperlink"/>
                <w:rFonts w:ascii="Arial" w:hAnsi="Arial" w:cs="Arial"/>
                <w:noProof/>
              </w:rPr>
              <w:t>3.2 –   Research Design and Strategy</w:t>
            </w:r>
            <w:r>
              <w:rPr>
                <w:noProof/>
                <w:webHidden/>
              </w:rPr>
              <w:tab/>
            </w:r>
            <w:r>
              <w:rPr>
                <w:noProof/>
                <w:webHidden/>
              </w:rPr>
              <w:fldChar w:fldCharType="begin"/>
            </w:r>
            <w:r>
              <w:rPr>
                <w:noProof/>
                <w:webHidden/>
              </w:rPr>
              <w:instrText xml:space="preserve"> PAGEREF _Toc226479914 \h </w:instrText>
            </w:r>
            <w:r>
              <w:rPr>
                <w:noProof/>
                <w:webHidden/>
              </w:rPr>
            </w:r>
            <w:r>
              <w:rPr>
                <w:noProof/>
                <w:webHidden/>
              </w:rPr>
              <w:fldChar w:fldCharType="separate"/>
            </w:r>
            <w:r>
              <w:rPr>
                <w:noProof/>
                <w:webHidden/>
              </w:rPr>
              <w:t>20</w:t>
            </w:r>
            <w:r>
              <w:rPr>
                <w:noProof/>
                <w:webHidden/>
              </w:rPr>
              <w:fldChar w:fldCharType="end"/>
            </w:r>
          </w:hyperlink>
        </w:p>
        <w:p w14:paraId="79F1C124" w14:textId="75F55312" w:rsidR="00837B3A" w:rsidRDefault="00837B3A">
          <w:pPr>
            <w:pStyle w:val="TOC2"/>
            <w:tabs>
              <w:tab w:val="right" w:leader="dot" w:pos="9016"/>
            </w:tabs>
            <w:rPr>
              <w:noProof/>
              <w:kern w:val="2"/>
              <w:lang w:eastAsia="en-GB"/>
              <w14:ligatures w14:val="standardContextual"/>
            </w:rPr>
          </w:pPr>
          <w:hyperlink w:anchor="_Toc226479915" w:history="1">
            <w:r w:rsidRPr="005A272C">
              <w:rPr>
                <w:rStyle w:val="Hyperlink"/>
                <w:rFonts w:ascii="Arial" w:eastAsia="Arial" w:hAnsi="Arial" w:cs="Arial"/>
                <w:noProof/>
              </w:rPr>
              <w:t>3.3– Search Strategy</w:t>
            </w:r>
            <w:r>
              <w:rPr>
                <w:noProof/>
                <w:webHidden/>
              </w:rPr>
              <w:tab/>
            </w:r>
            <w:r>
              <w:rPr>
                <w:noProof/>
                <w:webHidden/>
              </w:rPr>
              <w:fldChar w:fldCharType="begin"/>
            </w:r>
            <w:r>
              <w:rPr>
                <w:noProof/>
                <w:webHidden/>
              </w:rPr>
              <w:instrText xml:space="preserve"> PAGEREF _Toc226479915 \h </w:instrText>
            </w:r>
            <w:r>
              <w:rPr>
                <w:noProof/>
                <w:webHidden/>
              </w:rPr>
            </w:r>
            <w:r>
              <w:rPr>
                <w:noProof/>
                <w:webHidden/>
              </w:rPr>
              <w:fldChar w:fldCharType="separate"/>
            </w:r>
            <w:r>
              <w:rPr>
                <w:noProof/>
                <w:webHidden/>
              </w:rPr>
              <w:t>21</w:t>
            </w:r>
            <w:r>
              <w:rPr>
                <w:noProof/>
                <w:webHidden/>
              </w:rPr>
              <w:fldChar w:fldCharType="end"/>
            </w:r>
          </w:hyperlink>
        </w:p>
        <w:p w14:paraId="4A8B8786" w14:textId="6BE68570" w:rsidR="00837B3A" w:rsidRDefault="00837B3A">
          <w:pPr>
            <w:pStyle w:val="TOC2"/>
            <w:tabs>
              <w:tab w:val="right" w:leader="dot" w:pos="9016"/>
            </w:tabs>
            <w:rPr>
              <w:noProof/>
              <w:kern w:val="2"/>
              <w:lang w:eastAsia="en-GB"/>
              <w14:ligatures w14:val="standardContextual"/>
            </w:rPr>
          </w:pPr>
          <w:hyperlink w:anchor="_Toc226479916" w:history="1">
            <w:r w:rsidRPr="005A272C">
              <w:rPr>
                <w:rStyle w:val="Hyperlink"/>
                <w:rFonts w:ascii="Arial" w:eastAsia="Arial" w:hAnsi="Arial" w:cs="Arial"/>
                <w:noProof/>
              </w:rPr>
              <w:t>3.4– Data Sources and Selection Process</w:t>
            </w:r>
            <w:r>
              <w:rPr>
                <w:noProof/>
                <w:webHidden/>
              </w:rPr>
              <w:tab/>
            </w:r>
            <w:r>
              <w:rPr>
                <w:noProof/>
                <w:webHidden/>
              </w:rPr>
              <w:fldChar w:fldCharType="begin"/>
            </w:r>
            <w:r>
              <w:rPr>
                <w:noProof/>
                <w:webHidden/>
              </w:rPr>
              <w:instrText xml:space="preserve"> PAGEREF _Toc226479916 \h </w:instrText>
            </w:r>
            <w:r>
              <w:rPr>
                <w:noProof/>
                <w:webHidden/>
              </w:rPr>
            </w:r>
            <w:r>
              <w:rPr>
                <w:noProof/>
                <w:webHidden/>
              </w:rPr>
              <w:fldChar w:fldCharType="separate"/>
            </w:r>
            <w:r>
              <w:rPr>
                <w:noProof/>
                <w:webHidden/>
              </w:rPr>
              <w:t>22</w:t>
            </w:r>
            <w:r>
              <w:rPr>
                <w:noProof/>
                <w:webHidden/>
              </w:rPr>
              <w:fldChar w:fldCharType="end"/>
            </w:r>
          </w:hyperlink>
        </w:p>
        <w:p w14:paraId="65DB0CD9" w14:textId="03DD31C8" w:rsidR="00837B3A" w:rsidRDefault="00837B3A">
          <w:pPr>
            <w:pStyle w:val="TOC2"/>
            <w:tabs>
              <w:tab w:val="right" w:leader="dot" w:pos="9016"/>
            </w:tabs>
            <w:rPr>
              <w:noProof/>
              <w:kern w:val="2"/>
              <w:lang w:eastAsia="en-GB"/>
              <w14:ligatures w14:val="standardContextual"/>
            </w:rPr>
          </w:pPr>
          <w:hyperlink w:anchor="_Toc226479917" w:history="1">
            <w:r w:rsidRPr="005A272C">
              <w:rPr>
                <w:rStyle w:val="Hyperlink"/>
                <w:rFonts w:ascii="Arial" w:eastAsia="Arial" w:hAnsi="Arial" w:cs="Arial"/>
                <w:noProof/>
              </w:rPr>
              <w:t>3.5 Research Validation</w:t>
            </w:r>
            <w:r>
              <w:rPr>
                <w:noProof/>
                <w:webHidden/>
              </w:rPr>
              <w:tab/>
            </w:r>
            <w:r>
              <w:rPr>
                <w:noProof/>
                <w:webHidden/>
              </w:rPr>
              <w:fldChar w:fldCharType="begin"/>
            </w:r>
            <w:r>
              <w:rPr>
                <w:noProof/>
                <w:webHidden/>
              </w:rPr>
              <w:instrText xml:space="preserve"> PAGEREF _Toc226479917 \h </w:instrText>
            </w:r>
            <w:r>
              <w:rPr>
                <w:noProof/>
                <w:webHidden/>
              </w:rPr>
            </w:r>
            <w:r>
              <w:rPr>
                <w:noProof/>
                <w:webHidden/>
              </w:rPr>
              <w:fldChar w:fldCharType="separate"/>
            </w:r>
            <w:r>
              <w:rPr>
                <w:noProof/>
                <w:webHidden/>
              </w:rPr>
              <w:t>23</w:t>
            </w:r>
            <w:r>
              <w:rPr>
                <w:noProof/>
                <w:webHidden/>
              </w:rPr>
              <w:fldChar w:fldCharType="end"/>
            </w:r>
          </w:hyperlink>
        </w:p>
        <w:p w14:paraId="1F88D3A0" w14:textId="369660A2" w:rsidR="00837B3A" w:rsidRDefault="00837B3A">
          <w:pPr>
            <w:pStyle w:val="TOC2"/>
            <w:tabs>
              <w:tab w:val="right" w:leader="dot" w:pos="9016"/>
            </w:tabs>
            <w:rPr>
              <w:noProof/>
              <w:kern w:val="2"/>
              <w:lang w:eastAsia="en-GB"/>
              <w14:ligatures w14:val="standardContextual"/>
            </w:rPr>
          </w:pPr>
          <w:hyperlink w:anchor="_Toc226479918" w:history="1">
            <w:r w:rsidRPr="005A272C">
              <w:rPr>
                <w:rStyle w:val="Hyperlink"/>
                <w:rFonts w:ascii="Arial" w:eastAsia="Arial" w:hAnsi="Arial" w:cs="Arial"/>
                <w:noProof/>
              </w:rPr>
              <w:t>3.6 Inclusion and Exclusion Criteria</w:t>
            </w:r>
            <w:r>
              <w:rPr>
                <w:noProof/>
                <w:webHidden/>
              </w:rPr>
              <w:tab/>
            </w:r>
            <w:r>
              <w:rPr>
                <w:noProof/>
                <w:webHidden/>
              </w:rPr>
              <w:fldChar w:fldCharType="begin"/>
            </w:r>
            <w:r>
              <w:rPr>
                <w:noProof/>
                <w:webHidden/>
              </w:rPr>
              <w:instrText xml:space="preserve"> PAGEREF _Toc226479918 \h </w:instrText>
            </w:r>
            <w:r>
              <w:rPr>
                <w:noProof/>
                <w:webHidden/>
              </w:rPr>
            </w:r>
            <w:r>
              <w:rPr>
                <w:noProof/>
                <w:webHidden/>
              </w:rPr>
              <w:fldChar w:fldCharType="separate"/>
            </w:r>
            <w:r>
              <w:rPr>
                <w:noProof/>
                <w:webHidden/>
              </w:rPr>
              <w:t>23</w:t>
            </w:r>
            <w:r>
              <w:rPr>
                <w:noProof/>
                <w:webHidden/>
              </w:rPr>
              <w:fldChar w:fldCharType="end"/>
            </w:r>
          </w:hyperlink>
        </w:p>
        <w:p w14:paraId="5F2B5F17" w14:textId="79DCC8E9" w:rsidR="00837B3A" w:rsidRDefault="00837B3A">
          <w:pPr>
            <w:pStyle w:val="TOC2"/>
            <w:tabs>
              <w:tab w:val="right" w:leader="dot" w:pos="9016"/>
            </w:tabs>
            <w:rPr>
              <w:noProof/>
              <w:kern w:val="2"/>
              <w:lang w:eastAsia="en-GB"/>
              <w14:ligatures w14:val="standardContextual"/>
            </w:rPr>
          </w:pPr>
          <w:hyperlink w:anchor="_Toc226479919" w:history="1">
            <w:r w:rsidRPr="005A272C">
              <w:rPr>
                <w:rStyle w:val="Hyperlink"/>
                <w:rFonts w:ascii="Arial" w:eastAsia="Arial" w:hAnsi="Arial" w:cs="Arial"/>
                <w:noProof/>
              </w:rPr>
              <w:t>3.7 Data Analysis: Thematic Analysis</w:t>
            </w:r>
            <w:r>
              <w:rPr>
                <w:noProof/>
                <w:webHidden/>
              </w:rPr>
              <w:tab/>
            </w:r>
            <w:r>
              <w:rPr>
                <w:noProof/>
                <w:webHidden/>
              </w:rPr>
              <w:fldChar w:fldCharType="begin"/>
            </w:r>
            <w:r>
              <w:rPr>
                <w:noProof/>
                <w:webHidden/>
              </w:rPr>
              <w:instrText xml:space="preserve"> PAGEREF _Toc226479919 \h </w:instrText>
            </w:r>
            <w:r>
              <w:rPr>
                <w:noProof/>
                <w:webHidden/>
              </w:rPr>
            </w:r>
            <w:r>
              <w:rPr>
                <w:noProof/>
                <w:webHidden/>
              </w:rPr>
              <w:fldChar w:fldCharType="separate"/>
            </w:r>
            <w:r>
              <w:rPr>
                <w:noProof/>
                <w:webHidden/>
              </w:rPr>
              <w:t>24</w:t>
            </w:r>
            <w:r>
              <w:rPr>
                <w:noProof/>
                <w:webHidden/>
              </w:rPr>
              <w:fldChar w:fldCharType="end"/>
            </w:r>
          </w:hyperlink>
        </w:p>
        <w:p w14:paraId="1DEBD784" w14:textId="7EAB7CA4" w:rsidR="00837B3A" w:rsidRDefault="00837B3A">
          <w:pPr>
            <w:pStyle w:val="TOC2"/>
            <w:tabs>
              <w:tab w:val="right" w:leader="dot" w:pos="9016"/>
            </w:tabs>
            <w:rPr>
              <w:noProof/>
              <w:kern w:val="2"/>
              <w:lang w:eastAsia="en-GB"/>
              <w14:ligatures w14:val="standardContextual"/>
            </w:rPr>
          </w:pPr>
          <w:hyperlink w:anchor="_Toc226479920" w:history="1">
            <w:r w:rsidRPr="005A272C">
              <w:rPr>
                <w:rStyle w:val="Hyperlink"/>
                <w:rFonts w:ascii="Arial" w:eastAsia="Arial" w:hAnsi="Arial" w:cs="Arial"/>
                <w:noProof/>
              </w:rPr>
              <w:t>3.8 Ethical Considerations</w:t>
            </w:r>
            <w:r>
              <w:rPr>
                <w:noProof/>
                <w:webHidden/>
              </w:rPr>
              <w:tab/>
            </w:r>
            <w:r>
              <w:rPr>
                <w:noProof/>
                <w:webHidden/>
              </w:rPr>
              <w:fldChar w:fldCharType="begin"/>
            </w:r>
            <w:r>
              <w:rPr>
                <w:noProof/>
                <w:webHidden/>
              </w:rPr>
              <w:instrText xml:space="preserve"> PAGEREF _Toc226479920 \h </w:instrText>
            </w:r>
            <w:r>
              <w:rPr>
                <w:noProof/>
                <w:webHidden/>
              </w:rPr>
            </w:r>
            <w:r>
              <w:rPr>
                <w:noProof/>
                <w:webHidden/>
              </w:rPr>
              <w:fldChar w:fldCharType="separate"/>
            </w:r>
            <w:r>
              <w:rPr>
                <w:noProof/>
                <w:webHidden/>
              </w:rPr>
              <w:t>24</w:t>
            </w:r>
            <w:r>
              <w:rPr>
                <w:noProof/>
                <w:webHidden/>
              </w:rPr>
              <w:fldChar w:fldCharType="end"/>
            </w:r>
          </w:hyperlink>
        </w:p>
        <w:p w14:paraId="7BB7947A" w14:textId="1EF32C0F" w:rsidR="00837B3A" w:rsidRDefault="00837B3A">
          <w:pPr>
            <w:pStyle w:val="TOC2"/>
            <w:tabs>
              <w:tab w:val="right" w:leader="dot" w:pos="9016"/>
            </w:tabs>
            <w:rPr>
              <w:noProof/>
              <w:kern w:val="2"/>
              <w:lang w:eastAsia="en-GB"/>
              <w14:ligatures w14:val="standardContextual"/>
            </w:rPr>
          </w:pPr>
          <w:hyperlink w:anchor="_Toc226479921" w:history="1">
            <w:r w:rsidRPr="005A272C">
              <w:rPr>
                <w:rStyle w:val="Hyperlink"/>
                <w:rFonts w:ascii="Arial" w:hAnsi="Arial" w:cs="Arial"/>
                <w:noProof/>
              </w:rPr>
              <w:t>3.9 Chapter Conclusion</w:t>
            </w:r>
            <w:r>
              <w:rPr>
                <w:noProof/>
                <w:webHidden/>
              </w:rPr>
              <w:tab/>
            </w:r>
            <w:r>
              <w:rPr>
                <w:noProof/>
                <w:webHidden/>
              </w:rPr>
              <w:fldChar w:fldCharType="begin"/>
            </w:r>
            <w:r>
              <w:rPr>
                <w:noProof/>
                <w:webHidden/>
              </w:rPr>
              <w:instrText xml:space="preserve"> PAGEREF _Toc226479921 \h </w:instrText>
            </w:r>
            <w:r>
              <w:rPr>
                <w:noProof/>
                <w:webHidden/>
              </w:rPr>
            </w:r>
            <w:r>
              <w:rPr>
                <w:noProof/>
                <w:webHidden/>
              </w:rPr>
              <w:fldChar w:fldCharType="separate"/>
            </w:r>
            <w:r>
              <w:rPr>
                <w:noProof/>
                <w:webHidden/>
              </w:rPr>
              <w:t>24</w:t>
            </w:r>
            <w:r>
              <w:rPr>
                <w:noProof/>
                <w:webHidden/>
              </w:rPr>
              <w:fldChar w:fldCharType="end"/>
            </w:r>
          </w:hyperlink>
        </w:p>
        <w:p w14:paraId="4CC80EFF" w14:textId="50EDE084" w:rsidR="00837B3A" w:rsidRDefault="00837B3A">
          <w:pPr>
            <w:pStyle w:val="TOC1"/>
            <w:tabs>
              <w:tab w:val="right" w:leader="dot" w:pos="9016"/>
            </w:tabs>
            <w:rPr>
              <w:noProof/>
              <w:kern w:val="2"/>
              <w:lang w:eastAsia="en-GB"/>
              <w14:ligatures w14:val="standardContextual"/>
            </w:rPr>
          </w:pPr>
          <w:hyperlink w:anchor="_Toc226479922" w:history="1">
            <w:r w:rsidRPr="005A272C">
              <w:rPr>
                <w:rStyle w:val="Hyperlink"/>
                <w:rFonts w:ascii="Arial" w:eastAsia="Arial" w:hAnsi="Arial" w:cs="Arial"/>
                <w:noProof/>
              </w:rPr>
              <w:t>CHAPTER 4 – Findings and Discussion</w:t>
            </w:r>
            <w:r>
              <w:rPr>
                <w:noProof/>
                <w:webHidden/>
              </w:rPr>
              <w:tab/>
            </w:r>
            <w:r>
              <w:rPr>
                <w:noProof/>
                <w:webHidden/>
              </w:rPr>
              <w:fldChar w:fldCharType="begin"/>
            </w:r>
            <w:r>
              <w:rPr>
                <w:noProof/>
                <w:webHidden/>
              </w:rPr>
              <w:instrText xml:space="preserve"> PAGEREF _Toc226479922 \h </w:instrText>
            </w:r>
            <w:r>
              <w:rPr>
                <w:noProof/>
                <w:webHidden/>
              </w:rPr>
            </w:r>
            <w:r>
              <w:rPr>
                <w:noProof/>
                <w:webHidden/>
              </w:rPr>
              <w:fldChar w:fldCharType="separate"/>
            </w:r>
            <w:r>
              <w:rPr>
                <w:noProof/>
                <w:webHidden/>
              </w:rPr>
              <w:t>26</w:t>
            </w:r>
            <w:r>
              <w:rPr>
                <w:noProof/>
                <w:webHidden/>
              </w:rPr>
              <w:fldChar w:fldCharType="end"/>
            </w:r>
          </w:hyperlink>
        </w:p>
        <w:p w14:paraId="31F41E16" w14:textId="1AC52FBE" w:rsidR="00837B3A" w:rsidRDefault="00837B3A">
          <w:pPr>
            <w:pStyle w:val="TOC2"/>
            <w:tabs>
              <w:tab w:val="right" w:leader="dot" w:pos="9016"/>
            </w:tabs>
            <w:rPr>
              <w:noProof/>
              <w:kern w:val="2"/>
              <w:lang w:eastAsia="en-GB"/>
              <w14:ligatures w14:val="standardContextual"/>
            </w:rPr>
          </w:pPr>
          <w:hyperlink w:anchor="_Toc226479923" w:history="1">
            <w:r w:rsidRPr="005A272C">
              <w:rPr>
                <w:rStyle w:val="Hyperlink"/>
                <w:rFonts w:ascii="Arial" w:eastAsia="Arial" w:hAnsi="Arial" w:cs="Arial"/>
                <w:noProof/>
              </w:rPr>
              <w:t>4.1 – Introduction</w:t>
            </w:r>
            <w:r>
              <w:rPr>
                <w:noProof/>
                <w:webHidden/>
              </w:rPr>
              <w:tab/>
            </w:r>
            <w:r>
              <w:rPr>
                <w:noProof/>
                <w:webHidden/>
              </w:rPr>
              <w:fldChar w:fldCharType="begin"/>
            </w:r>
            <w:r>
              <w:rPr>
                <w:noProof/>
                <w:webHidden/>
              </w:rPr>
              <w:instrText xml:space="preserve"> PAGEREF _Toc226479923 \h </w:instrText>
            </w:r>
            <w:r>
              <w:rPr>
                <w:noProof/>
                <w:webHidden/>
              </w:rPr>
            </w:r>
            <w:r>
              <w:rPr>
                <w:noProof/>
                <w:webHidden/>
              </w:rPr>
              <w:fldChar w:fldCharType="separate"/>
            </w:r>
            <w:r>
              <w:rPr>
                <w:noProof/>
                <w:webHidden/>
              </w:rPr>
              <w:t>26</w:t>
            </w:r>
            <w:r>
              <w:rPr>
                <w:noProof/>
                <w:webHidden/>
              </w:rPr>
              <w:fldChar w:fldCharType="end"/>
            </w:r>
          </w:hyperlink>
        </w:p>
        <w:p w14:paraId="7D32F679" w14:textId="423B3F7A" w:rsidR="00837B3A" w:rsidRDefault="00837B3A">
          <w:pPr>
            <w:pStyle w:val="TOC2"/>
            <w:tabs>
              <w:tab w:val="right" w:leader="dot" w:pos="9016"/>
            </w:tabs>
            <w:rPr>
              <w:noProof/>
              <w:kern w:val="2"/>
              <w:lang w:eastAsia="en-GB"/>
              <w14:ligatures w14:val="standardContextual"/>
            </w:rPr>
          </w:pPr>
          <w:hyperlink w:anchor="_Toc226479924" w:history="1">
            <w:r w:rsidRPr="005A272C">
              <w:rPr>
                <w:rStyle w:val="Hyperlink"/>
                <w:rFonts w:ascii="Arial" w:eastAsia="Arial" w:hAnsi="Arial" w:cs="Arial"/>
                <w:noProof/>
              </w:rPr>
              <w:t>4.2 – Thematic Analysis</w:t>
            </w:r>
            <w:r>
              <w:rPr>
                <w:noProof/>
                <w:webHidden/>
              </w:rPr>
              <w:tab/>
            </w:r>
            <w:r>
              <w:rPr>
                <w:noProof/>
                <w:webHidden/>
              </w:rPr>
              <w:fldChar w:fldCharType="begin"/>
            </w:r>
            <w:r>
              <w:rPr>
                <w:noProof/>
                <w:webHidden/>
              </w:rPr>
              <w:instrText xml:space="preserve"> PAGEREF _Toc226479924 \h </w:instrText>
            </w:r>
            <w:r>
              <w:rPr>
                <w:noProof/>
                <w:webHidden/>
              </w:rPr>
            </w:r>
            <w:r>
              <w:rPr>
                <w:noProof/>
                <w:webHidden/>
              </w:rPr>
              <w:fldChar w:fldCharType="separate"/>
            </w:r>
            <w:r>
              <w:rPr>
                <w:noProof/>
                <w:webHidden/>
              </w:rPr>
              <w:t>26</w:t>
            </w:r>
            <w:r>
              <w:rPr>
                <w:noProof/>
                <w:webHidden/>
              </w:rPr>
              <w:fldChar w:fldCharType="end"/>
            </w:r>
          </w:hyperlink>
        </w:p>
        <w:p w14:paraId="272680E9" w14:textId="5569F110" w:rsidR="00837B3A" w:rsidRDefault="00837B3A">
          <w:pPr>
            <w:pStyle w:val="TOC2"/>
            <w:tabs>
              <w:tab w:val="right" w:leader="dot" w:pos="9016"/>
            </w:tabs>
            <w:rPr>
              <w:noProof/>
              <w:kern w:val="2"/>
              <w:lang w:eastAsia="en-GB"/>
              <w14:ligatures w14:val="standardContextual"/>
            </w:rPr>
          </w:pPr>
          <w:hyperlink w:anchor="_Toc226479925" w:history="1">
            <w:r w:rsidRPr="005A272C">
              <w:rPr>
                <w:rStyle w:val="Hyperlink"/>
                <w:rFonts w:ascii="Arial" w:eastAsia="Arial" w:hAnsi="Arial" w:cs="Arial"/>
                <w:noProof/>
              </w:rPr>
              <w:t>4.3 – Theme 1 The Role of Social Support in Managing Anxiety Disorders among Adolescents</w:t>
            </w:r>
            <w:r>
              <w:rPr>
                <w:noProof/>
                <w:webHidden/>
              </w:rPr>
              <w:tab/>
            </w:r>
            <w:r>
              <w:rPr>
                <w:noProof/>
                <w:webHidden/>
              </w:rPr>
              <w:fldChar w:fldCharType="begin"/>
            </w:r>
            <w:r>
              <w:rPr>
                <w:noProof/>
                <w:webHidden/>
              </w:rPr>
              <w:instrText xml:space="preserve"> PAGEREF _Toc226479925 \h </w:instrText>
            </w:r>
            <w:r>
              <w:rPr>
                <w:noProof/>
                <w:webHidden/>
              </w:rPr>
            </w:r>
            <w:r>
              <w:rPr>
                <w:noProof/>
                <w:webHidden/>
              </w:rPr>
              <w:fldChar w:fldCharType="separate"/>
            </w:r>
            <w:r>
              <w:rPr>
                <w:noProof/>
                <w:webHidden/>
              </w:rPr>
              <w:t>29</w:t>
            </w:r>
            <w:r>
              <w:rPr>
                <w:noProof/>
                <w:webHidden/>
              </w:rPr>
              <w:fldChar w:fldCharType="end"/>
            </w:r>
          </w:hyperlink>
        </w:p>
        <w:p w14:paraId="0B2C355A" w14:textId="4AD9E0AF" w:rsidR="00837B3A" w:rsidRDefault="00837B3A">
          <w:pPr>
            <w:pStyle w:val="TOC2"/>
            <w:tabs>
              <w:tab w:val="right" w:leader="dot" w:pos="9016"/>
            </w:tabs>
            <w:rPr>
              <w:noProof/>
              <w:kern w:val="2"/>
              <w:lang w:eastAsia="en-GB"/>
              <w14:ligatures w14:val="standardContextual"/>
            </w:rPr>
          </w:pPr>
          <w:hyperlink w:anchor="_Toc226479926" w:history="1">
            <w:r w:rsidRPr="005A272C">
              <w:rPr>
                <w:rStyle w:val="Hyperlink"/>
                <w:rFonts w:ascii="Arial" w:eastAsia="Arial" w:hAnsi="Arial" w:cs="Arial"/>
                <w:noProof/>
              </w:rPr>
              <w:t>4.4 – Theme 2 The Impact of Family Dynamics on Adolescent Anxiety Disorders</w:t>
            </w:r>
            <w:r>
              <w:rPr>
                <w:noProof/>
                <w:webHidden/>
              </w:rPr>
              <w:tab/>
            </w:r>
            <w:r>
              <w:rPr>
                <w:noProof/>
                <w:webHidden/>
              </w:rPr>
              <w:fldChar w:fldCharType="begin"/>
            </w:r>
            <w:r>
              <w:rPr>
                <w:noProof/>
                <w:webHidden/>
              </w:rPr>
              <w:instrText xml:space="preserve"> PAGEREF _Toc226479926 \h </w:instrText>
            </w:r>
            <w:r>
              <w:rPr>
                <w:noProof/>
                <w:webHidden/>
              </w:rPr>
            </w:r>
            <w:r>
              <w:rPr>
                <w:noProof/>
                <w:webHidden/>
              </w:rPr>
              <w:fldChar w:fldCharType="separate"/>
            </w:r>
            <w:r>
              <w:rPr>
                <w:noProof/>
                <w:webHidden/>
              </w:rPr>
              <w:t>32</w:t>
            </w:r>
            <w:r>
              <w:rPr>
                <w:noProof/>
                <w:webHidden/>
              </w:rPr>
              <w:fldChar w:fldCharType="end"/>
            </w:r>
          </w:hyperlink>
        </w:p>
        <w:p w14:paraId="3A0774D8" w14:textId="029D51B0" w:rsidR="00837B3A" w:rsidRDefault="00837B3A">
          <w:pPr>
            <w:pStyle w:val="TOC2"/>
            <w:tabs>
              <w:tab w:val="right" w:leader="dot" w:pos="9016"/>
            </w:tabs>
            <w:rPr>
              <w:noProof/>
              <w:kern w:val="2"/>
              <w:lang w:eastAsia="en-GB"/>
              <w14:ligatures w14:val="standardContextual"/>
            </w:rPr>
          </w:pPr>
          <w:hyperlink w:anchor="_Toc226479927" w:history="1">
            <w:r w:rsidRPr="005A272C">
              <w:rPr>
                <w:rStyle w:val="Hyperlink"/>
                <w:rFonts w:ascii="Arial" w:eastAsia="Arial" w:hAnsi="Arial" w:cs="Arial"/>
                <w:noProof/>
              </w:rPr>
              <w:t>4.5 – Theme 3 The Influence of Peer Relationship on Adolescent Anxiety Disorders</w:t>
            </w:r>
            <w:r>
              <w:rPr>
                <w:noProof/>
                <w:webHidden/>
              </w:rPr>
              <w:tab/>
            </w:r>
            <w:r>
              <w:rPr>
                <w:noProof/>
                <w:webHidden/>
              </w:rPr>
              <w:fldChar w:fldCharType="begin"/>
            </w:r>
            <w:r>
              <w:rPr>
                <w:noProof/>
                <w:webHidden/>
              </w:rPr>
              <w:instrText xml:space="preserve"> PAGEREF _Toc226479927 \h </w:instrText>
            </w:r>
            <w:r>
              <w:rPr>
                <w:noProof/>
                <w:webHidden/>
              </w:rPr>
            </w:r>
            <w:r>
              <w:rPr>
                <w:noProof/>
                <w:webHidden/>
              </w:rPr>
              <w:fldChar w:fldCharType="separate"/>
            </w:r>
            <w:r>
              <w:rPr>
                <w:noProof/>
                <w:webHidden/>
              </w:rPr>
              <w:t>35</w:t>
            </w:r>
            <w:r>
              <w:rPr>
                <w:noProof/>
                <w:webHidden/>
              </w:rPr>
              <w:fldChar w:fldCharType="end"/>
            </w:r>
          </w:hyperlink>
        </w:p>
        <w:p w14:paraId="4B1A5052" w14:textId="649AC964" w:rsidR="00837B3A" w:rsidRDefault="00837B3A">
          <w:pPr>
            <w:pStyle w:val="TOC2"/>
            <w:tabs>
              <w:tab w:val="right" w:leader="dot" w:pos="9016"/>
            </w:tabs>
            <w:rPr>
              <w:noProof/>
              <w:kern w:val="2"/>
              <w:lang w:eastAsia="en-GB"/>
              <w14:ligatures w14:val="standardContextual"/>
            </w:rPr>
          </w:pPr>
          <w:hyperlink w:anchor="_Toc226479928" w:history="1">
            <w:r w:rsidRPr="005A272C">
              <w:rPr>
                <w:rStyle w:val="Hyperlink"/>
                <w:rFonts w:ascii="Arial" w:eastAsia="Arial" w:hAnsi="Arial" w:cs="Arial"/>
                <w:noProof/>
              </w:rPr>
              <w:t>4.6 – Chapter Conclusion</w:t>
            </w:r>
            <w:r>
              <w:rPr>
                <w:noProof/>
                <w:webHidden/>
              </w:rPr>
              <w:tab/>
            </w:r>
            <w:r>
              <w:rPr>
                <w:noProof/>
                <w:webHidden/>
              </w:rPr>
              <w:fldChar w:fldCharType="begin"/>
            </w:r>
            <w:r>
              <w:rPr>
                <w:noProof/>
                <w:webHidden/>
              </w:rPr>
              <w:instrText xml:space="preserve"> PAGEREF _Toc226479928 \h </w:instrText>
            </w:r>
            <w:r>
              <w:rPr>
                <w:noProof/>
                <w:webHidden/>
              </w:rPr>
            </w:r>
            <w:r>
              <w:rPr>
                <w:noProof/>
                <w:webHidden/>
              </w:rPr>
              <w:fldChar w:fldCharType="separate"/>
            </w:r>
            <w:r>
              <w:rPr>
                <w:noProof/>
                <w:webHidden/>
              </w:rPr>
              <w:t>38</w:t>
            </w:r>
            <w:r>
              <w:rPr>
                <w:noProof/>
                <w:webHidden/>
              </w:rPr>
              <w:fldChar w:fldCharType="end"/>
            </w:r>
          </w:hyperlink>
        </w:p>
        <w:p w14:paraId="4B882910" w14:textId="520EA4B7" w:rsidR="00837B3A" w:rsidRDefault="00837B3A">
          <w:pPr>
            <w:pStyle w:val="TOC1"/>
            <w:tabs>
              <w:tab w:val="right" w:leader="dot" w:pos="9016"/>
            </w:tabs>
            <w:rPr>
              <w:noProof/>
              <w:kern w:val="2"/>
              <w:lang w:eastAsia="en-GB"/>
              <w14:ligatures w14:val="standardContextual"/>
            </w:rPr>
          </w:pPr>
          <w:hyperlink w:anchor="_Toc226479929" w:history="1">
            <w:r w:rsidRPr="005A272C">
              <w:rPr>
                <w:rStyle w:val="Hyperlink"/>
                <w:rFonts w:ascii="Arial" w:eastAsia="Arial" w:hAnsi="Arial" w:cs="Arial"/>
                <w:noProof/>
              </w:rPr>
              <w:t>Chapter 5 – Conclusion and Recommendations</w:t>
            </w:r>
            <w:r>
              <w:rPr>
                <w:noProof/>
                <w:webHidden/>
              </w:rPr>
              <w:tab/>
            </w:r>
            <w:r>
              <w:rPr>
                <w:noProof/>
                <w:webHidden/>
              </w:rPr>
              <w:fldChar w:fldCharType="begin"/>
            </w:r>
            <w:r>
              <w:rPr>
                <w:noProof/>
                <w:webHidden/>
              </w:rPr>
              <w:instrText xml:space="preserve"> PAGEREF _Toc226479929 \h </w:instrText>
            </w:r>
            <w:r>
              <w:rPr>
                <w:noProof/>
                <w:webHidden/>
              </w:rPr>
            </w:r>
            <w:r>
              <w:rPr>
                <w:noProof/>
                <w:webHidden/>
              </w:rPr>
              <w:fldChar w:fldCharType="separate"/>
            </w:r>
            <w:r>
              <w:rPr>
                <w:noProof/>
                <w:webHidden/>
              </w:rPr>
              <w:t>40</w:t>
            </w:r>
            <w:r>
              <w:rPr>
                <w:noProof/>
                <w:webHidden/>
              </w:rPr>
              <w:fldChar w:fldCharType="end"/>
            </w:r>
          </w:hyperlink>
        </w:p>
        <w:p w14:paraId="419C2B65" w14:textId="0A0500BC" w:rsidR="00837B3A" w:rsidRDefault="00837B3A">
          <w:pPr>
            <w:pStyle w:val="TOC2"/>
            <w:tabs>
              <w:tab w:val="right" w:leader="dot" w:pos="9016"/>
            </w:tabs>
            <w:rPr>
              <w:noProof/>
              <w:kern w:val="2"/>
              <w:lang w:eastAsia="en-GB"/>
              <w14:ligatures w14:val="standardContextual"/>
            </w:rPr>
          </w:pPr>
          <w:hyperlink w:anchor="_Toc226479930" w:history="1">
            <w:r w:rsidRPr="005A272C">
              <w:rPr>
                <w:rStyle w:val="Hyperlink"/>
                <w:rFonts w:ascii="Arial" w:hAnsi="Arial" w:cs="Arial"/>
                <w:noProof/>
              </w:rPr>
              <w:t>5.1 – Overall Conclusion</w:t>
            </w:r>
            <w:r>
              <w:rPr>
                <w:noProof/>
                <w:webHidden/>
              </w:rPr>
              <w:tab/>
            </w:r>
            <w:r>
              <w:rPr>
                <w:noProof/>
                <w:webHidden/>
              </w:rPr>
              <w:fldChar w:fldCharType="begin"/>
            </w:r>
            <w:r>
              <w:rPr>
                <w:noProof/>
                <w:webHidden/>
              </w:rPr>
              <w:instrText xml:space="preserve"> PAGEREF _Toc226479930 \h </w:instrText>
            </w:r>
            <w:r>
              <w:rPr>
                <w:noProof/>
                <w:webHidden/>
              </w:rPr>
            </w:r>
            <w:r>
              <w:rPr>
                <w:noProof/>
                <w:webHidden/>
              </w:rPr>
              <w:fldChar w:fldCharType="separate"/>
            </w:r>
            <w:r>
              <w:rPr>
                <w:noProof/>
                <w:webHidden/>
              </w:rPr>
              <w:t>40</w:t>
            </w:r>
            <w:r>
              <w:rPr>
                <w:noProof/>
                <w:webHidden/>
              </w:rPr>
              <w:fldChar w:fldCharType="end"/>
            </w:r>
          </w:hyperlink>
        </w:p>
        <w:p w14:paraId="1F39A0B4" w14:textId="1901E0FE" w:rsidR="00837B3A" w:rsidRDefault="00837B3A">
          <w:pPr>
            <w:pStyle w:val="TOC2"/>
            <w:tabs>
              <w:tab w:val="right" w:leader="dot" w:pos="9016"/>
            </w:tabs>
            <w:rPr>
              <w:noProof/>
              <w:kern w:val="2"/>
              <w:lang w:eastAsia="en-GB"/>
              <w14:ligatures w14:val="standardContextual"/>
            </w:rPr>
          </w:pPr>
          <w:hyperlink w:anchor="_Toc226479931" w:history="1">
            <w:r w:rsidRPr="005A272C">
              <w:rPr>
                <w:rStyle w:val="Hyperlink"/>
                <w:rFonts w:ascii="Arial" w:hAnsi="Arial" w:cs="Arial"/>
                <w:noProof/>
              </w:rPr>
              <w:t>5.2 – Limitations of the Study</w:t>
            </w:r>
            <w:r>
              <w:rPr>
                <w:noProof/>
                <w:webHidden/>
              </w:rPr>
              <w:tab/>
            </w:r>
            <w:r>
              <w:rPr>
                <w:noProof/>
                <w:webHidden/>
              </w:rPr>
              <w:fldChar w:fldCharType="begin"/>
            </w:r>
            <w:r>
              <w:rPr>
                <w:noProof/>
                <w:webHidden/>
              </w:rPr>
              <w:instrText xml:space="preserve"> PAGEREF _Toc226479931 \h </w:instrText>
            </w:r>
            <w:r>
              <w:rPr>
                <w:noProof/>
                <w:webHidden/>
              </w:rPr>
            </w:r>
            <w:r>
              <w:rPr>
                <w:noProof/>
                <w:webHidden/>
              </w:rPr>
              <w:fldChar w:fldCharType="separate"/>
            </w:r>
            <w:r>
              <w:rPr>
                <w:noProof/>
                <w:webHidden/>
              </w:rPr>
              <w:t>40</w:t>
            </w:r>
            <w:r>
              <w:rPr>
                <w:noProof/>
                <w:webHidden/>
              </w:rPr>
              <w:fldChar w:fldCharType="end"/>
            </w:r>
          </w:hyperlink>
        </w:p>
        <w:p w14:paraId="00D6D929" w14:textId="2C3139BB" w:rsidR="00837B3A" w:rsidRDefault="00837B3A">
          <w:pPr>
            <w:pStyle w:val="TOC2"/>
            <w:tabs>
              <w:tab w:val="right" w:leader="dot" w:pos="9016"/>
            </w:tabs>
            <w:rPr>
              <w:noProof/>
              <w:kern w:val="2"/>
              <w:lang w:eastAsia="en-GB"/>
              <w14:ligatures w14:val="standardContextual"/>
            </w:rPr>
          </w:pPr>
          <w:hyperlink w:anchor="_Toc226479932" w:history="1">
            <w:r w:rsidRPr="005A272C">
              <w:rPr>
                <w:rStyle w:val="Hyperlink"/>
                <w:rFonts w:ascii="Arial" w:hAnsi="Arial" w:cs="Arial"/>
                <w:noProof/>
              </w:rPr>
              <w:t>5.3 – Recommendations</w:t>
            </w:r>
            <w:r>
              <w:rPr>
                <w:noProof/>
                <w:webHidden/>
              </w:rPr>
              <w:tab/>
            </w:r>
            <w:r>
              <w:rPr>
                <w:noProof/>
                <w:webHidden/>
              </w:rPr>
              <w:fldChar w:fldCharType="begin"/>
            </w:r>
            <w:r>
              <w:rPr>
                <w:noProof/>
                <w:webHidden/>
              </w:rPr>
              <w:instrText xml:space="preserve"> PAGEREF _Toc226479932 \h </w:instrText>
            </w:r>
            <w:r>
              <w:rPr>
                <w:noProof/>
                <w:webHidden/>
              </w:rPr>
            </w:r>
            <w:r>
              <w:rPr>
                <w:noProof/>
                <w:webHidden/>
              </w:rPr>
              <w:fldChar w:fldCharType="separate"/>
            </w:r>
            <w:r>
              <w:rPr>
                <w:noProof/>
                <w:webHidden/>
              </w:rPr>
              <w:t>41</w:t>
            </w:r>
            <w:r>
              <w:rPr>
                <w:noProof/>
                <w:webHidden/>
              </w:rPr>
              <w:fldChar w:fldCharType="end"/>
            </w:r>
          </w:hyperlink>
        </w:p>
        <w:p w14:paraId="4D559D1C" w14:textId="19B8CE89" w:rsidR="00837B3A" w:rsidRDefault="00837B3A">
          <w:pPr>
            <w:pStyle w:val="TOC3"/>
            <w:tabs>
              <w:tab w:val="right" w:leader="dot" w:pos="9016"/>
            </w:tabs>
            <w:rPr>
              <w:noProof/>
              <w:kern w:val="2"/>
              <w:lang w:eastAsia="en-GB"/>
              <w14:ligatures w14:val="standardContextual"/>
            </w:rPr>
          </w:pPr>
          <w:hyperlink w:anchor="_Toc226479933" w:history="1">
            <w:r w:rsidRPr="005A272C">
              <w:rPr>
                <w:rStyle w:val="Hyperlink"/>
                <w:rFonts w:ascii="Arial" w:hAnsi="Arial" w:cs="Arial"/>
                <w:noProof/>
              </w:rPr>
              <w:t>5.3.1 –</w:t>
            </w:r>
            <w:r w:rsidRPr="005A272C">
              <w:rPr>
                <w:rStyle w:val="Hyperlink"/>
                <w:rFonts w:ascii="Arial" w:hAnsi="Arial" w:cs="Arial"/>
                <w:b/>
                <w:bCs/>
                <w:noProof/>
              </w:rPr>
              <w:t xml:space="preserve"> </w:t>
            </w:r>
            <w:r w:rsidRPr="005A272C">
              <w:rPr>
                <w:rStyle w:val="Hyperlink"/>
                <w:rFonts w:ascii="Arial" w:hAnsi="Arial" w:cs="Arial"/>
                <w:noProof/>
              </w:rPr>
              <w:t>Recommendation 1: Implement Peer Support Programs in Schools</w:t>
            </w:r>
            <w:r>
              <w:rPr>
                <w:noProof/>
                <w:webHidden/>
              </w:rPr>
              <w:tab/>
            </w:r>
            <w:r>
              <w:rPr>
                <w:noProof/>
                <w:webHidden/>
              </w:rPr>
              <w:fldChar w:fldCharType="begin"/>
            </w:r>
            <w:r>
              <w:rPr>
                <w:noProof/>
                <w:webHidden/>
              </w:rPr>
              <w:instrText xml:space="preserve"> PAGEREF _Toc226479933 \h </w:instrText>
            </w:r>
            <w:r>
              <w:rPr>
                <w:noProof/>
                <w:webHidden/>
              </w:rPr>
            </w:r>
            <w:r>
              <w:rPr>
                <w:noProof/>
                <w:webHidden/>
              </w:rPr>
              <w:fldChar w:fldCharType="separate"/>
            </w:r>
            <w:r>
              <w:rPr>
                <w:noProof/>
                <w:webHidden/>
              </w:rPr>
              <w:t>41</w:t>
            </w:r>
            <w:r>
              <w:rPr>
                <w:noProof/>
                <w:webHidden/>
              </w:rPr>
              <w:fldChar w:fldCharType="end"/>
            </w:r>
          </w:hyperlink>
        </w:p>
        <w:p w14:paraId="6879233F" w14:textId="3D533EEF" w:rsidR="00837B3A" w:rsidRDefault="00837B3A">
          <w:pPr>
            <w:pStyle w:val="TOC3"/>
            <w:tabs>
              <w:tab w:val="right" w:leader="dot" w:pos="9016"/>
            </w:tabs>
            <w:rPr>
              <w:noProof/>
              <w:kern w:val="2"/>
              <w:lang w:eastAsia="en-GB"/>
              <w14:ligatures w14:val="standardContextual"/>
            </w:rPr>
          </w:pPr>
          <w:hyperlink w:anchor="_Toc226479934" w:history="1">
            <w:r w:rsidRPr="005A272C">
              <w:rPr>
                <w:rStyle w:val="Hyperlink"/>
                <w:rFonts w:ascii="Arial" w:hAnsi="Arial" w:cs="Arial"/>
                <w:noProof/>
              </w:rPr>
              <w:t>5.3.2 – Recommendation 2 Enhance Family Engagement in Mental Health Interventions</w:t>
            </w:r>
            <w:r>
              <w:rPr>
                <w:noProof/>
                <w:webHidden/>
              </w:rPr>
              <w:tab/>
            </w:r>
            <w:r>
              <w:rPr>
                <w:noProof/>
                <w:webHidden/>
              </w:rPr>
              <w:fldChar w:fldCharType="begin"/>
            </w:r>
            <w:r>
              <w:rPr>
                <w:noProof/>
                <w:webHidden/>
              </w:rPr>
              <w:instrText xml:space="preserve"> PAGEREF _Toc226479934 \h </w:instrText>
            </w:r>
            <w:r>
              <w:rPr>
                <w:noProof/>
                <w:webHidden/>
              </w:rPr>
            </w:r>
            <w:r>
              <w:rPr>
                <w:noProof/>
                <w:webHidden/>
              </w:rPr>
              <w:fldChar w:fldCharType="separate"/>
            </w:r>
            <w:r>
              <w:rPr>
                <w:noProof/>
                <w:webHidden/>
              </w:rPr>
              <w:t>41</w:t>
            </w:r>
            <w:r>
              <w:rPr>
                <w:noProof/>
                <w:webHidden/>
              </w:rPr>
              <w:fldChar w:fldCharType="end"/>
            </w:r>
          </w:hyperlink>
        </w:p>
        <w:p w14:paraId="0A4A18A8" w14:textId="0FE19613" w:rsidR="00837B3A" w:rsidRDefault="00837B3A">
          <w:pPr>
            <w:pStyle w:val="TOC3"/>
            <w:tabs>
              <w:tab w:val="right" w:leader="dot" w:pos="9016"/>
            </w:tabs>
            <w:rPr>
              <w:noProof/>
              <w:kern w:val="2"/>
              <w:lang w:eastAsia="en-GB"/>
              <w14:ligatures w14:val="standardContextual"/>
            </w:rPr>
          </w:pPr>
          <w:hyperlink w:anchor="_Toc226479935" w:history="1">
            <w:r w:rsidRPr="005A272C">
              <w:rPr>
                <w:rStyle w:val="Hyperlink"/>
                <w:rFonts w:ascii="Arial" w:hAnsi="Arial" w:cs="Arial"/>
                <w:noProof/>
              </w:rPr>
              <w:t>5.3.3 – Recommendation 3 Promote Community-Based Mental Health Initiatives</w:t>
            </w:r>
            <w:r>
              <w:rPr>
                <w:noProof/>
                <w:webHidden/>
              </w:rPr>
              <w:tab/>
            </w:r>
            <w:r>
              <w:rPr>
                <w:noProof/>
                <w:webHidden/>
              </w:rPr>
              <w:fldChar w:fldCharType="begin"/>
            </w:r>
            <w:r>
              <w:rPr>
                <w:noProof/>
                <w:webHidden/>
              </w:rPr>
              <w:instrText xml:space="preserve"> PAGEREF _Toc226479935 \h </w:instrText>
            </w:r>
            <w:r>
              <w:rPr>
                <w:noProof/>
                <w:webHidden/>
              </w:rPr>
            </w:r>
            <w:r>
              <w:rPr>
                <w:noProof/>
                <w:webHidden/>
              </w:rPr>
              <w:fldChar w:fldCharType="separate"/>
            </w:r>
            <w:r>
              <w:rPr>
                <w:noProof/>
                <w:webHidden/>
              </w:rPr>
              <w:t>41</w:t>
            </w:r>
            <w:r>
              <w:rPr>
                <w:noProof/>
                <w:webHidden/>
              </w:rPr>
              <w:fldChar w:fldCharType="end"/>
            </w:r>
          </w:hyperlink>
        </w:p>
        <w:p w14:paraId="57A0A6AB" w14:textId="2D127527" w:rsidR="00837B3A" w:rsidRDefault="00837B3A">
          <w:pPr>
            <w:pStyle w:val="TOC2"/>
            <w:tabs>
              <w:tab w:val="right" w:leader="dot" w:pos="9016"/>
            </w:tabs>
            <w:rPr>
              <w:noProof/>
              <w:kern w:val="2"/>
              <w:lang w:eastAsia="en-GB"/>
              <w14:ligatures w14:val="standardContextual"/>
            </w:rPr>
          </w:pPr>
          <w:hyperlink w:anchor="_Toc226479936" w:history="1">
            <w:r w:rsidRPr="005A272C">
              <w:rPr>
                <w:rStyle w:val="Hyperlink"/>
                <w:rFonts w:ascii="Arial" w:hAnsi="Arial" w:cs="Arial"/>
                <w:noProof/>
              </w:rPr>
              <w:t>5.4 – Future Research</w:t>
            </w:r>
            <w:r>
              <w:rPr>
                <w:noProof/>
                <w:webHidden/>
              </w:rPr>
              <w:tab/>
            </w:r>
            <w:r>
              <w:rPr>
                <w:noProof/>
                <w:webHidden/>
              </w:rPr>
              <w:fldChar w:fldCharType="begin"/>
            </w:r>
            <w:r>
              <w:rPr>
                <w:noProof/>
                <w:webHidden/>
              </w:rPr>
              <w:instrText xml:space="preserve"> PAGEREF _Toc226479936 \h </w:instrText>
            </w:r>
            <w:r>
              <w:rPr>
                <w:noProof/>
                <w:webHidden/>
              </w:rPr>
            </w:r>
            <w:r>
              <w:rPr>
                <w:noProof/>
                <w:webHidden/>
              </w:rPr>
              <w:fldChar w:fldCharType="separate"/>
            </w:r>
            <w:r>
              <w:rPr>
                <w:noProof/>
                <w:webHidden/>
              </w:rPr>
              <w:t>42</w:t>
            </w:r>
            <w:r>
              <w:rPr>
                <w:noProof/>
                <w:webHidden/>
              </w:rPr>
              <w:fldChar w:fldCharType="end"/>
            </w:r>
          </w:hyperlink>
        </w:p>
        <w:p w14:paraId="4926CC75" w14:textId="038203AA" w:rsidR="00837B3A" w:rsidRDefault="00837B3A">
          <w:pPr>
            <w:pStyle w:val="TOC1"/>
            <w:tabs>
              <w:tab w:val="right" w:leader="dot" w:pos="9016"/>
            </w:tabs>
            <w:rPr>
              <w:noProof/>
              <w:kern w:val="2"/>
              <w:lang w:eastAsia="en-GB"/>
              <w14:ligatures w14:val="standardContextual"/>
            </w:rPr>
          </w:pPr>
          <w:hyperlink w:anchor="_Toc226479937" w:history="1">
            <w:r w:rsidRPr="005A272C">
              <w:rPr>
                <w:rStyle w:val="Hyperlink"/>
                <w:rFonts w:ascii="Arial" w:eastAsia="Arial" w:hAnsi="Arial" w:cs="Arial"/>
                <w:noProof/>
              </w:rPr>
              <w:t>CHAPTER 6 – References and Appendices</w:t>
            </w:r>
            <w:r>
              <w:rPr>
                <w:noProof/>
                <w:webHidden/>
              </w:rPr>
              <w:tab/>
            </w:r>
            <w:r>
              <w:rPr>
                <w:noProof/>
                <w:webHidden/>
              </w:rPr>
              <w:fldChar w:fldCharType="begin"/>
            </w:r>
            <w:r>
              <w:rPr>
                <w:noProof/>
                <w:webHidden/>
              </w:rPr>
              <w:instrText xml:space="preserve"> PAGEREF _Toc226479937 \h </w:instrText>
            </w:r>
            <w:r>
              <w:rPr>
                <w:noProof/>
                <w:webHidden/>
              </w:rPr>
            </w:r>
            <w:r>
              <w:rPr>
                <w:noProof/>
                <w:webHidden/>
              </w:rPr>
              <w:fldChar w:fldCharType="separate"/>
            </w:r>
            <w:r>
              <w:rPr>
                <w:noProof/>
                <w:webHidden/>
              </w:rPr>
              <w:t>43</w:t>
            </w:r>
            <w:r>
              <w:rPr>
                <w:noProof/>
                <w:webHidden/>
              </w:rPr>
              <w:fldChar w:fldCharType="end"/>
            </w:r>
          </w:hyperlink>
        </w:p>
        <w:p w14:paraId="707E7247" w14:textId="1DA57B32" w:rsidR="00837B3A" w:rsidRDefault="00837B3A">
          <w:pPr>
            <w:pStyle w:val="TOC2"/>
            <w:tabs>
              <w:tab w:val="right" w:leader="dot" w:pos="9016"/>
            </w:tabs>
            <w:rPr>
              <w:noProof/>
              <w:kern w:val="2"/>
              <w:lang w:eastAsia="en-GB"/>
              <w14:ligatures w14:val="standardContextual"/>
            </w:rPr>
          </w:pPr>
          <w:hyperlink w:anchor="_Toc226479938" w:history="1">
            <w:r w:rsidRPr="005A272C">
              <w:rPr>
                <w:rStyle w:val="Hyperlink"/>
                <w:rFonts w:ascii="Arial" w:eastAsia="Arial" w:hAnsi="Arial" w:cs="Arial"/>
                <w:noProof/>
              </w:rPr>
              <w:t>6.1 – References</w:t>
            </w:r>
            <w:r>
              <w:rPr>
                <w:noProof/>
                <w:webHidden/>
              </w:rPr>
              <w:tab/>
            </w:r>
            <w:r>
              <w:rPr>
                <w:noProof/>
                <w:webHidden/>
              </w:rPr>
              <w:fldChar w:fldCharType="begin"/>
            </w:r>
            <w:r>
              <w:rPr>
                <w:noProof/>
                <w:webHidden/>
              </w:rPr>
              <w:instrText xml:space="preserve"> PAGEREF _Toc226479938 \h </w:instrText>
            </w:r>
            <w:r>
              <w:rPr>
                <w:noProof/>
                <w:webHidden/>
              </w:rPr>
            </w:r>
            <w:r>
              <w:rPr>
                <w:noProof/>
                <w:webHidden/>
              </w:rPr>
              <w:fldChar w:fldCharType="separate"/>
            </w:r>
            <w:r>
              <w:rPr>
                <w:noProof/>
                <w:webHidden/>
              </w:rPr>
              <w:t>43</w:t>
            </w:r>
            <w:r>
              <w:rPr>
                <w:noProof/>
                <w:webHidden/>
              </w:rPr>
              <w:fldChar w:fldCharType="end"/>
            </w:r>
          </w:hyperlink>
        </w:p>
        <w:p w14:paraId="3DF2FC76" w14:textId="29247DC0" w:rsidR="00837B3A" w:rsidRDefault="00837B3A">
          <w:pPr>
            <w:pStyle w:val="TOC2"/>
            <w:tabs>
              <w:tab w:val="right" w:leader="dot" w:pos="9016"/>
            </w:tabs>
            <w:rPr>
              <w:noProof/>
              <w:kern w:val="2"/>
              <w:lang w:eastAsia="en-GB"/>
              <w14:ligatures w14:val="standardContextual"/>
            </w:rPr>
          </w:pPr>
          <w:hyperlink w:anchor="_Toc226479939" w:history="1">
            <w:r w:rsidRPr="005A272C">
              <w:rPr>
                <w:rStyle w:val="Hyperlink"/>
                <w:rFonts w:ascii="Arial" w:eastAsia="Arial" w:hAnsi="Arial" w:cs="Arial"/>
                <w:noProof/>
              </w:rPr>
              <w:t>6.2 – Appendices</w:t>
            </w:r>
            <w:r>
              <w:rPr>
                <w:noProof/>
                <w:webHidden/>
              </w:rPr>
              <w:tab/>
            </w:r>
            <w:r>
              <w:rPr>
                <w:noProof/>
                <w:webHidden/>
              </w:rPr>
              <w:fldChar w:fldCharType="begin"/>
            </w:r>
            <w:r>
              <w:rPr>
                <w:noProof/>
                <w:webHidden/>
              </w:rPr>
              <w:instrText xml:space="preserve"> PAGEREF _Toc226479939 \h </w:instrText>
            </w:r>
            <w:r>
              <w:rPr>
                <w:noProof/>
                <w:webHidden/>
              </w:rPr>
            </w:r>
            <w:r>
              <w:rPr>
                <w:noProof/>
                <w:webHidden/>
              </w:rPr>
              <w:fldChar w:fldCharType="separate"/>
            </w:r>
            <w:r>
              <w:rPr>
                <w:noProof/>
                <w:webHidden/>
              </w:rPr>
              <w:t>53</w:t>
            </w:r>
            <w:r>
              <w:rPr>
                <w:noProof/>
                <w:webHidden/>
              </w:rPr>
              <w:fldChar w:fldCharType="end"/>
            </w:r>
          </w:hyperlink>
        </w:p>
        <w:p w14:paraId="7FAD457C" w14:textId="2DCC1FA6" w:rsidR="00C334D2" w:rsidRPr="00A252BE" w:rsidRDefault="00C334D2" w:rsidP="00E0191D">
          <w:pPr>
            <w:pStyle w:val="TOC1"/>
            <w:tabs>
              <w:tab w:val="right" w:leader="dot" w:pos="9015"/>
            </w:tabs>
            <w:jc w:val="both"/>
            <w:rPr>
              <w:rStyle w:val="Hyperlink"/>
              <w:rFonts w:ascii="Arial" w:hAnsi="Arial" w:cs="Arial"/>
              <w:color w:val="auto"/>
              <w:kern w:val="2"/>
              <w:lang w:eastAsia="en-GB"/>
              <w14:ligatures w14:val="standardContextual"/>
            </w:rPr>
          </w:pPr>
          <w:r w:rsidRPr="00A252BE">
            <w:rPr>
              <w:rFonts w:ascii="Arial" w:hAnsi="Arial" w:cs="Arial"/>
            </w:rPr>
            <w:fldChar w:fldCharType="end"/>
          </w:r>
        </w:p>
      </w:sdtContent>
    </w:sdt>
    <w:p w14:paraId="79E526B0" w14:textId="6EC642F5" w:rsidR="00592D2B" w:rsidRPr="00A252BE" w:rsidRDefault="00592D2B" w:rsidP="00E0191D">
      <w:pPr>
        <w:jc w:val="both"/>
        <w:rPr>
          <w:rFonts w:ascii="Arial" w:hAnsi="Arial" w:cs="Arial"/>
        </w:rPr>
      </w:pPr>
    </w:p>
    <w:p w14:paraId="21B3B4F1" w14:textId="77777777" w:rsidR="00332650" w:rsidRPr="00A252BE" w:rsidRDefault="00332650" w:rsidP="00E0191D">
      <w:pPr>
        <w:jc w:val="both"/>
        <w:rPr>
          <w:rFonts w:ascii="Arial" w:hAnsi="Arial" w:cs="Arial"/>
          <w:sz w:val="32"/>
          <w:szCs w:val="32"/>
        </w:rPr>
      </w:pPr>
    </w:p>
    <w:p w14:paraId="4CA82B8A" w14:textId="77777777" w:rsidR="00FC03B9" w:rsidRPr="00A252BE" w:rsidRDefault="00FC03B9" w:rsidP="00E0191D">
      <w:pPr>
        <w:jc w:val="both"/>
        <w:rPr>
          <w:rFonts w:ascii="Arial" w:hAnsi="Arial" w:cs="Arial"/>
          <w:sz w:val="32"/>
          <w:szCs w:val="32"/>
        </w:rPr>
      </w:pPr>
    </w:p>
    <w:p w14:paraId="5BB78133" w14:textId="77777777" w:rsidR="00FC03B9" w:rsidRPr="00A252BE" w:rsidRDefault="00FC03B9" w:rsidP="00E0191D">
      <w:pPr>
        <w:jc w:val="both"/>
        <w:rPr>
          <w:rFonts w:ascii="Arial" w:hAnsi="Arial" w:cs="Arial"/>
          <w:sz w:val="32"/>
          <w:szCs w:val="32"/>
        </w:rPr>
      </w:pPr>
    </w:p>
    <w:p w14:paraId="3621C581" w14:textId="77777777" w:rsidR="00FC03B9" w:rsidRPr="00A252BE" w:rsidRDefault="00FC03B9" w:rsidP="00E0191D">
      <w:pPr>
        <w:jc w:val="both"/>
        <w:rPr>
          <w:rFonts w:ascii="Arial" w:hAnsi="Arial" w:cs="Arial"/>
          <w:sz w:val="32"/>
          <w:szCs w:val="32"/>
        </w:rPr>
      </w:pPr>
    </w:p>
    <w:p w14:paraId="44F61C31" w14:textId="77777777" w:rsidR="00FC03B9" w:rsidRPr="00A252BE" w:rsidRDefault="00FC03B9" w:rsidP="00E0191D">
      <w:pPr>
        <w:jc w:val="both"/>
        <w:rPr>
          <w:rFonts w:ascii="Arial" w:hAnsi="Arial" w:cs="Arial"/>
          <w:sz w:val="32"/>
          <w:szCs w:val="32"/>
        </w:rPr>
      </w:pPr>
    </w:p>
    <w:p w14:paraId="7ECEDF3E" w14:textId="77777777" w:rsidR="00FC03B9" w:rsidRPr="00A252BE" w:rsidRDefault="00FC03B9" w:rsidP="00E0191D">
      <w:pPr>
        <w:jc w:val="both"/>
        <w:rPr>
          <w:rFonts w:ascii="Arial" w:hAnsi="Arial" w:cs="Arial"/>
          <w:sz w:val="32"/>
          <w:szCs w:val="32"/>
        </w:rPr>
      </w:pPr>
    </w:p>
    <w:p w14:paraId="7C95A69D" w14:textId="77777777" w:rsidR="00FC03B9" w:rsidRPr="00A252BE" w:rsidRDefault="00FC03B9" w:rsidP="00E0191D">
      <w:pPr>
        <w:jc w:val="both"/>
        <w:rPr>
          <w:rFonts w:ascii="Arial" w:hAnsi="Arial" w:cs="Arial"/>
          <w:sz w:val="32"/>
          <w:szCs w:val="32"/>
        </w:rPr>
      </w:pPr>
    </w:p>
    <w:p w14:paraId="364D6CBC" w14:textId="77777777" w:rsidR="00FC03B9" w:rsidRPr="00A252BE" w:rsidRDefault="00FC03B9" w:rsidP="00E0191D">
      <w:pPr>
        <w:jc w:val="both"/>
        <w:rPr>
          <w:rFonts w:ascii="Arial" w:hAnsi="Arial" w:cs="Arial"/>
          <w:sz w:val="32"/>
          <w:szCs w:val="32"/>
        </w:rPr>
      </w:pPr>
    </w:p>
    <w:p w14:paraId="28792457" w14:textId="7A353ED8" w:rsidR="00367C1A" w:rsidRPr="006261B7" w:rsidRDefault="0950AE6C" w:rsidP="00E0191D">
      <w:pPr>
        <w:pStyle w:val="Heading1"/>
        <w:spacing w:before="0" w:after="0" w:line="360" w:lineRule="auto"/>
        <w:jc w:val="both"/>
        <w:rPr>
          <w:rFonts w:ascii="Arial" w:eastAsia="Arial" w:hAnsi="Arial" w:cs="Arial"/>
          <w:color w:val="auto"/>
          <w:sz w:val="32"/>
          <w:szCs w:val="32"/>
        </w:rPr>
      </w:pPr>
      <w:bookmarkStart w:id="2" w:name="_Toc225143084"/>
      <w:bookmarkStart w:id="3" w:name="_Toc226479895"/>
      <w:r w:rsidRPr="006261B7">
        <w:rPr>
          <w:rFonts w:ascii="Arial" w:eastAsia="Arial" w:hAnsi="Arial" w:cs="Arial"/>
          <w:color w:val="auto"/>
          <w:sz w:val="32"/>
          <w:szCs w:val="32"/>
        </w:rPr>
        <w:lastRenderedPageBreak/>
        <w:t>CHAPTER 1: Introduction</w:t>
      </w:r>
      <w:bookmarkEnd w:id="2"/>
      <w:bookmarkEnd w:id="3"/>
    </w:p>
    <w:p w14:paraId="267FF4CF" w14:textId="5764B0FA" w:rsidR="003664CD" w:rsidRPr="00A252BE" w:rsidRDefault="1B1DD6C1" w:rsidP="00E0191D">
      <w:pPr>
        <w:pStyle w:val="Heading2"/>
        <w:numPr>
          <w:ilvl w:val="1"/>
          <w:numId w:val="17"/>
        </w:numPr>
        <w:spacing w:line="360" w:lineRule="auto"/>
        <w:jc w:val="both"/>
        <w:rPr>
          <w:rFonts w:ascii="Arial" w:eastAsia="Arial" w:hAnsi="Arial" w:cs="Arial"/>
          <w:color w:val="auto"/>
          <w:sz w:val="28"/>
          <w:szCs w:val="28"/>
        </w:rPr>
      </w:pPr>
      <w:bookmarkStart w:id="4" w:name="_Toc226479896"/>
      <w:r w:rsidRPr="00A252BE">
        <w:rPr>
          <w:rFonts w:ascii="Arial" w:eastAsia="Arial" w:hAnsi="Arial" w:cs="Arial"/>
          <w:color w:val="auto"/>
          <w:sz w:val="28"/>
          <w:szCs w:val="28"/>
        </w:rPr>
        <w:t>Introduction</w:t>
      </w:r>
      <w:bookmarkEnd w:id="4"/>
    </w:p>
    <w:p w14:paraId="13A6BD1E" w14:textId="15B77A8C" w:rsidR="00367C1A" w:rsidRPr="00A252BE" w:rsidRDefault="027EBC85"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The increasing prevalence of anxiety disorders among adolescents has become a growing concern in mental health research and clinical practice. According to NHS Digital (2021), approximately one in six young people in the UK experiences a mental health condition, with anxiety among the most frequently diagnosed disorders. This alarming trend underscores the urgent need to understand the factors influencing adolescent anxiety, particularly those that might alleviate its severity or prevent its escalation.</w:t>
      </w:r>
    </w:p>
    <w:p w14:paraId="102DE6AD" w14:textId="34576A8A" w:rsidR="00367C1A" w:rsidRPr="00A252BE" w:rsidRDefault="027EBC85"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One such factor is social support, which has been widely documented as playing a critical role in the management of anxiety symptoms. The buffering hypothesis, as proposed by Cohen and Wills (1985), posits that strong social networks can protect individuals against the negative psychological effects of stress and anxiety. This protective effect is particularly important during adolescence, a developmental stage marked by rapid physical, emotional, and social changes that can heighten vulnerability to anxiety-related disorders.</w:t>
      </w:r>
    </w:p>
    <w:p w14:paraId="0523259D" w14:textId="54FFC2DF" w:rsidR="00367C1A" w:rsidRPr="00A252BE" w:rsidRDefault="027EBC85"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Historical perspectives reveal that mental health care has evolved significantly, from being highly stigmatised to becoming a recognised and prioritised component of public health strategies. The onset of the COVID-19 pandemic in 2020 further amplified the visibility of adolescent mental health issues, as many young people experienced increased isolation, disrupted routines, and limited access to social and emotional support (Mental Health Foundation, 2022).</w:t>
      </w:r>
    </w:p>
    <w:p w14:paraId="4D77A421" w14:textId="77777777" w:rsidR="00373A48" w:rsidRPr="00A252BE" w:rsidRDefault="5B704977"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Against this backdrop, this dissertation aims to explore the impact of social support on anxiety disorders in adolescents. Specifically, it will examine how various forms of support</w:t>
      </w:r>
      <w:r w:rsidR="3B061FC4" w:rsidRPr="00A252BE">
        <w:rPr>
          <w:rFonts w:ascii="Arial" w:eastAsia="Arial" w:hAnsi="Arial" w:cs="Arial"/>
          <w:sz w:val="22"/>
          <w:szCs w:val="22"/>
        </w:rPr>
        <w:t xml:space="preserve"> </w:t>
      </w:r>
      <w:r w:rsidRPr="00A252BE">
        <w:rPr>
          <w:rFonts w:ascii="Arial" w:eastAsia="Arial" w:hAnsi="Arial" w:cs="Arial"/>
          <w:sz w:val="22"/>
          <w:szCs w:val="22"/>
        </w:rPr>
        <w:t>emotional, informational, and instrumental</w:t>
      </w:r>
      <w:r w:rsidR="5B8AF0FD" w:rsidRPr="00A252BE">
        <w:rPr>
          <w:rFonts w:ascii="Arial" w:eastAsia="Arial" w:hAnsi="Arial" w:cs="Arial"/>
          <w:sz w:val="22"/>
          <w:szCs w:val="22"/>
        </w:rPr>
        <w:t xml:space="preserve"> </w:t>
      </w:r>
      <w:r w:rsidRPr="00A252BE">
        <w:rPr>
          <w:rFonts w:ascii="Arial" w:eastAsia="Arial" w:hAnsi="Arial" w:cs="Arial"/>
          <w:sz w:val="22"/>
          <w:szCs w:val="22"/>
        </w:rPr>
        <w:t>contribute to either the alleviation or intensification of anxiety symptoms.</w:t>
      </w:r>
    </w:p>
    <w:p w14:paraId="51D2C728" w14:textId="289A95F5" w:rsidR="00367C1A" w:rsidRPr="00A252BE" w:rsidRDefault="5B704977"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 The study is based on secondary research and will adopt a thematic analysis approach to examine and interpret data from existing academic literature and policy reports. This methodological choice will be elaborated further in Chapter 3.</w:t>
      </w:r>
    </w:p>
    <w:p w14:paraId="175F33ED" w14:textId="178F5E56" w:rsidR="3A7CED5F" w:rsidRPr="00A252BE" w:rsidRDefault="027EBC85"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By shedding light on the connection between social support and adolescent anxiety, this research contributes to ongoing discussions about how to best structure mental health interventions and policies to promote psychological resilience and well-being among young people in the UK.</w:t>
      </w:r>
      <w:r w:rsidR="13E786D1" w:rsidRPr="00A252BE">
        <w:rPr>
          <w:rFonts w:ascii="Arial" w:eastAsia="Arial" w:hAnsi="Arial" w:cs="Arial"/>
          <w:sz w:val="22"/>
          <w:szCs w:val="22"/>
        </w:rPr>
        <w:t xml:space="preserve"> </w:t>
      </w:r>
    </w:p>
    <w:p w14:paraId="124C36D2" w14:textId="5A1180B3" w:rsidR="003664CD" w:rsidRPr="00A252BE" w:rsidRDefault="1B1DD6C1" w:rsidP="00E0191D">
      <w:pPr>
        <w:pStyle w:val="Heading2"/>
        <w:numPr>
          <w:ilvl w:val="1"/>
          <w:numId w:val="17"/>
        </w:numPr>
        <w:spacing w:line="360" w:lineRule="auto"/>
        <w:jc w:val="both"/>
        <w:rPr>
          <w:rFonts w:ascii="Arial" w:eastAsia="Arial" w:hAnsi="Arial" w:cs="Arial"/>
          <w:color w:val="auto"/>
          <w:sz w:val="28"/>
          <w:szCs w:val="28"/>
        </w:rPr>
      </w:pPr>
      <w:bookmarkStart w:id="5" w:name="_Toc226479897"/>
      <w:r w:rsidRPr="00A252BE">
        <w:rPr>
          <w:rFonts w:ascii="Arial" w:eastAsia="Arial" w:hAnsi="Arial" w:cs="Arial"/>
          <w:color w:val="auto"/>
          <w:sz w:val="28"/>
          <w:szCs w:val="28"/>
        </w:rPr>
        <w:lastRenderedPageBreak/>
        <w:t>Definitions and Terminology</w:t>
      </w:r>
      <w:bookmarkEnd w:id="5"/>
      <w:r w:rsidRPr="00A252BE">
        <w:rPr>
          <w:rFonts w:ascii="Arial" w:eastAsia="Arial" w:hAnsi="Arial" w:cs="Arial"/>
          <w:color w:val="auto"/>
          <w:sz w:val="28"/>
          <w:szCs w:val="28"/>
        </w:rPr>
        <w:t xml:space="preserve"> </w:t>
      </w:r>
    </w:p>
    <w:p w14:paraId="23BA26D6" w14:textId="753A80C4" w:rsidR="00367C1A" w:rsidRPr="00A252BE" w:rsidRDefault="44A92EBF"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To ensure conceptual clarity, this section provides definitions of key terms used throughout the dissertation.</w:t>
      </w:r>
    </w:p>
    <w:p w14:paraId="79815749" w14:textId="591B927F" w:rsidR="00367C1A" w:rsidRPr="00A252BE" w:rsidRDefault="44A92EBF"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Anxiety Disorders: A category of mental health conditions characterised by excessive worry, fear, or nervousness that significantly interferes with daily functioning. Common types include Generalised Anxiety Disorder (GAD), Social Anxiety Disorder (SAD), and panic disorder. These disorders often emerge during adolescence and can have lasting effects on emotional, academic, and social development (Kessler et al., 2005).</w:t>
      </w:r>
    </w:p>
    <w:p w14:paraId="160E8121" w14:textId="02F14C23" w:rsidR="00367C1A" w:rsidRPr="00A252BE" w:rsidRDefault="44A92EBF"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Social Support: The perception or reality of being cared for, valued, and part of a social network. It includes:</w:t>
      </w:r>
    </w:p>
    <w:p w14:paraId="0CF41D42" w14:textId="5CF78C20" w:rsidR="00367C1A" w:rsidRPr="00A252BE" w:rsidRDefault="44A92EBF" w:rsidP="00E0191D">
      <w:pPr>
        <w:pStyle w:val="ListParagraph"/>
        <w:numPr>
          <w:ilvl w:val="0"/>
          <w:numId w:val="16"/>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Emotional support (e.g., empathy, care, love)</w:t>
      </w:r>
    </w:p>
    <w:p w14:paraId="2F0942BF" w14:textId="7BC48719" w:rsidR="00367C1A" w:rsidRPr="00A252BE" w:rsidRDefault="44A92EBF" w:rsidP="00E0191D">
      <w:pPr>
        <w:pStyle w:val="ListParagraph"/>
        <w:numPr>
          <w:ilvl w:val="0"/>
          <w:numId w:val="16"/>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Informational support (e.g., guidance, advice)</w:t>
      </w:r>
    </w:p>
    <w:p w14:paraId="2FBB9E38" w14:textId="71E746CD" w:rsidR="00367C1A" w:rsidRPr="00A252BE" w:rsidRDefault="44A92EBF" w:rsidP="00E0191D">
      <w:pPr>
        <w:pStyle w:val="ListParagraph"/>
        <w:numPr>
          <w:ilvl w:val="0"/>
          <w:numId w:val="16"/>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Instrumental support (e.g., tangible help, such as assistance with tasks)</w:t>
      </w:r>
      <w:r w:rsidR="003664CD" w:rsidRPr="00A252BE">
        <w:rPr>
          <w:rFonts w:ascii="Arial" w:eastAsia="Arial" w:hAnsi="Arial" w:cs="Arial"/>
          <w:sz w:val="22"/>
          <w:szCs w:val="22"/>
        </w:rPr>
        <w:t>.</w:t>
      </w:r>
    </w:p>
    <w:p w14:paraId="5E015394" w14:textId="77777777" w:rsidR="003664CD" w:rsidRPr="00A252BE" w:rsidRDefault="003664CD" w:rsidP="00E0191D">
      <w:pPr>
        <w:pStyle w:val="ListParagraph"/>
        <w:shd w:val="clear" w:color="auto" w:fill="FFFFFF" w:themeFill="background1"/>
        <w:spacing w:after="0" w:line="360" w:lineRule="auto"/>
        <w:jc w:val="both"/>
        <w:rPr>
          <w:rFonts w:ascii="Arial" w:eastAsia="Arial" w:hAnsi="Arial" w:cs="Arial"/>
          <w:sz w:val="22"/>
          <w:szCs w:val="22"/>
        </w:rPr>
      </w:pPr>
    </w:p>
    <w:p w14:paraId="67935896" w14:textId="2251B87C" w:rsidR="00367C1A" w:rsidRPr="00A252BE" w:rsidRDefault="44A92EBF"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Social support has been consistently linked to improved mental health outcomes and increased resilience in adolescents (Cohen &amp; Wills, 1985).</w:t>
      </w:r>
    </w:p>
    <w:p w14:paraId="4DAA5D46" w14:textId="12C17B3B" w:rsidR="00C20517" w:rsidRPr="00A252BE" w:rsidRDefault="44A92EBF"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Resilience: The capacity to adapt positively in the face of adversity or stress. In the context of mental health, resilience refers to an individual’s ability to recover from challenges, including anxiety, and maintain psychological well-being (Masten, 2001).</w:t>
      </w:r>
    </w:p>
    <w:p w14:paraId="35960EF5" w14:textId="686D8C40" w:rsidR="00367C1A" w:rsidRPr="00A252BE" w:rsidRDefault="44A92EBF"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Acronyms and Abbreviations:</w:t>
      </w:r>
    </w:p>
    <w:p w14:paraId="4BBFCF34" w14:textId="4BD08A44" w:rsidR="00367C1A" w:rsidRPr="00A252BE" w:rsidRDefault="44A92EBF" w:rsidP="00E0191D">
      <w:pPr>
        <w:pStyle w:val="ListParagraph"/>
        <w:numPr>
          <w:ilvl w:val="0"/>
          <w:numId w:val="15"/>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NHS – National Health Service (UK)</w:t>
      </w:r>
    </w:p>
    <w:p w14:paraId="0C89E1A5" w14:textId="659DEF28" w:rsidR="00367C1A" w:rsidRPr="00A252BE" w:rsidRDefault="44A92EBF" w:rsidP="00E0191D">
      <w:pPr>
        <w:pStyle w:val="ListParagraph"/>
        <w:numPr>
          <w:ilvl w:val="0"/>
          <w:numId w:val="15"/>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GAD – Generalised Anxiety Disorder</w:t>
      </w:r>
    </w:p>
    <w:p w14:paraId="42291472" w14:textId="20D3B891" w:rsidR="00367C1A" w:rsidRPr="00A252BE" w:rsidRDefault="44A92EBF" w:rsidP="00E0191D">
      <w:pPr>
        <w:pStyle w:val="ListParagraph"/>
        <w:numPr>
          <w:ilvl w:val="0"/>
          <w:numId w:val="15"/>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SAD – Social Anxiety Disorder</w:t>
      </w:r>
    </w:p>
    <w:p w14:paraId="0D221DAD" w14:textId="1BC92118" w:rsidR="00367C1A" w:rsidRPr="00A252BE" w:rsidRDefault="44A92EBF" w:rsidP="00E0191D">
      <w:pPr>
        <w:pStyle w:val="ListParagraph"/>
        <w:numPr>
          <w:ilvl w:val="0"/>
          <w:numId w:val="15"/>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UK – United Kingdom</w:t>
      </w:r>
      <w:r w:rsidR="00C20517" w:rsidRPr="00A252BE">
        <w:rPr>
          <w:rFonts w:ascii="Arial" w:eastAsia="Arial" w:hAnsi="Arial" w:cs="Arial"/>
          <w:sz w:val="22"/>
          <w:szCs w:val="22"/>
        </w:rPr>
        <w:t>.</w:t>
      </w:r>
    </w:p>
    <w:p w14:paraId="4D1360D9" w14:textId="77777777" w:rsidR="00C20517" w:rsidRPr="00A252BE" w:rsidRDefault="00C20517" w:rsidP="00E0191D">
      <w:pPr>
        <w:pStyle w:val="ListParagraph"/>
        <w:shd w:val="clear" w:color="auto" w:fill="FFFFFF" w:themeFill="background1"/>
        <w:spacing w:after="0" w:line="360" w:lineRule="auto"/>
        <w:jc w:val="both"/>
        <w:rPr>
          <w:rFonts w:ascii="Arial" w:eastAsia="Arial" w:hAnsi="Arial" w:cs="Arial"/>
          <w:sz w:val="22"/>
          <w:szCs w:val="22"/>
        </w:rPr>
      </w:pPr>
    </w:p>
    <w:p w14:paraId="4F31F67F" w14:textId="73F847E9" w:rsidR="3A7CED5F" w:rsidRPr="00A252BE" w:rsidRDefault="44A92EBF"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These definitions serve to enhance reader comprehension and ensure terminological consistency throughout the dissertation.</w:t>
      </w:r>
    </w:p>
    <w:p w14:paraId="01E2C643" w14:textId="77777777" w:rsidR="00592045" w:rsidRPr="00A252BE" w:rsidRDefault="00592045" w:rsidP="00E0191D">
      <w:pPr>
        <w:shd w:val="clear" w:color="auto" w:fill="FFFFFF" w:themeFill="background1"/>
        <w:spacing w:after="180" w:line="360" w:lineRule="auto"/>
        <w:jc w:val="both"/>
        <w:rPr>
          <w:rFonts w:ascii="Arial" w:eastAsia="Arial" w:hAnsi="Arial" w:cs="Arial"/>
          <w:sz w:val="22"/>
          <w:szCs w:val="22"/>
        </w:rPr>
      </w:pPr>
    </w:p>
    <w:p w14:paraId="55E984AD" w14:textId="77777777" w:rsidR="00592045" w:rsidRPr="00A252BE" w:rsidRDefault="00592045" w:rsidP="00E0191D">
      <w:pPr>
        <w:shd w:val="clear" w:color="auto" w:fill="FFFFFF" w:themeFill="background1"/>
        <w:spacing w:after="180" w:line="360" w:lineRule="auto"/>
        <w:jc w:val="both"/>
        <w:rPr>
          <w:rFonts w:ascii="Arial" w:eastAsia="Arial" w:hAnsi="Arial" w:cs="Arial"/>
          <w:sz w:val="22"/>
          <w:szCs w:val="22"/>
        </w:rPr>
      </w:pPr>
    </w:p>
    <w:p w14:paraId="278CAB17" w14:textId="1EA6E936" w:rsidR="00C20517" w:rsidRPr="00A252BE" w:rsidRDefault="1B1DD6C1" w:rsidP="00E0191D">
      <w:pPr>
        <w:pStyle w:val="Heading2"/>
        <w:numPr>
          <w:ilvl w:val="1"/>
          <w:numId w:val="17"/>
        </w:numPr>
        <w:spacing w:line="360" w:lineRule="auto"/>
        <w:jc w:val="both"/>
        <w:rPr>
          <w:rFonts w:ascii="Arial" w:eastAsia="Arial" w:hAnsi="Arial" w:cs="Arial"/>
          <w:color w:val="auto"/>
          <w:sz w:val="28"/>
          <w:szCs w:val="28"/>
        </w:rPr>
      </w:pPr>
      <w:bookmarkStart w:id="6" w:name="_Toc226479898"/>
      <w:r w:rsidRPr="00A252BE">
        <w:rPr>
          <w:rFonts w:ascii="Arial" w:eastAsia="Arial" w:hAnsi="Arial" w:cs="Arial"/>
          <w:color w:val="auto"/>
          <w:sz w:val="28"/>
          <w:szCs w:val="28"/>
        </w:rPr>
        <w:lastRenderedPageBreak/>
        <w:t>Rationale for Research</w:t>
      </w:r>
      <w:bookmarkEnd w:id="6"/>
      <w:r w:rsidRPr="00A252BE">
        <w:rPr>
          <w:rFonts w:ascii="Arial" w:eastAsia="Arial" w:hAnsi="Arial" w:cs="Arial"/>
          <w:color w:val="auto"/>
          <w:sz w:val="28"/>
          <w:szCs w:val="28"/>
        </w:rPr>
        <w:t xml:space="preserve"> </w:t>
      </w:r>
    </w:p>
    <w:p w14:paraId="727BDC09" w14:textId="5C88811F" w:rsidR="00C20517" w:rsidRPr="00A252BE" w:rsidRDefault="0A3E66E9"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The rationale for this research is rooted in the increasing rates of anxiety disorders among adolescents and the insufficient understanding of how different forms of social support influence mental health outcomes in this age group.</w:t>
      </w:r>
    </w:p>
    <w:p w14:paraId="37C416B4" w14:textId="77777777" w:rsidR="00B47421" w:rsidRPr="00A252BE" w:rsidRDefault="00B47421" w:rsidP="00E0191D">
      <w:pPr>
        <w:spacing w:after="0" w:line="360" w:lineRule="auto"/>
        <w:jc w:val="both"/>
        <w:rPr>
          <w:rFonts w:ascii="Arial" w:eastAsia="Arial" w:hAnsi="Arial" w:cs="Arial"/>
          <w:sz w:val="22"/>
          <w:szCs w:val="22"/>
        </w:rPr>
      </w:pPr>
    </w:p>
    <w:p w14:paraId="449E10D3" w14:textId="280B862A" w:rsidR="00367C1A" w:rsidRPr="00A252BE" w:rsidRDefault="0A3E66E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Although a growing body of literature recognises the protective role of social support, there remains a lack of comprehensive analysis into the types of support most effective for adolescents and the contexts in which support is offered.</w:t>
      </w:r>
    </w:p>
    <w:p w14:paraId="08985988" w14:textId="0298CE3C" w:rsidR="00367C1A" w:rsidRPr="00A252BE" w:rsidRDefault="0A3E66E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Studies such as McLeod, Wood, and Weisz (2007) and Chiu, Clark, and Leigh (2021) have begun to explore these relationships, but many do not disaggregate the effects of emotional, informational, and instrumental support. This gap is especially problematic considering the unique challenges adolescents face compared to adults, including evolving identities, academic pressures, and shifting social dynamics.</w:t>
      </w:r>
    </w:p>
    <w:p w14:paraId="321A5445" w14:textId="61D6CA87" w:rsidR="00367C1A" w:rsidRPr="00A252BE" w:rsidRDefault="0A3E66E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Moreover, existing mental health interventions often fail to adequately address the complexity of adolescent experiences. Many school-based or clinical programmes rely on generic strategies that do not consider the nuanced ways in which adolescents interact with their social environments. </w:t>
      </w:r>
    </w:p>
    <w:p w14:paraId="397C66B9" w14:textId="0CE56762" w:rsidR="00367C1A" w:rsidRPr="00A252BE" w:rsidRDefault="0A3E66E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For example, interventions may focus on promoting help-seeking behaviours without addressing trust issues, cultural stigma, or digital influences that shape peer support (Taylor et al., 2017; Barrow &amp; Parker, 2020). Others may assume the presence of supportive families, overlooking adolescents who come from unstable or unsupportive home environments.</w:t>
      </w:r>
    </w:p>
    <w:p w14:paraId="7980C633" w14:textId="19B966E8" w:rsidR="00367C1A" w:rsidRPr="00A252BE" w:rsidRDefault="0A3E66E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Research also suggests that urban adolescents in the UK face additional barriers, including reduced access to services, increased exposure to environmental stressors (e.g., overcrowding, noise), and heightened socioeconomic disparities (NHS Digital, 2021). These factors can affect both the availability and effectiveness of social support networks, yet they are often underexplored in existing studies.</w:t>
      </w:r>
    </w:p>
    <w:p w14:paraId="449A2C8F" w14:textId="77777777" w:rsidR="00947420" w:rsidRPr="00A252BE" w:rsidRDefault="0A3E66E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dissertation addresses these gaps by offering a nuanced and contextually grounded analysis of how social support systems affect anxiety in adolescents. The research intends to inform not only academic discussions, but also practical frameworks used by mental health practitioners and policymakers.</w:t>
      </w:r>
    </w:p>
    <w:p w14:paraId="24055326" w14:textId="1A6FE01F" w:rsidR="53DC7FE0" w:rsidRPr="00A252BE" w:rsidRDefault="0A3E66E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 It aims to contribute to the development of more targeted and inclusive interventions, helping to ensure that adolescent mental health support strategies are equitable, responsive, and evidence based.</w:t>
      </w:r>
    </w:p>
    <w:p w14:paraId="6BC63115" w14:textId="43AFEA09" w:rsidR="00203683" w:rsidRPr="00A252BE" w:rsidRDefault="1B1DD6C1" w:rsidP="00E0191D">
      <w:pPr>
        <w:pStyle w:val="Heading2"/>
        <w:numPr>
          <w:ilvl w:val="1"/>
          <w:numId w:val="17"/>
        </w:numPr>
        <w:spacing w:line="360" w:lineRule="auto"/>
        <w:jc w:val="both"/>
        <w:rPr>
          <w:rFonts w:ascii="Arial" w:hAnsi="Arial" w:cs="Arial"/>
          <w:color w:val="auto"/>
          <w:sz w:val="28"/>
          <w:szCs w:val="28"/>
        </w:rPr>
      </w:pPr>
      <w:bookmarkStart w:id="7" w:name="_Toc226479899"/>
      <w:r w:rsidRPr="00A252BE">
        <w:rPr>
          <w:rFonts w:ascii="Arial" w:hAnsi="Arial" w:cs="Arial"/>
          <w:color w:val="auto"/>
          <w:sz w:val="28"/>
          <w:szCs w:val="28"/>
        </w:rPr>
        <w:lastRenderedPageBreak/>
        <w:t>Aim and Objectives</w:t>
      </w:r>
      <w:bookmarkEnd w:id="7"/>
      <w:r w:rsidRPr="00A252BE">
        <w:rPr>
          <w:rFonts w:ascii="Arial" w:hAnsi="Arial" w:cs="Arial"/>
          <w:color w:val="auto"/>
          <w:sz w:val="28"/>
          <w:szCs w:val="28"/>
        </w:rPr>
        <w:t xml:space="preserve"> </w:t>
      </w:r>
    </w:p>
    <w:p w14:paraId="4639F241" w14:textId="384391A6" w:rsidR="00367C1A" w:rsidRPr="00A252BE" w:rsidRDefault="4AE1C256" w:rsidP="00E0191D">
      <w:pPr>
        <w:spacing w:after="0" w:line="360" w:lineRule="auto"/>
        <w:jc w:val="both"/>
        <w:rPr>
          <w:rFonts w:ascii="Arial" w:eastAsia="Arial" w:hAnsi="Arial" w:cs="Arial"/>
          <w:sz w:val="22"/>
          <w:szCs w:val="22"/>
        </w:rPr>
      </w:pPr>
      <w:r w:rsidRPr="00A252BE">
        <w:rPr>
          <w:rFonts w:ascii="Arial" w:eastAsia="Arial" w:hAnsi="Arial" w:cs="Arial"/>
          <w:b/>
          <w:bCs/>
          <w:sz w:val="22"/>
          <w:szCs w:val="22"/>
        </w:rPr>
        <w:t>Research Aim:</w:t>
      </w:r>
    </w:p>
    <w:p w14:paraId="30F46A63" w14:textId="7F6A77D6" w:rsidR="00367C1A" w:rsidRPr="00A252BE" w:rsidRDefault="4AE1C256" w:rsidP="00E0191D">
      <w:pPr>
        <w:shd w:val="clear" w:color="auto" w:fill="FFFFFF" w:themeFill="background1"/>
        <w:spacing w:after="239" w:line="360" w:lineRule="auto"/>
        <w:jc w:val="both"/>
        <w:rPr>
          <w:rFonts w:ascii="Arial" w:eastAsia="Arial" w:hAnsi="Arial" w:cs="Arial"/>
          <w:sz w:val="22"/>
          <w:szCs w:val="22"/>
        </w:rPr>
      </w:pPr>
      <w:r w:rsidRPr="00A252BE">
        <w:rPr>
          <w:rFonts w:ascii="Arial" w:eastAsia="Arial" w:hAnsi="Arial" w:cs="Arial"/>
          <w:sz w:val="22"/>
          <w:szCs w:val="22"/>
        </w:rPr>
        <w:t>The primary aim of this research is to examine the relationship between social support and anxiety disorders in adolescents. The study seeks to identify how various sources of support including family, peers, and community organisations influence the severity and management of anxiety symptoms. It also aims to explore how demographic variables such as socioeconomic status and cultural background affect the nature and effectiveness of these support systems.</w:t>
      </w:r>
    </w:p>
    <w:p w14:paraId="4F229C45" w14:textId="76CE82AC" w:rsidR="00367C1A" w:rsidRPr="00A252BE" w:rsidRDefault="4AE1C256"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b/>
          <w:bCs/>
          <w:sz w:val="22"/>
          <w:szCs w:val="22"/>
        </w:rPr>
        <w:t>Research Objectives:</w:t>
      </w:r>
    </w:p>
    <w:p w14:paraId="1F35C76C" w14:textId="34CD63BB" w:rsidR="00367C1A" w:rsidRPr="00A252BE" w:rsidRDefault="4AE1C256" w:rsidP="00E0191D">
      <w:pPr>
        <w:pStyle w:val="ListParagraph"/>
        <w:numPr>
          <w:ilvl w:val="0"/>
          <w:numId w:val="14"/>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To define and examine the concept of social support and its various forms (emotional, informational, and instrumental), specifically in relation to adolescent anxiety disorders.</w:t>
      </w:r>
    </w:p>
    <w:p w14:paraId="48296B71" w14:textId="7FAE5840" w:rsidR="00367C1A" w:rsidRPr="00A252BE" w:rsidRDefault="4AE1C256" w:rsidP="00E0191D">
      <w:pPr>
        <w:pStyle w:val="ListParagraph"/>
        <w:numPr>
          <w:ilvl w:val="0"/>
          <w:numId w:val="14"/>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To analyse the correlation between levels of social support and the severity of anxiety symptoms in adolescents using data derived from existing quantitative and qualitative studies.</w:t>
      </w:r>
    </w:p>
    <w:p w14:paraId="7E271D96" w14:textId="05B78AC2" w:rsidR="00367C1A" w:rsidRPr="00A252BE" w:rsidRDefault="4AE1C256" w:rsidP="00E0191D">
      <w:pPr>
        <w:pStyle w:val="ListParagraph"/>
        <w:numPr>
          <w:ilvl w:val="0"/>
          <w:numId w:val="14"/>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To evaluate the effectiveness of current adolescent mental health support programmes and services, identifying strengths, weaknesses, and gaps in provision.</w:t>
      </w:r>
    </w:p>
    <w:p w14:paraId="4ECEEF7B" w14:textId="12F0ECBC" w:rsidR="00C20517" w:rsidRPr="00A252BE" w:rsidRDefault="4AE1C256" w:rsidP="00E0191D">
      <w:pPr>
        <w:pStyle w:val="ListParagraph"/>
        <w:numPr>
          <w:ilvl w:val="0"/>
          <w:numId w:val="14"/>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To provide actionable recommendations for improving support strategies and interventions, particularly for underserved or at-risk adolescent populations.</w:t>
      </w:r>
    </w:p>
    <w:p w14:paraId="0BBC021A" w14:textId="4C151F87" w:rsidR="00367C1A" w:rsidRPr="00A252BE" w:rsidRDefault="1B1DD6C1" w:rsidP="00E0191D">
      <w:pPr>
        <w:pStyle w:val="Heading2"/>
        <w:numPr>
          <w:ilvl w:val="1"/>
          <w:numId w:val="17"/>
        </w:numPr>
        <w:spacing w:line="360" w:lineRule="auto"/>
        <w:jc w:val="both"/>
        <w:rPr>
          <w:rFonts w:ascii="Arial" w:eastAsia="Arial" w:hAnsi="Arial" w:cs="Arial"/>
          <w:color w:val="auto"/>
          <w:sz w:val="28"/>
          <w:szCs w:val="28"/>
        </w:rPr>
      </w:pPr>
      <w:bookmarkStart w:id="8" w:name="_Toc226479900"/>
      <w:r w:rsidRPr="00A252BE">
        <w:rPr>
          <w:rFonts w:ascii="Arial" w:eastAsia="Arial" w:hAnsi="Arial" w:cs="Arial"/>
          <w:color w:val="auto"/>
          <w:sz w:val="28"/>
          <w:szCs w:val="28"/>
        </w:rPr>
        <w:t>Conclusion</w:t>
      </w:r>
      <w:bookmarkEnd w:id="8"/>
    </w:p>
    <w:p w14:paraId="3EDC89E2" w14:textId="187C5DF3" w:rsidR="00367C1A" w:rsidRPr="00A252BE" w:rsidRDefault="648AA724"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Chapter 1 has outlined the foundational context for this dissertation by highlighting the increasing concern surrounding adolescent anxiety disorders and the critical role of social support in mitigating their impact. The chapter provided key definitions, articulated a clear rationale grounded in recent literature, and identified specific research objectives to guide the remainder of the study.</w:t>
      </w:r>
    </w:p>
    <w:p w14:paraId="150BD379" w14:textId="77777777" w:rsidR="00C20517" w:rsidRPr="00A252BE" w:rsidRDefault="00C20517" w:rsidP="00E0191D">
      <w:pPr>
        <w:spacing w:after="0" w:line="360" w:lineRule="auto"/>
        <w:jc w:val="both"/>
        <w:rPr>
          <w:rFonts w:ascii="Arial" w:eastAsia="Arial" w:hAnsi="Arial" w:cs="Arial"/>
          <w:sz w:val="22"/>
          <w:szCs w:val="22"/>
        </w:rPr>
      </w:pPr>
    </w:p>
    <w:p w14:paraId="5545FD34" w14:textId="0B3395E1" w:rsidR="00367C1A" w:rsidRPr="00A252BE" w:rsidRDefault="648AA724"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Importantly, it has been acknowledged that while social support is widely regarded as beneficial, existing interventions often lack specificity, contextual relevance, or inclusivity. This research, through secondary analysis and thematic interpretation, seeks to provide a more differentiated understanding of how different forms of social support influence adolescent anxiety across varying social contexts.</w:t>
      </w:r>
    </w:p>
    <w:p w14:paraId="109FF364" w14:textId="0BD2842A" w:rsidR="00367C1A" w:rsidRPr="00A252BE" w:rsidRDefault="648AA724"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By critically examining these relationships, this study aims to inform not just academic discourse, but also practical policy and service delivery, aligning with current public health goals focused on youth mental well-being.</w:t>
      </w:r>
    </w:p>
    <w:p w14:paraId="77C5964F" w14:textId="0F0CA6C1" w:rsidR="00367C1A" w:rsidRPr="00A252BE" w:rsidRDefault="40935A1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lastRenderedPageBreak/>
        <w:t xml:space="preserve">As McLeod et al. (2007) suggest, advancing our understanding of adolescent-specific protective factors is essential for effective prevention and intervention strategies. Similarly, Taylor et al. (2017) argue that without attention to context, interventions risk being ineffective or even </w:t>
      </w:r>
      <w:r w:rsidR="5C99FC27" w:rsidRPr="00A252BE">
        <w:rPr>
          <w:rFonts w:ascii="Arial" w:eastAsia="Arial" w:hAnsi="Arial" w:cs="Arial"/>
          <w:sz w:val="22"/>
          <w:szCs w:val="22"/>
        </w:rPr>
        <w:t>counterproductive</w:t>
      </w:r>
      <w:r w:rsidRPr="00A252BE">
        <w:rPr>
          <w:rFonts w:ascii="Arial" w:eastAsia="Arial" w:hAnsi="Arial" w:cs="Arial"/>
          <w:sz w:val="22"/>
          <w:szCs w:val="22"/>
        </w:rPr>
        <w:t>.</w:t>
      </w:r>
    </w:p>
    <w:p w14:paraId="0F7545EA" w14:textId="31E228CF" w:rsidR="00367C1A" w:rsidRPr="00A252BE" w:rsidRDefault="648AA724"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Chapter 2 will present a review of the existing literature on adolescent anxiety and social support, laying the groundwork for deeper analysis and discussion in the chapters to come.</w:t>
      </w:r>
    </w:p>
    <w:p w14:paraId="67368395" w14:textId="3B31E5B2" w:rsidR="00367C1A" w:rsidRPr="00A252BE" w:rsidRDefault="13E786D1"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 xml:space="preserve"> </w:t>
      </w:r>
    </w:p>
    <w:p w14:paraId="0D08F4B7" w14:textId="368B7CFF" w:rsidR="00367C1A" w:rsidRPr="00A252BE" w:rsidRDefault="58802F49" w:rsidP="00E0191D">
      <w:pPr>
        <w:spacing w:line="360" w:lineRule="auto"/>
        <w:jc w:val="both"/>
        <w:rPr>
          <w:rFonts w:ascii="Arial" w:eastAsia="Arial" w:hAnsi="Arial" w:cs="Arial"/>
        </w:rPr>
      </w:pPr>
      <w:r w:rsidRPr="00A252BE">
        <w:rPr>
          <w:rFonts w:ascii="Arial" w:eastAsia="Arial" w:hAnsi="Arial" w:cs="Arial"/>
        </w:rPr>
        <w:t xml:space="preserve"> </w:t>
      </w:r>
    </w:p>
    <w:p w14:paraId="3BD6088A" w14:textId="4683D394" w:rsidR="00367C1A" w:rsidRPr="00A252BE" w:rsidRDefault="58802F49" w:rsidP="00E0191D">
      <w:pPr>
        <w:spacing w:line="360" w:lineRule="auto"/>
        <w:jc w:val="both"/>
        <w:rPr>
          <w:rFonts w:ascii="Arial" w:eastAsia="Arial" w:hAnsi="Arial" w:cs="Arial"/>
        </w:rPr>
      </w:pPr>
      <w:r w:rsidRPr="00A252BE">
        <w:rPr>
          <w:rFonts w:ascii="Arial" w:eastAsia="Arial" w:hAnsi="Arial" w:cs="Arial"/>
        </w:rPr>
        <w:t xml:space="preserve"> </w:t>
      </w:r>
    </w:p>
    <w:p w14:paraId="3821E87E" w14:textId="425ABBE6" w:rsidR="00367C1A" w:rsidRPr="00A252BE" w:rsidRDefault="58802F49" w:rsidP="00E0191D">
      <w:pPr>
        <w:spacing w:line="360" w:lineRule="auto"/>
        <w:jc w:val="both"/>
        <w:rPr>
          <w:rFonts w:ascii="Arial" w:eastAsia="Arial" w:hAnsi="Arial" w:cs="Arial"/>
        </w:rPr>
      </w:pPr>
      <w:r w:rsidRPr="00A252BE">
        <w:rPr>
          <w:rFonts w:ascii="Arial" w:eastAsia="Arial" w:hAnsi="Arial" w:cs="Arial"/>
        </w:rPr>
        <w:t xml:space="preserve"> </w:t>
      </w:r>
    </w:p>
    <w:p w14:paraId="2CBC8C94" w14:textId="62CE2C41" w:rsidR="00367C1A" w:rsidRPr="00A252BE" w:rsidRDefault="58802F49" w:rsidP="00E0191D">
      <w:pPr>
        <w:spacing w:line="360" w:lineRule="auto"/>
        <w:jc w:val="both"/>
        <w:rPr>
          <w:rFonts w:ascii="Arial" w:eastAsia="Arial" w:hAnsi="Arial" w:cs="Arial"/>
        </w:rPr>
      </w:pPr>
      <w:r w:rsidRPr="00A252BE">
        <w:rPr>
          <w:rFonts w:ascii="Arial" w:eastAsia="Arial" w:hAnsi="Arial" w:cs="Arial"/>
        </w:rPr>
        <w:t xml:space="preserve"> </w:t>
      </w:r>
    </w:p>
    <w:p w14:paraId="39041C27" w14:textId="5BB579C5" w:rsidR="00C20517" w:rsidRPr="00A252BE" w:rsidRDefault="00C20517" w:rsidP="00E0191D">
      <w:pPr>
        <w:spacing w:line="360" w:lineRule="auto"/>
        <w:jc w:val="both"/>
        <w:rPr>
          <w:rFonts w:ascii="Arial" w:eastAsia="Arial" w:hAnsi="Arial" w:cs="Arial"/>
        </w:rPr>
      </w:pPr>
    </w:p>
    <w:p w14:paraId="701E35DA" w14:textId="77777777" w:rsidR="00764211" w:rsidRPr="00A252BE" w:rsidRDefault="00764211" w:rsidP="00E0191D">
      <w:pPr>
        <w:spacing w:line="360" w:lineRule="auto"/>
        <w:jc w:val="both"/>
        <w:rPr>
          <w:rFonts w:ascii="Arial" w:eastAsia="Arial" w:hAnsi="Arial" w:cs="Arial"/>
        </w:rPr>
      </w:pPr>
    </w:p>
    <w:p w14:paraId="21A8D9E8" w14:textId="77777777" w:rsidR="00764211" w:rsidRPr="00A252BE" w:rsidRDefault="00764211" w:rsidP="00E0191D">
      <w:pPr>
        <w:spacing w:line="360" w:lineRule="auto"/>
        <w:jc w:val="both"/>
        <w:rPr>
          <w:rFonts w:ascii="Arial" w:eastAsia="Arial" w:hAnsi="Arial" w:cs="Arial"/>
        </w:rPr>
      </w:pPr>
    </w:p>
    <w:p w14:paraId="08266E9F" w14:textId="77777777" w:rsidR="00764211" w:rsidRPr="00A252BE" w:rsidRDefault="00764211" w:rsidP="00E0191D">
      <w:pPr>
        <w:spacing w:line="360" w:lineRule="auto"/>
        <w:jc w:val="both"/>
        <w:rPr>
          <w:rFonts w:ascii="Arial" w:eastAsia="Arial" w:hAnsi="Arial" w:cs="Arial"/>
        </w:rPr>
      </w:pPr>
    </w:p>
    <w:p w14:paraId="39E4490D" w14:textId="77777777" w:rsidR="00764211" w:rsidRPr="00A252BE" w:rsidRDefault="00764211" w:rsidP="00E0191D">
      <w:pPr>
        <w:spacing w:line="360" w:lineRule="auto"/>
        <w:jc w:val="both"/>
        <w:rPr>
          <w:rFonts w:ascii="Arial" w:eastAsia="Arial" w:hAnsi="Arial" w:cs="Arial"/>
        </w:rPr>
      </w:pPr>
    </w:p>
    <w:p w14:paraId="13E795C7" w14:textId="77777777" w:rsidR="00764211" w:rsidRPr="00A252BE" w:rsidRDefault="00764211" w:rsidP="00E0191D">
      <w:pPr>
        <w:spacing w:line="360" w:lineRule="auto"/>
        <w:jc w:val="both"/>
        <w:rPr>
          <w:rFonts w:ascii="Arial" w:eastAsia="Arial" w:hAnsi="Arial" w:cs="Arial"/>
        </w:rPr>
      </w:pPr>
    </w:p>
    <w:p w14:paraId="0D860CDF" w14:textId="77777777" w:rsidR="00764211" w:rsidRPr="00A252BE" w:rsidRDefault="00764211" w:rsidP="00E0191D">
      <w:pPr>
        <w:spacing w:line="360" w:lineRule="auto"/>
        <w:jc w:val="both"/>
        <w:rPr>
          <w:rFonts w:ascii="Arial" w:eastAsia="Arial" w:hAnsi="Arial" w:cs="Arial"/>
        </w:rPr>
      </w:pPr>
    </w:p>
    <w:p w14:paraId="5E4FE97C" w14:textId="77777777" w:rsidR="00764211" w:rsidRPr="00A252BE" w:rsidRDefault="00764211" w:rsidP="00E0191D">
      <w:pPr>
        <w:spacing w:line="360" w:lineRule="auto"/>
        <w:jc w:val="both"/>
        <w:rPr>
          <w:rFonts w:ascii="Arial" w:eastAsia="Arial" w:hAnsi="Arial" w:cs="Arial"/>
        </w:rPr>
      </w:pPr>
    </w:p>
    <w:p w14:paraId="55BB131D" w14:textId="77777777" w:rsidR="00764211" w:rsidRPr="00A252BE" w:rsidRDefault="00764211" w:rsidP="00E0191D">
      <w:pPr>
        <w:spacing w:line="360" w:lineRule="auto"/>
        <w:jc w:val="both"/>
        <w:rPr>
          <w:rFonts w:ascii="Arial" w:eastAsia="Arial" w:hAnsi="Arial" w:cs="Arial"/>
        </w:rPr>
      </w:pPr>
    </w:p>
    <w:p w14:paraId="748F4AD9" w14:textId="77777777" w:rsidR="00A459C1" w:rsidRPr="00A252BE" w:rsidRDefault="00A459C1" w:rsidP="00E0191D">
      <w:pPr>
        <w:spacing w:line="360" w:lineRule="auto"/>
        <w:jc w:val="both"/>
        <w:rPr>
          <w:rFonts w:ascii="Arial" w:eastAsia="Arial" w:hAnsi="Arial" w:cs="Arial"/>
        </w:rPr>
      </w:pPr>
    </w:p>
    <w:p w14:paraId="57FEC088" w14:textId="77777777" w:rsidR="009709D0" w:rsidRPr="00A252BE" w:rsidRDefault="009709D0" w:rsidP="00E0191D">
      <w:pPr>
        <w:spacing w:line="360" w:lineRule="auto"/>
        <w:jc w:val="both"/>
        <w:rPr>
          <w:rFonts w:ascii="Arial" w:hAnsi="Arial" w:cs="Arial"/>
        </w:rPr>
      </w:pPr>
    </w:p>
    <w:p w14:paraId="1AC95E47" w14:textId="77777777" w:rsidR="009709D0" w:rsidRPr="00A252BE" w:rsidRDefault="009709D0" w:rsidP="00E0191D">
      <w:pPr>
        <w:spacing w:line="360" w:lineRule="auto"/>
        <w:jc w:val="both"/>
        <w:rPr>
          <w:rFonts w:ascii="Arial" w:hAnsi="Arial" w:cs="Arial"/>
        </w:rPr>
      </w:pPr>
    </w:p>
    <w:p w14:paraId="34CE950E" w14:textId="77777777" w:rsidR="00A459C1" w:rsidRPr="00A252BE" w:rsidRDefault="00A459C1" w:rsidP="00E0191D">
      <w:pPr>
        <w:spacing w:line="360" w:lineRule="auto"/>
        <w:jc w:val="both"/>
        <w:rPr>
          <w:rFonts w:ascii="Arial" w:hAnsi="Arial" w:cs="Arial"/>
        </w:rPr>
      </w:pPr>
    </w:p>
    <w:p w14:paraId="094EC008" w14:textId="6FF21E3D" w:rsidR="00367C1A" w:rsidRPr="005A639B" w:rsidRDefault="6AECD7CF" w:rsidP="00E0191D">
      <w:pPr>
        <w:pStyle w:val="Heading1"/>
        <w:spacing w:before="0" w:after="0" w:line="360" w:lineRule="auto"/>
        <w:jc w:val="both"/>
        <w:rPr>
          <w:rFonts w:ascii="Arial" w:eastAsia="Arial" w:hAnsi="Arial" w:cs="Arial"/>
          <w:color w:val="auto"/>
        </w:rPr>
      </w:pPr>
      <w:bookmarkStart w:id="9" w:name="_Toc225143085"/>
      <w:bookmarkStart w:id="10" w:name="_Toc226479901"/>
      <w:r w:rsidRPr="005A639B">
        <w:rPr>
          <w:rFonts w:ascii="Arial" w:eastAsia="Arial" w:hAnsi="Arial" w:cs="Arial"/>
          <w:color w:val="auto"/>
          <w:sz w:val="32"/>
          <w:szCs w:val="32"/>
        </w:rPr>
        <w:lastRenderedPageBreak/>
        <w:t>CHAPTER 2 – Background Information and Analysis</w:t>
      </w:r>
      <w:bookmarkEnd w:id="9"/>
      <w:bookmarkEnd w:id="10"/>
      <w:r w:rsidRPr="005A639B">
        <w:rPr>
          <w:rFonts w:ascii="Arial" w:eastAsia="Arial" w:hAnsi="Arial" w:cs="Arial"/>
          <w:color w:val="auto"/>
          <w:sz w:val="32"/>
          <w:szCs w:val="32"/>
        </w:rPr>
        <w:t xml:space="preserve"> </w:t>
      </w:r>
      <w:r w:rsidRPr="005A639B">
        <w:rPr>
          <w:rFonts w:ascii="Arial" w:eastAsia="Arial" w:hAnsi="Arial" w:cs="Arial"/>
          <w:color w:val="auto"/>
          <w:sz w:val="24"/>
          <w:szCs w:val="24"/>
        </w:rPr>
        <w:t xml:space="preserve"> </w:t>
      </w:r>
      <w:r w:rsidRPr="005A639B">
        <w:rPr>
          <w:rFonts w:ascii="Arial" w:eastAsia="Arial" w:hAnsi="Arial" w:cs="Arial"/>
          <w:color w:val="auto"/>
        </w:rPr>
        <w:t xml:space="preserve"> </w:t>
      </w:r>
    </w:p>
    <w:p w14:paraId="64F96920" w14:textId="77777777" w:rsidR="00C20517" w:rsidRPr="00A252BE" w:rsidRDefault="1B1DD6C1" w:rsidP="00E0191D">
      <w:pPr>
        <w:pStyle w:val="Heading2"/>
        <w:spacing w:line="360" w:lineRule="auto"/>
        <w:jc w:val="both"/>
        <w:rPr>
          <w:rFonts w:ascii="Arial" w:eastAsia="Arial" w:hAnsi="Arial" w:cs="Arial"/>
          <w:color w:val="auto"/>
          <w:sz w:val="28"/>
          <w:szCs w:val="28"/>
        </w:rPr>
      </w:pPr>
      <w:bookmarkStart w:id="11" w:name="_Toc225143086"/>
      <w:bookmarkStart w:id="12" w:name="_Toc226479902"/>
      <w:r w:rsidRPr="00A252BE">
        <w:rPr>
          <w:rFonts w:ascii="Arial" w:eastAsia="Arial" w:hAnsi="Arial" w:cs="Arial"/>
          <w:color w:val="auto"/>
          <w:sz w:val="28"/>
          <w:szCs w:val="28"/>
        </w:rPr>
        <w:t>2.1 Introduction</w:t>
      </w:r>
      <w:bookmarkEnd w:id="11"/>
      <w:bookmarkEnd w:id="12"/>
    </w:p>
    <w:p w14:paraId="68D7061D" w14:textId="54C3DFFA" w:rsidR="00367C1A" w:rsidRPr="00A252BE" w:rsidRDefault="5C5740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chapter provides a critical and contextual foundation for examining the relationship between social support and anxiety disorders in adolescents. While the prevalence of adolescent anxiety is well established, explanations for its rise remain contested, reflecting broader tensions within psychological and public health discourse.</w:t>
      </w:r>
    </w:p>
    <w:p w14:paraId="0B9DD0B1" w14:textId="57346D9F" w:rsidR="00367C1A" w:rsidRPr="00A252BE" w:rsidRDefault="5C5740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Epidemiological research suggests that anxiety disorders affect a substantial proportion of young people globally, often emerging before adulthood and persisting across the life course (Kessler et al., 2005; Costello et al., 2003). More recent evidence indicates that prevalence rates may be increasing, potentially linked to social, technological, and economic changes (</w:t>
      </w:r>
      <w:proofErr w:type="spellStart"/>
      <w:r w:rsidRPr="00A252BE">
        <w:rPr>
          <w:rFonts w:ascii="Arial" w:eastAsia="Arial" w:hAnsi="Arial" w:cs="Arial"/>
          <w:sz w:val="22"/>
          <w:szCs w:val="22"/>
        </w:rPr>
        <w:t>Stiede</w:t>
      </w:r>
      <w:proofErr w:type="spellEnd"/>
      <w:r w:rsidRPr="00A252BE">
        <w:rPr>
          <w:rFonts w:ascii="Arial" w:eastAsia="Arial" w:hAnsi="Arial" w:cs="Arial"/>
          <w:sz w:val="22"/>
          <w:szCs w:val="22"/>
        </w:rPr>
        <w:t xml:space="preserve"> et al., 2023; NHS Digital, 2021).</w:t>
      </w:r>
    </w:p>
    <w:p w14:paraId="6E01E32B" w14:textId="0A10D98F" w:rsidR="00367C1A" w:rsidRPr="00A252BE" w:rsidRDefault="7EDD8E5C"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However, this apparent increase is not universally interpreted as a simple rise in pathology. Some scholars argue that improved diagnostic awareness and reduced stigma may partially account for higher reported rates (Creswell et al., 2021). This raises an important conceptual issue: whether adolescent anxiety should be understood primarily as an individual disorder or as a response to changing social conditions</w:t>
      </w:r>
      <w:r w:rsidR="00E931FE" w:rsidRPr="00A252BE">
        <w:rPr>
          <w:rFonts w:ascii="Arial" w:eastAsia="Arial" w:hAnsi="Arial" w:cs="Arial"/>
          <w:sz w:val="22"/>
          <w:szCs w:val="22"/>
        </w:rPr>
        <w:t>.</w:t>
      </w:r>
    </w:p>
    <w:p w14:paraId="65748780" w14:textId="181BF4AC" w:rsidR="00367C1A" w:rsidRPr="00A252BE" w:rsidRDefault="5C5740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chapter adopts a critical, multi-dimensional approach to address this debate. It first examines the historical evolution of anxiety conceptualisation, demonstrating how shifts from psychoanalytic to biomedical and subsequently biopsychosocial models have influenced contemporary understanding. It then critically evaluates key theoretical frameworks</w:t>
      </w:r>
      <w:r w:rsidR="03B5131F" w:rsidRPr="00A252BE">
        <w:rPr>
          <w:rFonts w:ascii="Arial" w:eastAsia="Arial" w:hAnsi="Arial" w:cs="Arial"/>
          <w:sz w:val="22"/>
          <w:szCs w:val="22"/>
        </w:rPr>
        <w:t xml:space="preserve"> </w:t>
      </w:r>
      <w:r w:rsidRPr="00A252BE">
        <w:rPr>
          <w:rFonts w:ascii="Arial" w:eastAsia="Arial" w:hAnsi="Arial" w:cs="Arial"/>
          <w:sz w:val="22"/>
          <w:szCs w:val="22"/>
        </w:rPr>
        <w:t>Cognitive Behavioural Theory (CBT), Attachment Theory, and Social Support Theory</w:t>
      </w:r>
      <w:r w:rsidR="114266FB" w:rsidRPr="00A252BE">
        <w:rPr>
          <w:rFonts w:ascii="Arial" w:eastAsia="Arial" w:hAnsi="Arial" w:cs="Arial"/>
          <w:sz w:val="22"/>
          <w:szCs w:val="22"/>
        </w:rPr>
        <w:t xml:space="preserve"> </w:t>
      </w:r>
      <w:r w:rsidRPr="00A252BE">
        <w:rPr>
          <w:rFonts w:ascii="Arial" w:eastAsia="Arial" w:hAnsi="Arial" w:cs="Arial"/>
          <w:sz w:val="22"/>
          <w:szCs w:val="22"/>
        </w:rPr>
        <w:t>highlighting both their contributions and limitations.</w:t>
      </w:r>
    </w:p>
    <w:p w14:paraId="561D20AE" w14:textId="42F7A2E1" w:rsidR="00367C1A" w:rsidRPr="00A252BE" w:rsidRDefault="5C5740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Importantly, the chapter also situates these theories within broader policy contexts. By comparing international strategies and examining the UK’s national framework, it highlights how structural factors such as inequality, service provision, and cultural norms shape the effectiveness of mental health interventions (Patel et al., 2007; Marmot et al., 2020).</w:t>
      </w:r>
    </w:p>
    <w:p w14:paraId="09B147E4" w14:textId="1C8FE7A6" w:rsidR="3A7CED5F" w:rsidRPr="00A252BE" w:rsidRDefault="7EDD8E5C"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 central argument advanced throughout this chapter is that social support, while widely regarded as protective, is not inherently beneficial. Rather, its impact is contingent upon relational quality, accessibility, and broader structural conditions (Thoits, 2011). This critical stance challenges simplistic assumptions and provides the conceptual foundation for the methodological approach outlined in Chapter 3.</w:t>
      </w:r>
    </w:p>
    <w:p w14:paraId="04CA856E" w14:textId="13697B77" w:rsidR="6AECD7CF" w:rsidRPr="00A252BE" w:rsidRDefault="6AECD7CF" w:rsidP="00E0191D">
      <w:pPr>
        <w:pStyle w:val="Heading2"/>
        <w:spacing w:line="360" w:lineRule="auto"/>
        <w:jc w:val="both"/>
        <w:rPr>
          <w:rFonts w:ascii="Arial" w:hAnsi="Arial" w:cs="Arial"/>
          <w:color w:val="auto"/>
          <w:sz w:val="28"/>
          <w:szCs w:val="28"/>
        </w:rPr>
      </w:pPr>
      <w:bookmarkStart w:id="13" w:name="_Toc225143087"/>
      <w:bookmarkStart w:id="14" w:name="_Toc226479903"/>
      <w:r w:rsidRPr="00A252BE">
        <w:rPr>
          <w:rFonts w:ascii="Arial" w:hAnsi="Arial" w:cs="Arial"/>
          <w:color w:val="auto"/>
          <w:sz w:val="28"/>
          <w:szCs w:val="28"/>
        </w:rPr>
        <w:lastRenderedPageBreak/>
        <w:t>2.2 Historical Background</w:t>
      </w:r>
      <w:bookmarkEnd w:id="13"/>
      <w:bookmarkEnd w:id="14"/>
      <w:r w:rsidRPr="00A252BE">
        <w:rPr>
          <w:rFonts w:ascii="Arial" w:hAnsi="Arial" w:cs="Arial"/>
          <w:color w:val="auto"/>
          <w:sz w:val="28"/>
          <w:szCs w:val="28"/>
        </w:rPr>
        <w:t xml:space="preserve"> </w:t>
      </w:r>
    </w:p>
    <w:p w14:paraId="60276A9E" w14:textId="743905C3" w:rsidR="00367C1A" w:rsidRPr="00A252BE" w:rsidRDefault="649DA588"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The conceptualisation of anxiety has evolved significantly, reflecting broader shifts in psychological theory and societal attitudes. Early psychoanalytic approaches, particularly Freud’s (1926) work, framed anxiety as an intrapsychic conflict. While historically influential, such perspectives have been criticised for their lack of empirical validity and limited applicability to diverse populations.</w:t>
      </w:r>
    </w:p>
    <w:p w14:paraId="504690FE" w14:textId="56FE494B" w:rsidR="00367C1A" w:rsidRPr="00A252BE" w:rsidRDefault="649DA588"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The emergence of biomedical psychiatry in the late 20th century marked a decisive shift towards classification and diagnosis. The DSM-III (American Psychiatric Association, 1980) introduced standardised criteria, enabling more reliable identification of anxiety disorders. This development represented a significant advancement; however, it also contributed to the medicalisation of distress, whereby complex social and emotional experiences are reframed as individual pathology.</w:t>
      </w:r>
    </w:p>
    <w:p w14:paraId="51D9ED97" w14:textId="40149187" w:rsidR="00367C1A" w:rsidRPr="00A252BE" w:rsidRDefault="649DA588"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is problematic because it risks obscuring the broader determinants of mental health. Research has consistently demonstrated that factors such as socioeconomic disadvantage, family instability, and educational pressure play a critical role in shaping adolescent anxiety (Reiss, 2013; Marmot et al., 2020). Consequently, purely biomedical models may offer limited explanatory power.</w:t>
      </w:r>
    </w:p>
    <w:p w14:paraId="74BACD94" w14:textId="0726B682" w:rsidR="00367C1A" w:rsidRPr="00A252BE" w:rsidRDefault="56950C6F"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In response, there has been a growing shift towards biopsychosocial frameworks. The work of Cohen and Wills (1985) is particularly significant in this regard, as it foregrounds the role of social relationships in buffering stress. This marked a departure from individualistic explanations, repositioning mental health within a relational and environmental context.</w:t>
      </w:r>
    </w:p>
    <w:p w14:paraId="7514CC8A" w14:textId="26696FD2" w:rsidR="00367C1A" w:rsidRPr="00A252BE" w:rsidRDefault="56950C6F"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Nevertheless, tensions persist between diagnostic and contextual approaches. While classification systems facilitate treatment, they may also inadvertently reinforce reductionist thinking. This suggests the need for integrative frameworks that recognise the interplay between individual vulnerability and social context</w:t>
      </w:r>
      <w:r w:rsidR="65D156DF" w:rsidRPr="00A252BE">
        <w:rPr>
          <w:rFonts w:ascii="Arial" w:eastAsia="Arial" w:hAnsi="Arial" w:cs="Arial"/>
          <w:sz w:val="22"/>
          <w:szCs w:val="22"/>
        </w:rPr>
        <w:t xml:space="preserve"> </w:t>
      </w:r>
      <w:r w:rsidRPr="00A252BE">
        <w:rPr>
          <w:rFonts w:ascii="Arial" w:eastAsia="Arial" w:hAnsi="Arial" w:cs="Arial"/>
          <w:sz w:val="22"/>
          <w:szCs w:val="22"/>
        </w:rPr>
        <w:t>an approach adopted in this study.</w:t>
      </w:r>
    </w:p>
    <w:p w14:paraId="4A2B8610" w14:textId="0983B4E6" w:rsidR="00367C1A" w:rsidRPr="00A252BE" w:rsidRDefault="1B1DD6C1" w:rsidP="00E0191D">
      <w:pPr>
        <w:pStyle w:val="Heading2"/>
        <w:spacing w:line="360" w:lineRule="auto"/>
        <w:jc w:val="both"/>
        <w:rPr>
          <w:rFonts w:ascii="Arial" w:eastAsia="Arial" w:hAnsi="Arial" w:cs="Arial"/>
          <w:color w:val="auto"/>
          <w:sz w:val="28"/>
          <w:szCs w:val="28"/>
        </w:rPr>
      </w:pPr>
      <w:bookmarkStart w:id="15" w:name="_Toc226479904"/>
      <w:r w:rsidRPr="00A252BE">
        <w:rPr>
          <w:rFonts w:ascii="Arial" w:eastAsia="Arial" w:hAnsi="Arial" w:cs="Arial"/>
          <w:color w:val="auto"/>
          <w:sz w:val="28"/>
          <w:szCs w:val="28"/>
        </w:rPr>
        <w:t>2.3 Theoretical Background</w:t>
      </w:r>
      <w:bookmarkEnd w:id="15"/>
      <w:r w:rsidRPr="00A252BE">
        <w:rPr>
          <w:rFonts w:ascii="Arial" w:eastAsia="Arial" w:hAnsi="Arial" w:cs="Arial"/>
          <w:color w:val="auto"/>
          <w:sz w:val="28"/>
          <w:szCs w:val="28"/>
        </w:rPr>
        <w:t xml:space="preserve"> </w:t>
      </w:r>
    </w:p>
    <w:p w14:paraId="6172AFFD" w14:textId="7FA3D795" w:rsidR="00367C1A" w:rsidRPr="00A252BE" w:rsidRDefault="3F9D51CD"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Understanding adolescent anxiety requires engagement with multiple theoretical perspectives. No single framework sufficiently captures its complexity; therefore, this section critically evaluates three dominant approaches.</w:t>
      </w:r>
    </w:p>
    <w:p w14:paraId="46CDBA1A" w14:textId="77777777" w:rsidR="00592045" w:rsidRPr="00A252BE" w:rsidRDefault="00592045" w:rsidP="00E0191D">
      <w:pPr>
        <w:spacing w:after="0" w:line="360" w:lineRule="auto"/>
        <w:jc w:val="both"/>
        <w:rPr>
          <w:rFonts w:ascii="Arial" w:eastAsia="Arial" w:hAnsi="Arial" w:cs="Arial"/>
          <w:sz w:val="22"/>
          <w:szCs w:val="22"/>
        </w:rPr>
      </w:pPr>
    </w:p>
    <w:p w14:paraId="54CEAD96" w14:textId="39957EBC" w:rsidR="00367C1A" w:rsidRPr="00A252BE" w:rsidRDefault="3F9D51CD" w:rsidP="00E0191D">
      <w:pPr>
        <w:pStyle w:val="Heading3"/>
        <w:spacing w:line="360" w:lineRule="auto"/>
        <w:jc w:val="both"/>
        <w:rPr>
          <w:rFonts w:ascii="Arial" w:eastAsia="Arial" w:hAnsi="Arial" w:cs="Arial"/>
          <w:color w:val="auto"/>
          <w:sz w:val="24"/>
          <w:szCs w:val="24"/>
        </w:rPr>
      </w:pPr>
      <w:bookmarkStart w:id="16" w:name="_Toc225143088"/>
      <w:bookmarkStart w:id="17" w:name="_Toc226479905"/>
      <w:r w:rsidRPr="00A252BE">
        <w:rPr>
          <w:rFonts w:ascii="Arial" w:eastAsia="Arial" w:hAnsi="Arial" w:cs="Arial"/>
          <w:color w:val="auto"/>
          <w:sz w:val="24"/>
          <w:szCs w:val="24"/>
        </w:rPr>
        <w:t>2.3.1 Cognitive Behavioural Theory (CBT)</w:t>
      </w:r>
      <w:bookmarkEnd w:id="16"/>
      <w:bookmarkEnd w:id="17"/>
    </w:p>
    <w:p w14:paraId="23B4CA91" w14:textId="28B85E4D" w:rsidR="00367C1A" w:rsidRPr="00A252BE" w:rsidRDefault="3F9D51CD" w:rsidP="00E0191D">
      <w:pPr>
        <w:spacing w:line="360" w:lineRule="auto"/>
        <w:jc w:val="both"/>
        <w:rPr>
          <w:rFonts w:ascii="Arial" w:eastAsia="Arial" w:hAnsi="Arial" w:cs="Arial"/>
          <w:sz w:val="22"/>
          <w:szCs w:val="22"/>
        </w:rPr>
      </w:pPr>
      <w:r w:rsidRPr="00A252BE">
        <w:rPr>
          <w:rFonts w:ascii="Arial" w:eastAsia="Arial" w:hAnsi="Arial" w:cs="Arial"/>
          <w:sz w:val="22"/>
          <w:szCs w:val="22"/>
        </w:rPr>
        <w:t xml:space="preserve">Cognitive Behavioural Theory (Beck, 1976) conceptualises anxiety as arising from maladaptive cognitive processes. It is one of the most empirically supported treatments, with </w:t>
      </w:r>
      <w:r w:rsidRPr="00A252BE">
        <w:rPr>
          <w:rFonts w:ascii="Arial" w:eastAsia="Arial" w:hAnsi="Arial" w:cs="Arial"/>
          <w:sz w:val="22"/>
          <w:szCs w:val="22"/>
        </w:rPr>
        <w:lastRenderedPageBreak/>
        <w:t>extensive evidence demonstrating its effectiveness across a range of anxiety disorders (Hofmann et al., 2012; Kendall et al., 2016).</w:t>
      </w:r>
    </w:p>
    <w:p w14:paraId="6A0C5BA8" w14:textId="3B2FBF6B" w:rsidR="00367C1A" w:rsidRPr="00A252BE" w:rsidRDefault="3F9D51C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However, despite its empirical strength, CBT has been criticised for its individualistic focus. By prioritising internal thought patterns, it may neglect the social and structural contexts within which anxiety develops. This limitation is particularly relevant in adolescent populations, where peer relationships, family dynamics, and school environments play a central role.</w:t>
      </w:r>
    </w:p>
    <w:p w14:paraId="6D622D4B" w14:textId="082F477E" w:rsidR="00367C1A" w:rsidRPr="00A252BE" w:rsidRDefault="23CA0D43"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Moreover, some scholars argue that CBT aligns with broader neoliberal discourses that emphasise personal responsibility for mental health (Fazel et al., 2014). This raises important questions about its applicability in contexts characterised by structural disadvantage. While CBT may reduce symptoms, it does not necessarily address underlying social stressors.</w:t>
      </w:r>
    </w:p>
    <w:p w14:paraId="719124B3" w14:textId="10F935F6" w:rsidR="00367C1A" w:rsidRPr="00A252BE" w:rsidRDefault="23CA0D43"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That said, emerging research suggests that integrating social support into CBT interventions can enhance outcomes (Spence, 2019). This indicates that while CBT remains valuable, its effectiveness may depend on the inclusion of relational and contextual elements.</w:t>
      </w:r>
    </w:p>
    <w:p w14:paraId="2599192C" w14:textId="1DCFFE38" w:rsidR="00367C1A" w:rsidRPr="00A252BE" w:rsidRDefault="3F9D51CD" w:rsidP="00E0191D">
      <w:pPr>
        <w:pStyle w:val="Heading3"/>
        <w:spacing w:line="360" w:lineRule="auto"/>
        <w:jc w:val="both"/>
        <w:rPr>
          <w:rFonts w:ascii="Arial" w:eastAsia="Arial" w:hAnsi="Arial" w:cs="Arial"/>
          <w:color w:val="auto"/>
          <w:sz w:val="24"/>
          <w:szCs w:val="24"/>
        </w:rPr>
      </w:pPr>
      <w:bookmarkStart w:id="18" w:name="_Toc225143089"/>
      <w:bookmarkStart w:id="19" w:name="_Toc226479906"/>
      <w:r w:rsidRPr="00A252BE">
        <w:rPr>
          <w:rFonts w:ascii="Arial" w:eastAsia="Arial" w:hAnsi="Arial" w:cs="Arial"/>
          <w:color w:val="auto"/>
          <w:sz w:val="24"/>
          <w:szCs w:val="24"/>
        </w:rPr>
        <w:t>2.3.2 Attachment Theory</w:t>
      </w:r>
      <w:bookmarkEnd w:id="18"/>
      <w:bookmarkEnd w:id="19"/>
    </w:p>
    <w:p w14:paraId="391C2BCC" w14:textId="41D38167" w:rsidR="00367C1A" w:rsidRPr="00A252BE" w:rsidRDefault="3F9D51CD" w:rsidP="00E0191D">
      <w:pPr>
        <w:spacing w:line="360" w:lineRule="auto"/>
        <w:jc w:val="both"/>
        <w:rPr>
          <w:rFonts w:ascii="Arial" w:eastAsia="Arial" w:hAnsi="Arial" w:cs="Arial"/>
          <w:sz w:val="22"/>
          <w:szCs w:val="22"/>
        </w:rPr>
      </w:pPr>
      <w:r w:rsidRPr="00A252BE">
        <w:rPr>
          <w:rFonts w:ascii="Arial" w:eastAsia="Arial" w:hAnsi="Arial" w:cs="Arial"/>
          <w:sz w:val="22"/>
          <w:szCs w:val="22"/>
        </w:rPr>
        <w:t>Attachment theory (Bowlby, 1969) offers a relational perspective, emphasising the role of early caregiver relationships in shaping emotional regulation. Empirical studies consistently demonstrate a link between insecure attachment and increased anxiety (</w:t>
      </w:r>
      <w:proofErr w:type="spellStart"/>
      <w:r w:rsidRPr="00A252BE">
        <w:rPr>
          <w:rFonts w:ascii="Arial" w:eastAsia="Arial" w:hAnsi="Arial" w:cs="Arial"/>
          <w:sz w:val="22"/>
          <w:szCs w:val="22"/>
        </w:rPr>
        <w:t>Brumariu</w:t>
      </w:r>
      <w:proofErr w:type="spellEnd"/>
      <w:r w:rsidRPr="00A252BE">
        <w:rPr>
          <w:rFonts w:ascii="Arial" w:eastAsia="Arial" w:hAnsi="Arial" w:cs="Arial"/>
          <w:sz w:val="22"/>
          <w:szCs w:val="22"/>
        </w:rPr>
        <w:t xml:space="preserve"> and Kerns, 2010; McLeod et al., 2007).</w:t>
      </w:r>
    </w:p>
    <w:p w14:paraId="6D9B9C1F" w14:textId="15DDCD7A" w:rsidR="00367C1A" w:rsidRPr="00A252BE" w:rsidRDefault="3F9D51C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However, this perspective has been criticised for its determinism. By emphasising early experiences, it may understate the potential for change during adolescence. This is problematic, as adolescence is a period of significant developmental plasticity, during which peer relationships and social environments become increasingly influential (Allen et al., 2007).</w:t>
      </w:r>
    </w:p>
    <w:p w14:paraId="3C2E2267" w14:textId="1EC82EF0" w:rsidR="00367C1A" w:rsidRPr="00A252BE" w:rsidRDefault="3F9D51C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Furthermore, cross-cultural research suggests that attachment patterns and their implications may vary significantly across contexts</w:t>
      </w:r>
      <w:r w:rsidR="00847F7C" w:rsidRPr="00A252BE">
        <w:rPr>
          <w:rFonts w:ascii="Arial" w:eastAsia="Arial" w:hAnsi="Arial" w:cs="Arial"/>
          <w:sz w:val="22"/>
          <w:szCs w:val="22"/>
        </w:rPr>
        <w:t xml:space="preserve">. </w:t>
      </w:r>
      <w:r w:rsidRPr="00A252BE">
        <w:rPr>
          <w:rFonts w:ascii="Arial" w:eastAsia="Arial" w:hAnsi="Arial" w:cs="Arial"/>
          <w:sz w:val="22"/>
          <w:szCs w:val="22"/>
        </w:rPr>
        <w:t>This challenges the universality of the theory and highlights the need for culturally sensitive approaches.</w:t>
      </w:r>
    </w:p>
    <w:p w14:paraId="228A3C80" w14:textId="6DD210F5" w:rsidR="00367C1A" w:rsidRPr="00A252BE" w:rsidRDefault="23CA0D43"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Despite these limitations, attachment theory remains highly relevant, particularly in explaining why some adolescents are more receptive to social support than others. Recent research also indicates that attachment-based interventions can enhance treatment outcomes when combined with other approaches (Bosmans et al., 2015; Herres et al., 2023).</w:t>
      </w:r>
    </w:p>
    <w:p w14:paraId="51D2F2BF" w14:textId="3D9D872E" w:rsidR="00A459C1" w:rsidRPr="00A252BE" w:rsidRDefault="3F9D51CD" w:rsidP="00E0191D">
      <w:pPr>
        <w:pStyle w:val="Heading3"/>
        <w:spacing w:line="360" w:lineRule="auto"/>
        <w:jc w:val="both"/>
        <w:rPr>
          <w:rFonts w:ascii="Arial" w:eastAsia="Arial" w:hAnsi="Arial" w:cs="Arial"/>
          <w:color w:val="auto"/>
          <w:sz w:val="24"/>
          <w:szCs w:val="24"/>
        </w:rPr>
      </w:pPr>
      <w:bookmarkStart w:id="20" w:name="_Toc225143090"/>
      <w:bookmarkStart w:id="21" w:name="_Toc226479907"/>
      <w:r w:rsidRPr="00A252BE">
        <w:rPr>
          <w:rFonts w:ascii="Arial" w:eastAsia="Arial" w:hAnsi="Arial" w:cs="Arial"/>
          <w:color w:val="auto"/>
          <w:sz w:val="24"/>
          <w:szCs w:val="24"/>
        </w:rPr>
        <w:t>2.3.3 Social Support Theory</w:t>
      </w:r>
      <w:bookmarkEnd w:id="20"/>
      <w:bookmarkEnd w:id="21"/>
    </w:p>
    <w:p w14:paraId="09F2EC63" w14:textId="1DEAEBF3" w:rsidR="00367C1A" w:rsidRPr="00A252BE" w:rsidRDefault="23CA0D43"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Social Support Theory (Cohen and Wills, 1985) forms the conceptual foundation of this study. It posits that social relationships provide resources that buffer against stress and enhance </w:t>
      </w:r>
      <w:r w:rsidRPr="00A252BE">
        <w:rPr>
          <w:rFonts w:ascii="Arial" w:eastAsia="Arial" w:hAnsi="Arial" w:cs="Arial"/>
          <w:sz w:val="22"/>
          <w:szCs w:val="22"/>
        </w:rPr>
        <w:lastRenderedPageBreak/>
        <w:t>well-being. Empirical evidence strongly supports the association between social support and improved mental health outcomes (Rueger et al., 2016; Chu et al., 2010).</w:t>
      </w:r>
    </w:p>
    <w:p w14:paraId="7D3B8B52" w14:textId="2EDFAD9D" w:rsidR="00367C1A" w:rsidRPr="00A252BE" w:rsidRDefault="23CA0D43"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However, the theory is often applied uncritically. It tends to assume that all forms of support are beneficial, overlooking the possibility of negative or conditional support. This is a significant limitation, as peer relationships during adolescence can be both protective and harmful.</w:t>
      </w:r>
    </w:p>
    <w:p w14:paraId="0EFE959E" w14:textId="367EEE53" w:rsidR="00367C1A" w:rsidRPr="00A252BE" w:rsidRDefault="3F9D51C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Additionally, access to social support is unevenly distributed. Socioeconomic inequality, family structure, and cultural norms all influence the availability and effectiveness of support networks (Reiss, 2013). This suggests that social support cannot be understood in isolation from broader structural conditions.</w:t>
      </w:r>
    </w:p>
    <w:p w14:paraId="5D17BF5C" w14:textId="07EE17B6" w:rsidR="00367C1A" w:rsidRPr="00A252BE" w:rsidRDefault="23CA0D43" w:rsidP="00E0191D">
      <w:pPr>
        <w:shd w:val="clear" w:color="auto" w:fill="FFFFFF" w:themeFill="background1"/>
        <w:spacing w:after="180" w:line="360" w:lineRule="auto"/>
        <w:jc w:val="both"/>
        <w:rPr>
          <w:rFonts w:ascii="Arial" w:eastAsia="Arial" w:hAnsi="Arial" w:cs="Arial"/>
        </w:rPr>
      </w:pPr>
      <w:r w:rsidRPr="00A252BE">
        <w:rPr>
          <w:rFonts w:ascii="Arial" w:eastAsia="Arial" w:hAnsi="Arial" w:cs="Arial"/>
          <w:sz w:val="22"/>
          <w:szCs w:val="22"/>
        </w:rPr>
        <w:t xml:space="preserve">Recent developments further complicate the picture. Digital environments have transformed how </w:t>
      </w:r>
      <w:r w:rsidR="7FCA576E" w:rsidRPr="00A252BE">
        <w:rPr>
          <w:rFonts w:ascii="Arial" w:eastAsia="Arial" w:hAnsi="Arial" w:cs="Arial"/>
          <w:sz w:val="22"/>
          <w:szCs w:val="22"/>
        </w:rPr>
        <w:t xml:space="preserve">adolescent’s </w:t>
      </w:r>
      <w:r w:rsidRPr="00A252BE">
        <w:rPr>
          <w:rFonts w:ascii="Arial" w:eastAsia="Arial" w:hAnsi="Arial" w:cs="Arial"/>
          <w:sz w:val="22"/>
          <w:szCs w:val="22"/>
        </w:rPr>
        <w:t>access and experience support. While online platforms can facilitate connection, they may also contribute to anxiety through mechanisms such as social comparison and cyberbullying (Best et al., 2014; Odgers and Jensen, 2020). This highlights the need for an updated conceptualisation of social support that accounts for both offline and online contexts.</w:t>
      </w:r>
    </w:p>
    <w:p w14:paraId="4362138F" w14:textId="701798D9" w:rsidR="00C20517" w:rsidRPr="00A252BE" w:rsidRDefault="23CA0D43" w:rsidP="00E0191D">
      <w:pPr>
        <w:pStyle w:val="Heading3"/>
        <w:spacing w:line="360" w:lineRule="auto"/>
        <w:jc w:val="both"/>
        <w:rPr>
          <w:rFonts w:ascii="Arial" w:hAnsi="Arial" w:cs="Arial"/>
          <w:color w:val="auto"/>
          <w:sz w:val="24"/>
          <w:szCs w:val="24"/>
        </w:rPr>
      </w:pPr>
      <w:bookmarkStart w:id="22" w:name="_Toc225143091"/>
      <w:bookmarkStart w:id="23" w:name="_Toc226479908"/>
      <w:r w:rsidRPr="00A252BE">
        <w:rPr>
          <w:rFonts w:ascii="Arial" w:hAnsi="Arial" w:cs="Arial"/>
          <w:color w:val="auto"/>
          <w:sz w:val="24"/>
          <w:szCs w:val="24"/>
        </w:rPr>
        <w:t>2.3.4 Integrative Perspective</w:t>
      </w:r>
      <w:bookmarkEnd w:id="22"/>
      <w:bookmarkEnd w:id="23"/>
    </w:p>
    <w:p w14:paraId="0D65DC05" w14:textId="756F9E5F" w:rsidR="00367C1A" w:rsidRPr="00A252BE" w:rsidRDefault="3F9D51CD" w:rsidP="00E0191D">
      <w:pPr>
        <w:spacing w:after="180" w:line="360" w:lineRule="auto"/>
        <w:jc w:val="both"/>
        <w:rPr>
          <w:rFonts w:ascii="Arial" w:eastAsia="Arial" w:hAnsi="Arial" w:cs="Arial"/>
          <w:sz w:val="22"/>
          <w:szCs w:val="22"/>
        </w:rPr>
      </w:pPr>
      <w:r w:rsidRPr="00A252BE">
        <w:rPr>
          <w:rFonts w:ascii="Arial" w:eastAsia="Arial" w:hAnsi="Arial" w:cs="Arial"/>
          <w:sz w:val="22"/>
          <w:szCs w:val="22"/>
        </w:rPr>
        <w:t>Taken together, these theories provide complementary insights. CBT explains cognitive processes, attachment theory highlights relational foundations, and social support theory situates these within broader networks.</w:t>
      </w:r>
    </w:p>
    <w:p w14:paraId="3CC76E9F" w14:textId="04C8BEE1" w:rsidR="00A25842" w:rsidRPr="00A252BE" w:rsidRDefault="23CA0D43"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However, each framework also has limitations. This suggests that a multi-theoretical approach is necessary to fully understand adolescent anxiety. By integrating these perspectives, this study aims to capture the complex interplay between individual, relational, and structural factors.</w:t>
      </w:r>
      <w:r w:rsidR="78718D15" w:rsidRPr="00A252BE">
        <w:rPr>
          <w:rFonts w:ascii="Arial" w:eastAsia="Arial" w:hAnsi="Arial" w:cs="Arial"/>
          <w:sz w:val="22"/>
          <w:szCs w:val="22"/>
        </w:rPr>
        <w:t xml:space="preserve"> </w:t>
      </w:r>
    </w:p>
    <w:p w14:paraId="4B9EEDFF" w14:textId="0CAF01CB" w:rsidR="00367C1A" w:rsidRPr="00A252BE" w:rsidRDefault="152BD714" w:rsidP="00E0191D">
      <w:pPr>
        <w:pStyle w:val="Heading2"/>
        <w:spacing w:line="360" w:lineRule="auto"/>
        <w:jc w:val="both"/>
        <w:rPr>
          <w:rFonts w:ascii="Arial" w:eastAsia="Arial" w:hAnsi="Arial" w:cs="Arial"/>
          <w:color w:val="auto"/>
          <w:sz w:val="28"/>
          <w:szCs w:val="28"/>
        </w:rPr>
      </w:pPr>
      <w:bookmarkStart w:id="24" w:name="_Toc225143092"/>
      <w:bookmarkStart w:id="25" w:name="_Toc226479909"/>
      <w:r w:rsidRPr="00A252BE">
        <w:rPr>
          <w:rFonts w:ascii="Arial" w:eastAsia="Arial" w:hAnsi="Arial" w:cs="Arial"/>
          <w:color w:val="auto"/>
          <w:sz w:val="28"/>
          <w:szCs w:val="28"/>
        </w:rPr>
        <w:t>2.4 International Context</w:t>
      </w:r>
      <w:bookmarkEnd w:id="24"/>
      <w:bookmarkEnd w:id="25"/>
    </w:p>
    <w:p w14:paraId="31DF0948" w14:textId="352C4990" w:rsidR="041C4E8F" w:rsidRPr="00A252BE" w:rsidRDefault="309069A9"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The global rise in adolescent anxiety has prompted varied policy responses. High-income countries such as the UK, Canada, and Australia have prioritised early intervention and school-based services. These approaches are supported by evidence demonstrating the effectiveness of school-based mental health programmes (Fazel et al., 2014).</w:t>
      </w:r>
      <w:r w:rsidR="60720515" w:rsidRPr="00A252BE">
        <w:rPr>
          <w:rFonts w:ascii="Arial" w:eastAsia="Arial" w:hAnsi="Arial" w:cs="Arial"/>
          <w:sz w:val="22"/>
          <w:szCs w:val="22"/>
        </w:rPr>
        <w:t xml:space="preserve"> The table below summarises international approaches based on policy priorities, strengths, and challenges:</w:t>
      </w:r>
    </w:p>
    <w:p w14:paraId="73425F51" w14:textId="77777777" w:rsidR="00B52B60" w:rsidRDefault="00B52B60" w:rsidP="00E0191D">
      <w:pPr>
        <w:spacing w:after="0" w:line="360" w:lineRule="auto"/>
        <w:jc w:val="both"/>
        <w:rPr>
          <w:rFonts w:ascii="Arial" w:eastAsia="Arial" w:hAnsi="Arial" w:cs="Arial"/>
          <w:b/>
          <w:bCs/>
          <w:sz w:val="22"/>
          <w:szCs w:val="22"/>
        </w:rPr>
      </w:pPr>
    </w:p>
    <w:p w14:paraId="184F4A4A" w14:textId="77777777" w:rsidR="00446BF0" w:rsidRDefault="00446BF0" w:rsidP="00E0191D">
      <w:pPr>
        <w:spacing w:after="0" w:line="360" w:lineRule="auto"/>
        <w:jc w:val="both"/>
        <w:rPr>
          <w:rFonts w:ascii="Arial" w:eastAsia="Arial" w:hAnsi="Arial" w:cs="Arial"/>
          <w:b/>
          <w:bCs/>
          <w:sz w:val="22"/>
          <w:szCs w:val="22"/>
        </w:rPr>
      </w:pPr>
    </w:p>
    <w:p w14:paraId="54D6E677" w14:textId="77777777" w:rsidR="00446BF0" w:rsidRDefault="00446BF0" w:rsidP="00E0191D">
      <w:pPr>
        <w:spacing w:after="0" w:line="360" w:lineRule="auto"/>
        <w:jc w:val="both"/>
        <w:rPr>
          <w:rFonts w:ascii="Arial" w:eastAsia="Arial" w:hAnsi="Arial" w:cs="Arial"/>
          <w:b/>
          <w:bCs/>
          <w:sz w:val="22"/>
          <w:szCs w:val="22"/>
        </w:rPr>
      </w:pPr>
    </w:p>
    <w:p w14:paraId="0E1A2747" w14:textId="77777777" w:rsidR="00B52B60" w:rsidRDefault="00B52B60" w:rsidP="00E0191D">
      <w:pPr>
        <w:spacing w:after="0" w:line="360" w:lineRule="auto"/>
        <w:jc w:val="both"/>
        <w:rPr>
          <w:rFonts w:ascii="Arial" w:eastAsia="Arial" w:hAnsi="Arial" w:cs="Arial"/>
          <w:b/>
          <w:bCs/>
          <w:sz w:val="22"/>
          <w:szCs w:val="22"/>
        </w:rPr>
      </w:pPr>
    </w:p>
    <w:p w14:paraId="3A44F29B" w14:textId="544FA282" w:rsidR="4EE9CD77" w:rsidRPr="00A252BE" w:rsidRDefault="69D6DCDB" w:rsidP="00E0191D">
      <w:pPr>
        <w:spacing w:after="0" w:line="360" w:lineRule="auto"/>
        <w:jc w:val="both"/>
        <w:rPr>
          <w:rFonts w:ascii="Arial" w:eastAsia="Arial" w:hAnsi="Arial" w:cs="Arial"/>
          <w:sz w:val="22"/>
          <w:szCs w:val="22"/>
        </w:rPr>
      </w:pPr>
      <w:r w:rsidRPr="00A252BE">
        <w:rPr>
          <w:rFonts w:ascii="Arial" w:eastAsia="Arial" w:hAnsi="Arial" w:cs="Arial"/>
          <w:b/>
          <w:bCs/>
          <w:sz w:val="22"/>
          <w:szCs w:val="22"/>
        </w:rPr>
        <w:lastRenderedPageBreak/>
        <w:t>International Comparison of Adolescent Mental Health Policies</w:t>
      </w:r>
    </w:p>
    <w:tbl>
      <w:tblPr>
        <w:tblW w:w="10855" w:type="dxa"/>
        <w:tblInd w:w="-720"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10"/>
        <w:gridCol w:w="512"/>
        <w:gridCol w:w="3528"/>
        <w:gridCol w:w="3123"/>
        <w:gridCol w:w="2582"/>
      </w:tblGrid>
      <w:tr w:rsidR="00B47421" w:rsidRPr="00A252BE" w14:paraId="41A5DB54" w14:textId="77777777" w:rsidTr="00C20517">
        <w:trPr>
          <w:trHeight w:val="305"/>
        </w:trPr>
        <w:tc>
          <w:tcPr>
            <w:tcW w:w="1110" w:type="dxa"/>
            <w:shd w:val="clear" w:color="auto" w:fill="FFFFFF" w:themeFill="background1"/>
            <w:vAlign w:val="center"/>
          </w:tcPr>
          <w:p w14:paraId="251F2B4D" w14:textId="18AEB645"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b/>
                <w:bCs/>
                <w:sz w:val="18"/>
                <w:szCs w:val="18"/>
              </w:rPr>
              <w:t>Country</w:t>
            </w:r>
          </w:p>
        </w:tc>
        <w:tc>
          <w:tcPr>
            <w:tcW w:w="512" w:type="dxa"/>
            <w:shd w:val="clear" w:color="auto" w:fill="FFFFFF" w:themeFill="background1"/>
            <w:vAlign w:val="center"/>
          </w:tcPr>
          <w:p w14:paraId="1C3AA88A" w14:textId="52AAD32A" w:rsidR="3A7CED5F" w:rsidRPr="00A252BE" w:rsidRDefault="3A7CED5F" w:rsidP="00E0191D">
            <w:pPr>
              <w:spacing w:line="360" w:lineRule="auto"/>
              <w:jc w:val="both"/>
              <w:rPr>
                <w:rFonts w:ascii="Arial" w:eastAsia="Arial" w:hAnsi="Arial" w:cs="Arial"/>
                <w:b/>
                <w:bCs/>
                <w:sz w:val="18"/>
                <w:szCs w:val="18"/>
              </w:rPr>
            </w:pPr>
          </w:p>
        </w:tc>
        <w:tc>
          <w:tcPr>
            <w:tcW w:w="3528" w:type="dxa"/>
            <w:shd w:val="clear" w:color="auto" w:fill="FFFFFF" w:themeFill="background1"/>
            <w:vAlign w:val="center"/>
          </w:tcPr>
          <w:p w14:paraId="77EED290" w14:textId="6A55EBAA"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b/>
                <w:bCs/>
                <w:sz w:val="18"/>
                <w:szCs w:val="18"/>
              </w:rPr>
              <w:t>Policy Focus</w:t>
            </w:r>
          </w:p>
        </w:tc>
        <w:tc>
          <w:tcPr>
            <w:tcW w:w="3123" w:type="dxa"/>
            <w:shd w:val="clear" w:color="auto" w:fill="FFFFFF" w:themeFill="background1"/>
            <w:vAlign w:val="center"/>
          </w:tcPr>
          <w:p w14:paraId="53B7B561" w14:textId="11FF0FD0"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b/>
                <w:bCs/>
                <w:sz w:val="18"/>
                <w:szCs w:val="18"/>
              </w:rPr>
              <w:t>Strengths</w:t>
            </w:r>
          </w:p>
        </w:tc>
        <w:tc>
          <w:tcPr>
            <w:tcW w:w="2582" w:type="dxa"/>
            <w:shd w:val="clear" w:color="auto" w:fill="FFFFFF" w:themeFill="background1"/>
            <w:vAlign w:val="center"/>
          </w:tcPr>
          <w:p w14:paraId="0060BC87" w14:textId="0338378F"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b/>
                <w:bCs/>
                <w:sz w:val="18"/>
                <w:szCs w:val="18"/>
              </w:rPr>
              <w:t>Limitations</w:t>
            </w:r>
          </w:p>
        </w:tc>
      </w:tr>
      <w:tr w:rsidR="00B47421" w:rsidRPr="00A252BE" w14:paraId="5DBEBB06" w14:textId="77777777" w:rsidTr="00C20517">
        <w:trPr>
          <w:trHeight w:val="305"/>
        </w:trPr>
        <w:tc>
          <w:tcPr>
            <w:tcW w:w="1110" w:type="dxa"/>
            <w:shd w:val="clear" w:color="auto" w:fill="FFFFFF" w:themeFill="background1"/>
            <w:vAlign w:val="center"/>
          </w:tcPr>
          <w:p w14:paraId="0D0440DD" w14:textId="28D76188"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UK</w:t>
            </w:r>
          </w:p>
        </w:tc>
        <w:tc>
          <w:tcPr>
            <w:tcW w:w="512" w:type="dxa"/>
            <w:shd w:val="clear" w:color="auto" w:fill="FFFFFF" w:themeFill="background1"/>
            <w:vAlign w:val="center"/>
          </w:tcPr>
          <w:p w14:paraId="68BB061D" w14:textId="07955D57" w:rsidR="3A7CED5F" w:rsidRPr="00A252BE" w:rsidRDefault="3A7CED5F" w:rsidP="00E0191D">
            <w:pPr>
              <w:spacing w:line="360" w:lineRule="auto"/>
              <w:jc w:val="both"/>
              <w:rPr>
                <w:rFonts w:ascii="Arial" w:eastAsia="Arial" w:hAnsi="Arial" w:cs="Arial"/>
                <w:sz w:val="18"/>
                <w:szCs w:val="18"/>
              </w:rPr>
            </w:pPr>
          </w:p>
        </w:tc>
        <w:tc>
          <w:tcPr>
            <w:tcW w:w="3528" w:type="dxa"/>
            <w:shd w:val="clear" w:color="auto" w:fill="FFFFFF" w:themeFill="background1"/>
            <w:vAlign w:val="center"/>
          </w:tcPr>
          <w:p w14:paraId="5CC443DE" w14:textId="35649BEF"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Integrated school-based and community services</w:t>
            </w:r>
          </w:p>
        </w:tc>
        <w:tc>
          <w:tcPr>
            <w:tcW w:w="3123" w:type="dxa"/>
            <w:shd w:val="clear" w:color="auto" w:fill="FFFFFF" w:themeFill="background1"/>
            <w:vAlign w:val="center"/>
          </w:tcPr>
          <w:p w14:paraId="34BB55BE" w14:textId="4EBD0BFA"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National and local level strategies, NHS support</w:t>
            </w:r>
          </w:p>
        </w:tc>
        <w:tc>
          <w:tcPr>
            <w:tcW w:w="2582" w:type="dxa"/>
            <w:shd w:val="clear" w:color="auto" w:fill="FFFFFF" w:themeFill="background1"/>
            <w:vAlign w:val="center"/>
          </w:tcPr>
          <w:p w14:paraId="15E3A864" w14:textId="06F9F695"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Access inequality in rural areas</w:t>
            </w:r>
          </w:p>
        </w:tc>
      </w:tr>
      <w:tr w:rsidR="00B47421" w:rsidRPr="00A252BE" w14:paraId="33221266" w14:textId="77777777" w:rsidTr="00C20517">
        <w:trPr>
          <w:trHeight w:val="305"/>
        </w:trPr>
        <w:tc>
          <w:tcPr>
            <w:tcW w:w="1110" w:type="dxa"/>
            <w:shd w:val="clear" w:color="auto" w:fill="FFFFFF" w:themeFill="background1"/>
            <w:vAlign w:val="center"/>
          </w:tcPr>
          <w:p w14:paraId="7D8A4564" w14:textId="65194A52"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USA</w:t>
            </w:r>
          </w:p>
        </w:tc>
        <w:tc>
          <w:tcPr>
            <w:tcW w:w="512" w:type="dxa"/>
            <w:shd w:val="clear" w:color="auto" w:fill="FFFFFF" w:themeFill="background1"/>
            <w:vAlign w:val="center"/>
          </w:tcPr>
          <w:p w14:paraId="1A3192C6" w14:textId="5E321B81" w:rsidR="3A7CED5F" w:rsidRPr="00A252BE" w:rsidRDefault="3A7CED5F" w:rsidP="00E0191D">
            <w:pPr>
              <w:spacing w:line="360" w:lineRule="auto"/>
              <w:jc w:val="both"/>
              <w:rPr>
                <w:rFonts w:ascii="Arial" w:eastAsia="Arial" w:hAnsi="Arial" w:cs="Arial"/>
                <w:sz w:val="18"/>
                <w:szCs w:val="18"/>
              </w:rPr>
            </w:pPr>
          </w:p>
        </w:tc>
        <w:tc>
          <w:tcPr>
            <w:tcW w:w="3528" w:type="dxa"/>
            <w:shd w:val="clear" w:color="auto" w:fill="FFFFFF" w:themeFill="background1"/>
            <w:vAlign w:val="center"/>
          </w:tcPr>
          <w:p w14:paraId="2489859F" w14:textId="22D745E1"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Awareness campaigns, adolescent-focused funding</w:t>
            </w:r>
          </w:p>
        </w:tc>
        <w:tc>
          <w:tcPr>
            <w:tcW w:w="3123" w:type="dxa"/>
            <w:shd w:val="clear" w:color="auto" w:fill="FFFFFF" w:themeFill="background1"/>
            <w:vAlign w:val="center"/>
          </w:tcPr>
          <w:p w14:paraId="48D2254F" w14:textId="2970BE6C"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Strong funding, large-scale awareness</w:t>
            </w:r>
          </w:p>
        </w:tc>
        <w:tc>
          <w:tcPr>
            <w:tcW w:w="2582" w:type="dxa"/>
            <w:shd w:val="clear" w:color="auto" w:fill="FFFFFF" w:themeFill="background1"/>
            <w:vAlign w:val="center"/>
          </w:tcPr>
          <w:p w14:paraId="765601F6" w14:textId="31E099D3" w:rsidR="53DC7FE0" w:rsidRPr="00A252BE" w:rsidRDefault="12807EFC"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High-cost</w:t>
            </w:r>
            <w:r w:rsidR="14FA5CD5" w:rsidRPr="00A252BE">
              <w:rPr>
                <w:rFonts w:ascii="Arial" w:eastAsia="Arial" w:hAnsi="Arial" w:cs="Arial"/>
                <w:sz w:val="18"/>
                <w:szCs w:val="18"/>
              </w:rPr>
              <w:t xml:space="preserve"> barriers, uneven access</w:t>
            </w:r>
          </w:p>
        </w:tc>
      </w:tr>
      <w:tr w:rsidR="00B47421" w:rsidRPr="00A252BE" w14:paraId="617AF328" w14:textId="77777777" w:rsidTr="00C20517">
        <w:trPr>
          <w:trHeight w:val="305"/>
        </w:trPr>
        <w:tc>
          <w:tcPr>
            <w:tcW w:w="1110" w:type="dxa"/>
            <w:shd w:val="clear" w:color="auto" w:fill="FFFFFF" w:themeFill="background1"/>
            <w:vAlign w:val="center"/>
          </w:tcPr>
          <w:p w14:paraId="181476EC" w14:textId="3B06839E"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Canada</w:t>
            </w:r>
          </w:p>
        </w:tc>
        <w:tc>
          <w:tcPr>
            <w:tcW w:w="512" w:type="dxa"/>
            <w:shd w:val="clear" w:color="auto" w:fill="FFFFFF" w:themeFill="background1"/>
            <w:vAlign w:val="center"/>
          </w:tcPr>
          <w:p w14:paraId="7D7094F8" w14:textId="3BEB69DD" w:rsidR="3A7CED5F" w:rsidRPr="00A252BE" w:rsidRDefault="3A7CED5F" w:rsidP="00E0191D">
            <w:pPr>
              <w:spacing w:line="360" w:lineRule="auto"/>
              <w:jc w:val="both"/>
              <w:rPr>
                <w:rFonts w:ascii="Arial" w:eastAsia="Arial" w:hAnsi="Arial" w:cs="Arial"/>
                <w:sz w:val="18"/>
                <w:szCs w:val="18"/>
              </w:rPr>
            </w:pPr>
          </w:p>
        </w:tc>
        <w:tc>
          <w:tcPr>
            <w:tcW w:w="3528" w:type="dxa"/>
            <w:shd w:val="clear" w:color="auto" w:fill="FFFFFF" w:themeFill="background1"/>
            <w:vAlign w:val="center"/>
          </w:tcPr>
          <w:p w14:paraId="2CF88980" w14:textId="5B9B8EB8"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Social support embedded in mental health strategy</w:t>
            </w:r>
          </w:p>
        </w:tc>
        <w:tc>
          <w:tcPr>
            <w:tcW w:w="3123" w:type="dxa"/>
            <w:shd w:val="clear" w:color="auto" w:fill="FFFFFF" w:themeFill="background1"/>
            <w:vAlign w:val="center"/>
          </w:tcPr>
          <w:p w14:paraId="081E0467" w14:textId="555C914D"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Equity-driven, well-funded systems</w:t>
            </w:r>
          </w:p>
        </w:tc>
        <w:tc>
          <w:tcPr>
            <w:tcW w:w="2582" w:type="dxa"/>
            <w:shd w:val="clear" w:color="auto" w:fill="FFFFFF" w:themeFill="background1"/>
            <w:vAlign w:val="center"/>
          </w:tcPr>
          <w:p w14:paraId="7B64682C" w14:textId="7C825DC0"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Provincial disparities in services</w:t>
            </w:r>
          </w:p>
        </w:tc>
      </w:tr>
      <w:tr w:rsidR="00B47421" w:rsidRPr="00A252BE" w14:paraId="482FD454" w14:textId="77777777" w:rsidTr="00C20517">
        <w:trPr>
          <w:trHeight w:val="305"/>
        </w:trPr>
        <w:tc>
          <w:tcPr>
            <w:tcW w:w="1110" w:type="dxa"/>
            <w:shd w:val="clear" w:color="auto" w:fill="FFFFFF" w:themeFill="background1"/>
            <w:vAlign w:val="center"/>
          </w:tcPr>
          <w:p w14:paraId="730FCA46" w14:textId="5198E00C"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Australia</w:t>
            </w:r>
          </w:p>
        </w:tc>
        <w:tc>
          <w:tcPr>
            <w:tcW w:w="512" w:type="dxa"/>
            <w:shd w:val="clear" w:color="auto" w:fill="FFFFFF" w:themeFill="background1"/>
            <w:vAlign w:val="center"/>
          </w:tcPr>
          <w:p w14:paraId="77177264" w14:textId="1238D698" w:rsidR="3A7CED5F" w:rsidRPr="00A252BE" w:rsidRDefault="3A7CED5F" w:rsidP="00E0191D">
            <w:pPr>
              <w:spacing w:line="360" w:lineRule="auto"/>
              <w:jc w:val="both"/>
              <w:rPr>
                <w:rFonts w:ascii="Arial" w:eastAsia="Arial" w:hAnsi="Arial" w:cs="Arial"/>
                <w:sz w:val="18"/>
                <w:szCs w:val="18"/>
              </w:rPr>
            </w:pPr>
          </w:p>
        </w:tc>
        <w:tc>
          <w:tcPr>
            <w:tcW w:w="3528" w:type="dxa"/>
            <w:shd w:val="clear" w:color="auto" w:fill="FFFFFF" w:themeFill="background1"/>
            <w:vAlign w:val="center"/>
          </w:tcPr>
          <w:p w14:paraId="2FC7284B" w14:textId="2BA5A82E"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Early intervention and school-based support</w:t>
            </w:r>
          </w:p>
        </w:tc>
        <w:tc>
          <w:tcPr>
            <w:tcW w:w="3123" w:type="dxa"/>
            <w:shd w:val="clear" w:color="auto" w:fill="FFFFFF" w:themeFill="background1"/>
            <w:vAlign w:val="center"/>
          </w:tcPr>
          <w:p w14:paraId="45B558DB" w14:textId="37C6F25B"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Strong school involvement</w:t>
            </w:r>
          </w:p>
        </w:tc>
        <w:tc>
          <w:tcPr>
            <w:tcW w:w="2582" w:type="dxa"/>
            <w:shd w:val="clear" w:color="auto" w:fill="FFFFFF" w:themeFill="background1"/>
            <w:vAlign w:val="center"/>
          </w:tcPr>
          <w:p w14:paraId="3F45EC61" w14:textId="1C9C0F88"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Limited rural coverage</w:t>
            </w:r>
          </w:p>
        </w:tc>
      </w:tr>
      <w:tr w:rsidR="00B47421" w:rsidRPr="00A252BE" w14:paraId="10CCFCD5" w14:textId="77777777" w:rsidTr="00C20517">
        <w:trPr>
          <w:trHeight w:val="305"/>
        </w:trPr>
        <w:tc>
          <w:tcPr>
            <w:tcW w:w="1110" w:type="dxa"/>
            <w:shd w:val="clear" w:color="auto" w:fill="FFFFFF" w:themeFill="background1"/>
            <w:vAlign w:val="center"/>
          </w:tcPr>
          <w:p w14:paraId="44BBCAEF" w14:textId="23EA3016"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Finland</w:t>
            </w:r>
          </w:p>
        </w:tc>
        <w:tc>
          <w:tcPr>
            <w:tcW w:w="512" w:type="dxa"/>
            <w:shd w:val="clear" w:color="auto" w:fill="FFFFFF" w:themeFill="background1"/>
            <w:vAlign w:val="center"/>
          </w:tcPr>
          <w:p w14:paraId="5DDEE424" w14:textId="4626D6BB" w:rsidR="3A7CED5F" w:rsidRPr="00A252BE" w:rsidRDefault="3A7CED5F" w:rsidP="00E0191D">
            <w:pPr>
              <w:spacing w:line="360" w:lineRule="auto"/>
              <w:jc w:val="both"/>
              <w:rPr>
                <w:rFonts w:ascii="Arial" w:eastAsia="Arial" w:hAnsi="Arial" w:cs="Arial"/>
                <w:sz w:val="18"/>
                <w:szCs w:val="18"/>
              </w:rPr>
            </w:pPr>
          </w:p>
        </w:tc>
        <w:tc>
          <w:tcPr>
            <w:tcW w:w="3528" w:type="dxa"/>
            <w:shd w:val="clear" w:color="auto" w:fill="FFFFFF" w:themeFill="background1"/>
            <w:vAlign w:val="center"/>
          </w:tcPr>
          <w:p w14:paraId="36462FE6" w14:textId="6D84ECA1"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 xml:space="preserve">School-based support model </w:t>
            </w:r>
            <w:r w:rsidR="42C6754F" w:rsidRPr="00A252BE">
              <w:rPr>
                <w:rFonts w:ascii="Arial" w:eastAsia="Arial" w:hAnsi="Arial" w:cs="Arial"/>
                <w:sz w:val="18"/>
                <w:szCs w:val="18"/>
              </w:rPr>
              <w:t>e.g.</w:t>
            </w:r>
            <w:r w:rsidRPr="00A252BE">
              <w:rPr>
                <w:rFonts w:ascii="Arial" w:eastAsia="Arial" w:hAnsi="Arial" w:cs="Arial"/>
                <w:sz w:val="18"/>
                <w:szCs w:val="18"/>
              </w:rPr>
              <w:t xml:space="preserve"> Minding the gap</w:t>
            </w:r>
          </w:p>
        </w:tc>
        <w:tc>
          <w:tcPr>
            <w:tcW w:w="3123" w:type="dxa"/>
            <w:shd w:val="clear" w:color="auto" w:fill="FFFFFF" w:themeFill="background1"/>
            <w:vAlign w:val="center"/>
          </w:tcPr>
          <w:p w14:paraId="2D893997" w14:textId="3E08E724"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Evidence-based, safe environments</w:t>
            </w:r>
          </w:p>
        </w:tc>
        <w:tc>
          <w:tcPr>
            <w:tcW w:w="2582" w:type="dxa"/>
            <w:shd w:val="clear" w:color="auto" w:fill="FFFFFF" w:themeFill="background1"/>
            <w:vAlign w:val="center"/>
          </w:tcPr>
          <w:p w14:paraId="66B93768" w14:textId="67CC01FD"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Scalability limitations</w:t>
            </w:r>
          </w:p>
        </w:tc>
      </w:tr>
      <w:tr w:rsidR="00B47421" w:rsidRPr="00A252BE" w14:paraId="6F45C8EE" w14:textId="77777777" w:rsidTr="00C20517">
        <w:trPr>
          <w:trHeight w:val="305"/>
        </w:trPr>
        <w:tc>
          <w:tcPr>
            <w:tcW w:w="1110" w:type="dxa"/>
            <w:shd w:val="clear" w:color="auto" w:fill="FFFFFF" w:themeFill="background1"/>
            <w:vAlign w:val="center"/>
          </w:tcPr>
          <w:p w14:paraId="671B793E" w14:textId="4550A9D3"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India</w:t>
            </w:r>
          </w:p>
        </w:tc>
        <w:tc>
          <w:tcPr>
            <w:tcW w:w="512" w:type="dxa"/>
            <w:shd w:val="clear" w:color="auto" w:fill="FFFFFF" w:themeFill="background1"/>
            <w:vAlign w:val="center"/>
          </w:tcPr>
          <w:p w14:paraId="32C5CB22" w14:textId="24C15000" w:rsidR="3A7CED5F" w:rsidRPr="00A252BE" w:rsidRDefault="3A7CED5F" w:rsidP="00E0191D">
            <w:pPr>
              <w:spacing w:line="360" w:lineRule="auto"/>
              <w:jc w:val="both"/>
              <w:rPr>
                <w:rFonts w:ascii="Arial" w:eastAsia="Arial" w:hAnsi="Arial" w:cs="Arial"/>
                <w:sz w:val="18"/>
                <w:szCs w:val="18"/>
              </w:rPr>
            </w:pPr>
          </w:p>
        </w:tc>
        <w:tc>
          <w:tcPr>
            <w:tcW w:w="3528" w:type="dxa"/>
            <w:shd w:val="clear" w:color="auto" w:fill="FFFFFF" w:themeFill="background1"/>
            <w:vAlign w:val="center"/>
          </w:tcPr>
          <w:p w14:paraId="0FEA395F" w14:textId="7D00D4D3"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Rising awareness, limited implementation</w:t>
            </w:r>
          </w:p>
        </w:tc>
        <w:tc>
          <w:tcPr>
            <w:tcW w:w="3123" w:type="dxa"/>
            <w:shd w:val="clear" w:color="auto" w:fill="FFFFFF" w:themeFill="background1"/>
            <w:vAlign w:val="center"/>
          </w:tcPr>
          <w:p w14:paraId="52BE817F" w14:textId="28B62783"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NGO involvement growing</w:t>
            </w:r>
          </w:p>
        </w:tc>
        <w:tc>
          <w:tcPr>
            <w:tcW w:w="2582" w:type="dxa"/>
            <w:shd w:val="clear" w:color="auto" w:fill="FFFFFF" w:themeFill="background1"/>
            <w:vAlign w:val="center"/>
          </w:tcPr>
          <w:p w14:paraId="1784703A" w14:textId="0789D676"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Stigma, professional shortages</w:t>
            </w:r>
          </w:p>
        </w:tc>
      </w:tr>
      <w:tr w:rsidR="00B47421" w:rsidRPr="00A252BE" w14:paraId="789C8E45" w14:textId="77777777" w:rsidTr="00C20517">
        <w:trPr>
          <w:trHeight w:val="305"/>
        </w:trPr>
        <w:tc>
          <w:tcPr>
            <w:tcW w:w="1110" w:type="dxa"/>
            <w:shd w:val="clear" w:color="auto" w:fill="FFFFFF" w:themeFill="background1"/>
            <w:vAlign w:val="center"/>
          </w:tcPr>
          <w:p w14:paraId="42F0B2EC" w14:textId="7DA9C61C"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Nigeria</w:t>
            </w:r>
          </w:p>
        </w:tc>
        <w:tc>
          <w:tcPr>
            <w:tcW w:w="512" w:type="dxa"/>
            <w:shd w:val="clear" w:color="auto" w:fill="FFFFFF" w:themeFill="background1"/>
            <w:vAlign w:val="center"/>
          </w:tcPr>
          <w:p w14:paraId="11163031" w14:textId="68384B97" w:rsidR="3A7CED5F" w:rsidRPr="00A252BE" w:rsidRDefault="3A7CED5F" w:rsidP="00E0191D">
            <w:pPr>
              <w:spacing w:line="360" w:lineRule="auto"/>
              <w:jc w:val="both"/>
              <w:rPr>
                <w:rFonts w:ascii="Arial" w:eastAsia="Arial" w:hAnsi="Arial" w:cs="Arial"/>
                <w:sz w:val="18"/>
                <w:szCs w:val="18"/>
              </w:rPr>
            </w:pPr>
          </w:p>
        </w:tc>
        <w:tc>
          <w:tcPr>
            <w:tcW w:w="3528" w:type="dxa"/>
            <w:shd w:val="clear" w:color="auto" w:fill="FFFFFF" w:themeFill="background1"/>
            <w:vAlign w:val="center"/>
          </w:tcPr>
          <w:p w14:paraId="38580C03" w14:textId="16C4E4BC"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Peer-led, community-based initiatives</w:t>
            </w:r>
          </w:p>
        </w:tc>
        <w:tc>
          <w:tcPr>
            <w:tcW w:w="3123" w:type="dxa"/>
            <w:shd w:val="clear" w:color="auto" w:fill="FFFFFF" w:themeFill="background1"/>
            <w:vAlign w:val="center"/>
          </w:tcPr>
          <w:p w14:paraId="0804FABD" w14:textId="29D290A3"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Grassroots innovation</w:t>
            </w:r>
          </w:p>
        </w:tc>
        <w:tc>
          <w:tcPr>
            <w:tcW w:w="2582" w:type="dxa"/>
            <w:shd w:val="clear" w:color="auto" w:fill="FFFFFF" w:themeFill="background1"/>
            <w:vAlign w:val="center"/>
          </w:tcPr>
          <w:p w14:paraId="55415189" w14:textId="5804949F" w:rsidR="53DC7FE0" w:rsidRPr="00A252BE" w:rsidRDefault="0D3BF217" w:rsidP="00E0191D">
            <w:pPr>
              <w:spacing w:after="180" w:line="360" w:lineRule="auto"/>
              <w:jc w:val="both"/>
              <w:rPr>
                <w:rFonts w:ascii="Arial" w:eastAsia="Arial" w:hAnsi="Arial" w:cs="Arial"/>
                <w:sz w:val="18"/>
                <w:szCs w:val="18"/>
              </w:rPr>
            </w:pPr>
            <w:r w:rsidRPr="00A252BE">
              <w:rPr>
                <w:rFonts w:ascii="Arial" w:eastAsia="Arial" w:hAnsi="Arial" w:cs="Arial"/>
                <w:sz w:val="18"/>
                <w:szCs w:val="18"/>
              </w:rPr>
              <w:t>Severe underfunding, few professionals</w:t>
            </w:r>
          </w:p>
        </w:tc>
      </w:tr>
    </w:tbl>
    <w:p w14:paraId="017DA734" w14:textId="73A5F0A9" w:rsidR="53DC7FE0" w:rsidRPr="00A252BE" w:rsidRDefault="53DC7FE0" w:rsidP="00E0191D">
      <w:pPr>
        <w:shd w:val="clear" w:color="auto" w:fill="FFFFFF" w:themeFill="background1"/>
        <w:spacing w:after="180" w:line="360" w:lineRule="auto"/>
        <w:jc w:val="both"/>
        <w:rPr>
          <w:rFonts w:ascii="Arial" w:eastAsia="Arial" w:hAnsi="Arial" w:cs="Arial"/>
          <w:sz w:val="22"/>
          <w:szCs w:val="22"/>
        </w:rPr>
      </w:pPr>
    </w:p>
    <w:p w14:paraId="275A1882" w14:textId="38FB7887" w:rsidR="6D357B54" w:rsidRPr="00A252BE" w:rsidRDefault="3091243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However, the assumption that increased funding leads to improved outcomes is overly simplistic. Despite substantial investment, inequalities in access persist, particularly in rural and disadvantaged communities. This suggests that structural barriers, rather than resource limitations alone, play a significant role.</w:t>
      </w:r>
    </w:p>
    <w:p w14:paraId="05B616FD" w14:textId="101B40A9" w:rsidR="53DC7FE0" w:rsidRPr="00A252BE" w:rsidRDefault="309069A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In contrast, low and middle-income countries often rely on community-based interventions. While these approaches are resource</w:t>
      </w:r>
      <w:r w:rsidR="2B4B78BB" w:rsidRPr="00A252BE">
        <w:rPr>
          <w:rFonts w:ascii="Arial" w:eastAsia="Arial" w:hAnsi="Arial" w:cs="Arial"/>
          <w:sz w:val="22"/>
          <w:szCs w:val="22"/>
        </w:rPr>
        <w:t xml:space="preserve"> </w:t>
      </w:r>
      <w:r w:rsidRPr="00A252BE">
        <w:rPr>
          <w:rFonts w:ascii="Arial" w:eastAsia="Arial" w:hAnsi="Arial" w:cs="Arial"/>
          <w:sz w:val="22"/>
          <w:szCs w:val="22"/>
        </w:rPr>
        <w:t>constrained, they may offer greater cultural relevance and accessibility (Patel et al., 2007). This challenges the notion that high-resource systems are inherently more effective.</w:t>
      </w:r>
    </w:p>
    <w:p w14:paraId="0B7237C0" w14:textId="2D19A8F0" w:rsidR="00367C1A" w:rsidRPr="00A252BE" w:rsidRDefault="3091243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 key insight from this comparison is that policy effectiveness depends not only on resources but also on implementation, cultural adaptation, and community engagement. Failure to account for these factors may limit the impact of even well-funded initiatives.</w:t>
      </w:r>
    </w:p>
    <w:p w14:paraId="177C0825" w14:textId="30247E3B" w:rsidR="00367C1A" w:rsidRPr="00A252BE" w:rsidRDefault="1B1DD6C1" w:rsidP="00E0191D">
      <w:pPr>
        <w:pStyle w:val="Heading2"/>
        <w:spacing w:line="360" w:lineRule="auto"/>
        <w:jc w:val="both"/>
        <w:rPr>
          <w:rFonts w:ascii="Arial" w:eastAsia="Arial" w:hAnsi="Arial" w:cs="Arial"/>
          <w:color w:val="auto"/>
          <w:sz w:val="28"/>
          <w:szCs w:val="28"/>
        </w:rPr>
      </w:pPr>
      <w:bookmarkStart w:id="26" w:name="_Toc225143093"/>
      <w:bookmarkStart w:id="27" w:name="_Toc226479910"/>
      <w:r w:rsidRPr="00A252BE">
        <w:rPr>
          <w:rFonts w:ascii="Arial" w:eastAsia="Arial" w:hAnsi="Arial" w:cs="Arial"/>
          <w:color w:val="auto"/>
          <w:sz w:val="28"/>
          <w:szCs w:val="28"/>
        </w:rPr>
        <w:t>2.5 National/Local UK Context</w:t>
      </w:r>
      <w:bookmarkEnd w:id="26"/>
      <w:bookmarkEnd w:id="27"/>
    </w:p>
    <w:p w14:paraId="7B8ED59C" w14:textId="41C05624" w:rsidR="00367C1A" w:rsidRPr="00A252BE" w:rsidRDefault="685BEA39"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 xml:space="preserve">In the UK, adolescent mental health has become a significant policy priority. Initiatives such as the </w:t>
      </w:r>
      <w:r w:rsidR="00DF32DF" w:rsidRPr="00A252BE">
        <w:rPr>
          <w:rFonts w:ascii="Arial" w:eastAsia="Arial" w:hAnsi="Arial" w:cs="Arial"/>
          <w:sz w:val="22"/>
          <w:szCs w:val="22"/>
        </w:rPr>
        <w:t>Five-Year</w:t>
      </w:r>
      <w:r w:rsidRPr="00A252BE">
        <w:rPr>
          <w:rFonts w:ascii="Arial" w:eastAsia="Arial" w:hAnsi="Arial" w:cs="Arial"/>
          <w:sz w:val="22"/>
          <w:szCs w:val="22"/>
        </w:rPr>
        <w:t xml:space="preserve"> Forward View for Mental Health (2016) and the Green Paper (2017) emphasise early intervention and integrated care.</w:t>
      </w:r>
    </w:p>
    <w:p w14:paraId="38129424" w14:textId="77777777" w:rsidR="00091167" w:rsidRPr="00A252BE" w:rsidRDefault="00091167" w:rsidP="00E0191D">
      <w:pPr>
        <w:spacing w:after="0" w:line="360" w:lineRule="auto"/>
        <w:jc w:val="both"/>
        <w:rPr>
          <w:rFonts w:ascii="Arial" w:eastAsia="Arial" w:hAnsi="Arial" w:cs="Arial"/>
          <w:sz w:val="22"/>
          <w:szCs w:val="22"/>
        </w:rPr>
      </w:pPr>
    </w:p>
    <w:p w14:paraId="23B6CCA1" w14:textId="4B3DF788" w:rsidR="00367C1A" w:rsidRPr="00A252BE" w:rsidRDefault="685BEA3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lastRenderedPageBreak/>
        <w:t>While these frameworks represent important progress, their implementation reveals significant challenges. CAMHS services remain overstretched, with long waiting times undermining the principle of early intervention. This gap between policy and practice is particularly concerning, as delays in treatment can exacerbate anxiety symptoms.</w:t>
      </w:r>
    </w:p>
    <w:p w14:paraId="32DD19A5" w14:textId="7A1560D2" w:rsidR="00367C1A" w:rsidRPr="00A252BE" w:rsidRDefault="1FFE9D05"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Moreover, structural inequalities continue to shape access to care. Adolescents from disadvantaged backgrounds are more likely to experience mental health difficulties yet less likely to receive support (Marmot et al., 2020). This highlights a fundamental contradiction within current policy: while aiming to reduce inequality, existing systems may inadvertently reproduce it.</w:t>
      </w:r>
    </w:p>
    <w:p w14:paraId="68A3500B" w14:textId="72E254F9" w:rsidR="7B7F754E" w:rsidRPr="00A252BE" w:rsidRDefault="685BEA39"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Additionally, cultural barriers remain under-addressed. Minority groups often face stigma and limited access to culturally appropriate services. This suggests that current frameworks, while comprehensive in design, may lack the flexibility required to meet diverse needs.</w:t>
      </w:r>
    </w:p>
    <w:p w14:paraId="0339CC1D" w14:textId="77ABCA5B" w:rsidR="00367C1A" w:rsidRPr="00A252BE" w:rsidRDefault="13E786D1" w:rsidP="00E0191D">
      <w:pPr>
        <w:pStyle w:val="Heading2"/>
        <w:spacing w:before="0" w:after="0" w:line="360" w:lineRule="auto"/>
        <w:jc w:val="both"/>
        <w:rPr>
          <w:rFonts w:ascii="Arial" w:eastAsia="Arial" w:hAnsi="Arial" w:cs="Arial"/>
          <w:color w:val="auto"/>
          <w:sz w:val="28"/>
          <w:szCs w:val="28"/>
        </w:rPr>
      </w:pPr>
      <w:bookmarkStart w:id="28" w:name="_Toc225143094"/>
      <w:bookmarkStart w:id="29" w:name="_Toc226479911"/>
      <w:r w:rsidRPr="00A252BE">
        <w:rPr>
          <w:rFonts w:ascii="Arial" w:eastAsia="Arial" w:hAnsi="Arial" w:cs="Arial"/>
          <w:color w:val="auto"/>
          <w:sz w:val="28"/>
          <w:szCs w:val="28"/>
        </w:rPr>
        <w:t>2.6 Conclusion</w:t>
      </w:r>
      <w:bookmarkEnd w:id="28"/>
      <w:bookmarkEnd w:id="29"/>
      <w:r w:rsidRPr="00A252BE">
        <w:rPr>
          <w:rFonts w:ascii="Arial" w:eastAsia="Arial" w:hAnsi="Arial" w:cs="Arial"/>
          <w:color w:val="auto"/>
          <w:sz w:val="28"/>
          <w:szCs w:val="28"/>
        </w:rPr>
        <w:t xml:space="preserve"> </w:t>
      </w:r>
    </w:p>
    <w:p w14:paraId="72C2C63E" w14:textId="6F57FD54" w:rsidR="00367C1A" w:rsidRPr="00A252BE" w:rsidRDefault="4E3BCC8B" w:rsidP="00E0191D">
      <w:pPr>
        <w:spacing w:line="360" w:lineRule="auto"/>
        <w:jc w:val="both"/>
        <w:rPr>
          <w:rFonts w:ascii="Arial" w:eastAsia="Arial" w:hAnsi="Arial" w:cs="Arial"/>
          <w:sz w:val="22"/>
          <w:szCs w:val="22"/>
        </w:rPr>
      </w:pPr>
      <w:r w:rsidRPr="00A252BE">
        <w:rPr>
          <w:rFonts w:ascii="Arial" w:eastAsia="Arial" w:hAnsi="Arial" w:cs="Arial"/>
          <w:sz w:val="22"/>
          <w:szCs w:val="22"/>
        </w:rPr>
        <w:t>This chapter has critically examined the historical, theoretical, and policy contexts underpinning adolescent anxiety and social support. It has demonstrated that while understanding of anxiety has evolved, significant tensions remain between individualised and socially contextualised approaches.</w:t>
      </w:r>
    </w:p>
    <w:p w14:paraId="6A191DA3" w14:textId="279FE0BD" w:rsidR="00367C1A" w:rsidRPr="00A252BE" w:rsidRDefault="616C7605"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Importantly, the analysis challenges the assumption that social support is universally protective. Instead, its effectiveness is shaped by relational quality, accessibility, and broader structural conditions. This highlights the need for more nuanced and context-sensitive approaches.</w:t>
      </w:r>
    </w:p>
    <w:p w14:paraId="6E6A0A8C" w14:textId="66CF1CB1" w:rsidR="00367C1A" w:rsidRPr="00A252BE" w:rsidRDefault="616C7605"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By integrating multiple theoretical perspectives and critically evaluating policy frameworks, this chapter provides a robust foundation for the study. It also identifies key gaps in existing literature, particularly regarding the differential impact of various forms of social support.</w:t>
      </w:r>
    </w:p>
    <w:p w14:paraId="1946BF2F" w14:textId="2B370E09" w:rsidR="00367C1A" w:rsidRPr="00A252BE" w:rsidRDefault="616C7605"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The following chapter will outline the methodological approach adopted in this research, explaining how thematic analysis will be used to explore these complexities in greater depth.</w:t>
      </w:r>
    </w:p>
    <w:p w14:paraId="5553E885" w14:textId="4630A5F9" w:rsidR="00367C1A" w:rsidRPr="00A252BE" w:rsidRDefault="00367C1A" w:rsidP="00E0191D">
      <w:pPr>
        <w:spacing w:line="360" w:lineRule="auto"/>
        <w:jc w:val="both"/>
        <w:rPr>
          <w:rFonts w:ascii="Arial" w:eastAsia="Arial" w:hAnsi="Arial" w:cs="Arial"/>
          <w:sz w:val="22"/>
          <w:szCs w:val="22"/>
        </w:rPr>
      </w:pPr>
    </w:p>
    <w:p w14:paraId="3E4F0039" w14:textId="293DA097" w:rsidR="3A7CED5F" w:rsidRPr="00A252BE" w:rsidRDefault="3A7CED5F" w:rsidP="00E0191D">
      <w:pPr>
        <w:spacing w:line="360" w:lineRule="auto"/>
        <w:jc w:val="both"/>
        <w:rPr>
          <w:rFonts w:ascii="Arial" w:eastAsia="Arial" w:hAnsi="Arial" w:cs="Arial"/>
          <w:sz w:val="22"/>
          <w:szCs w:val="22"/>
        </w:rPr>
      </w:pPr>
    </w:p>
    <w:p w14:paraId="07749718" w14:textId="77777777" w:rsidR="0015260C" w:rsidRPr="00A252BE" w:rsidRDefault="0015260C" w:rsidP="00E0191D">
      <w:pPr>
        <w:spacing w:line="360" w:lineRule="auto"/>
        <w:jc w:val="both"/>
        <w:rPr>
          <w:rFonts w:ascii="Arial" w:eastAsia="Arial" w:hAnsi="Arial" w:cs="Arial"/>
          <w:sz w:val="22"/>
          <w:szCs w:val="22"/>
        </w:rPr>
      </w:pPr>
    </w:p>
    <w:p w14:paraId="42DA4A27" w14:textId="77777777" w:rsidR="009709D0" w:rsidRDefault="009709D0" w:rsidP="00E0191D">
      <w:pPr>
        <w:spacing w:after="0" w:line="360" w:lineRule="auto"/>
        <w:jc w:val="both"/>
        <w:rPr>
          <w:rFonts w:ascii="Arial" w:eastAsia="Arial" w:hAnsi="Arial" w:cs="Arial"/>
          <w:sz w:val="22"/>
          <w:szCs w:val="22"/>
        </w:rPr>
      </w:pPr>
    </w:p>
    <w:p w14:paraId="7CA286ED" w14:textId="77777777" w:rsidR="00B52B60" w:rsidRDefault="00B52B60" w:rsidP="00E0191D">
      <w:pPr>
        <w:spacing w:after="0" w:line="360" w:lineRule="auto"/>
        <w:jc w:val="both"/>
        <w:rPr>
          <w:rFonts w:ascii="Arial" w:eastAsia="Arial" w:hAnsi="Arial" w:cs="Arial"/>
          <w:sz w:val="22"/>
          <w:szCs w:val="22"/>
        </w:rPr>
      </w:pPr>
    </w:p>
    <w:p w14:paraId="002A591F" w14:textId="77777777" w:rsidR="00B52B60" w:rsidRPr="00A252BE" w:rsidRDefault="00B52B60" w:rsidP="00E0191D">
      <w:pPr>
        <w:spacing w:after="0" w:line="360" w:lineRule="auto"/>
        <w:jc w:val="both"/>
        <w:rPr>
          <w:rFonts w:ascii="Arial" w:eastAsia="Arial" w:hAnsi="Arial" w:cs="Arial"/>
          <w:b/>
          <w:bCs/>
          <w:sz w:val="32"/>
          <w:szCs w:val="32"/>
        </w:rPr>
      </w:pPr>
    </w:p>
    <w:p w14:paraId="5A362852" w14:textId="731C33E6" w:rsidR="008133EE" w:rsidRPr="00721E85" w:rsidRDefault="58802F49" w:rsidP="00E0191D">
      <w:pPr>
        <w:pStyle w:val="Heading1"/>
        <w:spacing w:before="0" w:after="0" w:line="360" w:lineRule="auto"/>
        <w:jc w:val="both"/>
        <w:rPr>
          <w:rFonts w:ascii="Arial" w:eastAsia="Arial" w:hAnsi="Arial" w:cs="Arial"/>
          <w:color w:val="auto"/>
          <w:sz w:val="24"/>
          <w:szCs w:val="24"/>
        </w:rPr>
      </w:pPr>
      <w:bookmarkStart w:id="30" w:name="_Toc225143095"/>
      <w:bookmarkStart w:id="31" w:name="_Toc226479912"/>
      <w:r w:rsidRPr="00721E85">
        <w:rPr>
          <w:rFonts w:ascii="Arial" w:eastAsia="Arial" w:hAnsi="Arial" w:cs="Arial"/>
          <w:color w:val="auto"/>
          <w:sz w:val="32"/>
          <w:szCs w:val="32"/>
        </w:rPr>
        <w:lastRenderedPageBreak/>
        <w:t>CHAPTER 3 – Methods and Search Strategy</w:t>
      </w:r>
      <w:bookmarkEnd w:id="30"/>
      <w:bookmarkEnd w:id="31"/>
      <w:r w:rsidRPr="00721E85">
        <w:rPr>
          <w:rFonts w:ascii="Arial" w:eastAsia="Arial" w:hAnsi="Arial" w:cs="Arial"/>
          <w:color w:val="auto"/>
          <w:sz w:val="24"/>
          <w:szCs w:val="24"/>
        </w:rPr>
        <w:t xml:space="preserve">  </w:t>
      </w:r>
    </w:p>
    <w:p w14:paraId="17B6343F" w14:textId="5F9C2A5B" w:rsidR="00367C1A" w:rsidRPr="00A252BE" w:rsidRDefault="13E786D1" w:rsidP="00E0191D">
      <w:pPr>
        <w:pStyle w:val="Heading2"/>
        <w:spacing w:before="40" w:after="0" w:line="360" w:lineRule="auto"/>
        <w:jc w:val="both"/>
        <w:rPr>
          <w:rFonts w:ascii="Arial" w:eastAsia="Arial" w:hAnsi="Arial" w:cs="Arial"/>
          <w:color w:val="auto"/>
          <w:sz w:val="28"/>
          <w:szCs w:val="28"/>
        </w:rPr>
      </w:pPr>
      <w:bookmarkStart w:id="32" w:name="_Toc225143096"/>
      <w:bookmarkStart w:id="33" w:name="_Toc226479913"/>
      <w:r w:rsidRPr="00A252BE">
        <w:rPr>
          <w:rFonts w:ascii="Arial" w:eastAsia="Arial" w:hAnsi="Arial" w:cs="Arial"/>
          <w:color w:val="auto"/>
          <w:sz w:val="28"/>
          <w:szCs w:val="28"/>
        </w:rPr>
        <w:t>3.1 – Introduction</w:t>
      </w:r>
      <w:bookmarkEnd w:id="32"/>
      <w:bookmarkEnd w:id="33"/>
      <w:r w:rsidRPr="00A252BE">
        <w:rPr>
          <w:rFonts w:ascii="Arial" w:eastAsia="Arial" w:hAnsi="Arial" w:cs="Arial"/>
          <w:color w:val="auto"/>
          <w:sz w:val="28"/>
          <w:szCs w:val="28"/>
        </w:rPr>
        <w:t xml:space="preserve"> </w:t>
      </w:r>
    </w:p>
    <w:p w14:paraId="15FDD2AB" w14:textId="77777777" w:rsidR="004078ED" w:rsidRPr="00A252BE" w:rsidRDefault="004078E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chapter provides a critically informed account of the methodological framework underpinning this research. The study adopts a desk-based, literature-driven design, drawing upon secondary data to explore the relationship between social support and anxiety disorders in adolescents.</w:t>
      </w:r>
    </w:p>
    <w:p w14:paraId="0195A727" w14:textId="77777777" w:rsidR="004078ED" w:rsidRPr="00A252BE" w:rsidRDefault="004078E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Rather than generating primary data, this approach synthesises and critically evaluates existing empirical and theoretical literature to develop a comprehensive, evidence-based understanding of the research problem (Galán Vera et al., 2026; Torales et al., 2026).</w:t>
      </w:r>
    </w:p>
    <w:p w14:paraId="025E0B80" w14:textId="77777777" w:rsidR="004078ED" w:rsidRPr="00A252BE" w:rsidRDefault="004078E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The choice of methodology is underpinned by both epistemological and practical considerations. Epistemologically, the study aligns with an interpretivist orientation, recognising adolescent anxiety and social support as socially constructed phenomena shaped by context, relationships, and lived experience. A qualitative, literature-based approach is therefore appropriate, enabling exploration of patterns, meanings, and interpretations across studies.</w:t>
      </w:r>
    </w:p>
    <w:p w14:paraId="329DEBEA" w14:textId="77777777" w:rsidR="004078ED" w:rsidRPr="00A252BE" w:rsidRDefault="004078E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From a practical and ethical perspective, primary research involving adolescents with mental health difficulties presents challenges, including safeguarding, consent, and potential psychological risk. Secondary research provides a viable and ethically responsible alternative, allowing access to rich datasets without direct participant involvement (</w:t>
      </w:r>
      <w:proofErr w:type="spellStart"/>
      <w:r w:rsidRPr="00A252BE">
        <w:rPr>
          <w:rFonts w:ascii="Arial" w:eastAsia="Arial" w:hAnsi="Arial" w:cs="Arial"/>
          <w:sz w:val="22"/>
          <w:szCs w:val="22"/>
        </w:rPr>
        <w:t>Ackard</w:t>
      </w:r>
      <w:proofErr w:type="spellEnd"/>
      <w:r w:rsidRPr="00A252BE">
        <w:rPr>
          <w:rFonts w:ascii="Arial" w:eastAsia="Arial" w:hAnsi="Arial" w:cs="Arial"/>
          <w:sz w:val="22"/>
          <w:szCs w:val="22"/>
        </w:rPr>
        <w:t xml:space="preserve"> and Eisenberg, 2026; </w:t>
      </w:r>
      <w:proofErr w:type="spellStart"/>
      <w:r w:rsidRPr="00A252BE">
        <w:rPr>
          <w:rFonts w:ascii="Arial" w:eastAsia="Arial" w:hAnsi="Arial" w:cs="Arial"/>
          <w:sz w:val="22"/>
          <w:szCs w:val="22"/>
        </w:rPr>
        <w:t>Widiyawati</w:t>
      </w:r>
      <w:proofErr w:type="spellEnd"/>
      <w:r w:rsidRPr="00A252BE">
        <w:rPr>
          <w:rFonts w:ascii="Arial" w:eastAsia="Arial" w:hAnsi="Arial" w:cs="Arial"/>
          <w:sz w:val="22"/>
          <w:szCs w:val="22"/>
        </w:rPr>
        <w:t xml:space="preserve"> and </w:t>
      </w:r>
      <w:proofErr w:type="spellStart"/>
      <w:r w:rsidRPr="00A252BE">
        <w:rPr>
          <w:rFonts w:ascii="Arial" w:eastAsia="Arial" w:hAnsi="Arial" w:cs="Arial"/>
          <w:sz w:val="22"/>
          <w:szCs w:val="22"/>
        </w:rPr>
        <w:t>Musfara</w:t>
      </w:r>
      <w:proofErr w:type="spellEnd"/>
      <w:r w:rsidRPr="00A252BE">
        <w:rPr>
          <w:rFonts w:ascii="Arial" w:eastAsia="Arial" w:hAnsi="Arial" w:cs="Arial"/>
          <w:sz w:val="22"/>
          <w:szCs w:val="22"/>
        </w:rPr>
        <w:t>, 2026).</w:t>
      </w:r>
    </w:p>
    <w:p w14:paraId="40EDA597" w14:textId="77777777" w:rsidR="004078ED" w:rsidRPr="00A252BE" w:rsidRDefault="004078E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However, this approach is dependent on the availability, quality, and scope of existing literature, raising potential concerns around bias, representativeness, and completeness. To address this, a systematic and transparent process was implemented, supported by detailed documentation (see Appendix A), including search logs, screening stages, and coding frameworks.</w:t>
      </w:r>
    </w:p>
    <w:p w14:paraId="61653922" w14:textId="542DD74E" w:rsidR="001E43FC" w:rsidRPr="00A252BE" w:rsidRDefault="004078ED"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Overall, this chapter demonstrates methodological rigour, transparency, and critical reflexivity, ensuring academic credibility.</w:t>
      </w:r>
    </w:p>
    <w:p w14:paraId="5296A065" w14:textId="0520D5B1" w:rsidR="00367C1A" w:rsidRPr="00CE5854" w:rsidRDefault="13E786D1" w:rsidP="00721E85">
      <w:pPr>
        <w:pStyle w:val="Heading2"/>
        <w:rPr>
          <w:rStyle w:val="Heading3Char"/>
          <w:rFonts w:ascii="Arial" w:hAnsi="Arial" w:cs="Arial"/>
          <w:color w:val="auto"/>
        </w:rPr>
      </w:pPr>
      <w:bookmarkStart w:id="34" w:name="_Toc225143097"/>
      <w:bookmarkStart w:id="35" w:name="_Toc226479914"/>
      <w:r w:rsidRPr="00CE5854">
        <w:rPr>
          <w:rFonts w:ascii="Arial" w:hAnsi="Arial" w:cs="Arial"/>
          <w:color w:val="auto"/>
          <w:sz w:val="28"/>
          <w:szCs w:val="28"/>
        </w:rPr>
        <w:t xml:space="preserve">3.2 –  </w:t>
      </w:r>
      <w:r w:rsidR="4B25E312" w:rsidRPr="00CE5854">
        <w:rPr>
          <w:rFonts w:ascii="Arial" w:hAnsi="Arial" w:cs="Arial"/>
          <w:color w:val="auto"/>
          <w:sz w:val="28"/>
          <w:szCs w:val="28"/>
        </w:rPr>
        <w:t xml:space="preserve"> </w:t>
      </w:r>
      <w:r w:rsidR="4B25E312" w:rsidRPr="00CE5854">
        <w:rPr>
          <w:rStyle w:val="Heading3Char"/>
          <w:rFonts w:ascii="Arial" w:hAnsi="Arial" w:cs="Arial"/>
          <w:color w:val="auto"/>
        </w:rPr>
        <w:t>Research Design and Strategy</w:t>
      </w:r>
      <w:bookmarkEnd w:id="34"/>
      <w:bookmarkEnd w:id="35"/>
    </w:p>
    <w:p w14:paraId="016E9A95" w14:textId="77777777" w:rsidR="000A7D90" w:rsidRPr="00A252BE" w:rsidRDefault="000A7D90" w:rsidP="00E0191D">
      <w:pPr>
        <w:spacing w:line="360" w:lineRule="auto"/>
        <w:jc w:val="both"/>
        <w:rPr>
          <w:rFonts w:ascii="Arial" w:hAnsi="Arial" w:cs="Arial"/>
          <w:sz w:val="22"/>
          <w:szCs w:val="22"/>
        </w:rPr>
      </w:pPr>
      <w:r w:rsidRPr="00A252BE">
        <w:rPr>
          <w:rFonts w:ascii="Arial" w:hAnsi="Arial" w:cs="Arial"/>
          <w:sz w:val="22"/>
          <w:szCs w:val="22"/>
        </w:rPr>
        <w:t>This study adopts a systematic literature review approach, incorporating structured review methods to enhance transparency and replicability. While not a full PRISMA review, it is informed by its principles, particularly systematic searching, screening, and documentation of sources.</w:t>
      </w:r>
    </w:p>
    <w:p w14:paraId="5542DA12" w14:textId="77777777" w:rsidR="000A7D90" w:rsidRPr="00A252BE" w:rsidRDefault="000A7D90" w:rsidP="00E0191D">
      <w:pPr>
        <w:spacing w:line="360" w:lineRule="auto"/>
        <w:jc w:val="both"/>
        <w:rPr>
          <w:rFonts w:ascii="Arial" w:hAnsi="Arial" w:cs="Arial"/>
          <w:sz w:val="22"/>
          <w:szCs w:val="22"/>
        </w:rPr>
      </w:pPr>
      <w:r w:rsidRPr="00A252BE">
        <w:rPr>
          <w:rFonts w:ascii="Arial" w:hAnsi="Arial" w:cs="Arial"/>
          <w:sz w:val="22"/>
          <w:szCs w:val="22"/>
        </w:rPr>
        <w:lastRenderedPageBreak/>
        <w:t>The PRISMA framework (Preferred Reporting Items for Systematic Reviews and Meta-Analyses) provides a structured approach to identifying, screening, and including studies. In this research, PRISMA-informed processes ensured clarity and methodological rigour.</w:t>
      </w:r>
    </w:p>
    <w:p w14:paraId="31B4A87A" w14:textId="77777777" w:rsidR="000A7D90" w:rsidRPr="00A252BE" w:rsidRDefault="000A7D90" w:rsidP="00E0191D">
      <w:pPr>
        <w:spacing w:line="360" w:lineRule="auto"/>
        <w:jc w:val="both"/>
        <w:rPr>
          <w:rFonts w:ascii="Arial" w:hAnsi="Arial" w:cs="Arial"/>
          <w:sz w:val="22"/>
          <w:szCs w:val="22"/>
        </w:rPr>
      </w:pPr>
      <w:r w:rsidRPr="00A252BE">
        <w:rPr>
          <w:rFonts w:ascii="Arial" w:hAnsi="Arial" w:cs="Arial"/>
          <w:sz w:val="22"/>
          <w:szCs w:val="22"/>
        </w:rPr>
        <w:t>The selection process followed staged screening, beginning with approximately 29,600 sources identified across databases. These were reduced through systematic filtering, with around 120 retained after title and abstract screening, 65 undergoing full-text review, and 35 included in the final analysis (see Appendix A).</w:t>
      </w:r>
    </w:p>
    <w:p w14:paraId="538D8139" w14:textId="77777777" w:rsidR="000A7D90" w:rsidRPr="00A252BE" w:rsidRDefault="000A7D90" w:rsidP="00E0191D">
      <w:pPr>
        <w:spacing w:line="360" w:lineRule="auto"/>
        <w:jc w:val="both"/>
        <w:rPr>
          <w:rFonts w:ascii="Arial" w:hAnsi="Arial" w:cs="Arial"/>
          <w:sz w:val="22"/>
          <w:szCs w:val="22"/>
        </w:rPr>
      </w:pPr>
      <w:r w:rsidRPr="00A252BE">
        <w:rPr>
          <w:rFonts w:ascii="Arial" w:hAnsi="Arial" w:cs="Arial"/>
          <w:sz w:val="22"/>
          <w:szCs w:val="22"/>
        </w:rPr>
        <w:t>This structured reduction demonstrates that literature selection was guided by clear criteria rather than arbitrary choice. However, systematic approaches cannot fully eliminate bias, particularly where researcher judgement is required during screening.</w:t>
      </w:r>
    </w:p>
    <w:p w14:paraId="278B3B2E" w14:textId="6F84913E" w:rsidR="000A7D90" w:rsidRPr="00A252BE" w:rsidRDefault="000A7D90" w:rsidP="00E0191D">
      <w:pPr>
        <w:spacing w:line="360" w:lineRule="auto"/>
        <w:jc w:val="both"/>
        <w:rPr>
          <w:rFonts w:ascii="Arial" w:hAnsi="Arial" w:cs="Arial"/>
          <w:sz w:val="22"/>
          <w:szCs w:val="22"/>
        </w:rPr>
      </w:pPr>
      <w:r w:rsidRPr="00A252BE">
        <w:rPr>
          <w:rFonts w:ascii="Arial" w:hAnsi="Arial" w:cs="Arial"/>
          <w:sz w:val="22"/>
          <w:szCs w:val="22"/>
        </w:rPr>
        <w:t>The study also adopts a qualitative analytical strategy, using thematic analysis to interpret patterns across the literature. This reflects a hybrid methodology, combining structured searching with in-depth qualitative interpretation.</w:t>
      </w:r>
    </w:p>
    <w:p w14:paraId="47E6620B" w14:textId="38A11EFC" w:rsidR="00367C1A" w:rsidRPr="00A252BE" w:rsidRDefault="1D17040A" w:rsidP="00E0191D">
      <w:pPr>
        <w:pStyle w:val="Heading2"/>
        <w:spacing w:line="360" w:lineRule="auto"/>
        <w:jc w:val="both"/>
        <w:rPr>
          <w:rFonts w:ascii="Arial" w:eastAsia="Arial" w:hAnsi="Arial" w:cs="Arial"/>
          <w:color w:val="auto"/>
          <w:sz w:val="28"/>
          <w:szCs w:val="28"/>
        </w:rPr>
      </w:pPr>
      <w:bookmarkStart w:id="36" w:name="_Toc225143098"/>
      <w:bookmarkStart w:id="37" w:name="_Toc226479915"/>
      <w:r w:rsidRPr="00A252BE">
        <w:rPr>
          <w:rFonts w:ascii="Arial" w:eastAsia="Arial" w:hAnsi="Arial" w:cs="Arial"/>
          <w:color w:val="auto"/>
          <w:sz w:val="28"/>
          <w:szCs w:val="28"/>
        </w:rPr>
        <w:t>3.3– Search</w:t>
      </w:r>
      <w:r w:rsidR="419E0D0C" w:rsidRPr="00A252BE">
        <w:rPr>
          <w:rFonts w:ascii="Arial" w:eastAsia="Arial" w:hAnsi="Arial" w:cs="Arial"/>
          <w:color w:val="auto"/>
          <w:sz w:val="28"/>
          <w:szCs w:val="28"/>
        </w:rPr>
        <w:t xml:space="preserve"> Strategy</w:t>
      </w:r>
      <w:bookmarkEnd w:id="36"/>
      <w:bookmarkEnd w:id="37"/>
    </w:p>
    <w:p w14:paraId="0EF2E593" w14:textId="15C7F37A" w:rsidR="79F7C8E3" w:rsidRPr="00A252BE" w:rsidRDefault="3FA37404" w:rsidP="00E0191D">
      <w:pPr>
        <w:spacing w:line="360" w:lineRule="auto"/>
        <w:jc w:val="both"/>
        <w:rPr>
          <w:rFonts w:ascii="Arial" w:eastAsia="Arial" w:hAnsi="Arial" w:cs="Arial"/>
          <w:b/>
          <w:bCs/>
          <w:sz w:val="22"/>
          <w:szCs w:val="22"/>
        </w:rPr>
      </w:pPr>
      <w:r w:rsidRPr="00A252BE">
        <w:rPr>
          <w:rFonts w:ascii="Arial" w:eastAsia="Arial" w:hAnsi="Arial" w:cs="Arial"/>
          <w:b/>
          <w:bCs/>
          <w:sz w:val="22"/>
          <w:szCs w:val="22"/>
        </w:rPr>
        <w:t>Structured and Iterative Search Process</w:t>
      </w:r>
    </w:p>
    <w:p w14:paraId="414EB832" w14:textId="77777777" w:rsidR="00012099" w:rsidRPr="00A252BE" w:rsidRDefault="00012099" w:rsidP="00E0191D">
      <w:pPr>
        <w:spacing w:line="360" w:lineRule="auto"/>
        <w:jc w:val="both"/>
        <w:rPr>
          <w:rFonts w:ascii="Arial" w:eastAsia="Arial" w:hAnsi="Arial" w:cs="Arial"/>
          <w:sz w:val="22"/>
          <w:szCs w:val="22"/>
        </w:rPr>
      </w:pPr>
      <w:r w:rsidRPr="00A252BE">
        <w:rPr>
          <w:rFonts w:ascii="Arial" w:eastAsia="Arial" w:hAnsi="Arial" w:cs="Arial"/>
          <w:sz w:val="22"/>
          <w:szCs w:val="22"/>
        </w:rPr>
        <w:t>A structured search strategy was developed to ensure comprehensive and relevant literature retrieval. Keywords were derived from the research question and refined iteratively. Core terms included “social support,” “anxiety disorders,” and “adolescents,” alongside related synonyms such as “youth anxiety,” “mental health,” and “psychological support” (</w:t>
      </w:r>
      <w:proofErr w:type="spellStart"/>
      <w:r w:rsidRPr="00A252BE">
        <w:rPr>
          <w:rFonts w:ascii="Arial" w:eastAsia="Arial" w:hAnsi="Arial" w:cs="Arial"/>
          <w:sz w:val="22"/>
          <w:szCs w:val="22"/>
        </w:rPr>
        <w:t>Ossipova</w:t>
      </w:r>
      <w:proofErr w:type="spellEnd"/>
      <w:r w:rsidRPr="00A252BE">
        <w:rPr>
          <w:rFonts w:ascii="Arial" w:eastAsia="Arial" w:hAnsi="Arial" w:cs="Arial"/>
          <w:sz w:val="22"/>
          <w:szCs w:val="22"/>
        </w:rPr>
        <w:t xml:space="preserve"> et al., 2026).</w:t>
      </w:r>
    </w:p>
    <w:p w14:paraId="1880ECB9" w14:textId="0205F605" w:rsidR="00012099" w:rsidRPr="00A252BE" w:rsidRDefault="00012099" w:rsidP="00E0191D">
      <w:pPr>
        <w:spacing w:line="360" w:lineRule="auto"/>
        <w:jc w:val="both"/>
        <w:rPr>
          <w:rFonts w:ascii="Arial" w:eastAsia="Arial" w:hAnsi="Arial" w:cs="Arial"/>
          <w:sz w:val="22"/>
          <w:szCs w:val="22"/>
        </w:rPr>
      </w:pPr>
      <w:r w:rsidRPr="00A252BE">
        <w:rPr>
          <w:rFonts w:ascii="Arial" w:eastAsia="Arial" w:hAnsi="Arial" w:cs="Arial"/>
          <w:sz w:val="22"/>
          <w:szCs w:val="22"/>
        </w:rPr>
        <w:t>Boolean operators enhanced precision:</w:t>
      </w:r>
    </w:p>
    <w:p w14:paraId="250620F8" w14:textId="77777777" w:rsidR="00012099" w:rsidRPr="00A252BE" w:rsidRDefault="00012099" w:rsidP="00E0191D">
      <w:pPr>
        <w:numPr>
          <w:ilvl w:val="0"/>
          <w:numId w:val="18"/>
        </w:numPr>
        <w:spacing w:line="360" w:lineRule="auto"/>
        <w:jc w:val="both"/>
        <w:rPr>
          <w:rFonts w:ascii="Arial" w:eastAsia="Arial" w:hAnsi="Arial" w:cs="Arial"/>
          <w:sz w:val="22"/>
          <w:szCs w:val="22"/>
        </w:rPr>
      </w:pPr>
      <w:r w:rsidRPr="00A252BE">
        <w:rPr>
          <w:rFonts w:ascii="Arial" w:eastAsia="Arial" w:hAnsi="Arial" w:cs="Arial"/>
          <w:sz w:val="22"/>
          <w:szCs w:val="22"/>
        </w:rPr>
        <w:t>AND to combine concepts</w:t>
      </w:r>
    </w:p>
    <w:p w14:paraId="772B8090" w14:textId="77777777" w:rsidR="00012099" w:rsidRPr="00A252BE" w:rsidRDefault="00012099" w:rsidP="00E0191D">
      <w:pPr>
        <w:numPr>
          <w:ilvl w:val="0"/>
          <w:numId w:val="18"/>
        </w:numPr>
        <w:spacing w:line="360" w:lineRule="auto"/>
        <w:jc w:val="both"/>
        <w:rPr>
          <w:rFonts w:ascii="Arial" w:eastAsia="Arial" w:hAnsi="Arial" w:cs="Arial"/>
          <w:sz w:val="22"/>
          <w:szCs w:val="22"/>
        </w:rPr>
      </w:pPr>
      <w:r w:rsidRPr="00A252BE">
        <w:rPr>
          <w:rFonts w:ascii="Arial" w:eastAsia="Arial" w:hAnsi="Arial" w:cs="Arial"/>
          <w:sz w:val="22"/>
          <w:szCs w:val="22"/>
        </w:rPr>
        <w:t>OR to include synonyms</w:t>
      </w:r>
    </w:p>
    <w:p w14:paraId="437663A5" w14:textId="40255F3B" w:rsidR="00B51ABA" w:rsidRDefault="00012099" w:rsidP="00B51ABA">
      <w:pPr>
        <w:numPr>
          <w:ilvl w:val="0"/>
          <w:numId w:val="18"/>
        </w:numPr>
        <w:spacing w:line="360" w:lineRule="auto"/>
        <w:jc w:val="both"/>
        <w:rPr>
          <w:rFonts w:ascii="Arial" w:eastAsia="Arial" w:hAnsi="Arial" w:cs="Arial"/>
          <w:sz w:val="22"/>
          <w:szCs w:val="22"/>
        </w:rPr>
      </w:pPr>
      <w:r w:rsidRPr="00A252BE">
        <w:rPr>
          <w:rFonts w:ascii="Arial" w:eastAsia="Arial" w:hAnsi="Arial" w:cs="Arial"/>
          <w:sz w:val="22"/>
          <w:szCs w:val="22"/>
        </w:rPr>
        <w:t>NOT</w:t>
      </w:r>
      <w:r w:rsidR="00B51ABA">
        <w:rPr>
          <w:rFonts w:ascii="Arial" w:eastAsia="Arial" w:hAnsi="Arial" w:cs="Arial"/>
          <w:sz w:val="22"/>
          <w:szCs w:val="22"/>
        </w:rPr>
        <w:t xml:space="preserve"> to exclude irrelevant results</w:t>
      </w:r>
    </w:p>
    <w:p w14:paraId="4A45EE74" w14:textId="4B3B5689" w:rsidR="00B51ABA" w:rsidRDefault="00B51ABA" w:rsidP="00B51ABA">
      <w:pPr>
        <w:spacing w:line="360" w:lineRule="auto"/>
        <w:ind w:left="720"/>
        <w:jc w:val="both"/>
        <w:rPr>
          <w:rFonts w:ascii="Arial" w:eastAsia="Arial" w:hAnsi="Arial" w:cs="Arial"/>
          <w:sz w:val="22"/>
          <w:szCs w:val="22"/>
        </w:rPr>
      </w:pPr>
      <w:r w:rsidRPr="00B51ABA">
        <w:rPr>
          <w:rFonts w:ascii="Arial" w:eastAsia="Arial" w:hAnsi="Arial" w:cs="Arial"/>
          <w:sz w:val="22"/>
          <w:szCs w:val="22"/>
        </w:rPr>
        <w:t>(</w:t>
      </w:r>
      <w:proofErr w:type="spellStart"/>
      <w:r w:rsidRPr="00B51ABA">
        <w:rPr>
          <w:rFonts w:ascii="Arial" w:eastAsia="Arial" w:hAnsi="Arial" w:cs="Arial"/>
          <w:sz w:val="22"/>
          <w:szCs w:val="22"/>
        </w:rPr>
        <w:t>Driessens</w:t>
      </w:r>
      <w:proofErr w:type="spellEnd"/>
      <w:r w:rsidRPr="00B51ABA">
        <w:rPr>
          <w:rFonts w:ascii="Arial" w:eastAsia="Arial" w:hAnsi="Arial" w:cs="Arial"/>
          <w:sz w:val="22"/>
          <w:szCs w:val="22"/>
        </w:rPr>
        <w:t xml:space="preserve"> et al., 2026)</w:t>
      </w:r>
    </w:p>
    <w:p w14:paraId="479D7A48" w14:textId="77777777" w:rsidR="00012099" w:rsidRPr="00A252BE" w:rsidRDefault="00012099" w:rsidP="00E0191D">
      <w:pPr>
        <w:spacing w:line="360" w:lineRule="auto"/>
        <w:jc w:val="both"/>
        <w:rPr>
          <w:rFonts w:ascii="Arial" w:eastAsia="Arial" w:hAnsi="Arial" w:cs="Arial"/>
          <w:sz w:val="22"/>
          <w:szCs w:val="22"/>
        </w:rPr>
      </w:pPr>
    </w:p>
    <w:p w14:paraId="62A581E8" w14:textId="112C80A5" w:rsidR="00012099" w:rsidRPr="00A252BE" w:rsidRDefault="00012099" w:rsidP="00E0191D">
      <w:pPr>
        <w:spacing w:line="360" w:lineRule="auto"/>
        <w:jc w:val="both"/>
        <w:rPr>
          <w:rFonts w:ascii="Arial" w:eastAsia="Arial" w:hAnsi="Arial" w:cs="Arial"/>
          <w:sz w:val="22"/>
          <w:szCs w:val="22"/>
        </w:rPr>
      </w:pPr>
      <w:r w:rsidRPr="00A252BE">
        <w:rPr>
          <w:rFonts w:ascii="Arial" w:eastAsia="Arial" w:hAnsi="Arial" w:cs="Arial"/>
          <w:sz w:val="22"/>
          <w:szCs w:val="22"/>
        </w:rPr>
        <w:t>The search process was iterative rather than linear. Initial searches often produced overly broad results, requiring refinement of keywords and combinations. This reflects best practice in systematic review methodology, where strategies evolve in response to findings.</w:t>
      </w:r>
    </w:p>
    <w:p w14:paraId="70CA5CE1" w14:textId="38D97D82" w:rsidR="00012099" w:rsidRPr="00A252BE" w:rsidRDefault="00012099" w:rsidP="00E0191D">
      <w:pPr>
        <w:spacing w:line="360" w:lineRule="auto"/>
        <w:jc w:val="both"/>
        <w:rPr>
          <w:rFonts w:ascii="Arial" w:eastAsia="Arial" w:hAnsi="Arial" w:cs="Arial"/>
          <w:sz w:val="22"/>
          <w:szCs w:val="22"/>
        </w:rPr>
      </w:pPr>
      <w:r w:rsidRPr="00A252BE">
        <w:rPr>
          <w:rFonts w:ascii="Arial" w:eastAsia="Arial" w:hAnsi="Arial" w:cs="Arial"/>
          <w:sz w:val="22"/>
          <w:szCs w:val="22"/>
        </w:rPr>
        <w:t>To ensure transparency, a detailed search log was maintained (Appendix A), recording search terms, databases, results retrieved, and relevant studies identified.</w:t>
      </w:r>
      <w:r w:rsidR="00DA37CD" w:rsidRPr="00A252BE">
        <w:rPr>
          <w:rFonts w:ascii="Arial" w:eastAsia="Arial" w:hAnsi="Arial" w:cs="Arial"/>
          <w:sz w:val="22"/>
          <w:szCs w:val="22"/>
        </w:rPr>
        <w:t xml:space="preserve"> To further enhance </w:t>
      </w:r>
      <w:r w:rsidR="00DA37CD" w:rsidRPr="00A252BE">
        <w:rPr>
          <w:rFonts w:ascii="Arial" w:eastAsia="Arial" w:hAnsi="Arial" w:cs="Arial"/>
          <w:sz w:val="22"/>
          <w:szCs w:val="22"/>
        </w:rPr>
        <w:lastRenderedPageBreak/>
        <w:t>transparency, a Source Tracking Table and Results Summary Sheet were developed and are included in Appendix A. These tables document the selection, evaluation, and synthesis of sources, demonstrating how key studies were identified, compared, and analysed throughout the research process.</w:t>
      </w:r>
    </w:p>
    <w:p w14:paraId="0F4DE5B2" w14:textId="469FDD4E" w:rsidR="006F68D5" w:rsidRPr="00A252BE" w:rsidRDefault="00012099" w:rsidP="00E0191D">
      <w:pPr>
        <w:spacing w:line="360" w:lineRule="auto"/>
        <w:jc w:val="both"/>
        <w:rPr>
          <w:rFonts w:ascii="Arial" w:eastAsia="Arial" w:hAnsi="Arial" w:cs="Arial"/>
          <w:sz w:val="22"/>
          <w:szCs w:val="22"/>
        </w:rPr>
      </w:pPr>
      <w:r w:rsidRPr="00A252BE">
        <w:rPr>
          <w:rFonts w:ascii="Arial" w:eastAsia="Arial" w:hAnsi="Arial" w:cs="Arial"/>
          <w:sz w:val="22"/>
          <w:szCs w:val="22"/>
        </w:rPr>
        <w:t>For example, searches such as “social support AND anxiety adolescents” produced over 12,000 results, which were narrowed through filtering and screening. This demonstrates both the breadth of initial data and the rigour of refinement.</w:t>
      </w:r>
    </w:p>
    <w:p w14:paraId="5088CD2D" w14:textId="7CEB6246" w:rsidR="00367C1A" w:rsidRPr="00A252BE" w:rsidRDefault="6ED76399" w:rsidP="00E0191D">
      <w:pPr>
        <w:pStyle w:val="Heading2"/>
        <w:spacing w:line="360" w:lineRule="auto"/>
        <w:jc w:val="both"/>
        <w:rPr>
          <w:rFonts w:ascii="Arial" w:eastAsia="Arial" w:hAnsi="Arial" w:cs="Arial"/>
          <w:color w:val="auto"/>
          <w:sz w:val="28"/>
          <w:szCs w:val="28"/>
        </w:rPr>
      </w:pPr>
      <w:bookmarkStart w:id="38" w:name="_Toc225143099"/>
      <w:bookmarkStart w:id="39" w:name="_Toc226479916"/>
      <w:r w:rsidRPr="00A252BE">
        <w:rPr>
          <w:rFonts w:ascii="Arial" w:eastAsia="Arial" w:hAnsi="Arial" w:cs="Arial"/>
          <w:color w:val="auto"/>
          <w:sz w:val="28"/>
          <w:szCs w:val="28"/>
        </w:rPr>
        <w:t>3.4</w:t>
      </w:r>
      <w:r w:rsidR="6C1D42CD" w:rsidRPr="00A252BE">
        <w:rPr>
          <w:rFonts w:ascii="Arial" w:eastAsia="Arial" w:hAnsi="Arial" w:cs="Arial"/>
          <w:color w:val="auto"/>
          <w:sz w:val="28"/>
          <w:szCs w:val="28"/>
        </w:rPr>
        <w:t>– Data</w:t>
      </w:r>
      <w:r w:rsidR="3B0D6251" w:rsidRPr="00A252BE">
        <w:rPr>
          <w:rFonts w:ascii="Arial" w:eastAsia="Arial" w:hAnsi="Arial" w:cs="Arial"/>
          <w:color w:val="auto"/>
          <w:sz w:val="28"/>
          <w:szCs w:val="28"/>
        </w:rPr>
        <w:t xml:space="preserve"> Sources and Selection Process</w:t>
      </w:r>
      <w:bookmarkEnd w:id="38"/>
      <w:bookmarkEnd w:id="39"/>
    </w:p>
    <w:p w14:paraId="357F760C" w14:textId="7DF9DFAF" w:rsidR="00B01FCE" w:rsidRPr="00A252BE" w:rsidRDefault="00B01FCE" w:rsidP="00E0191D">
      <w:pPr>
        <w:spacing w:line="360" w:lineRule="auto"/>
        <w:jc w:val="both"/>
        <w:rPr>
          <w:rFonts w:ascii="Arial" w:eastAsia="Arial" w:hAnsi="Arial" w:cs="Arial"/>
          <w:sz w:val="22"/>
          <w:szCs w:val="22"/>
        </w:rPr>
      </w:pPr>
      <w:r w:rsidRPr="00A252BE">
        <w:rPr>
          <w:rFonts w:ascii="Arial" w:eastAsia="Arial" w:hAnsi="Arial" w:cs="Arial"/>
          <w:sz w:val="22"/>
          <w:szCs w:val="22"/>
        </w:rPr>
        <w:t>A range of academic databases was utilised, including Google Scholar, PubMed, and UWTSD Library databases, selected for their credibility and extensive coverage of peer-reviewed research (Runkle et al., 2026).</w:t>
      </w:r>
    </w:p>
    <w:p w14:paraId="59C0D18F" w14:textId="02C3A6B8" w:rsidR="00B01FCE" w:rsidRPr="00A252BE" w:rsidRDefault="00B01FCE" w:rsidP="00E0191D">
      <w:pPr>
        <w:spacing w:line="360" w:lineRule="auto"/>
        <w:jc w:val="both"/>
        <w:rPr>
          <w:rFonts w:ascii="Arial" w:eastAsia="Arial" w:hAnsi="Arial" w:cs="Arial"/>
          <w:sz w:val="22"/>
          <w:szCs w:val="22"/>
        </w:rPr>
      </w:pPr>
      <w:r w:rsidRPr="00A252BE">
        <w:rPr>
          <w:rFonts w:ascii="Arial" w:eastAsia="Arial" w:hAnsi="Arial" w:cs="Arial"/>
          <w:sz w:val="22"/>
          <w:szCs w:val="22"/>
        </w:rPr>
        <w:t>Filters were applied to enhance relevance:</w:t>
      </w:r>
    </w:p>
    <w:p w14:paraId="553447E5" w14:textId="77777777" w:rsidR="00B01FCE" w:rsidRPr="00A252BE" w:rsidRDefault="00B01FCE" w:rsidP="00E0191D">
      <w:pPr>
        <w:numPr>
          <w:ilvl w:val="0"/>
          <w:numId w:val="19"/>
        </w:numPr>
        <w:spacing w:line="360" w:lineRule="auto"/>
        <w:jc w:val="both"/>
        <w:rPr>
          <w:rFonts w:ascii="Arial" w:eastAsia="Arial" w:hAnsi="Arial" w:cs="Arial"/>
          <w:sz w:val="22"/>
          <w:szCs w:val="22"/>
        </w:rPr>
      </w:pPr>
      <w:r w:rsidRPr="00A252BE">
        <w:rPr>
          <w:rFonts w:ascii="Arial" w:eastAsia="Arial" w:hAnsi="Arial" w:cs="Arial"/>
          <w:sz w:val="22"/>
          <w:szCs w:val="22"/>
        </w:rPr>
        <w:t>Publication date (last 10 years)</w:t>
      </w:r>
    </w:p>
    <w:p w14:paraId="51B6FA13" w14:textId="77777777" w:rsidR="00B01FCE" w:rsidRPr="00A252BE" w:rsidRDefault="00B01FCE" w:rsidP="00E0191D">
      <w:pPr>
        <w:numPr>
          <w:ilvl w:val="0"/>
          <w:numId w:val="19"/>
        </w:numPr>
        <w:spacing w:line="360" w:lineRule="auto"/>
        <w:jc w:val="both"/>
        <w:rPr>
          <w:rFonts w:ascii="Arial" w:eastAsia="Arial" w:hAnsi="Arial" w:cs="Arial"/>
          <w:sz w:val="22"/>
          <w:szCs w:val="22"/>
        </w:rPr>
      </w:pPr>
      <w:r w:rsidRPr="00A252BE">
        <w:rPr>
          <w:rFonts w:ascii="Arial" w:eastAsia="Arial" w:hAnsi="Arial" w:cs="Arial"/>
          <w:sz w:val="22"/>
          <w:szCs w:val="22"/>
        </w:rPr>
        <w:t>Peer-reviewed status</w:t>
      </w:r>
    </w:p>
    <w:p w14:paraId="0CD96295" w14:textId="1C76D475" w:rsidR="00BE66F5" w:rsidRDefault="00B01FCE" w:rsidP="00E0191D">
      <w:pPr>
        <w:numPr>
          <w:ilvl w:val="0"/>
          <w:numId w:val="19"/>
        </w:numPr>
        <w:spacing w:line="360" w:lineRule="auto"/>
        <w:jc w:val="both"/>
        <w:rPr>
          <w:rFonts w:ascii="Arial" w:eastAsia="Arial" w:hAnsi="Arial" w:cs="Arial"/>
          <w:sz w:val="22"/>
          <w:szCs w:val="22"/>
          <w:lang w:val="fr-FR"/>
        </w:rPr>
      </w:pPr>
      <w:r w:rsidRPr="00F2366E">
        <w:rPr>
          <w:rFonts w:ascii="Arial" w:eastAsia="Arial" w:hAnsi="Arial" w:cs="Arial"/>
          <w:sz w:val="22"/>
          <w:szCs w:val="22"/>
          <w:lang w:val="fr-FR"/>
        </w:rPr>
        <w:t xml:space="preserve">Focus </w:t>
      </w:r>
      <w:r w:rsidR="00BE66F5">
        <w:rPr>
          <w:rFonts w:ascii="Arial" w:eastAsia="Arial" w:hAnsi="Arial" w:cs="Arial"/>
          <w:sz w:val="22"/>
          <w:szCs w:val="22"/>
          <w:lang w:val="fr-FR"/>
        </w:rPr>
        <w:t>on adolescent populations</w:t>
      </w:r>
    </w:p>
    <w:p w14:paraId="39A734C8" w14:textId="34B2B5C9" w:rsidR="00B01FCE" w:rsidRPr="00F2366E" w:rsidRDefault="00BE66F5" w:rsidP="00BE66F5">
      <w:pPr>
        <w:pStyle w:val="ListParagraph"/>
        <w:spacing w:line="360" w:lineRule="auto"/>
        <w:jc w:val="both"/>
        <w:rPr>
          <w:rFonts w:ascii="Arial" w:eastAsia="Arial" w:hAnsi="Arial" w:cs="Arial"/>
          <w:sz w:val="22"/>
          <w:szCs w:val="22"/>
          <w:lang w:val="fr-FR"/>
        </w:rPr>
      </w:pPr>
      <w:r w:rsidRPr="00BE66F5">
        <w:rPr>
          <w:rFonts w:ascii="Arial" w:eastAsia="Arial" w:hAnsi="Arial" w:cs="Arial"/>
          <w:sz w:val="22"/>
          <w:szCs w:val="22"/>
          <w:lang w:val="fr-FR"/>
        </w:rPr>
        <w:t>(Thompson et al., 2026)</w:t>
      </w:r>
      <w:r w:rsidR="00377DAD">
        <w:rPr>
          <w:rFonts w:ascii="Arial" w:eastAsia="Arial" w:hAnsi="Arial" w:cs="Arial"/>
          <w:sz w:val="22"/>
          <w:szCs w:val="22"/>
          <w:lang w:val="fr-FR"/>
        </w:rPr>
        <w:t>.</w:t>
      </w:r>
    </w:p>
    <w:p w14:paraId="55B42140" w14:textId="1F182E4F" w:rsidR="00B01FCE" w:rsidRPr="00A252BE" w:rsidRDefault="00B01FCE" w:rsidP="00E0191D">
      <w:pPr>
        <w:spacing w:line="360" w:lineRule="auto"/>
        <w:jc w:val="both"/>
        <w:rPr>
          <w:rFonts w:ascii="Arial" w:eastAsia="Arial" w:hAnsi="Arial" w:cs="Arial"/>
          <w:sz w:val="22"/>
          <w:szCs w:val="22"/>
        </w:rPr>
      </w:pPr>
      <w:r w:rsidRPr="00A252BE">
        <w:rPr>
          <w:rFonts w:ascii="Arial" w:eastAsia="Arial" w:hAnsi="Arial" w:cs="Arial"/>
          <w:sz w:val="22"/>
          <w:szCs w:val="22"/>
        </w:rPr>
        <w:t>While filtering improves currency and quality, it may exclude seminal studies. This limitation was addressed by selectively including foundational literature where relevant.</w:t>
      </w:r>
    </w:p>
    <w:p w14:paraId="2BCE2548" w14:textId="180C26DE" w:rsidR="00B01FCE" w:rsidRPr="00A252BE" w:rsidRDefault="00B01FCE" w:rsidP="00E0191D">
      <w:pPr>
        <w:spacing w:line="360" w:lineRule="auto"/>
        <w:jc w:val="both"/>
        <w:rPr>
          <w:rFonts w:ascii="Arial" w:eastAsia="Arial" w:hAnsi="Arial" w:cs="Arial"/>
          <w:sz w:val="22"/>
          <w:szCs w:val="22"/>
        </w:rPr>
      </w:pPr>
      <w:r w:rsidRPr="00A252BE">
        <w:rPr>
          <w:rFonts w:ascii="Arial" w:eastAsia="Arial" w:hAnsi="Arial" w:cs="Arial"/>
          <w:sz w:val="22"/>
          <w:szCs w:val="22"/>
        </w:rPr>
        <w:t>The selection process followed PRISMA-informed stages:</w:t>
      </w:r>
    </w:p>
    <w:p w14:paraId="1E78FB86" w14:textId="77777777" w:rsidR="00B01FCE" w:rsidRPr="00A252BE" w:rsidRDefault="00B01FCE" w:rsidP="00E0191D">
      <w:pPr>
        <w:numPr>
          <w:ilvl w:val="0"/>
          <w:numId w:val="20"/>
        </w:numPr>
        <w:spacing w:line="360" w:lineRule="auto"/>
        <w:jc w:val="both"/>
        <w:rPr>
          <w:rFonts w:ascii="Arial" w:eastAsia="Arial" w:hAnsi="Arial" w:cs="Arial"/>
          <w:sz w:val="22"/>
          <w:szCs w:val="22"/>
        </w:rPr>
      </w:pPr>
      <w:r w:rsidRPr="00A252BE">
        <w:rPr>
          <w:rFonts w:ascii="Arial" w:eastAsia="Arial" w:hAnsi="Arial" w:cs="Arial"/>
          <w:sz w:val="22"/>
          <w:szCs w:val="22"/>
        </w:rPr>
        <w:t>Title screening</w:t>
      </w:r>
    </w:p>
    <w:p w14:paraId="2255F848" w14:textId="77777777" w:rsidR="00B01FCE" w:rsidRPr="00A252BE" w:rsidRDefault="00B01FCE" w:rsidP="00E0191D">
      <w:pPr>
        <w:numPr>
          <w:ilvl w:val="0"/>
          <w:numId w:val="20"/>
        </w:numPr>
        <w:spacing w:line="360" w:lineRule="auto"/>
        <w:jc w:val="both"/>
        <w:rPr>
          <w:rFonts w:ascii="Arial" w:eastAsia="Arial" w:hAnsi="Arial" w:cs="Arial"/>
          <w:sz w:val="22"/>
          <w:szCs w:val="22"/>
        </w:rPr>
      </w:pPr>
      <w:r w:rsidRPr="00A252BE">
        <w:rPr>
          <w:rFonts w:ascii="Arial" w:eastAsia="Arial" w:hAnsi="Arial" w:cs="Arial"/>
          <w:sz w:val="22"/>
          <w:szCs w:val="22"/>
        </w:rPr>
        <w:t>Abstract screening</w:t>
      </w:r>
    </w:p>
    <w:p w14:paraId="7263026C" w14:textId="47003BA6" w:rsidR="00B01FCE" w:rsidRPr="00A252BE" w:rsidRDefault="00B01FCE" w:rsidP="00E0191D">
      <w:pPr>
        <w:numPr>
          <w:ilvl w:val="0"/>
          <w:numId w:val="20"/>
        </w:numPr>
        <w:spacing w:line="360" w:lineRule="auto"/>
        <w:jc w:val="both"/>
        <w:rPr>
          <w:rFonts w:ascii="Arial" w:eastAsia="Arial" w:hAnsi="Arial" w:cs="Arial"/>
          <w:sz w:val="22"/>
          <w:szCs w:val="22"/>
        </w:rPr>
      </w:pPr>
      <w:r w:rsidRPr="00A252BE">
        <w:rPr>
          <w:rFonts w:ascii="Arial" w:eastAsia="Arial" w:hAnsi="Arial" w:cs="Arial"/>
          <w:sz w:val="22"/>
          <w:szCs w:val="22"/>
        </w:rPr>
        <w:t>Full-text review</w:t>
      </w:r>
    </w:p>
    <w:p w14:paraId="5B60CCE3" w14:textId="77777777" w:rsidR="00B01FCE" w:rsidRPr="00A252BE" w:rsidRDefault="00B01FCE" w:rsidP="00E0191D">
      <w:pPr>
        <w:spacing w:line="360" w:lineRule="auto"/>
        <w:jc w:val="both"/>
        <w:rPr>
          <w:rFonts w:ascii="Arial" w:eastAsia="Arial" w:hAnsi="Arial" w:cs="Arial"/>
          <w:sz w:val="22"/>
          <w:szCs w:val="22"/>
        </w:rPr>
      </w:pPr>
      <w:r w:rsidRPr="00A252BE">
        <w:rPr>
          <w:rFonts w:ascii="Arial" w:eastAsia="Arial" w:hAnsi="Arial" w:cs="Arial"/>
          <w:sz w:val="22"/>
          <w:szCs w:val="22"/>
        </w:rPr>
        <w:t>This staged approach reduces irrelevant inclusion and strengthens dataset validity. However, decisions at each stage are influenced by researcher judgement, reinforcing the importance of transparency.</w:t>
      </w:r>
    </w:p>
    <w:p w14:paraId="72BCCA34" w14:textId="2BA110C9" w:rsidR="53DC7FE0" w:rsidRPr="00A252BE" w:rsidRDefault="53DC7FE0" w:rsidP="00E0191D">
      <w:pPr>
        <w:spacing w:line="360" w:lineRule="auto"/>
        <w:jc w:val="both"/>
        <w:rPr>
          <w:rFonts w:ascii="Arial" w:eastAsia="Arial" w:hAnsi="Arial" w:cs="Arial"/>
          <w:sz w:val="22"/>
          <w:szCs w:val="22"/>
        </w:rPr>
      </w:pPr>
    </w:p>
    <w:p w14:paraId="5048AEEE" w14:textId="77777777" w:rsidR="006F68D5" w:rsidRPr="00A252BE" w:rsidRDefault="006F68D5" w:rsidP="00E0191D">
      <w:pPr>
        <w:spacing w:line="360" w:lineRule="auto"/>
        <w:jc w:val="both"/>
        <w:rPr>
          <w:rFonts w:ascii="Arial" w:eastAsia="Arial" w:hAnsi="Arial" w:cs="Arial"/>
          <w:sz w:val="22"/>
          <w:szCs w:val="22"/>
        </w:rPr>
      </w:pPr>
    </w:p>
    <w:p w14:paraId="6CF25AEA" w14:textId="3055AEE5" w:rsidR="53DC7FE0" w:rsidRPr="002C092A" w:rsidRDefault="05CA9D3E" w:rsidP="00CE5854">
      <w:pPr>
        <w:pStyle w:val="Heading2"/>
        <w:rPr>
          <w:rFonts w:ascii="Arial" w:eastAsia="Arial" w:hAnsi="Arial" w:cs="Arial"/>
          <w:color w:val="auto"/>
          <w:sz w:val="28"/>
          <w:szCs w:val="28"/>
        </w:rPr>
      </w:pPr>
      <w:bookmarkStart w:id="40" w:name="_Toc225143100"/>
      <w:bookmarkStart w:id="41" w:name="_Toc226479917"/>
      <w:r w:rsidRPr="002C092A">
        <w:rPr>
          <w:rFonts w:ascii="Arial" w:eastAsia="Arial" w:hAnsi="Arial" w:cs="Arial"/>
          <w:color w:val="auto"/>
          <w:sz w:val="28"/>
          <w:szCs w:val="28"/>
        </w:rPr>
        <w:lastRenderedPageBreak/>
        <w:t>3.5 Research Validation</w:t>
      </w:r>
      <w:bookmarkEnd w:id="40"/>
      <w:bookmarkEnd w:id="41"/>
    </w:p>
    <w:p w14:paraId="377C2821" w14:textId="77777777" w:rsidR="006F08AE" w:rsidRPr="00A252BE" w:rsidRDefault="006F08AE" w:rsidP="00E0191D">
      <w:pPr>
        <w:spacing w:line="360" w:lineRule="auto"/>
        <w:jc w:val="both"/>
        <w:rPr>
          <w:rFonts w:ascii="Arial" w:hAnsi="Arial" w:cs="Arial"/>
          <w:sz w:val="22"/>
          <w:szCs w:val="22"/>
        </w:rPr>
      </w:pPr>
      <w:r w:rsidRPr="00A252BE">
        <w:rPr>
          <w:rFonts w:ascii="Arial" w:hAnsi="Arial" w:cs="Arial"/>
          <w:sz w:val="22"/>
          <w:szCs w:val="22"/>
        </w:rPr>
        <w:t>To ensure credibility, a multi-layered validation process was implemented. Initial screening assessed relevance through titles and abstracts (Galán Vera et al., 2026).</w:t>
      </w:r>
    </w:p>
    <w:p w14:paraId="1444D21A" w14:textId="43006411" w:rsidR="006F08AE" w:rsidRPr="00A252BE" w:rsidRDefault="006F08AE" w:rsidP="00E0191D">
      <w:pPr>
        <w:spacing w:line="360" w:lineRule="auto"/>
        <w:jc w:val="both"/>
        <w:rPr>
          <w:rFonts w:ascii="Arial" w:hAnsi="Arial" w:cs="Arial"/>
          <w:sz w:val="22"/>
          <w:szCs w:val="22"/>
        </w:rPr>
      </w:pPr>
      <w:r w:rsidRPr="00A252BE">
        <w:rPr>
          <w:rFonts w:ascii="Arial" w:hAnsi="Arial" w:cs="Arial"/>
          <w:sz w:val="22"/>
          <w:szCs w:val="22"/>
        </w:rPr>
        <w:t>The CRAAP test was then applied, evaluating Currency, Relevance, Authority, Accuracy, and Purpose (</w:t>
      </w:r>
      <w:proofErr w:type="spellStart"/>
      <w:r w:rsidRPr="00A252BE">
        <w:rPr>
          <w:rFonts w:ascii="Arial" w:hAnsi="Arial" w:cs="Arial"/>
          <w:sz w:val="22"/>
          <w:szCs w:val="22"/>
        </w:rPr>
        <w:t>Ackard</w:t>
      </w:r>
      <w:proofErr w:type="spellEnd"/>
      <w:r w:rsidRPr="00A252BE">
        <w:rPr>
          <w:rFonts w:ascii="Arial" w:hAnsi="Arial" w:cs="Arial"/>
          <w:sz w:val="22"/>
          <w:szCs w:val="22"/>
        </w:rPr>
        <w:t xml:space="preserve"> and Eisenberg, 2026). Priority was given to:</w:t>
      </w:r>
    </w:p>
    <w:p w14:paraId="2F3CEB3D" w14:textId="77777777" w:rsidR="006F08AE" w:rsidRPr="00A252BE" w:rsidRDefault="006F08AE" w:rsidP="00E0191D">
      <w:pPr>
        <w:numPr>
          <w:ilvl w:val="0"/>
          <w:numId w:val="21"/>
        </w:numPr>
        <w:spacing w:line="360" w:lineRule="auto"/>
        <w:jc w:val="both"/>
        <w:rPr>
          <w:rFonts w:ascii="Arial" w:hAnsi="Arial" w:cs="Arial"/>
          <w:sz w:val="22"/>
          <w:szCs w:val="22"/>
        </w:rPr>
      </w:pPr>
      <w:r w:rsidRPr="00A252BE">
        <w:rPr>
          <w:rFonts w:ascii="Arial" w:hAnsi="Arial" w:cs="Arial"/>
          <w:sz w:val="22"/>
          <w:szCs w:val="22"/>
        </w:rPr>
        <w:t>Recently published studies</w:t>
      </w:r>
    </w:p>
    <w:p w14:paraId="4F195B0D" w14:textId="77777777" w:rsidR="006F08AE" w:rsidRPr="00A252BE" w:rsidRDefault="006F08AE" w:rsidP="00E0191D">
      <w:pPr>
        <w:numPr>
          <w:ilvl w:val="0"/>
          <w:numId w:val="21"/>
        </w:numPr>
        <w:spacing w:line="360" w:lineRule="auto"/>
        <w:jc w:val="both"/>
        <w:rPr>
          <w:rFonts w:ascii="Arial" w:hAnsi="Arial" w:cs="Arial"/>
          <w:sz w:val="22"/>
          <w:szCs w:val="22"/>
        </w:rPr>
      </w:pPr>
      <w:r w:rsidRPr="00A252BE">
        <w:rPr>
          <w:rFonts w:ascii="Arial" w:hAnsi="Arial" w:cs="Arial"/>
          <w:sz w:val="22"/>
          <w:szCs w:val="22"/>
        </w:rPr>
        <w:t>Peer-reviewed articles</w:t>
      </w:r>
    </w:p>
    <w:p w14:paraId="0393E755" w14:textId="62DB2FC1" w:rsidR="006F08AE" w:rsidRPr="00A252BE" w:rsidRDefault="006F08AE" w:rsidP="00E0191D">
      <w:pPr>
        <w:numPr>
          <w:ilvl w:val="0"/>
          <w:numId w:val="21"/>
        </w:numPr>
        <w:spacing w:line="360" w:lineRule="auto"/>
        <w:jc w:val="both"/>
        <w:rPr>
          <w:rFonts w:ascii="Arial" w:hAnsi="Arial" w:cs="Arial"/>
          <w:sz w:val="22"/>
          <w:szCs w:val="22"/>
        </w:rPr>
      </w:pPr>
      <w:r w:rsidRPr="00A252BE">
        <w:rPr>
          <w:rFonts w:ascii="Arial" w:hAnsi="Arial" w:cs="Arial"/>
          <w:sz w:val="22"/>
          <w:szCs w:val="22"/>
        </w:rPr>
        <w:t>Research with clear methodologies</w:t>
      </w:r>
    </w:p>
    <w:p w14:paraId="5C1E5C1A" w14:textId="77777777" w:rsidR="006F08AE" w:rsidRPr="00A252BE" w:rsidRDefault="006F08AE" w:rsidP="00E0191D">
      <w:pPr>
        <w:spacing w:line="360" w:lineRule="auto"/>
        <w:jc w:val="both"/>
        <w:rPr>
          <w:rFonts w:ascii="Arial" w:hAnsi="Arial" w:cs="Arial"/>
          <w:sz w:val="22"/>
          <w:szCs w:val="22"/>
        </w:rPr>
      </w:pPr>
      <w:r w:rsidRPr="00A252BE">
        <w:rPr>
          <w:rFonts w:ascii="Arial" w:hAnsi="Arial" w:cs="Arial"/>
          <w:sz w:val="22"/>
          <w:szCs w:val="22"/>
        </w:rPr>
        <w:t>However, the CRAAP test does not fully assess methodological quality. Additional criteria were therefore applied, including research design robustness, sample size adequacy, potential bias, and generalisability (Torales et al., 2026).</w:t>
      </w:r>
    </w:p>
    <w:p w14:paraId="38CB0642" w14:textId="595D2B66" w:rsidR="00AB3A6C" w:rsidRPr="00A252BE" w:rsidRDefault="006F08AE" w:rsidP="00E0191D">
      <w:pPr>
        <w:spacing w:line="360" w:lineRule="auto"/>
        <w:jc w:val="both"/>
        <w:rPr>
          <w:rFonts w:ascii="Arial" w:hAnsi="Arial" w:cs="Arial"/>
          <w:sz w:val="22"/>
          <w:szCs w:val="22"/>
        </w:rPr>
      </w:pPr>
      <w:r w:rsidRPr="00A252BE">
        <w:rPr>
          <w:rFonts w:ascii="Arial" w:hAnsi="Arial" w:cs="Arial"/>
          <w:sz w:val="22"/>
          <w:szCs w:val="22"/>
        </w:rPr>
        <w:t>This layered approach strengthens the validity and reliability of the research.</w:t>
      </w:r>
    </w:p>
    <w:p w14:paraId="6FE27DB2" w14:textId="32347351" w:rsidR="2A233907" w:rsidRPr="00A252BE" w:rsidRDefault="05CA9D3E" w:rsidP="00E0191D">
      <w:pPr>
        <w:pStyle w:val="Heading2"/>
        <w:spacing w:line="360" w:lineRule="auto"/>
        <w:jc w:val="both"/>
        <w:rPr>
          <w:rFonts w:ascii="Arial" w:eastAsia="Arial" w:hAnsi="Arial" w:cs="Arial"/>
          <w:color w:val="auto"/>
          <w:sz w:val="28"/>
          <w:szCs w:val="28"/>
        </w:rPr>
      </w:pPr>
      <w:bookmarkStart w:id="42" w:name="_Toc225143101"/>
      <w:bookmarkStart w:id="43" w:name="_Toc226479918"/>
      <w:r w:rsidRPr="00A252BE">
        <w:rPr>
          <w:rFonts w:ascii="Arial" w:eastAsia="Arial" w:hAnsi="Arial" w:cs="Arial"/>
          <w:color w:val="auto"/>
          <w:sz w:val="28"/>
          <w:szCs w:val="28"/>
        </w:rPr>
        <w:t>3.6 Inclusion and Exclusion Criteria</w:t>
      </w:r>
      <w:bookmarkEnd w:id="42"/>
      <w:bookmarkEnd w:id="43"/>
    </w:p>
    <w:p w14:paraId="1BE22468" w14:textId="6FC436DF" w:rsidR="2A233907" w:rsidRPr="00A252BE" w:rsidRDefault="05CA9D3E" w:rsidP="00E0191D">
      <w:pPr>
        <w:spacing w:line="360" w:lineRule="auto"/>
        <w:jc w:val="both"/>
        <w:rPr>
          <w:rFonts w:ascii="Arial" w:eastAsia="Arial" w:hAnsi="Arial" w:cs="Arial"/>
          <w:b/>
          <w:bCs/>
          <w:sz w:val="22"/>
          <w:szCs w:val="22"/>
        </w:rPr>
      </w:pPr>
      <w:r w:rsidRPr="00A252BE">
        <w:rPr>
          <w:rFonts w:ascii="Arial" w:eastAsia="Arial" w:hAnsi="Arial" w:cs="Arial"/>
          <w:b/>
          <w:bCs/>
          <w:sz w:val="22"/>
          <w:szCs w:val="22"/>
        </w:rPr>
        <w:t>Inclusion Criteria</w:t>
      </w:r>
    </w:p>
    <w:p w14:paraId="0536DF69" w14:textId="3743DA9B" w:rsidR="2A233907" w:rsidRPr="00A252BE" w:rsidRDefault="05CA9D3E" w:rsidP="00E0191D">
      <w:pPr>
        <w:pStyle w:val="ListParagraph"/>
        <w:numPr>
          <w:ilvl w:val="0"/>
          <w:numId w:val="7"/>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Peer-reviewed journal articles</w:t>
      </w:r>
    </w:p>
    <w:p w14:paraId="04BBAEF6" w14:textId="7BC03199" w:rsidR="2A233907" w:rsidRPr="00A252BE" w:rsidRDefault="05CA9D3E" w:rsidP="00E0191D">
      <w:pPr>
        <w:pStyle w:val="ListParagraph"/>
        <w:numPr>
          <w:ilvl w:val="0"/>
          <w:numId w:val="7"/>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Published within the last 10 years</w:t>
      </w:r>
    </w:p>
    <w:p w14:paraId="7A90DAE0" w14:textId="426024B3" w:rsidR="2A233907" w:rsidRPr="00A252BE" w:rsidRDefault="05CA9D3E" w:rsidP="00E0191D">
      <w:pPr>
        <w:pStyle w:val="ListParagraph"/>
        <w:numPr>
          <w:ilvl w:val="0"/>
          <w:numId w:val="7"/>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Focus on adolescents</w:t>
      </w:r>
    </w:p>
    <w:p w14:paraId="7B1FE32A" w14:textId="59BD9478" w:rsidR="2A233907" w:rsidRPr="00A252BE" w:rsidRDefault="05CA9D3E" w:rsidP="00E0191D">
      <w:pPr>
        <w:pStyle w:val="ListParagraph"/>
        <w:numPr>
          <w:ilvl w:val="0"/>
          <w:numId w:val="7"/>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Relevant to social support and anxiety</w:t>
      </w:r>
      <w:r w:rsidR="1A33ED25" w:rsidRPr="00A252BE">
        <w:rPr>
          <w:rFonts w:ascii="Arial" w:eastAsia="Arial" w:hAnsi="Arial" w:cs="Arial"/>
          <w:sz w:val="22"/>
          <w:szCs w:val="22"/>
        </w:rPr>
        <w:t>.</w:t>
      </w:r>
    </w:p>
    <w:p w14:paraId="53F55E86" w14:textId="79DA57A6" w:rsidR="53DC7FE0" w:rsidRPr="00A252BE" w:rsidRDefault="53DC7FE0" w:rsidP="00E0191D">
      <w:pPr>
        <w:pStyle w:val="ListParagraph"/>
        <w:shd w:val="clear" w:color="auto" w:fill="FFFFFF" w:themeFill="background1"/>
        <w:spacing w:after="0" w:line="360" w:lineRule="auto"/>
        <w:jc w:val="both"/>
        <w:rPr>
          <w:rFonts w:ascii="Arial" w:eastAsia="Arial" w:hAnsi="Arial" w:cs="Arial"/>
          <w:sz w:val="22"/>
          <w:szCs w:val="22"/>
        </w:rPr>
      </w:pPr>
    </w:p>
    <w:p w14:paraId="51EBF807" w14:textId="34440E71" w:rsidR="53DC7FE0" w:rsidRPr="00A252BE" w:rsidRDefault="53993860" w:rsidP="00E0191D">
      <w:pPr>
        <w:shd w:val="clear" w:color="auto" w:fill="FFFFFF" w:themeFill="background1"/>
        <w:spacing w:after="210" w:line="360" w:lineRule="auto"/>
        <w:jc w:val="both"/>
        <w:rPr>
          <w:rFonts w:ascii="Arial" w:eastAsia="Arial" w:hAnsi="Arial" w:cs="Arial"/>
          <w:b/>
          <w:bCs/>
          <w:sz w:val="22"/>
          <w:szCs w:val="22"/>
        </w:rPr>
      </w:pPr>
      <w:r w:rsidRPr="00A252BE">
        <w:rPr>
          <w:rFonts w:ascii="Arial" w:eastAsia="Arial" w:hAnsi="Arial" w:cs="Arial"/>
          <w:b/>
          <w:bCs/>
          <w:sz w:val="22"/>
          <w:szCs w:val="22"/>
        </w:rPr>
        <w:t>Exclusion Criteria</w:t>
      </w:r>
    </w:p>
    <w:p w14:paraId="1D98CB13" w14:textId="51353801" w:rsidR="2A233907" w:rsidRPr="00A252BE" w:rsidRDefault="05CA9D3E" w:rsidP="00E0191D">
      <w:pPr>
        <w:pStyle w:val="ListParagraph"/>
        <w:numPr>
          <w:ilvl w:val="0"/>
          <w:numId w:val="6"/>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Non-academic sources</w:t>
      </w:r>
    </w:p>
    <w:p w14:paraId="7BCA85AF" w14:textId="7C593E2D" w:rsidR="2A233907" w:rsidRPr="00A252BE" w:rsidRDefault="05CA9D3E" w:rsidP="00E0191D">
      <w:pPr>
        <w:pStyle w:val="ListParagraph"/>
        <w:numPr>
          <w:ilvl w:val="0"/>
          <w:numId w:val="6"/>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Outdated research (unless theoretically significant)</w:t>
      </w:r>
    </w:p>
    <w:p w14:paraId="6FBB76E4" w14:textId="19A4649E" w:rsidR="2A233907" w:rsidRPr="00A252BE" w:rsidRDefault="05CA9D3E" w:rsidP="00E0191D">
      <w:pPr>
        <w:pStyle w:val="ListParagraph"/>
        <w:numPr>
          <w:ilvl w:val="0"/>
          <w:numId w:val="6"/>
        </w:numPr>
        <w:shd w:val="clear" w:color="auto" w:fill="FFFFFF" w:themeFill="background1"/>
        <w:spacing w:after="0" w:line="360" w:lineRule="auto"/>
        <w:jc w:val="both"/>
        <w:rPr>
          <w:rFonts w:ascii="Arial" w:eastAsia="Arial" w:hAnsi="Arial" w:cs="Arial"/>
          <w:sz w:val="22"/>
          <w:szCs w:val="22"/>
        </w:rPr>
      </w:pPr>
      <w:r w:rsidRPr="00A252BE">
        <w:rPr>
          <w:rFonts w:ascii="Arial" w:eastAsia="Arial" w:hAnsi="Arial" w:cs="Arial"/>
          <w:sz w:val="22"/>
          <w:szCs w:val="22"/>
        </w:rPr>
        <w:t>Non-English publications</w:t>
      </w:r>
      <w:r w:rsidR="000957A5">
        <w:rPr>
          <w:rFonts w:ascii="Arial" w:eastAsia="Arial" w:hAnsi="Arial" w:cs="Arial"/>
          <w:sz w:val="22"/>
          <w:szCs w:val="22"/>
        </w:rPr>
        <w:t>.</w:t>
      </w:r>
    </w:p>
    <w:p w14:paraId="1481791C" w14:textId="77777777" w:rsidR="00BB7E62" w:rsidRPr="00A252BE" w:rsidRDefault="00BB7E62" w:rsidP="00E0191D">
      <w:pPr>
        <w:shd w:val="clear" w:color="auto" w:fill="FFFFFF" w:themeFill="background1"/>
        <w:spacing w:after="180" w:line="360" w:lineRule="auto"/>
        <w:jc w:val="both"/>
        <w:rPr>
          <w:rFonts w:ascii="Arial" w:eastAsia="Arial" w:hAnsi="Arial" w:cs="Arial"/>
          <w:sz w:val="22"/>
          <w:szCs w:val="22"/>
        </w:rPr>
      </w:pPr>
    </w:p>
    <w:p w14:paraId="321369FF" w14:textId="39D3FC6A" w:rsidR="00BB7E62" w:rsidRPr="00A252BE" w:rsidRDefault="539938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While these criteria strengthen quality control, they also introduce limitations. For instance, excluding non-English studies may reduce cultural diversity, highlighting a tension between methodological rigour and inclusivity.</w:t>
      </w:r>
    </w:p>
    <w:p w14:paraId="7F82BD8F" w14:textId="77777777" w:rsidR="009C6476" w:rsidRPr="00A252BE" w:rsidRDefault="009C6476" w:rsidP="00E0191D">
      <w:pPr>
        <w:shd w:val="clear" w:color="auto" w:fill="FFFFFF" w:themeFill="background1"/>
        <w:spacing w:after="180" w:line="360" w:lineRule="auto"/>
        <w:jc w:val="both"/>
        <w:rPr>
          <w:rFonts w:ascii="Arial" w:eastAsia="Arial" w:hAnsi="Arial" w:cs="Arial"/>
          <w:sz w:val="22"/>
          <w:szCs w:val="22"/>
        </w:rPr>
      </w:pPr>
    </w:p>
    <w:p w14:paraId="78660508" w14:textId="331892D6" w:rsidR="05CA9D3E" w:rsidRPr="00A252BE" w:rsidRDefault="05CA9D3E" w:rsidP="00E0191D">
      <w:pPr>
        <w:pStyle w:val="Heading2"/>
        <w:spacing w:line="360" w:lineRule="auto"/>
        <w:jc w:val="both"/>
        <w:rPr>
          <w:rFonts w:ascii="Arial" w:eastAsia="Arial" w:hAnsi="Arial" w:cs="Arial"/>
          <w:color w:val="auto"/>
          <w:sz w:val="28"/>
          <w:szCs w:val="28"/>
        </w:rPr>
      </w:pPr>
      <w:bookmarkStart w:id="44" w:name="_Toc225143102"/>
      <w:bookmarkStart w:id="45" w:name="_Toc226479919"/>
      <w:r w:rsidRPr="00A252BE">
        <w:rPr>
          <w:rFonts w:ascii="Arial" w:eastAsia="Arial" w:hAnsi="Arial" w:cs="Arial"/>
          <w:color w:val="auto"/>
          <w:sz w:val="28"/>
          <w:szCs w:val="28"/>
        </w:rPr>
        <w:lastRenderedPageBreak/>
        <w:t>3.7 Data Analysis: Thematic Analysis</w:t>
      </w:r>
      <w:bookmarkEnd w:id="44"/>
      <w:bookmarkEnd w:id="45"/>
    </w:p>
    <w:p w14:paraId="40CB0318" w14:textId="77777777" w:rsidR="00E0304C" w:rsidRPr="00A252BE" w:rsidRDefault="00E0304C"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 thematic analysis approach was employed, following Braun and Clarke (2006), selected for its flexibility in identifying patterns across diverse studies.</w:t>
      </w:r>
    </w:p>
    <w:p w14:paraId="5D0BD6FC" w14:textId="77777777" w:rsidR="00E0304C" w:rsidRPr="00A252BE" w:rsidRDefault="00E0304C"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The analysis followed six phases: familiarisation, coding, theme development, review, definition, and reporting. In this study, familiarisation involved repeated reading of selected articles to identify key ideas. During coding, recurring concepts such as emotional support, peer influence, family involvement, and access to services were labelled (</w:t>
      </w:r>
      <w:proofErr w:type="spellStart"/>
      <w:r w:rsidRPr="00A252BE">
        <w:rPr>
          <w:rFonts w:ascii="Arial" w:eastAsia="Arial" w:hAnsi="Arial" w:cs="Arial"/>
          <w:sz w:val="22"/>
          <w:szCs w:val="22"/>
        </w:rPr>
        <w:t>Ossipova</w:t>
      </w:r>
      <w:proofErr w:type="spellEnd"/>
      <w:r w:rsidRPr="00A252BE">
        <w:rPr>
          <w:rFonts w:ascii="Arial" w:eastAsia="Arial" w:hAnsi="Arial" w:cs="Arial"/>
          <w:sz w:val="22"/>
          <w:szCs w:val="22"/>
        </w:rPr>
        <w:t xml:space="preserve"> et al., 2026).</w:t>
      </w:r>
    </w:p>
    <w:p w14:paraId="767A2699" w14:textId="77777777" w:rsidR="00E0304C" w:rsidRPr="00A252BE" w:rsidRDefault="00E0304C"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These codes were then grouped into broader themes, including social relationships and anxiety management, barriers to support, and effectiveness of support systems. Themes were reviewed and refined to ensure alignment with the data and clarity in interpretation.</w:t>
      </w:r>
    </w:p>
    <w:p w14:paraId="587335C0" w14:textId="77777777" w:rsidR="00E0304C" w:rsidRPr="00A252BE" w:rsidRDefault="00E0304C"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As shown in Appendix A, a coding framework and data extraction table supported this process, ensuring consistency and transparency.</w:t>
      </w:r>
    </w:p>
    <w:p w14:paraId="41ECA482" w14:textId="60D6D6A6" w:rsidR="00BB7E62" w:rsidRPr="00A252BE" w:rsidRDefault="00E0304C"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While thematic analysis is interpretative, potential bias was addressed through continuous comparison between themes and source data, ensuring findings accurately reflected the literature.</w:t>
      </w:r>
    </w:p>
    <w:p w14:paraId="7AC98740" w14:textId="34C38DA4" w:rsidR="2A233907" w:rsidRPr="00A252BE" w:rsidRDefault="05CA9D3E" w:rsidP="00E0191D">
      <w:pPr>
        <w:pStyle w:val="Heading2"/>
        <w:spacing w:line="360" w:lineRule="auto"/>
        <w:jc w:val="both"/>
        <w:rPr>
          <w:rFonts w:ascii="Arial" w:eastAsia="Arial" w:hAnsi="Arial" w:cs="Arial"/>
          <w:color w:val="auto"/>
          <w:sz w:val="28"/>
          <w:szCs w:val="28"/>
        </w:rPr>
      </w:pPr>
      <w:bookmarkStart w:id="46" w:name="_Toc225143103"/>
      <w:bookmarkStart w:id="47" w:name="_Toc226479920"/>
      <w:r w:rsidRPr="00A252BE">
        <w:rPr>
          <w:rFonts w:ascii="Arial" w:eastAsia="Arial" w:hAnsi="Arial" w:cs="Arial"/>
          <w:color w:val="auto"/>
          <w:sz w:val="28"/>
          <w:szCs w:val="28"/>
        </w:rPr>
        <w:t>3.8 Ethical Considerations</w:t>
      </w:r>
      <w:bookmarkEnd w:id="46"/>
      <w:bookmarkEnd w:id="47"/>
    </w:p>
    <w:p w14:paraId="234F350D" w14:textId="77777777" w:rsidR="009663DB" w:rsidRPr="00A252BE" w:rsidRDefault="009663DB"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study adheres to ethical guidelines for secondary research. As no primary data was collected, risks related to participant harm are minimised.</w:t>
      </w:r>
    </w:p>
    <w:p w14:paraId="5C986776" w14:textId="77777777" w:rsidR="009663DB" w:rsidRPr="00A252BE" w:rsidRDefault="009663DB"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Academic integrity was maintained through accurate referencing and adherence to Harvard style (</w:t>
      </w:r>
      <w:proofErr w:type="spellStart"/>
      <w:r w:rsidRPr="00A252BE">
        <w:rPr>
          <w:rFonts w:ascii="Arial" w:eastAsia="Arial" w:hAnsi="Arial" w:cs="Arial"/>
          <w:sz w:val="22"/>
          <w:szCs w:val="22"/>
        </w:rPr>
        <w:t>Widiyawati</w:t>
      </w:r>
      <w:proofErr w:type="spellEnd"/>
      <w:r w:rsidRPr="00A252BE">
        <w:rPr>
          <w:rFonts w:ascii="Arial" w:eastAsia="Arial" w:hAnsi="Arial" w:cs="Arial"/>
          <w:sz w:val="22"/>
          <w:szCs w:val="22"/>
        </w:rPr>
        <w:t xml:space="preserve"> and </w:t>
      </w:r>
      <w:proofErr w:type="spellStart"/>
      <w:r w:rsidRPr="00A252BE">
        <w:rPr>
          <w:rFonts w:ascii="Arial" w:eastAsia="Arial" w:hAnsi="Arial" w:cs="Arial"/>
          <w:sz w:val="22"/>
          <w:szCs w:val="22"/>
        </w:rPr>
        <w:t>Musfara</w:t>
      </w:r>
      <w:proofErr w:type="spellEnd"/>
      <w:r w:rsidRPr="00A252BE">
        <w:rPr>
          <w:rFonts w:ascii="Arial" w:eastAsia="Arial" w:hAnsi="Arial" w:cs="Arial"/>
          <w:sz w:val="22"/>
          <w:szCs w:val="22"/>
        </w:rPr>
        <w:t>, 2026).</w:t>
      </w:r>
    </w:p>
    <w:p w14:paraId="3D276754" w14:textId="693F3663" w:rsidR="004307AF" w:rsidRPr="00A252BE" w:rsidRDefault="009663DB"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 reflexive approach was adopted, recognising that bias may arise in literature selection and interpretation. Efforts were made to include diverse perspectives and avoid selective reporting (Torales et al., 2026).</w:t>
      </w:r>
    </w:p>
    <w:p w14:paraId="0D70A46C" w14:textId="47CD4F4E" w:rsidR="2A233907" w:rsidRPr="00A252BE" w:rsidRDefault="05CA9D3E" w:rsidP="00E0191D">
      <w:pPr>
        <w:pStyle w:val="Heading2"/>
        <w:spacing w:line="360" w:lineRule="auto"/>
        <w:jc w:val="both"/>
        <w:rPr>
          <w:rFonts w:ascii="Arial" w:hAnsi="Arial" w:cs="Arial"/>
          <w:color w:val="auto"/>
          <w:sz w:val="28"/>
          <w:szCs w:val="28"/>
        </w:rPr>
      </w:pPr>
      <w:bookmarkStart w:id="48" w:name="_Toc225143104"/>
      <w:bookmarkStart w:id="49" w:name="_Toc226479921"/>
      <w:r w:rsidRPr="00A252BE">
        <w:rPr>
          <w:rFonts w:ascii="Arial" w:hAnsi="Arial" w:cs="Arial"/>
          <w:color w:val="auto"/>
          <w:sz w:val="28"/>
          <w:szCs w:val="28"/>
        </w:rPr>
        <w:t>3.9 Chapter Conclusion</w:t>
      </w:r>
      <w:bookmarkEnd w:id="48"/>
      <w:bookmarkEnd w:id="49"/>
    </w:p>
    <w:p w14:paraId="09F1D26F" w14:textId="77777777" w:rsidR="009C2BD1" w:rsidRPr="00A252BE" w:rsidRDefault="009C2BD1"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chapter has outlined a rigorous and transparent methodological framework, supported by systematic processes documented in Appendix A. The integration of structured search strategies, PRISMA-informed screening, and thematic analysis ensures both breadth and depth in addressing the research question.</w:t>
      </w:r>
    </w:p>
    <w:p w14:paraId="54C9681A" w14:textId="77777777" w:rsidR="009C2BD1" w:rsidRPr="00A252BE" w:rsidRDefault="009C2BD1"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lastRenderedPageBreak/>
        <w:t>While the methodology demonstrates strengths, including ethical suitability and analytical flexibility, it is not without limitations, such as reliance on existing literature and potential interpretative bias.</w:t>
      </w:r>
    </w:p>
    <w:p w14:paraId="4EB08C95" w14:textId="6E08EA0E" w:rsidR="7B7F754E" w:rsidRPr="00A252BE" w:rsidRDefault="009C2BD1"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Nevertheless, through systematic documentation, critical evaluation, and reflexive practice, the research achieves a high level of methodological rigour. Chapter 4 will present the findings derived from this analysis</w:t>
      </w:r>
      <w:r w:rsidR="004307AF" w:rsidRPr="00A252BE">
        <w:rPr>
          <w:rFonts w:ascii="Arial" w:eastAsia="Arial" w:hAnsi="Arial" w:cs="Arial"/>
          <w:sz w:val="22"/>
          <w:szCs w:val="22"/>
        </w:rPr>
        <w:t>.</w:t>
      </w:r>
    </w:p>
    <w:p w14:paraId="3D6D733C" w14:textId="77777777" w:rsidR="004307AF" w:rsidRPr="00A252BE" w:rsidRDefault="004307AF" w:rsidP="00E0191D">
      <w:pPr>
        <w:shd w:val="clear" w:color="auto" w:fill="FFFFFF" w:themeFill="background1"/>
        <w:spacing w:after="180" w:line="360" w:lineRule="auto"/>
        <w:jc w:val="both"/>
        <w:rPr>
          <w:rFonts w:ascii="Arial" w:eastAsia="Arial" w:hAnsi="Arial" w:cs="Arial"/>
          <w:sz w:val="22"/>
          <w:szCs w:val="22"/>
        </w:rPr>
      </w:pPr>
    </w:p>
    <w:p w14:paraId="3A6D0006"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30BA0E8F"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1E5A3722"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10885E69"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788479C2"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695A13A6"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7AD743EC"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05EB8E49"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75BDD20E"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6F4FD738"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5D21A716"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6AD1386A"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569C1A3B"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5200AF15"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43C1600F"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45B349E6"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0D0D489C"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1A6770B3"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1D3D1285" w14:textId="77777777" w:rsidR="009709D0" w:rsidRPr="00A252BE" w:rsidRDefault="009709D0" w:rsidP="00E0191D">
      <w:pPr>
        <w:shd w:val="clear" w:color="auto" w:fill="FFFFFF" w:themeFill="background1"/>
        <w:spacing w:after="180" w:line="360" w:lineRule="auto"/>
        <w:jc w:val="both"/>
        <w:rPr>
          <w:rFonts w:ascii="Arial" w:eastAsia="Arial" w:hAnsi="Arial" w:cs="Arial"/>
          <w:sz w:val="22"/>
          <w:szCs w:val="22"/>
        </w:rPr>
      </w:pPr>
    </w:p>
    <w:p w14:paraId="17211ADB" w14:textId="77777777" w:rsidR="00F65E27" w:rsidRPr="00A252BE" w:rsidRDefault="00F65E27" w:rsidP="00E0191D">
      <w:pPr>
        <w:spacing w:line="360" w:lineRule="auto"/>
        <w:jc w:val="both"/>
        <w:rPr>
          <w:rFonts w:ascii="Arial" w:eastAsia="Arial" w:hAnsi="Arial" w:cs="Arial"/>
          <w:sz w:val="22"/>
          <w:szCs w:val="22"/>
        </w:rPr>
      </w:pPr>
    </w:p>
    <w:p w14:paraId="71C3C60A" w14:textId="393EFFD6" w:rsidR="041C4E8F" w:rsidRPr="00CE5854" w:rsidRDefault="5A1AD635" w:rsidP="00E0191D">
      <w:pPr>
        <w:pStyle w:val="Heading1"/>
        <w:spacing w:before="0" w:after="0" w:line="360" w:lineRule="auto"/>
        <w:jc w:val="both"/>
        <w:rPr>
          <w:rFonts w:ascii="Arial" w:eastAsia="Arial" w:hAnsi="Arial" w:cs="Arial"/>
          <w:color w:val="auto"/>
          <w:sz w:val="32"/>
          <w:szCs w:val="32"/>
        </w:rPr>
      </w:pPr>
      <w:bookmarkStart w:id="50" w:name="_Toc225143105"/>
      <w:bookmarkStart w:id="51" w:name="_Toc226479922"/>
      <w:r w:rsidRPr="00CE5854">
        <w:rPr>
          <w:rFonts w:ascii="Arial" w:eastAsia="Arial" w:hAnsi="Arial" w:cs="Arial"/>
          <w:color w:val="auto"/>
          <w:sz w:val="32"/>
          <w:szCs w:val="32"/>
        </w:rPr>
        <w:t>CHAPTER 4 – Findings and Discussion</w:t>
      </w:r>
      <w:bookmarkEnd w:id="50"/>
      <w:bookmarkEnd w:id="51"/>
    </w:p>
    <w:p w14:paraId="47F37D35" w14:textId="77777777" w:rsidR="00B64132" w:rsidRPr="00A252BE" w:rsidRDefault="4B37AD25" w:rsidP="00E0191D">
      <w:pPr>
        <w:pStyle w:val="Heading2"/>
        <w:spacing w:line="360" w:lineRule="auto"/>
        <w:jc w:val="both"/>
        <w:rPr>
          <w:rFonts w:ascii="Arial" w:eastAsia="Arial" w:hAnsi="Arial" w:cs="Arial"/>
          <w:color w:val="auto"/>
          <w:sz w:val="28"/>
          <w:szCs w:val="28"/>
        </w:rPr>
      </w:pPr>
      <w:bookmarkStart w:id="52" w:name="_Toc225143106"/>
      <w:bookmarkStart w:id="53" w:name="_Toc226479923"/>
      <w:r w:rsidRPr="00A252BE">
        <w:rPr>
          <w:rFonts w:ascii="Arial" w:eastAsia="Arial" w:hAnsi="Arial" w:cs="Arial"/>
          <w:color w:val="auto"/>
          <w:sz w:val="28"/>
          <w:szCs w:val="28"/>
        </w:rPr>
        <w:t>4.1 – Introduction</w:t>
      </w:r>
      <w:bookmarkEnd w:id="52"/>
      <w:bookmarkEnd w:id="53"/>
    </w:p>
    <w:p w14:paraId="19EC0564" w14:textId="77777777" w:rsidR="00887F21" w:rsidRPr="00A252BE" w:rsidRDefault="00887F21" w:rsidP="00E0191D">
      <w:pPr>
        <w:spacing w:line="360" w:lineRule="auto"/>
        <w:jc w:val="both"/>
        <w:rPr>
          <w:rFonts w:ascii="Arial" w:hAnsi="Arial" w:cs="Arial"/>
          <w:sz w:val="22"/>
          <w:szCs w:val="22"/>
        </w:rPr>
      </w:pPr>
      <w:r w:rsidRPr="00A252BE">
        <w:rPr>
          <w:rFonts w:ascii="Arial" w:hAnsi="Arial" w:cs="Arial"/>
          <w:sz w:val="22"/>
          <w:szCs w:val="22"/>
        </w:rPr>
        <w:t>This chapter presents the findings of the research on the impact of social support on anxiety disorders among adolescents, followed by a discussion that interprets these findings in relation to the existing literature. Key themes identified in the analysis, namely the role of social support, the influence of family dynamics, and the impact of peer relationships, are examined in detail.</w:t>
      </w:r>
    </w:p>
    <w:p w14:paraId="66436459" w14:textId="77777777" w:rsidR="00887F21" w:rsidRPr="00A252BE" w:rsidRDefault="00887F21" w:rsidP="00E0191D">
      <w:pPr>
        <w:spacing w:line="360" w:lineRule="auto"/>
        <w:jc w:val="both"/>
        <w:rPr>
          <w:rFonts w:ascii="Arial" w:hAnsi="Arial" w:cs="Arial"/>
          <w:sz w:val="22"/>
          <w:szCs w:val="22"/>
        </w:rPr>
      </w:pPr>
      <w:r w:rsidRPr="00A252BE">
        <w:rPr>
          <w:rFonts w:ascii="Arial" w:hAnsi="Arial" w:cs="Arial"/>
          <w:sz w:val="22"/>
          <w:szCs w:val="22"/>
        </w:rPr>
        <w:t>Each theme is supported by relevant data and examples from the literature, highlighting both the positive and negative implications of social connections for adolescents’ mental health. The chapter aims to provide a comprehensive evaluation of how these findings align with the research objectives and contribute to broader understanding of adolescent anxiety management.</w:t>
      </w:r>
    </w:p>
    <w:p w14:paraId="039322B0" w14:textId="77777777" w:rsidR="00887F21" w:rsidRPr="00A252BE" w:rsidRDefault="00887F21" w:rsidP="00E0191D">
      <w:pPr>
        <w:spacing w:line="360" w:lineRule="auto"/>
        <w:jc w:val="both"/>
        <w:rPr>
          <w:rFonts w:ascii="Arial" w:hAnsi="Arial" w:cs="Arial"/>
          <w:sz w:val="22"/>
          <w:szCs w:val="22"/>
        </w:rPr>
      </w:pPr>
      <w:r w:rsidRPr="00A252BE">
        <w:rPr>
          <w:rFonts w:ascii="Arial" w:hAnsi="Arial" w:cs="Arial"/>
          <w:sz w:val="22"/>
          <w:szCs w:val="22"/>
        </w:rPr>
        <w:t>Importantly, adolescent anxiety must be understood within a wider socio-ecological context, where individual experiences are shaped by interactions across family, peer, and community systems (Bronfenbrenner, 1979). This reinforces the argument that social support does not operate as a single protective factor, but as part of a wider network of influences that interact to affect mental health outcomes.</w:t>
      </w:r>
    </w:p>
    <w:p w14:paraId="365D9F28" w14:textId="51CE3D89" w:rsidR="004307AF" w:rsidRPr="00A252BE" w:rsidRDefault="00887F21" w:rsidP="00E0191D">
      <w:pPr>
        <w:spacing w:line="360" w:lineRule="auto"/>
        <w:jc w:val="both"/>
        <w:rPr>
          <w:rFonts w:ascii="Arial" w:hAnsi="Arial" w:cs="Arial"/>
          <w:sz w:val="22"/>
          <w:szCs w:val="22"/>
        </w:rPr>
      </w:pPr>
      <w:r w:rsidRPr="00A252BE">
        <w:rPr>
          <w:rFonts w:ascii="Arial" w:hAnsi="Arial" w:cs="Arial"/>
          <w:sz w:val="22"/>
          <w:szCs w:val="22"/>
        </w:rPr>
        <w:t>Furthermore, while social support is widely conceptualised as protective, recent literature suggests that its effectiveness depends on quality, consistency, and individual perception rather than simple availability (Chu et al., 2010). This suggests that support is not universally beneficial in all circumstances, and that the meaning adolescents attach to relationships may be as important as the support itself.</w:t>
      </w:r>
    </w:p>
    <w:p w14:paraId="749ECFE8" w14:textId="69C4472C" w:rsidR="00DB7785" w:rsidRPr="00A252BE" w:rsidRDefault="4B37AD25" w:rsidP="00E0191D">
      <w:pPr>
        <w:pStyle w:val="Heading2"/>
        <w:spacing w:line="360" w:lineRule="auto"/>
        <w:jc w:val="both"/>
        <w:rPr>
          <w:rFonts w:ascii="Arial" w:eastAsia="Arial" w:hAnsi="Arial" w:cs="Arial"/>
          <w:color w:val="auto"/>
          <w:sz w:val="28"/>
          <w:szCs w:val="28"/>
        </w:rPr>
      </w:pPr>
      <w:bookmarkStart w:id="54" w:name="_Toc225143107"/>
      <w:bookmarkStart w:id="55" w:name="_Toc226479924"/>
      <w:r w:rsidRPr="00A252BE">
        <w:rPr>
          <w:rFonts w:ascii="Arial" w:eastAsia="Arial" w:hAnsi="Arial" w:cs="Arial"/>
          <w:color w:val="auto"/>
          <w:sz w:val="28"/>
          <w:szCs w:val="28"/>
        </w:rPr>
        <w:t>4.2 – Thematic Analysis</w:t>
      </w:r>
      <w:bookmarkEnd w:id="54"/>
      <w:bookmarkEnd w:id="55"/>
      <w:r w:rsidRPr="00A252BE">
        <w:rPr>
          <w:rFonts w:ascii="Arial" w:eastAsia="Arial" w:hAnsi="Arial" w:cs="Arial"/>
          <w:color w:val="auto"/>
          <w:sz w:val="28"/>
          <w:szCs w:val="28"/>
        </w:rPr>
        <w:t xml:space="preserve"> </w:t>
      </w:r>
    </w:p>
    <w:p w14:paraId="0CA7B8B3"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Thematic analysis was employed to systematically identify, interpret, and report recurring patterns across the literature on social support and adolescent anxiety. As a flexible qualitative method, it enabled the organisation of complex data into meaningful themes aligned with the research aims (Braun &amp; Clarke, 2021).</w:t>
      </w:r>
    </w:p>
    <w:p w14:paraId="19655F08" w14:textId="77777777" w:rsidR="004152D6" w:rsidRPr="00A252BE" w:rsidRDefault="004152D6" w:rsidP="00E0191D">
      <w:pPr>
        <w:spacing w:after="0" w:line="360" w:lineRule="auto"/>
        <w:jc w:val="both"/>
        <w:rPr>
          <w:rFonts w:ascii="Arial" w:eastAsia="Arial" w:hAnsi="Arial" w:cs="Arial"/>
          <w:sz w:val="22"/>
          <w:szCs w:val="22"/>
        </w:rPr>
      </w:pPr>
    </w:p>
    <w:p w14:paraId="091A98C6" w14:textId="77777777" w:rsidR="00C60E62"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Initial coding focused on repeated ideas such as “emotional support,” “family cohesion,” and “peer influence,” which were then grouped into three overarching themes: the role of social support, the impact of family dynamics, and the influence of peer relationships. This moved the analysis beyond simple description by identifying how similar concepts appeared across different studies and contexts.</w:t>
      </w:r>
      <w:r w:rsidR="00C60E62" w:rsidRPr="00A252BE">
        <w:rPr>
          <w:rFonts w:ascii="Arial" w:eastAsia="Arial" w:hAnsi="Arial" w:cs="Arial"/>
          <w:sz w:val="22"/>
          <w:szCs w:val="22"/>
        </w:rPr>
        <w:t xml:space="preserve"> The coding and synthesis process underpinning these themes </w:t>
      </w:r>
      <w:r w:rsidR="00C60E62" w:rsidRPr="00A252BE">
        <w:rPr>
          <w:rFonts w:ascii="Arial" w:eastAsia="Arial" w:hAnsi="Arial" w:cs="Arial"/>
          <w:sz w:val="22"/>
          <w:szCs w:val="22"/>
        </w:rPr>
        <w:lastRenderedPageBreak/>
        <w:t>is further evidenced in the Source Tracking Table and Results Summary Sheet (see Appendix A2 and A3), which demonstrate how findings were systematically compared across studies</w:t>
      </w:r>
    </w:p>
    <w:p w14:paraId="285CE265" w14:textId="77777777" w:rsidR="004152D6" w:rsidRPr="00A252BE" w:rsidRDefault="004152D6" w:rsidP="00E0191D">
      <w:pPr>
        <w:spacing w:after="0" w:line="360" w:lineRule="auto"/>
        <w:jc w:val="both"/>
        <w:rPr>
          <w:rFonts w:ascii="Arial" w:eastAsia="Arial" w:hAnsi="Arial" w:cs="Arial"/>
          <w:sz w:val="22"/>
          <w:szCs w:val="22"/>
        </w:rPr>
      </w:pPr>
    </w:p>
    <w:p w14:paraId="0E660D8B"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This method facilitated a structured and critical synthesis of secondary data drawn from peer-reviewed journal articles, aligning with guidelines for robust thematic review in mental health research (Nowell et al., 2017). The approach supported analytical transparency and captured both shared patterns and important differences in how social factors influence anxiety outcomes in adolescents.</w:t>
      </w:r>
    </w:p>
    <w:p w14:paraId="7C224098" w14:textId="77777777" w:rsidR="004152D6" w:rsidRPr="00A252BE" w:rsidRDefault="004152D6" w:rsidP="00E0191D">
      <w:pPr>
        <w:spacing w:after="0" w:line="360" w:lineRule="auto"/>
        <w:jc w:val="both"/>
        <w:rPr>
          <w:rFonts w:ascii="Arial" w:eastAsia="Arial" w:hAnsi="Arial" w:cs="Arial"/>
          <w:sz w:val="22"/>
          <w:szCs w:val="22"/>
        </w:rPr>
      </w:pPr>
    </w:p>
    <w:p w14:paraId="491502C6"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By using thematic analysis, this chapter interprets the literature through a coherent lens, making the findings relevant for practice and future interventions. The themes identified not only reflect key areas of concern in adolescent mental health but also indicate where support mechanisms may need to be strengthened or adapted to improve wellbeing.</w:t>
      </w:r>
    </w:p>
    <w:p w14:paraId="46185400" w14:textId="77777777" w:rsidR="004152D6" w:rsidRPr="00A252BE" w:rsidRDefault="004152D6" w:rsidP="00E0191D">
      <w:pPr>
        <w:spacing w:after="0" w:line="360" w:lineRule="auto"/>
        <w:jc w:val="both"/>
        <w:rPr>
          <w:rFonts w:ascii="Arial" w:eastAsia="Arial" w:hAnsi="Arial" w:cs="Arial"/>
          <w:sz w:val="22"/>
          <w:szCs w:val="22"/>
        </w:rPr>
      </w:pPr>
    </w:p>
    <w:p w14:paraId="2E5B5752"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A key strength of thematic analysis lies in its capacity to synthesise findings across diverse methodological approaches, including both qualitative and quantitative studies (Nowell et al., 2017). This allows a broader understanding of adolescent anxiety than would be possible from isolated empirical findings alone.</w:t>
      </w:r>
    </w:p>
    <w:p w14:paraId="0131BE08" w14:textId="77777777" w:rsidR="004152D6" w:rsidRPr="00A252BE" w:rsidRDefault="004152D6" w:rsidP="00E0191D">
      <w:pPr>
        <w:spacing w:after="0" w:line="360" w:lineRule="auto"/>
        <w:jc w:val="both"/>
        <w:rPr>
          <w:rFonts w:ascii="Arial" w:eastAsia="Arial" w:hAnsi="Arial" w:cs="Arial"/>
          <w:sz w:val="22"/>
          <w:szCs w:val="22"/>
        </w:rPr>
      </w:pPr>
    </w:p>
    <w:p w14:paraId="6C53F931"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However, thematic analysis is inherently interpretative, meaning researcher subjectivity may influence theme development (Braun and Clarke, 2021). To reduce this risk, themes were grounded in recurring patterns across multiple sources rather than isolated findings, strengthening credibility.</w:t>
      </w:r>
    </w:p>
    <w:p w14:paraId="6C8BC728" w14:textId="77777777" w:rsidR="004152D6" w:rsidRPr="00A252BE" w:rsidRDefault="004152D6" w:rsidP="00E0191D">
      <w:pPr>
        <w:spacing w:after="0" w:line="360" w:lineRule="auto"/>
        <w:jc w:val="both"/>
        <w:rPr>
          <w:rFonts w:ascii="Arial" w:eastAsia="Arial" w:hAnsi="Arial" w:cs="Arial"/>
          <w:sz w:val="22"/>
          <w:szCs w:val="22"/>
        </w:rPr>
      </w:pPr>
    </w:p>
    <w:p w14:paraId="496446BC"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Additionally, the identification of themes across studies highlights the consistency of social support as a central determinant of adolescent mental health outcomes, reinforcing its relevance across cultural and contextual settings (</w:t>
      </w:r>
      <w:proofErr w:type="spellStart"/>
      <w:r w:rsidRPr="00A252BE">
        <w:rPr>
          <w:rFonts w:ascii="Arial" w:eastAsia="Arial" w:hAnsi="Arial" w:cs="Arial"/>
          <w:sz w:val="22"/>
          <w:szCs w:val="22"/>
        </w:rPr>
        <w:t>Scardera</w:t>
      </w:r>
      <w:proofErr w:type="spellEnd"/>
      <w:r w:rsidRPr="00A252BE">
        <w:rPr>
          <w:rFonts w:ascii="Arial" w:eastAsia="Arial" w:hAnsi="Arial" w:cs="Arial"/>
          <w:sz w:val="22"/>
          <w:szCs w:val="22"/>
        </w:rPr>
        <w:t xml:space="preserve"> et al., 2020). At the same time, this consistency does not imply uniformity, as the literature also shows that the impact of support varies according to source, quality, and context.</w:t>
      </w:r>
    </w:p>
    <w:p w14:paraId="26FA8838" w14:textId="77777777" w:rsidR="004152D6" w:rsidRPr="00A252BE" w:rsidRDefault="004152D6" w:rsidP="00E0191D">
      <w:pPr>
        <w:spacing w:after="0" w:line="360" w:lineRule="auto"/>
        <w:jc w:val="both"/>
        <w:rPr>
          <w:rFonts w:ascii="Arial" w:eastAsia="Arial" w:hAnsi="Arial" w:cs="Arial"/>
          <w:sz w:val="22"/>
          <w:szCs w:val="22"/>
        </w:rPr>
      </w:pPr>
    </w:p>
    <w:p w14:paraId="744891B9"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To deepen this interpretation, the findings below are critically synthesised in relation to the wider literature.</w:t>
      </w:r>
    </w:p>
    <w:p w14:paraId="1F0B6E0E" w14:textId="77777777" w:rsidR="004152D6" w:rsidRPr="00A252BE" w:rsidRDefault="004152D6" w:rsidP="00E0191D">
      <w:pPr>
        <w:spacing w:after="0" w:line="360" w:lineRule="auto"/>
        <w:jc w:val="both"/>
        <w:rPr>
          <w:rFonts w:ascii="Arial" w:eastAsia="Arial" w:hAnsi="Arial" w:cs="Arial"/>
          <w:sz w:val="22"/>
          <w:szCs w:val="22"/>
        </w:rPr>
      </w:pPr>
    </w:p>
    <w:p w14:paraId="1489CEB4"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 xml:space="preserve">The application of thematic analysis enabled the identification of key patterns across the literature while also supporting a deeper interpretative understanding of how social support influences adolescent anxiety. As Braun and Clarke (2006) emphasise, thematic analysis is not purely descriptive but involves active meaning-making. This is reinforced by Nowell et al. </w:t>
      </w:r>
      <w:r w:rsidRPr="00A252BE">
        <w:rPr>
          <w:rFonts w:ascii="Arial" w:eastAsia="Arial" w:hAnsi="Arial" w:cs="Arial"/>
          <w:sz w:val="22"/>
          <w:szCs w:val="22"/>
        </w:rPr>
        <w:lastRenderedPageBreak/>
        <w:t>(2017), who highlight the importance of transparency and reflexivity in ensuring analytical rigour.</w:t>
      </w:r>
    </w:p>
    <w:p w14:paraId="05CB8B0A" w14:textId="77777777" w:rsidR="004152D6" w:rsidRPr="00A252BE" w:rsidRDefault="004152D6" w:rsidP="00E0191D">
      <w:pPr>
        <w:spacing w:after="0" w:line="360" w:lineRule="auto"/>
        <w:jc w:val="both"/>
        <w:rPr>
          <w:rFonts w:ascii="Arial" w:eastAsia="Arial" w:hAnsi="Arial" w:cs="Arial"/>
          <w:sz w:val="22"/>
          <w:szCs w:val="22"/>
        </w:rPr>
      </w:pPr>
    </w:p>
    <w:p w14:paraId="6CA1A239"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The inclusion of diverse study designs, including meta-analyses (</w:t>
      </w:r>
      <w:proofErr w:type="spellStart"/>
      <w:r w:rsidRPr="00A252BE">
        <w:rPr>
          <w:rFonts w:ascii="Arial" w:eastAsia="Arial" w:hAnsi="Arial" w:cs="Arial"/>
          <w:sz w:val="22"/>
          <w:szCs w:val="22"/>
        </w:rPr>
        <w:t>Gariépy</w:t>
      </w:r>
      <w:proofErr w:type="spellEnd"/>
      <w:r w:rsidRPr="00A252BE">
        <w:rPr>
          <w:rFonts w:ascii="Arial" w:eastAsia="Arial" w:hAnsi="Arial" w:cs="Arial"/>
          <w:sz w:val="22"/>
          <w:szCs w:val="22"/>
        </w:rPr>
        <w:t xml:space="preserve"> et al., 2016), longitudinal research (</w:t>
      </w:r>
      <w:proofErr w:type="spellStart"/>
      <w:r w:rsidRPr="00A252BE">
        <w:rPr>
          <w:rFonts w:ascii="Arial" w:eastAsia="Arial" w:hAnsi="Arial" w:cs="Arial"/>
          <w:sz w:val="22"/>
          <w:szCs w:val="22"/>
        </w:rPr>
        <w:t>Scardera</w:t>
      </w:r>
      <w:proofErr w:type="spellEnd"/>
      <w:r w:rsidRPr="00A252BE">
        <w:rPr>
          <w:rFonts w:ascii="Arial" w:eastAsia="Arial" w:hAnsi="Arial" w:cs="Arial"/>
          <w:sz w:val="22"/>
          <w:szCs w:val="22"/>
        </w:rPr>
        <w:t xml:space="preserve"> et al., 2020), and systematic reviews (Pickering et al., 2020), strengthens the credibility of the findings. However, the interpretative nature of the method still introduces potential subjectivity, meaning conclusions must be understood as carefully reasoned rather than wholly neutral.</w:t>
      </w:r>
    </w:p>
    <w:p w14:paraId="0FD94944" w14:textId="77777777" w:rsidR="004152D6" w:rsidRPr="00A252BE" w:rsidRDefault="004152D6" w:rsidP="00E0191D">
      <w:pPr>
        <w:spacing w:after="0" w:line="360" w:lineRule="auto"/>
        <w:jc w:val="both"/>
        <w:rPr>
          <w:rFonts w:ascii="Arial" w:eastAsia="Arial" w:hAnsi="Arial" w:cs="Arial"/>
          <w:sz w:val="22"/>
          <w:szCs w:val="22"/>
        </w:rPr>
      </w:pPr>
    </w:p>
    <w:p w14:paraId="1DDC6031"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 xml:space="preserve">Across the literature, social support is consistently identified as a protective factor against anxiety. </w:t>
      </w:r>
      <w:proofErr w:type="spellStart"/>
      <w:r w:rsidRPr="00A252BE">
        <w:rPr>
          <w:rFonts w:ascii="Arial" w:eastAsia="Arial" w:hAnsi="Arial" w:cs="Arial"/>
          <w:sz w:val="22"/>
          <w:szCs w:val="22"/>
        </w:rPr>
        <w:t>Gariépy</w:t>
      </w:r>
      <w:proofErr w:type="spellEnd"/>
      <w:r w:rsidRPr="00A252BE">
        <w:rPr>
          <w:rFonts w:ascii="Arial" w:eastAsia="Arial" w:hAnsi="Arial" w:cs="Arial"/>
          <w:sz w:val="22"/>
          <w:szCs w:val="22"/>
        </w:rPr>
        <w:t xml:space="preserve"> et al. (2016) demonstrate a strong association between perceived support and reduced anxiety symptoms, while </w:t>
      </w:r>
      <w:proofErr w:type="spellStart"/>
      <w:r w:rsidRPr="00A252BE">
        <w:rPr>
          <w:rFonts w:ascii="Arial" w:eastAsia="Arial" w:hAnsi="Arial" w:cs="Arial"/>
          <w:sz w:val="22"/>
          <w:szCs w:val="22"/>
        </w:rPr>
        <w:t>Scardera</w:t>
      </w:r>
      <w:proofErr w:type="spellEnd"/>
      <w:r w:rsidRPr="00A252BE">
        <w:rPr>
          <w:rFonts w:ascii="Arial" w:eastAsia="Arial" w:hAnsi="Arial" w:cs="Arial"/>
          <w:sz w:val="22"/>
          <w:szCs w:val="22"/>
        </w:rPr>
        <w:t xml:space="preserve"> et al. (2020) provide longitudinal evidence that higher levels of support reduce the likelihood of developing mental health difficulties over time. Together, these studies suggest that support may function both as an immediate protective influence and as a longer-term buffer.</w:t>
      </w:r>
    </w:p>
    <w:p w14:paraId="2A62EAE7" w14:textId="77777777" w:rsidR="004152D6" w:rsidRPr="00A252BE" w:rsidRDefault="004152D6" w:rsidP="00E0191D">
      <w:pPr>
        <w:spacing w:after="0" w:line="360" w:lineRule="auto"/>
        <w:jc w:val="both"/>
        <w:rPr>
          <w:rFonts w:ascii="Arial" w:eastAsia="Arial" w:hAnsi="Arial" w:cs="Arial"/>
          <w:sz w:val="22"/>
          <w:szCs w:val="22"/>
        </w:rPr>
      </w:pPr>
    </w:p>
    <w:p w14:paraId="2FDA751D"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However, this relationship is not universally linear. Santini et al. (2015) argue that the absence of social relationships may have a stronger impact than the presence of support, suggesting that support may operate more effectively as protection against vulnerability than as a direct enhancer of wellbeing. This is important because it indicates that preventing isolation may be as significant as promoting support itself.</w:t>
      </w:r>
    </w:p>
    <w:p w14:paraId="6ACBA12A" w14:textId="77777777" w:rsidR="004152D6" w:rsidRPr="00A252BE" w:rsidRDefault="004152D6" w:rsidP="00E0191D">
      <w:pPr>
        <w:spacing w:after="0" w:line="360" w:lineRule="auto"/>
        <w:jc w:val="both"/>
        <w:rPr>
          <w:rFonts w:ascii="Arial" w:eastAsia="Arial" w:hAnsi="Arial" w:cs="Arial"/>
          <w:sz w:val="22"/>
          <w:szCs w:val="22"/>
        </w:rPr>
      </w:pPr>
    </w:p>
    <w:p w14:paraId="20F2BAFA"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Furthermore, Rueger et al. (2016) highlight the importance of multiple support sources, indicating that combined family, peer, and school support produces the most favourable outcomes. Contemporary research reinforces this, with Fitzpatrick (2024) and Amiri et al. (2024) demonstrating that strong support networks significantly reduce anxiety, particularly in high-stress contexts such as the COVID-19 pandemic. Nevertheless, Anderson (2024) argues that broader societal pressures also contribute to rising anxiety, indicating that social support alone may not be sufficient. This suggests that support is protective, but not powerful enough to offset all structural or environmental stressors.</w:t>
      </w:r>
    </w:p>
    <w:p w14:paraId="1AFBBFE5" w14:textId="77777777" w:rsidR="004152D6" w:rsidRPr="00A252BE" w:rsidRDefault="004152D6" w:rsidP="00E0191D">
      <w:pPr>
        <w:spacing w:after="0" w:line="360" w:lineRule="auto"/>
        <w:jc w:val="both"/>
        <w:rPr>
          <w:rFonts w:ascii="Arial" w:eastAsia="Arial" w:hAnsi="Arial" w:cs="Arial"/>
          <w:sz w:val="22"/>
          <w:szCs w:val="22"/>
        </w:rPr>
      </w:pPr>
    </w:p>
    <w:p w14:paraId="46FD7B13"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 xml:space="preserve">Family dynamics emerge as a central influence on adolescent anxiety. Yu et al. (2022) identify family cohesion as a key protective factor, while Reupert et al. (2021) demonstrate that poor family communication and parental mental illness increase anxiety risk. Similarly, McLeod et al. (2007) highlight the role of parenting styles, with overprotective or inconsistent parenting associated with higher anxiety levels. Taken together, these studies suggest that family </w:t>
      </w:r>
      <w:r w:rsidRPr="00A252BE">
        <w:rPr>
          <w:rFonts w:ascii="Arial" w:eastAsia="Arial" w:hAnsi="Arial" w:cs="Arial"/>
          <w:sz w:val="22"/>
          <w:szCs w:val="22"/>
        </w:rPr>
        <w:lastRenderedPageBreak/>
        <w:t>influence is shaped not simply by presence, but by emotional quality, communication, and stability.</w:t>
      </w:r>
    </w:p>
    <w:p w14:paraId="05675B4D" w14:textId="77777777" w:rsidR="004152D6" w:rsidRPr="00A252BE" w:rsidRDefault="004152D6" w:rsidP="00E0191D">
      <w:pPr>
        <w:spacing w:after="0" w:line="360" w:lineRule="auto"/>
        <w:jc w:val="both"/>
        <w:rPr>
          <w:rFonts w:ascii="Arial" w:eastAsia="Arial" w:hAnsi="Arial" w:cs="Arial"/>
          <w:sz w:val="22"/>
          <w:szCs w:val="22"/>
        </w:rPr>
      </w:pPr>
    </w:p>
    <w:p w14:paraId="692652D1"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However, this perspective is contested. Brown and Larson (2009) suggest that the influence of family may diminish during adolescence as peer relationships become more salient. Fitzpatrick (2024) further supports this by demonstrating that peer support can, in some cases, have an equal or greater impact on anxiety outcomes. This comparison indicates that family remains important, but its influence may shift rather than disappear as adolescents become more socially oriented outside the home.</w:t>
      </w:r>
    </w:p>
    <w:p w14:paraId="7E43FE74" w14:textId="77777777" w:rsidR="004152D6" w:rsidRPr="00A252BE" w:rsidRDefault="004152D6" w:rsidP="00E0191D">
      <w:pPr>
        <w:spacing w:after="0" w:line="360" w:lineRule="auto"/>
        <w:jc w:val="both"/>
        <w:rPr>
          <w:rFonts w:ascii="Arial" w:eastAsia="Arial" w:hAnsi="Arial" w:cs="Arial"/>
          <w:sz w:val="22"/>
          <w:szCs w:val="22"/>
        </w:rPr>
      </w:pPr>
    </w:p>
    <w:p w14:paraId="1185A2E0"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Peer relationships represent both a protective factor and a risk factor. Pickering et al. (2020) and Chiu et al. (2021) show that peer functioning is closely linked to anxiety development, with negative interactions increasing vulnerability. The role of digital environments further complicates this relationship. Kerr et al. (2025) and Vannucci and McCauley Ohannessian (2019) highlight that social media can both enhance support and exacerbate anxiety through social comparison and cyberbullying. This suggests that peer influence is not inherently positive or negative, but dependent on the nature of interaction.</w:t>
      </w:r>
    </w:p>
    <w:p w14:paraId="4EC6333B" w14:textId="77777777" w:rsidR="004152D6" w:rsidRPr="00A252BE" w:rsidRDefault="004152D6" w:rsidP="00E0191D">
      <w:pPr>
        <w:spacing w:after="0" w:line="360" w:lineRule="auto"/>
        <w:jc w:val="both"/>
        <w:rPr>
          <w:rFonts w:ascii="Arial" w:eastAsia="Arial" w:hAnsi="Arial" w:cs="Arial"/>
          <w:sz w:val="22"/>
          <w:szCs w:val="22"/>
        </w:rPr>
      </w:pPr>
    </w:p>
    <w:p w14:paraId="24A83FB1"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These findings align with social learning theory (Bandura, 1977) and social comparison theory (Festinger, 1954), which explain how peer interactions shape emotional responses. While positive peer support can reduce anxiety (</w:t>
      </w:r>
      <w:proofErr w:type="spellStart"/>
      <w:r w:rsidRPr="00A252BE">
        <w:rPr>
          <w:rFonts w:ascii="Arial" w:eastAsia="Arial" w:hAnsi="Arial" w:cs="Arial"/>
          <w:sz w:val="22"/>
          <w:szCs w:val="22"/>
        </w:rPr>
        <w:t>Scardera</w:t>
      </w:r>
      <w:proofErr w:type="spellEnd"/>
      <w:r w:rsidRPr="00A252BE">
        <w:rPr>
          <w:rFonts w:ascii="Arial" w:eastAsia="Arial" w:hAnsi="Arial" w:cs="Arial"/>
          <w:sz w:val="22"/>
          <w:szCs w:val="22"/>
        </w:rPr>
        <w:t xml:space="preserve"> et al., 2020), negative dynamics may reinforce it, demonstrating the dual nature of peer influence.</w:t>
      </w:r>
    </w:p>
    <w:p w14:paraId="65A03A4C" w14:textId="77777777" w:rsidR="004152D6" w:rsidRPr="00A252BE" w:rsidRDefault="004152D6" w:rsidP="00E0191D">
      <w:pPr>
        <w:spacing w:after="0" w:line="360" w:lineRule="auto"/>
        <w:jc w:val="both"/>
        <w:rPr>
          <w:rFonts w:ascii="Arial" w:eastAsia="Arial" w:hAnsi="Arial" w:cs="Arial"/>
          <w:sz w:val="22"/>
          <w:szCs w:val="22"/>
        </w:rPr>
      </w:pPr>
    </w:p>
    <w:p w14:paraId="4EE95D03" w14:textId="77777777" w:rsidR="004152D6" w:rsidRPr="00A252BE" w:rsidRDefault="004152D6" w:rsidP="00E0191D">
      <w:pPr>
        <w:spacing w:after="0" w:line="360" w:lineRule="auto"/>
        <w:jc w:val="both"/>
        <w:rPr>
          <w:rFonts w:ascii="Arial" w:eastAsia="Arial" w:hAnsi="Arial" w:cs="Arial"/>
          <w:sz w:val="22"/>
          <w:szCs w:val="22"/>
        </w:rPr>
      </w:pPr>
      <w:r w:rsidRPr="00A252BE">
        <w:rPr>
          <w:rFonts w:ascii="Arial" w:eastAsia="Arial" w:hAnsi="Arial" w:cs="Arial"/>
          <w:sz w:val="22"/>
          <w:szCs w:val="22"/>
        </w:rPr>
        <w:t>Overall, the findings indicate that social support is a complex and context-dependent factor. While it can mitigate anxiety, its effectiveness depends on quality, source, and broader environmental influences, highlighting the need for integrated, multi-level interventions.</w:t>
      </w:r>
    </w:p>
    <w:p w14:paraId="19D9CAFC" w14:textId="77777777" w:rsidR="00387054" w:rsidRPr="00A252BE" w:rsidRDefault="00387054" w:rsidP="00E0191D">
      <w:pPr>
        <w:spacing w:after="0" w:line="360" w:lineRule="auto"/>
        <w:jc w:val="both"/>
        <w:rPr>
          <w:rFonts w:ascii="Arial" w:eastAsia="Arial" w:hAnsi="Arial" w:cs="Arial"/>
          <w:sz w:val="22"/>
          <w:szCs w:val="22"/>
        </w:rPr>
      </w:pPr>
    </w:p>
    <w:p w14:paraId="2CC7F473" w14:textId="30B82D53" w:rsidR="00367C1A" w:rsidRPr="00A252BE" w:rsidRDefault="4B37AD25" w:rsidP="00E0191D">
      <w:pPr>
        <w:pStyle w:val="Heading2"/>
        <w:spacing w:before="40" w:after="0" w:line="360" w:lineRule="auto"/>
        <w:jc w:val="both"/>
        <w:rPr>
          <w:rFonts w:ascii="Arial" w:eastAsia="Arial" w:hAnsi="Arial" w:cs="Arial"/>
          <w:color w:val="auto"/>
          <w:sz w:val="28"/>
          <w:szCs w:val="28"/>
        </w:rPr>
      </w:pPr>
      <w:bookmarkStart w:id="56" w:name="_Toc225143108"/>
      <w:bookmarkStart w:id="57" w:name="_Toc226479925"/>
      <w:r w:rsidRPr="00A252BE">
        <w:rPr>
          <w:rFonts w:ascii="Arial" w:eastAsia="Arial" w:hAnsi="Arial" w:cs="Arial"/>
          <w:color w:val="auto"/>
          <w:sz w:val="28"/>
          <w:szCs w:val="28"/>
        </w:rPr>
        <w:t>4.3 – Theme 1 The Role of Social Support in Managing Anxiety Disorders among Adolescents</w:t>
      </w:r>
      <w:bookmarkEnd w:id="56"/>
      <w:bookmarkEnd w:id="57"/>
    </w:p>
    <w:p w14:paraId="09B33120"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b/>
          <w:bCs/>
          <w:sz w:val="22"/>
          <w:szCs w:val="22"/>
        </w:rPr>
        <w:t>Definition:</w:t>
      </w:r>
    </w:p>
    <w:p w14:paraId="03CAB49A" w14:textId="5B140E8D"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Family dynamics refer to patterns of interaction, emotional bonds, communication styles, and roles within a family unit. In adolescence, these dynamics shape how young people regulate emotions and respond to mental health challenges. Terms such as “family cohesion,” “parenting styles,” and “emotional responsiveness” are often used to describe the quality of </w:t>
      </w:r>
      <w:r w:rsidRPr="00A252BE">
        <w:rPr>
          <w:rFonts w:ascii="Arial" w:eastAsia="Arial" w:hAnsi="Arial" w:cs="Arial"/>
          <w:sz w:val="22"/>
          <w:szCs w:val="22"/>
        </w:rPr>
        <w:lastRenderedPageBreak/>
        <w:t>these relationships (Gunderson et al., 2018; National Institute for Health and Care Excellence [NICE], 2021).</w:t>
      </w:r>
    </w:p>
    <w:p w14:paraId="127F1D7D"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b/>
          <w:bCs/>
          <w:sz w:val="22"/>
          <w:szCs w:val="22"/>
        </w:rPr>
        <w:t>Background Information:</w:t>
      </w:r>
    </w:p>
    <w:p w14:paraId="21277102" w14:textId="4F09BDC1"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Historically, psychoanalytic theories such as Bowlby (1969) emphasised the parent–child relationship as foundational to emotional development. More recently, cognitive-behavioural and systemic models have explored how dysfunctional family interactions can contribute to internalising disorders such as anxiety (Barrett et al., 2015).</w:t>
      </w:r>
    </w:p>
    <w:p w14:paraId="5742BB3C" w14:textId="69BCD1F6"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In the UK, changing family structures, including blended families and single-parent households, add complexity to understanding how adolescents experience support or stress at home (Office for National Statistics, 2020). Research indicates that high parental conflict, emotional unavailability, or inconsistent parenting may elevate anxiety risk in adolescents (PHE, 2022). This suggests that family structure itself may matter less than the emotional climate within it.</w:t>
      </w:r>
    </w:p>
    <w:p w14:paraId="3615DB65"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b/>
          <w:bCs/>
          <w:sz w:val="22"/>
          <w:szCs w:val="22"/>
        </w:rPr>
        <w:t>Impact on Research Question:</w:t>
      </w:r>
    </w:p>
    <w:p w14:paraId="3DCA864C" w14:textId="09EB2C9D"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theme directly answers the research question by focusing on the family’s role as a key social support system. Adolescents with supportive, communicative, and emotionally responsive family members tend to exhibit lower levels of generalised anxiety, separation anxiety, and social phobia (Essau et al., 2019). Understanding family dynamics can therefore inform more holistic, family-based mental health interventions.</w:t>
      </w:r>
    </w:p>
    <w:p w14:paraId="6E8466DB" w14:textId="77777777" w:rsidR="00DF2291" w:rsidRPr="00A252BE" w:rsidRDefault="00DF2291"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b/>
          <w:bCs/>
          <w:sz w:val="22"/>
          <w:szCs w:val="22"/>
        </w:rPr>
        <w:t>Statistical Information:</w:t>
      </w:r>
    </w:p>
    <w:p w14:paraId="0E3C1457" w14:textId="448EF3D1"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Recent UK surveys continue to confirm the significant role of family in shaping adolescent mental health. According to NHS Digital (2022), nearly 42% of adolescents with probable mental health disorders come from homes experiencing moderate to severe family conflict. This is significant because it suggests that family tension is not a minor background issue, but a major contextual factor in adolescent distress.</w:t>
      </w:r>
    </w:p>
    <w:p w14:paraId="3C83907A" w14:textId="285DD948" w:rsidR="00F86D60"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Furthermore, </w:t>
      </w:r>
      <w:proofErr w:type="spellStart"/>
      <w:r w:rsidRPr="00A252BE">
        <w:rPr>
          <w:rFonts w:ascii="Arial" w:eastAsia="Arial" w:hAnsi="Arial" w:cs="Arial"/>
          <w:sz w:val="22"/>
          <w:szCs w:val="22"/>
        </w:rPr>
        <w:t>Gariépy</w:t>
      </w:r>
      <w:proofErr w:type="spellEnd"/>
      <w:r w:rsidRPr="00A252BE">
        <w:rPr>
          <w:rFonts w:ascii="Arial" w:eastAsia="Arial" w:hAnsi="Arial" w:cs="Arial"/>
          <w:sz w:val="22"/>
          <w:szCs w:val="22"/>
        </w:rPr>
        <w:t xml:space="preserve"> et al. (2016) found that family support had the strongest inverse association with anxiety compared to other support types, including peer and school support. In contrast, a longitudinal study by Reupert et al. (2021) found that adolescents exposed to parental mental illness and poor family communication were more likely to develop generalised anxiety symptoms by age 16. Together, these studies indicate that family influence can be strongly protective or strongly harmful, depending on the nature of the home environment.</w:t>
      </w:r>
    </w:p>
    <w:p w14:paraId="3F63FC6F" w14:textId="77777777" w:rsidR="00377DAD" w:rsidRPr="00A252BE" w:rsidRDefault="00377DAD" w:rsidP="00E0191D">
      <w:pPr>
        <w:shd w:val="clear" w:color="auto" w:fill="FFFFFF" w:themeFill="background1"/>
        <w:spacing w:after="180" w:line="360" w:lineRule="auto"/>
        <w:jc w:val="both"/>
        <w:rPr>
          <w:rFonts w:ascii="Arial" w:eastAsia="Arial" w:hAnsi="Arial" w:cs="Arial"/>
          <w:sz w:val="22"/>
          <w:szCs w:val="22"/>
        </w:rPr>
      </w:pPr>
    </w:p>
    <w:p w14:paraId="1E4A7B14"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b/>
          <w:bCs/>
          <w:sz w:val="22"/>
          <w:szCs w:val="22"/>
        </w:rPr>
        <w:lastRenderedPageBreak/>
        <w:t>Theories, Policies, and Legislation:</w:t>
      </w:r>
    </w:p>
    <w:p w14:paraId="50E2AD0E" w14:textId="0DD2219D"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Attachment Theory (Bowlby, 1969) explains how early caregiver relationships shape a child’s ability to manage emotions. Secure attachments foster trust, self-regulation, and confidence, all of which protect against anxiety (</w:t>
      </w:r>
      <w:proofErr w:type="spellStart"/>
      <w:r w:rsidRPr="00A252BE">
        <w:rPr>
          <w:rFonts w:ascii="Arial" w:eastAsia="Arial" w:hAnsi="Arial" w:cs="Arial"/>
          <w:sz w:val="22"/>
          <w:szCs w:val="22"/>
        </w:rPr>
        <w:t>Mikulincer</w:t>
      </w:r>
      <w:proofErr w:type="spellEnd"/>
      <w:r w:rsidRPr="00A252BE">
        <w:rPr>
          <w:rFonts w:ascii="Arial" w:eastAsia="Arial" w:hAnsi="Arial" w:cs="Arial"/>
          <w:sz w:val="22"/>
          <w:szCs w:val="22"/>
        </w:rPr>
        <w:t xml:space="preserve"> &amp; Shaver, 2016). Conversely, anxious or avoidant attachment styles are associated with higher anxiety risk. This suggests that family relationships influence not only immediate stress but also longer-term emotional regulation patterns.</w:t>
      </w:r>
    </w:p>
    <w:p w14:paraId="156E1E15" w14:textId="179FAC58"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In UK policy, the Children and Families Act 2014 promotes early intervention and family-focused care. It requires local authorities and health services to involve families in child and adolescent mental health care planning. Additionally, NICE guidelines (2021) recommend family therapy as part of comprehensive anxiety treatment for adolescents. These policies reinforce the view that family is not simply background context, but an active component of intervention.</w:t>
      </w:r>
    </w:p>
    <w:p w14:paraId="3C84DAD4"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b/>
          <w:bCs/>
          <w:sz w:val="22"/>
          <w:szCs w:val="22"/>
        </w:rPr>
        <w:t>Examples from Recent Literature:</w:t>
      </w:r>
    </w:p>
    <w:p w14:paraId="590F939E" w14:textId="1E9FA762"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Wood et al. (2016) found that adolescents in families with high cohesion and open communication had notably lower anxiety symptoms. The study highlighted how emotionally available parenting reduced physiological responses to stress. Kessler et al. (2017) also showed that parenting style plays a pivotal role, with authoritative parenting linked to significantly lower anxiety levels, while authoritarian or neglectful parenting was associated with higher anxiety prevalence.</w:t>
      </w:r>
    </w:p>
    <w:p w14:paraId="459EFA27" w14:textId="0B83C7DB"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These studies are complementary but also add nuance. </w:t>
      </w:r>
      <w:r w:rsidR="00CA29B0" w:rsidRPr="00A252BE">
        <w:rPr>
          <w:rFonts w:ascii="Arial" w:eastAsia="Arial" w:hAnsi="Arial" w:cs="Arial"/>
          <w:sz w:val="22"/>
          <w:szCs w:val="22"/>
        </w:rPr>
        <w:t>Wood and Scott</w:t>
      </w:r>
      <w:r w:rsidR="00AF2D0E" w:rsidRPr="00A252BE">
        <w:rPr>
          <w:rFonts w:ascii="Arial" w:eastAsia="Arial" w:hAnsi="Arial" w:cs="Arial"/>
          <w:sz w:val="22"/>
          <w:szCs w:val="22"/>
        </w:rPr>
        <w:t xml:space="preserve"> </w:t>
      </w:r>
      <w:r w:rsidRPr="00A252BE">
        <w:rPr>
          <w:rFonts w:ascii="Arial" w:eastAsia="Arial" w:hAnsi="Arial" w:cs="Arial"/>
          <w:sz w:val="22"/>
          <w:szCs w:val="22"/>
        </w:rPr>
        <w:t>(2016) focus on emotional climate and communication, whereas Kessler et al. (2017) emphasise behavioural style and boundaries. Together, they suggest that effective family support requires both warmth and consistency, not one without the other.</w:t>
      </w:r>
    </w:p>
    <w:p w14:paraId="43BF6862"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b/>
          <w:bCs/>
          <w:sz w:val="22"/>
          <w:szCs w:val="22"/>
        </w:rPr>
        <w:t>Implications:</w:t>
      </w:r>
    </w:p>
    <w:p w14:paraId="21145B09"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Healthy family dynamics enhance emotional security, reduce avoidance behaviours, and promote adaptive coping in anxious adolescents (NICE, 2021). Interventions such as family-based CBT and parent psychoeducation have been effective in reducing adolescent anxiety (Barrett et al., 2015). These approaches matter because they target the relational context in which anxiety is often maintained.</w:t>
      </w:r>
    </w:p>
    <w:p w14:paraId="6A6CDD99"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On the other hand, families characterised by unresolved conflict, poor communication, or parental mental illness may inadvertently reinforce anxious behaviour through overprotection </w:t>
      </w:r>
      <w:r w:rsidRPr="00A252BE">
        <w:rPr>
          <w:rFonts w:ascii="Arial" w:eastAsia="Arial" w:hAnsi="Arial" w:cs="Arial"/>
          <w:sz w:val="22"/>
          <w:szCs w:val="22"/>
        </w:rPr>
        <w:lastRenderedPageBreak/>
        <w:t>or inconsistent discipline (Reupert et al., 2021). This suggests that family involvement in intervention is beneficial only when the quality of interaction is also addressed.</w:t>
      </w:r>
    </w:p>
    <w:p w14:paraId="1BC194EA" w14:textId="77777777" w:rsidR="00D8004C"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Another critical factor is the intergenerational transmission of anxiety. Research indicates that parental anxiety and maladaptive coping behaviours can influence adolescents through both genetic predisposition and environmental modelling (Murray et al., 2009).</w:t>
      </w:r>
    </w:p>
    <w:p w14:paraId="1DBAF230" w14:textId="0B0D63FD"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 However, this relationship is not deterministic. Protective factors such as supportive peer relationships and school-based interventions can buffer these risks (Werner and Smith, 2001). This shows that family influence is powerful, but not absolute.</w:t>
      </w:r>
    </w:p>
    <w:p w14:paraId="1D599ABA" w14:textId="385DCC20"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Furthermore, parenting consistency has been identified as a key determinant of emotional security. Inconsistent or unpredictable parenting may exacerbate anxiety by increasing uncertainty, whereas stable and supportive environments promote emotional regulation (Steinberg, 2001). This is particularly relevant in adolescence, when young people are negotiating greater independence but still rely on stable attachment figures.</w:t>
      </w:r>
    </w:p>
    <w:p w14:paraId="11918AD2"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b/>
          <w:bCs/>
          <w:sz w:val="22"/>
          <w:szCs w:val="22"/>
        </w:rPr>
        <w:t>Connections to Other Themes:</w:t>
      </w:r>
    </w:p>
    <w:p w14:paraId="17874513" w14:textId="77777777" w:rsidR="00F86D60" w:rsidRPr="00A252BE" w:rsidRDefault="00F86D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theme links directly with Theme 1 Social Support, as family is often a primary support source. It also overlaps with Theme 3 Peer Relationships, especially where strained family support causes adolescents to turn to peers for emotional regulation. A comprehensive intervention strategy should therefore consider both family and peer dynamics in anxiety prevention and treatment.</w:t>
      </w:r>
    </w:p>
    <w:p w14:paraId="630A9FE5" w14:textId="77777777" w:rsidR="006E7660" w:rsidRPr="00A252BE" w:rsidRDefault="006E7660" w:rsidP="00E0191D">
      <w:pPr>
        <w:pStyle w:val="Heading2"/>
        <w:spacing w:line="360" w:lineRule="auto"/>
        <w:jc w:val="both"/>
        <w:rPr>
          <w:rFonts w:ascii="Arial" w:eastAsia="Arial" w:hAnsi="Arial" w:cs="Arial"/>
          <w:color w:val="auto"/>
          <w:sz w:val="28"/>
          <w:szCs w:val="28"/>
        </w:rPr>
      </w:pPr>
      <w:bookmarkStart w:id="58" w:name="_Toc226479926"/>
      <w:r w:rsidRPr="00A252BE">
        <w:rPr>
          <w:rFonts w:ascii="Arial" w:eastAsia="Arial" w:hAnsi="Arial" w:cs="Arial"/>
          <w:color w:val="auto"/>
          <w:sz w:val="28"/>
          <w:szCs w:val="28"/>
        </w:rPr>
        <w:t>4.4 – Theme 2 The Impact of Family Dynamics on Adolescent Anxiety Disorders</w:t>
      </w:r>
      <w:bookmarkEnd w:id="58"/>
    </w:p>
    <w:p w14:paraId="0DD8EE6C" w14:textId="77777777" w:rsidR="006E7660" w:rsidRPr="00A252BE" w:rsidRDefault="006E7660"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b/>
          <w:bCs/>
          <w:sz w:val="22"/>
          <w:szCs w:val="22"/>
        </w:rPr>
        <w:t>Definition:</w:t>
      </w:r>
    </w:p>
    <w:p w14:paraId="34F0F75A" w14:textId="788B2A0B" w:rsidR="006E7660" w:rsidRPr="00A252BE" w:rsidRDefault="006E7660"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sz w:val="22"/>
          <w:szCs w:val="22"/>
        </w:rPr>
        <w:t>Family dynamics refer to patterns of interaction, emotional bonds, communication styles, and roles within a family unit. In adolescence, these dynamics shape how young people regulate emotions and respond to mental health challenges. Terms such as “family cohesion,” “parenting styles,” and “emotional responsiveness” are often used to describe the quality of these relationships (Gunderson et al., 2018; National Institute for Health and Care Excellence [NICE], 2021).</w:t>
      </w:r>
    </w:p>
    <w:p w14:paraId="1D066651" w14:textId="77777777" w:rsidR="006E7660" w:rsidRPr="00A252BE" w:rsidRDefault="006E7660"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b/>
          <w:bCs/>
          <w:sz w:val="22"/>
          <w:szCs w:val="22"/>
        </w:rPr>
        <w:t>Background Information:</w:t>
      </w:r>
    </w:p>
    <w:p w14:paraId="3F9DEB7B" w14:textId="45C3C031"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Historically, psychoanalytic theories such as Bowlby (1969) emphasised the parent–child relationship as foundational to emotional development. More recently, cognitive-behavioural </w:t>
      </w:r>
      <w:r w:rsidRPr="00A252BE">
        <w:rPr>
          <w:rFonts w:ascii="Arial" w:eastAsia="Arial" w:hAnsi="Arial" w:cs="Arial"/>
          <w:sz w:val="22"/>
          <w:szCs w:val="22"/>
        </w:rPr>
        <w:lastRenderedPageBreak/>
        <w:t>and systemic models have explored how dysfunctional family interactions can contribute to internalising disorders such as anxiety (Barrett et al., 2015).</w:t>
      </w:r>
    </w:p>
    <w:p w14:paraId="76070FBD" w14:textId="0A58AF92"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In the UK, changing family structures, including blended families and single-parent households, add complexity to understanding how adolescents experience support or stress at home (Office for National Statistics, 2020). Research indicates that high parental conflict, emotional unavailability, or inconsistent parenting may elevate anxiety risk in adolescents (PHE, 2022). This suggests that family structure itself may matter less than the emotional climate within it.</w:t>
      </w:r>
    </w:p>
    <w:p w14:paraId="07F3CEC8" w14:textId="77777777" w:rsidR="006E7660" w:rsidRPr="00A252BE" w:rsidRDefault="006E7660"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b/>
          <w:bCs/>
          <w:sz w:val="22"/>
          <w:szCs w:val="22"/>
        </w:rPr>
        <w:t>Impact on Research Question:</w:t>
      </w:r>
    </w:p>
    <w:p w14:paraId="40F30920" w14:textId="66F73164"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theme directly answers the research question by focusing on the family’s role as a key social support system. Adolescents with supportive, communicative, and emotionally responsive family members tend to exhibit lower levels of generalised anxiety, separation anxiety, and social phobia (Essau et al., 2019). Understanding family dynamics can therefore inform more holistic, family-based mental health interventions.</w:t>
      </w:r>
    </w:p>
    <w:p w14:paraId="46B1DCD4" w14:textId="77777777" w:rsidR="006E7660" w:rsidRPr="00A252BE" w:rsidRDefault="006E7660"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b/>
          <w:bCs/>
          <w:sz w:val="22"/>
          <w:szCs w:val="22"/>
        </w:rPr>
        <w:t>Statistical Information:</w:t>
      </w:r>
    </w:p>
    <w:p w14:paraId="0D593736" w14:textId="29601CF8"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Recent UK surveys continue to confirm the significant role of family in shaping adolescent mental health. According to NHS Digital (2022), nearly 42% of adolescents with probable mental health disorders come from homes experiencing moderate to severe family conflict. This is significant because it suggests that family tension is not a minor background issue, but a major contextual factor in adolescent distress.</w:t>
      </w:r>
    </w:p>
    <w:p w14:paraId="68F17DB1" w14:textId="751216E6"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 xml:space="preserve">Furthermore, </w:t>
      </w:r>
      <w:proofErr w:type="spellStart"/>
      <w:r w:rsidRPr="00A252BE">
        <w:rPr>
          <w:rFonts w:ascii="Arial" w:eastAsia="Arial" w:hAnsi="Arial" w:cs="Arial"/>
          <w:sz w:val="22"/>
          <w:szCs w:val="22"/>
        </w:rPr>
        <w:t>Gariépy</w:t>
      </w:r>
      <w:proofErr w:type="spellEnd"/>
      <w:r w:rsidRPr="00A252BE">
        <w:rPr>
          <w:rFonts w:ascii="Arial" w:eastAsia="Arial" w:hAnsi="Arial" w:cs="Arial"/>
          <w:sz w:val="22"/>
          <w:szCs w:val="22"/>
        </w:rPr>
        <w:t xml:space="preserve"> et al. (2016) found that family support had the strongest inverse association with anxiety compared to other support types, including peer and school support. In contrast, a longitudinal study by Reupert et al. (2021) found that adolescents exposed to parental mental illness and poor family communication were more likely to develop generalised anxiety symptoms by age 16. Together, these studies indicate that family influence can be strongly protective or strongly harmful, depending on the nature of the home environment.</w:t>
      </w:r>
    </w:p>
    <w:p w14:paraId="136FD834" w14:textId="77777777" w:rsidR="006E7660" w:rsidRPr="00A252BE" w:rsidRDefault="006E7660"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b/>
          <w:bCs/>
          <w:sz w:val="22"/>
          <w:szCs w:val="22"/>
        </w:rPr>
        <w:t>Theories, Policies, and Legislation:</w:t>
      </w:r>
    </w:p>
    <w:p w14:paraId="7B3E3229" w14:textId="1A23BA8A"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Attachment Theory (Bowlby, 1969) explains how early caregiver relationships shape a child’s ability to manage emotions. Secure attachments foster trust, self-regulation, and confidence, all of which protect against anxiety (</w:t>
      </w:r>
      <w:proofErr w:type="spellStart"/>
      <w:r w:rsidRPr="00A252BE">
        <w:rPr>
          <w:rFonts w:ascii="Arial" w:eastAsia="Arial" w:hAnsi="Arial" w:cs="Arial"/>
          <w:sz w:val="22"/>
          <w:szCs w:val="22"/>
        </w:rPr>
        <w:t>Mikulincer</w:t>
      </w:r>
      <w:proofErr w:type="spellEnd"/>
      <w:r w:rsidRPr="00A252BE">
        <w:rPr>
          <w:rFonts w:ascii="Arial" w:eastAsia="Arial" w:hAnsi="Arial" w:cs="Arial"/>
          <w:sz w:val="22"/>
          <w:szCs w:val="22"/>
        </w:rPr>
        <w:t xml:space="preserve"> &amp; Shaver, 2016). Conversely, anxious or avoidant attachment styles are associated with higher anxiety risk. This suggests that family relationships influence not only immediate stress but also longer-term emotional regulation patterns.</w:t>
      </w:r>
    </w:p>
    <w:p w14:paraId="434E1A55" w14:textId="2A4FB3FA"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lastRenderedPageBreak/>
        <w:t>In UK policy, the Children and Families Act 2014 promotes early intervention and family-focused care. It requires local authorities and health services to involve families in child and adolescent mental health care planning. Additionally, NICE guidelines (2021) recommend family therapy as part of comprehensive anxiety treatment for adolescents. These policies reinforce the view that family is not simply background context, but an active component of intervention.</w:t>
      </w:r>
    </w:p>
    <w:p w14:paraId="26550366" w14:textId="77777777" w:rsidR="006E7660" w:rsidRPr="00A252BE" w:rsidRDefault="006E7660"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b/>
          <w:bCs/>
          <w:sz w:val="22"/>
          <w:szCs w:val="22"/>
        </w:rPr>
        <w:t>Examples from Recent Literature:</w:t>
      </w:r>
    </w:p>
    <w:p w14:paraId="39C8DF1B" w14:textId="0C817224"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Wood</w:t>
      </w:r>
      <w:r w:rsidR="00994FB5" w:rsidRPr="00A252BE">
        <w:rPr>
          <w:rFonts w:ascii="Arial" w:eastAsia="Arial" w:hAnsi="Arial" w:cs="Arial"/>
          <w:sz w:val="22"/>
          <w:szCs w:val="22"/>
        </w:rPr>
        <w:t xml:space="preserve"> and Scott</w:t>
      </w:r>
      <w:r w:rsidRPr="00A252BE">
        <w:rPr>
          <w:rFonts w:ascii="Arial" w:eastAsia="Arial" w:hAnsi="Arial" w:cs="Arial"/>
          <w:sz w:val="22"/>
          <w:szCs w:val="22"/>
        </w:rPr>
        <w:t xml:space="preserve"> (2016) found that adolescents in families with high cohesion and open communication had notably lower anxiety symptoms. The study highlighted how emotionally available parenting reduced physiological responses to stress. Kessler et al. (2017) also showed that parenting style plays a pivotal role, with authoritative parenting linked to significantly lower anxiety levels, while authoritarian or neglectful parenting was associated with higher anxiety prevalence.</w:t>
      </w:r>
    </w:p>
    <w:p w14:paraId="6A23E8CC" w14:textId="57C04AA4"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These studies are complementary but also add nuance. Wood</w:t>
      </w:r>
      <w:r w:rsidR="00CA29B0" w:rsidRPr="00A252BE">
        <w:rPr>
          <w:rFonts w:ascii="Arial" w:eastAsia="Arial" w:hAnsi="Arial" w:cs="Arial"/>
          <w:sz w:val="22"/>
          <w:szCs w:val="22"/>
        </w:rPr>
        <w:t xml:space="preserve"> and Scott</w:t>
      </w:r>
      <w:r w:rsidRPr="00A252BE">
        <w:rPr>
          <w:rFonts w:ascii="Arial" w:eastAsia="Arial" w:hAnsi="Arial" w:cs="Arial"/>
          <w:sz w:val="22"/>
          <w:szCs w:val="22"/>
        </w:rPr>
        <w:t>. (2016) focus on emotional climate and communication, whereas Kessler et al. (2017) emphasise behavioural style and boundaries. Together, they suggest that effective family support requires both warmth and consistency, not one without the other.</w:t>
      </w:r>
    </w:p>
    <w:p w14:paraId="5D2F98FD" w14:textId="77777777" w:rsidR="006E7660" w:rsidRPr="00A252BE" w:rsidRDefault="006E7660"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b/>
          <w:bCs/>
          <w:sz w:val="22"/>
          <w:szCs w:val="22"/>
        </w:rPr>
        <w:t>Implications:</w:t>
      </w:r>
    </w:p>
    <w:p w14:paraId="3F4496D5" w14:textId="6BCC260A"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Healthy family dynamics enhance emotional security, reduce avoidance behaviours, and promote adaptive coping in anxious adolescents (NICE, 2021). Interventions such as family-based CBT and parent psychoeducation have been effective in reducing adolescent anxiety (Barrett et al., 2015). These approaches matter because they target the relational context in which anxiety is often maintained.</w:t>
      </w:r>
    </w:p>
    <w:p w14:paraId="560F70F8" w14:textId="6BF60BCB"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On the other hand, families characterised by unresolved conflict, poor communication, or parental mental illness may inadvertently reinforce anxious behaviour through overprotection or inconsistent discipline (Reupert et al., 2021). This suggests that family involvement in intervention is beneficial only when the quality of interaction is also addressed.</w:t>
      </w:r>
    </w:p>
    <w:p w14:paraId="6FC23352" w14:textId="46C88462"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Another critical factor is the intergenerational transmission of anxiety. Research indicates that parental anxiety and maladaptive coping behaviours can influence adolescents through both genetic predisposition and environmental modelling (Murray et al., 2009). However, this relationship is not deterministic. Protective factors such as supportive peer relationships and school-based interventions can buffer these risks (Werner and Smith, 2001). This shows that family influence is powerful, but not absolute.</w:t>
      </w:r>
    </w:p>
    <w:p w14:paraId="6139A7EE" w14:textId="6AC531C8" w:rsidR="006E7660"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lastRenderedPageBreak/>
        <w:t>Furthermore, parenting consistency has been identified as a key determinant of emotional security. Inconsistent or unpredictable parenting may exacerbate anxiety by increasing uncertainty, whereas stable and supportive environments promote emotional regulation (Steinberg, 2001). This is particularly relevant in adolescence, when young people are negotiating greater independence but still rely on stable attachment figures.</w:t>
      </w:r>
    </w:p>
    <w:p w14:paraId="7BEC4DA5" w14:textId="77777777" w:rsidR="006E7660" w:rsidRPr="00A252BE" w:rsidRDefault="006E7660" w:rsidP="00E0191D">
      <w:pPr>
        <w:shd w:val="clear" w:color="auto" w:fill="FFFFFF" w:themeFill="background1"/>
        <w:spacing w:after="180" w:line="360" w:lineRule="auto"/>
        <w:jc w:val="both"/>
        <w:rPr>
          <w:rFonts w:ascii="Arial" w:eastAsia="Arial" w:hAnsi="Arial" w:cs="Arial"/>
          <w:b/>
          <w:bCs/>
          <w:sz w:val="22"/>
          <w:szCs w:val="22"/>
        </w:rPr>
      </w:pPr>
      <w:r w:rsidRPr="00A252BE">
        <w:rPr>
          <w:rFonts w:ascii="Arial" w:eastAsia="Arial" w:hAnsi="Arial" w:cs="Arial"/>
          <w:b/>
          <w:bCs/>
          <w:sz w:val="22"/>
          <w:szCs w:val="22"/>
        </w:rPr>
        <w:t>Connections to Other Themes:</w:t>
      </w:r>
    </w:p>
    <w:p w14:paraId="7C0B4D08" w14:textId="09D30788" w:rsidR="0046615F" w:rsidRPr="00A252BE" w:rsidRDefault="006E7660" w:rsidP="00E0191D">
      <w:pPr>
        <w:shd w:val="clear" w:color="auto" w:fill="FFFFFF" w:themeFill="background1"/>
        <w:spacing w:after="180" w:line="360" w:lineRule="auto"/>
        <w:jc w:val="both"/>
        <w:rPr>
          <w:rFonts w:ascii="Arial" w:eastAsia="Arial" w:hAnsi="Arial" w:cs="Arial"/>
          <w:sz w:val="22"/>
          <w:szCs w:val="22"/>
        </w:rPr>
      </w:pPr>
      <w:r w:rsidRPr="00A252BE">
        <w:rPr>
          <w:rFonts w:ascii="Arial" w:eastAsia="Arial" w:hAnsi="Arial" w:cs="Arial"/>
          <w:sz w:val="22"/>
          <w:szCs w:val="22"/>
        </w:rPr>
        <w:t>This theme links directly with Theme 1 Social Support, as family is often a primary support source. It also overlaps with Theme 3 Peer Relationships, especially where strained family support causes adolescents to turn to peers for emotional regulation. A comprehensive intervention strategy should therefore consider both family and peer dynamics in anxiety prevention and treatmen</w:t>
      </w:r>
      <w:r w:rsidR="0046615F" w:rsidRPr="00A252BE">
        <w:rPr>
          <w:rFonts w:ascii="Arial" w:eastAsia="Arial" w:hAnsi="Arial" w:cs="Arial"/>
          <w:sz w:val="22"/>
          <w:szCs w:val="22"/>
        </w:rPr>
        <w:t>t.</w:t>
      </w:r>
    </w:p>
    <w:p w14:paraId="53CA3274" w14:textId="1C1FAE72" w:rsidR="006710A4" w:rsidRPr="00A252BE" w:rsidRDefault="4B37AD25" w:rsidP="00E0191D">
      <w:pPr>
        <w:pStyle w:val="Heading2"/>
        <w:spacing w:before="40" w:after="0" w:line="360" w:lineRule="auto"/>
        <w:jc w:val="both"/>
        <w:rPr>
          <w:rFonts w:ascii="Arial" w:eastAsia="Arial" w:hAnsi="Arial" w:cs="Arial"/>
          <w:color w:val="auto"/>
          <w:sz w:val="28"/>
          <w:szCs w:val="28"/>
        </w:rPr>
      </w:pPr>
      <w:bookmarkStart w:id="59" w:name="_Toc225143110"/>
      <w:bookmarkStart w:id="60" w:name="_Toc226479927"/>
      <w:r w:rsidRPr="00A252BE">
        <w:rPr>
          <w:rFonts w:ascii="Arial" w:eastAsia="Arial" w:hAnsi="Arial" w:cs="Arial"/>
          <w:color w:val="auto"/>
          <w:sz w:val="28"/>
          <w:szCs w:val="28"/>
        </w:rPr>
        <w:t>4.5 – Theme 3 The Influence of Peer Relationship on Adolescent Anxiety Disorders</w:t>
      </w:r>
      <w:bookmarkEnd w:id="59"/>
      <w:bookmarkEnd w:id="60"/>
      <w:r w:rsidRPr="00A252BE">
        <w:rPr>
          <w:rFonts w:ascii="Arial" w:eastAsia="Arial" w:hAnsi="Arial" w:cs="Arial"/>
          <w:color w:val="auto"/>
          <w:sz w:val="28"/>
          <w:szCs w:val="28"/>
        </w:rPr>
        <w:t xml:space="preserve"> </w:t>
      </w:r>
    </w:p>
    <w:p w14:paraId="07504103" w14:textId="77777777" w:rsidR="000D4FAA" w:rsidRPr="00A252BE" w:rsidRDefault="000D4FAA" w:rsidP="00E0191D">
      <w:pPr>
        <w:spacing w:line="360" w:lineRule="auto"/>
        <w:jc w:val="both"/>
        <w:rPr>
          <w:rFonts w:ascii="Arial" w:hAnsi="Arial" w:cs="Arial"/>
          <w:sz w:val="22"/>
          <w:szCs w:val="22"/>
        </w:rPr>
      </w:pPr>
      <w:r w:rsidRPr="00A252BE">
        <w:rPr>
          <w:rFonts w:ascii="Arial" w:hAnsi="Arial" w:cs="Arial"/>
          <w:b/>
          <w:bCs/>
          <w:sz w:val="22"/>
          <w:szCs w:val="22"/>
        </w:rPr>
        <w:t>Definition:</w:t>
      </w:r>
    </w:p>
    <w:p w14:paraId="5D543CF4" w14:textId="3119FE11"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Peer relationships refer to the social bonds, interactions, and emotional exchanges between adolescents and their peers. These relationships can provide emotional support, social learning opportunities, and validation or, conversely, lead to conflict, exclusion, and pressure. Common terms within this area include “peer support,” “peer pressure,” “social comparison,” and “bullying” (Smith et al., 2020).</w:t>
      </w:r>
    </w:p>
    <w:p w14:paraId="03B34060" w14:textId="77777777" w:rsidR="000D4FAA" w:rsidRPr="00A252BE" w:rsidRDefault="000D4FAA" w:rsidP="00E0191D">
      <w:pPr>
        <w:spacing w:line="360" w:lineRule="auto"/>
        <w:jc w:val="both"/>
        <w:rPr>
          <w:rFonts w:ascii="Arial" w:hAnsi="Arial" w:cs="Arial"/>
          <w:sz w:val="22"/>
          <w:szCs w:val="22"/>
        </w:rPr>
      </w:pPr>
      <w:r w:rsidRPr="00A252BE">
        <w:rPr>
          <w:rFonts w:ascii="Arial" w:hAnsi="Arial" w:cs="Arial"/>
          <w:b/>
          <w:bCs/>
          <w:sz w:val="22"/>
          <w:szCs w:val="22"/>
        </w:rPr>
        <w:t>Background Information:</w:t>
      </w:r>
    </w:p>
    <w:p w14:paraId="75D6BC03" w14:textId="4D73CD3F"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Adolescence is a developmental stage in which peer relationships become increasingly important. While family influence remains significant, peers begin to shape emotional responses and identity more directly (Brown &amp; Larson, 2009). According to the UK Mental Health of Children and Young People Survey, poor peer relationships were among the strongest predictors of anxiety symptoms in 11–</w:t>
      </w:r>
      <w:r w:rsidR="006302EE" w:rsidRPr="00A252BE">
        <w:rPr>
          <w:rFonts w:ascii="Arial" w:hAnsi="Arial" w:cs="Arial"/>
          <w:sz w:val="22"/>
          <w:szCs w:val="22"/>
        </w:rPr>
        <w:t>16-year-olds</w:t>
      </w:r>
      <w:r w:rsidRPr="00A252BE">
        <w:rPr>
          <w:rFonts w:ascii="Arial" w:hAnsi="Arial" w:cs="Arial"/>
          <w:sz w:val="22"/>
          <w:szCs w:val="22"/>
        </w:rPr>
        <w:t xml:space="preserve"> (NHS Digital, 2022).</w:t>
      </w:r>
    </w:p>
    <w:p w14:paraId="405E52D3" w14:textId="52F203FA" w:rsidR="000D4FAA" w:rsidRDefault="000D4FAA" w:rsidP="00E0191D">
      <w:pPr>
        <w:spacing w:line="360" w:lineRule="auto"/>
        <w:jc w:val="both"/>
        <w:rPr>
          <w:rFonts w:ascii="Arial" w:hAnsi="Arial" w:cs="Arial"/>
          <w:sz w:val="22"/>
          <w:szCs w:val="22"/>
        </w:rPr>
      </w:pPr>
      <w:r w:rsidRPr="00A252BE">
        <w:rPr>
          <w:rFonts w:ascii="Arial" w:hAnsi="Arial" w:cs="Arial"/>
          <w:sz w:val="22"/>
          <w:szCs w:val="22"/>
        </w:rPr>
        <w:t>Social media has further complicated peer dynamics. Research shows that adolescents who experience negative interactions online, such as cyberbullying, exclusion, or social comparison, are more likely to develop anxiety and depressive symptoms (Vannucci &amp; McCauley Ohannessian, 2019). However, online spaces can also provide community and validation when used positively. This means that peer influence in modern adolescence extends beyond face-to-face settings and must be understood in digital as well as offline contexts.</w:t>
      </w:r>
    </w:p>
    <w:p w14:paraId="507FE343" w14:textId="77777777" w:rsidR="00716355" w:rsidRPr="00A252BE" w:rsidRDefault="00716355" w:rsidP="00E0191D">
      <w:pPr>
        <w:spacing w:line="360" w:lineRule="auto"/>
        <w:jc w:val="both"/>
        <w:rPr>
          <w:rFonts w:ascii="Arial" w:hAnsi="Arial" w:cs="Arial"/>
          <w:sz w:val="22"/>
          <w:szCs w:val="22"/>
        </w:rPr>
      </w:pPr>
    </w:p>
    <w:p w14:paraId="7D9C3886" w14:textId="77777777" w:rsidR="000D4FAA" w:rsidRPr="00A252BE" w:rsidRDefault="000D4FAA" w:rsidP="00E0191D">
      <w:pPr>
        <w:spacing w:line="360" w:lineRule="auto"/>
        <w:jc w:val="both"/>
        <w:rPr>
          <w:rFonts w:ascii="Arial" w:hAnsi="Arial" w:cs="Arial"/>
          <w:sz w:val="22"/>
          <w:szCs w:val="22"/>
        </w:rPr>
      </w:pPr>
      <w:r w:rsidRPr="00A252BE">
        <w:rPr>
          <w:rFonts w:ascii="Arial" w:hAnsi="Arial" w:cs="Arial"/>
          <w:b/>
          <w:bCs/>
          <w:sz w:val="22"/>
          <w:szCs w:val="22"/>
        </w:rPr>
        <w:lastRenderedPageBreak/>
        <w:t>Relevance to Research Question:</w:t>
      </w:r>
    </w:p>
    <w:p w14:paraId="1A08C46C" w14:textId="1057A947"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Because peers become key sources of emotional and social support during adolescence, this theme is directly relevant to the research question. Understanding the quality and impact of peer relationships allows for more targeted strategies for anxiety prevention and management.</w:t>
      </w:r>
    </w:p>
    <w:p w14:paraId="5D642D0A" w14:textId="77777777" w:rsidR="000D4FAA" w:rsidRPr="00A252BE" w:rsidRDefault="000D4FAA" w:rsidP="00E0191D">
      <w:pPr>
        <w:spacing w:line="360" w:lineRule="auto"/>
        <w:jc w:val="both"/>
        <w:rPr>
          <w:rFonts w:ascii="Arial" w:hAnsi="Arial" w:cs="Arial"/>
          <w:sz w:val="22"/>
          <w:szCs w:val="22"/>
        </w:rPr>
      </w:pPr>
      <w:r w:rsidRPr="00A252BE">
        <w:rPr>
          <w:rFonts w:ascii="Arial" w:hAnsi="Arial" w:cs="Arial"/>
          <w:b/>
          <w:bCs/>
          <w:sz w:val="22"/>
          <w:szCs w:val="22"/>
        </w:rPr>
        <w:t>Statistical Information:</w:t>
      </w:r>
    </w:p>
    <w:p w14:paraId="6BF00330" w14:textId="2B393410"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Recent UK-based data highlight the powerful role peer relationships play in adolescent mental health. According to NHS Digital (2022), nearly 20% of adolescents aged 11–16 who reported frequent bullying, in person or online, also met criteria for a probable mental health disorder, primarily anxiety. This figure is important because it demonstrates that negative peer experiences are associated with clinically meaningful distress rather than temporary discomfort.</w:t>
      </w:r>
    </w:p>
    <w:p w14:paraId="1D28C766" w14:textId="7116D4EE"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Additionally, adolescents who described their friendships as supportive and trusting were significantly less likely to report anxiety symptoms (Public Health England, 2021). Taylor et al. (2017) found that adolescents receiving consistent emotional support from close friends scored 25% lower on anxiety rating scales compared with those with low perceived peer support. Together, these findings suggest that both the presence and quality of peer relationships matter, and that supportive friendships may operate as a meaningful protective resource.</w:t>
      </w:r>
    </w:p>
    <w:p w14:paraId="4076456F" w14:textId="77777777" w:rsidR="000D4FAA" w:rsidRPr="00A252BE" w:rsidRDefault="000D4FAA" w:rsidP="00E0191D">
      <w:pPr>
        <w:spacing w:line="360" w:lineRule="auto"/>
        <w:jc w:val="both"/>
        <w:rPr>
          <w:rFonts w:ascii="Arial" w:hAnsi="Arial" w:cs="Arial"/>
          <w:sz w:val="22"/>
          <w:szCs w:val="22"/>
        </w:rPr>
      </w:pPr>
      <w:r w:rsidRPr="00A252BE">
        <w:rPr>
          <w:rFonts w:ascii="Arial" w:hAnsi="Arial" w:cs="Arial"/>
          <w:b/>
          <w:bCs/>
          <w:sz w:val="22"/>
          <w:szCs w:val="22"/>
        </w:rPr>
        <w:t>Theories, Policies, and Legislation:</w:t>
      </w:r>
    </w:p>
    <w:p w14:paraId="3C4689B8" w14:textId="42660FEF"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Bandura’s Social Learning Theory (1977) is foundational to understanding peer influence. Adolescents often model the behaviour and emotional responses of their peers, both adaptive and maladaptive. For example, observing peers effectively manage anxiety can encourage positive coping strategies, while exposure to avoidance or catastrophising may reinforce anxious behaviours (Muris &amp; Field, 2015). This suggests that peers influence not only feelings of belonging but also patterns of behaviour.</w:t>
      </w:r>
    </w:p>
    <w:p w14:paraId="1314DE66" w14:textId="5F42F28B"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In policy terms, the UK’s Anti-Bullying Strategy (Department for Education, 2017) encourages schools to implement peer support programmes, mentorship schemes, and safe reporting systems. The Department for Education (2023) also updated its guidance on mental health in schools, recommending peer mentoring and social skills development as part of a whole-school approach. These policies reflect recognition that peer environments can either intensify anxiety or support prevention.</w:t>
      </w:r>
    </w:p>
    <w:p w14:paraId="3C838B7E" w14:textId="77777777" w:rsidR="009C326E" w:rsidRDefault="009C326E" w:rsidP="00E0191D">
      <w:pPr>
        <w:spacing w:line="360" w:lineRule="auto"/>
        <w:jc w:val="both"/>
        <w:rPr>
          <w:rFonts w:ascii="Arial" w:hAnsi="Arial" w:cs="Arial"/>
          <w:b/>
          <w:bCs/>
          <w:sz w:val="22"/>
          <w:szCs w:val="22"/>
        </w:rPr>
      </w:pPr>
    </w:p>
    <w:p w14:paraId="0037D784" w14:textId="77777777" w:rsidR="009C326E" w:rsidRDefault="009C326E" w:rsidP="00E0191D">
      <w:pPr>
        <w:spacing w:line="360" w:lineRule="auto"/>
        <w:jc w:val="both"/>
        <w:rPr>
          <w:rFonts w:ascii="Arial" w:hAnsi="Arial" w:cs="Arial"/>
          <w:b/>
          <w:bCs/>
          <w:sz w:val="22"/>
          <w:szCs w:val="22"/>
        </w:rPr>
      </w:pPr>
    </w:p>
    <w:p w14:paraId="14940499" w14:textId="77777777" w:rsidR="009C326E" w:rsidRDefault="009C326E" w:rsidP="00E0191D">
      <w:pPr>
        <w:spacing w:line="360" w:lineRule="auto"/>
        <w:jc w:val="both"/>
        <w:rPr>
          <w:rFonts w:ascii="Arial" w:hAnsi="Arial" w:cs="Arial"/>
          <w:b/>
          <w:bCs/>
          <w:sz w:val="22"/>
          <w:szCs w:val="22"/>
        </w:rPr>
      </w:pPr>
    </w:p>
    <w:p w14:paraId="22A4BC9C" w14:textId="795387F7" w:rsidR="000D4FAA" w:rsidRPr="00A252BE" w:rsidRDefault="000D4FAA" w:rsidP="00E0191D">
      <w:pPr>
        <w:spacing w:line="360" w:lineRule="auto"/>
        <w:jc w:val="both"/>
        <w:rPr>
          <w:rFonts w:ascii="Arial" w:hAnsi="Arial" w:cs="Arial"/>
          <w:sz w:val="22"/>
          <w:szCs w:val="22"/>
        </w:rPr>
      </w:pPr>
      <w:r w:rsidRPr="00A252BE">
        <w:rPr>
          <w:rFonts w:ascii="Arial" w:hAnsi="Arial" w:cs="Arial"/>
          <w:b/>
          <w:bCs/>
          <w:sz w:val="22"/>
          <w:szCs w:val="22"/>
        </w:rPr>
        <w:t>Examples from Literature:</w:t>
      </w:r>
    </w:p>
    <w:p w14:paraId="6846839B" w14:textId="09C55540"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McLeod et al. (2016) conducted a large-scale study showing that adolescents who maintained close, trusting friendships were significantly less likely to develop anxiety symptoms. These relationships were especially protective during school transitions and stressful life events. In contrast,</w:t>
      </w:r>
      <w:r w:rsidR="00561CBC" w:rsidRPr="00A252BE">
        <w:rPr>
          <w:rFonts w:ascii="Arial" w:hAnsi="Arial" w:cs="Arial"/>
          <w:sz w:val="22"/>
          <w:szCs w:val="22"/>
        </w:rPr>
        <w:t xml:space="preserve"> </w:t>
      </w:r>
      <w:r w:rsidR="00446701" w:rsidRPr="00A252BE">
        <w:rPr>
          <w:rFonts w:ascii="Arial" w:hAnsi="Arial" w:cs="Arial"/>
          <w:sz w:val="22"/>
          <w:szCs w:val="22"/>
        </w:rPr>
        <w:t>Pointon-Haas</w:t>
      </w:r>
      <w:r w:rsidRPr="00A252BE">
        <w:rPr>
          <w:rFonts w:ascii="Arial" w:hAnsi="Arial" w:cs="Arial"/>
          <w:sz w:val="22"/>
          <w:szCs w:val="22"/>
        </w:rPr>
        <w:t xml:space="preserve"> et al. (2019) found that adolescents experiencing high levels of social pressure to conform, particularly in online settings, reported higher anxiety, especially social anxiety.</w:t>
      </w:r>
    </w:p>
    <w:p w14:paraId="7DC67C23" w14:textId="68513621"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 xml:space="preserve">These studies offer a useful comparison. McLeod et al. (2016) highlight the protective role of connection, whereas </w:t>
      </w:r>
      <w:r w:rsidR="004E6823" w:rsidRPr="00A252BE">
        <w:rPr>
          <w:rFonts w:ascii="Arial" w:hAnsi="Arial" w:cs="Arial"/>
          <w:sz w:val="22"/>
          <w:szCs w:val="22"/>
        </w:rPr>
        <w:t xml:space="preserve">Pointon-Haas </w:t>
      </w:r>
      <w:r w:rsidRPr="00A252BE">
        <w:rPr>
          <w:rFonts w:ascii="Arial" w:hAnsi="Arial" w:cs="Arial"/>
          <w:sz w:val="22"/>
          <w:szCs w:val="22"/>
        </w:rPr>
        <w:t>et al. (2019) show that peer influence can become harmful when relationships are characterised by pressure rather than support. This indicates that peer relationships are not inherently beneficial; their impact depends on whether they promote security or evaluation.</w:t>
      </w:r>
    </w:p>
    <w:p w14:paraId="72D57D39" w14:textId="125729EE"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At the same time, adolescents who participated in peer support groups in school settings reported reduced stress and better self-regulation (</w:t>
      </w:r>
      <w:r w:rsidR="004E6823" w:rsidRPr="00A252BE">
        <w:rPr>
          <w:rFonts w:ascii="Arial" w:hAnsi="Arial" w:cs="Arial"/>
          <w:sz w:val="22"/>
          <w:szCs w:val="22"/>
        </w:rPr>
        <w:t>Pointon-Haas</w:t>
      </w:r>
      <w:r w:rsidR="00446701" w:rsidRPr="00A252BE">
        <w:rPr>
          <w:rFonts w:ascii="Arial" w:hAnsi="Arial" w:cs="Arial"/>
          <w:sz w:val="22"/>
          <w:szCs w:val="22"/>
        </w:rPr>
        <w:t xml:space="preserve"> et al</w:t>
      </w:r>
      <w:r w:rsidRPr="00A252BE">
        <w:rPr>
          <w:rFonts w:ascii="Arial" w:hAnsi="Arial" w:cs="Arial"/>
          <w:sz w:val="22"/>
          <w:szCs w:val="22"/>
        </w:rPr>
        <w:t>., 2019). This suggests that structured peer interventions may help convert peer influence from a risk factor into a protective one.</w:t>
      </w:r>
    </w:p>
    <w:p w14:paraId="0331D591" w14:textId="77777777" w:rsidR="000D4FAA" w:rsidRPr="00A252BE" w:rsidRDefault="000D4FAA" w:rsidP="00E0191D">
      <w:pPr>
        <w:spacing w:line="360" w:lineRule="auto"/>
        <w:jc w:val="both"/>
        <w:rPr>
          <w:rFonts w:ascii="Arial" w:hAnsi="Arial" w:cs="Arial"/>
          <w:sz w:val="22"/>
          <w:szCs w:val="22"/>
        </w:rPr>
      </w:pPr>
      <w:r w:rsidRPr="00A252BE">
        <w:rPr>
          <w:rFonts w:ascii="Arial" w:hAnsi="Arial" w:cs="Arial"/>
          <w:b/>
          <w:bCs/>
          <w:sz w:val="22"/>
          <w:szCs w:val="22"/>
        </w:rPr>
        <w:t>Implications:</w:t>
      </w:r>
    </w:p>
    <w:p w14:paraId="29DAD7D8" w14:textId="77777777"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Positive peer relationships help adolescents develop social confidence, resilience, and coping mechanisms (Vannucci &amp; McCauley Ohannessian, 2019). School-based peer mentoring and inclusion programmes are shown to reduce anxiety-related absenteeism and promote belonging (DfE, 2023). Their value lies in creating environments where support is normalised rather than left to chance.</w:t>
      </w:r>
    </w:p>
    <w:p w14:paraId="06920FD2" w14:textId="77777777"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Conversely, negative peer dynamics, including exclusion, bullying, and comparison, can exacerbate anxiety and lead to withdrawal, self-doubt, or even self-harm in extreme cases (NHS Digital, 2022). This duality underlines the need for structured peer support systems rather than assuming peer contact is automatically beneficial.</w:t>
      </w:r>
    </w:p>
    <w:p w14:paraId="436ADF82" w14:textId="43E2ADE2"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 xml:space="preserve">A further consideration is the role of social comparison, particularly in digital environments. Adolescents are increasingly exposed to curated representations of peers, which may contribute to negative self-evaluation and heightened anxiety (Festinger, 1954; Nesi et al., 2018). However, digital platforms also provide opportunities for connection and peer support, particularly for adolescents who may struggle with face-to-face interaction (Best et al., 2014). </w:t>
      </w:r>
      <w:r w:rsidRPr="00A252BE">
        <w:rPr>
          <w:rFonts w:ascii="Arial" w:hAnsi="Arial" w:cs="Arial"/>
          <w:sz w:val="22"/>
          <w:szCs w:val="22"/>
        </w:rPr>
        <w:lastRenderedPageBreak/>
        <w:t>This suggests that the impact of peer relationships is highly context dependent rather than uniformly harmful or helpful.</w:t>
      </w:r>
    </w:p>
    <w:p w14:paraId="770CCBF6" w14:textId="61ADBA4C" w:rsidR="000D4FAA"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Additionally, peer relationships play a critical role during transitional periods, such as school changes, where social belonging becomes especially salient (Eccles and Roeser, 2011). This has practical implications for schools, as periods of transition may be particularly important points for intervention.</w:t>
      </w:r>
    </w:p>
    <w:p w14:paraId="40F983FE" w14:textId="77777777" w:rsidR="000D4FAA" w:rsidRPr="00A252BE" w:rsidRDefault="000D4FAA" w:rsidP="00E0191D">
      <w:pPr>
        <w:spacing w:line="360" w:lineRule="auto"/>
        <w:jc w:val="both"/>
        <w:rPr>
          <w:rFonts w:ascii="Arial" w:hAnsi="Arial" w:cs="Arial"/>
          <w:sz w:val="22"/>
          <w:szCs w:val="22"/>
        </w:rPr>
      </w:pPr>
      <w:r w:rsidRPr="00A252BE">
        <w:rPr>
          <w:rFonts w:ascii="Arial" w:hAnsi="Arial" w:cs="Arial"/>
          <w:b/>
          <w:bCs/>
          <w:sz w:val="22"/>
          <w:szCs w:val="22"/>
        </w:rPr>
        <w:t>Connections to Other Themes:</w:t>
      </w:r>
    </w:p>
    <w:p w14:paraId="530A023B" w14:textId="185B7EAB" w:rsidR="003978D4" w:rsidRPr="00A252BE" w:rsidRDefault="000D4FAA" w:rsidP="00E0191D">
      <w:pPr>
        <w:spacing w:line="360" w:lineRule="auto"/>
        <w:jc w:val="both"/>
        <w:rPr>
          <w:rFonts w:ascii="Arial" w:hAnsi="Arial" w:cs="Arial"/>
          <w:sz w:val="22"/>
          <w:szCs w:val="22"/>
        </w:rPr>
      </w:pPr>
      <w:r w:rsidRPr="00A252BE">
        <w:rPr>
          <w:rFonts w:ascii="Arial" w:hAnsi="Arial" w:cs="Arial"/>
          <w:sz w:val="22"/>
          <w:szCs w:val="22"/>
        </w:rPr>
        <w:t>This theme connects closely with both Theme 1 (Social Support) and Theme 2 (Family Dynamics). When family support is lacking, adolescents may rely more heavily on peers, making the quality of those relationships even more important. Peer dynamics may therefore amplify family-related distress or compensate for it. Understanding these interconnected systems offers a more holistic perspective on adolescent anxiety and supports multi-tiered interventions across home, school, and community settings.</w:t>
      </w:r>
    </w:p>
    <w:p w14:paraId="4387D2E2" w14:textId="25332FED" w:rsidR="00367C1A" w:rsidRPr="00A252BE" w:rsidRDefault="4B37AD25" w:rsidP="00E0191D">
      <w:pPr>
        <w:pStyle w:val="Heading2"/>
        <w:shd w:val="clear" w:color="auto" w:fill="FFFFFF" w:themeFill="background1"/>
        <w:spacing w:before="0" w:after="0" w:line="360" w:lineRule="auto"/>
        <w:jc w:val="both"/>
        <w:rPr>
          <w:rFonts w:ascii="Arial" w:eastAsia="Arial" w:hAnsi="Arial" w:cs="Arial"/>
          <w:color w:val="auto"/>
          <w:sz w:val="28"/>
          <w:szCs w:val="28"/>
        </w:rPr>
      </w:pPr>
      <w:bookmarkStart w:id="61" w:name="_Toc225143111"/>
      <w:bookmarkStart w:id="62" w:name="_Toc226479928"/>
      <w:r w:rsidRPr="00A252BE">
        <w:rPr>
          <w:rFonts w:ascii="Arial" w:eastAsia="Arial" w:hAnsi="Arial" w:cs="Arial"/>
          <w:color w:val="auto"/>
          <w:sz w:val="28"/>
          <w:szCs w:val="28"/>
        </w:rPr>
        <w:t>4.6 – Chapter Conclusion</w:t>
      </w:r>
      <w:bookmarkEnd w:id="61"/>
      <w:bookmarkEnd w:id="62"/>
    </w:p>
    <w:p w14:paraId="352397A1" w14:textId="77777777" w:rsidR="008B1E93" w:rsidRPr="00A252BE" w:rsidRDefault="008B1E93" w:rsidP="00E0191D">
      <w:pPr>
        <w:spacing w:after="0" w:line="360" w:lineRule="auto"/>
        <w:jc w:val="both"/>
        <w:rPr>
          <w:rFonts w:ascii="Arial" w:hAnsi="Arial" w:cs="Arial"/>
          <w:sz w:val="22"/>
          <w:szCs w:val="22"/>
        </w:rPr>
      </w:pPr>
      <w:r w:rsidRPr="00A252BE">
        <w:rPr>
          <w:rFonts w:ascii="Arial" w:hAnsi="Arial" w:cs="Arial"/>
          <w:sz w:val="22"/>
          <w:szCs w:val="22"/>
        </w:rPr>
        <w:t>This chapter has examined the multifaceted relationship between social support and anxiety disorders among adolescents through three core themes: the role of social support networks, the influence of family dynamics, and the impact of peer relationships.</w:t>
      </w:r>
    </w:p>
    <w:p w14:paraId="317CBACE" w14:textId="77777777" w:rsidR="008B1E93" w:rsidRPr="00A252BE" w:rsidRDefault="008B1E93" w:rsidP="00E0191D">
      <w:pPr>
        <w:spacing w:after="0" w:line="360" w:lineRule="auto"/>
        <w:jc w:val="both"/>
        <w:rPr>
          <w:rFonts w:ascii="Arial" w:hAnsi="Arial" w:cs="Arial"/>
          <w:sz w:val="22"/>
          <w:szCs w:val="22"/>
        </w:rPr>
      </w:pPr>
    </w:p>
    <w:p w14:paraId="191736F9" w14:textId="77777777" w:rsidR="008B1E93" w:rsidRPr="00A252BE" w:rsidRDefault="008B1E93" w:rsidP="00E0191D">
      <w:pPr>
        <w:spacing w:after="0" w:line="360" w:lineRule="auto"/>
        <w:jc w:val="both"/>
        <w:rPr>
          <w:rFonts w:ascii="Arial" w:hAnsi="Arial" w:cs="Arial"/>
          <w:sz w:val="22"/>
          <w:szCs w:val="22"/>
        </w:rPr>
      </w:pPr>
      <w:r w:rsidRPr="00A252BE">
        <w:rPr>
          <w:rFonts w:ascii="Arial" w:hAnsi="Arial" w:cs="Arial"/>
          <w:sz w:val="22"/>
          <w:szCs w:val="22"/>
        </w:rPr>
        <w:t>Findings from the reviewed literature consistently demonstrate that social support acts as a protective factor, mitigating the severity and progression of anxiety symptoms. Adolescents with strong emotional, instrumental, and informational support from family, friends, and peers show better resilience and coping outcomes. However, the analysis also suggests that support is not equally effective in all cases, as its value depends on quality, stability, and context.</w:t>
      </w:r>
    </w:p>
    <w:p w14:paraId="2AA4A289" w14:textId="77777777" w:rsidR="008B1E93" w:rsidRPr="00A252BE" w:rsidRDefault="008B1E93" w:rsidP="00E0191D">
      <w:pPr>
        <w:spacing w:after="0" w:line="360" w:lineRule="auto"/>
        <w:jc w:val="both"/>
        <w:rPr>
          <w:rFonts w:ascii="Arial" w:hAnsi="Arial" w:cs="Arial"/>
          <w:sz w:val="22"/>
          <w:szCs w:val="22"/>
        </w:rPr>
      </w:pPr>
    </w:p>
    <w:p w14:paraId="08FC1E77" w14:textId="77777777" w:rsidR="008B1E93" w:rsidRPr="00A252BE" w:rsidRDefault="008B1E93" w:rsidP="00E0191D">
      <w:pPr>
        <w:spacing w:after="0" w:line="360" w:lineRule="auto"/>
        <w:jc w:val="both"/>
        <w:rPr>
          <w:rFonts w:ascii="Arial" w:hAnsi="Arial" w:cs="Arial"/>
          <w:sz w:val="22"/>
          <w:szCs w:val="22"/>
        </w:rPr>
      </w:pPr>
      <w:r w:rsidRPr="00A252BE">
        <w:rPr>
          <w:rFonts w:ascii="Arial" w:hAnsi="Arial" w:cs="Arial"/>
          <w:sz w:val="22"/>
          <w:szCs w:val="22"/>
        </w:rPr>
        <w:t>Conversely, dysfunctional family systems and negative peer dynamics were found to exacerbate anxiety. The chapter also integrated theoretical models and national policies that reinforce the value of holistic, community-based interventions. This indicates that adolescent anxiety should not be addressed only at the individual level, but through wider relational and institutional support systems.</w:t>
      </w:r>
    </w:p>
    <w:p w14:paraId="4B2973A7" w14:textId="77777777" w:rsidR="008B1E93" w:rsidRPr="00A252BE" w:rsidRDefault="008B1E93" w:rsidP="00E0191D">
      <w:pPr>
        <w:spacing w:after="0" w:line="360" w:lineRule="auto"/>
        <w:jc w:val="both"/>
        <w:rPr>
          <w:rFonts w:ascii="Arial" w:hAnsi="Arial" w:cs="Arial"/>
          <w:sz w:val="22"/>
          <w:szCs w:val="22"/>
        </w:rPr>
      </w:pPr>
    </w:p>
    <w:p w14:paraId="10469EE5" w14:textId="77777777" w:rsidR="008B1E93" w:rsidRPr="00A252BE" w:rsidRDefault="008B1E93" w:rsidP="00E0191D">
      <w:pPr>
        <w:spacing w:after="0" w:line="360" w:lineRule="auto"/>
        <w:jc w:val="both"/>
        <w:rPr>
          <w:rFonts w:ascii="Arial" w:hAnsi="Arial" w:cs="Arial"/>
          <w:sz w:val="22"/>
          <w:szCs w:val="22"/>
        </w:rPr>
      </w:pPr>
      <w:r w:rsidRPr="00A252BE">
        <w:rPr>
          <w:rFonts w:ascii="Arial" w:hAnsi="Arial" w:cs="Arial"/>
          <w:sz w:val="22"/>
          <w:szCs w:val="22"/>
        </w:rPr>
        <w:t>These findings align with the research objectives and contribute meaningfully to current discourse on adolescent mental health. The following chapter will critically evaluate current evidence-based interventions, frameworks, and recommendations for strengthening support mechanisms in school, clinical, and familial contexts.</w:t>
      </w:r>
    </w:p>
    <w:p w14:paraId="004A66C6" w14:textId="77777777" w:rsidR="008B1E93" w:rsidRPr="00A252BE" w:rsidRDefault="008B1E93" w:rsidP="00E0191D">
      <w:pPr>
        <w:spacing w:after="0" w:line="360" w:lineRule="auto"/>
        <w:jc w:val="both"/>
        <w:rPr>
          <w:rFonts w:ascii="Arial" w:hAnsi="Arial" w:cs="Arial"/>
          <w:sz w:val="22"/>
          <w:szCs w:val="22"/>
        </w:rPr>
      </w:pPr>
    </w:p>
    <w:p w14:paraId="41557A85" w14:textId="77777777" w:rsidR="008B1E93" w:rsidRPr="00A252BE" w:rsidRDefault="008B1E93" w:rsidP="00E0191D">
      <w:pPr>
        <w:spacing w:after="0" w:line="360" w:lineRule="auto"/>
        <w:jc w:val="both"/>
        <w:rPr>
          <w:rFonts w:ascii="Arial" w:hAnsi="Arial" w:cs="Arial"/>
          <w:sz w:val="22"/>
          <w:szCs w:val="22"/>
        </w:rPr>
      </w:pPr>
      <w:r w:rsidRPr="00A252BE">
        <w:rPr>
          <w:rFonts w:ascii="Arial" w:hAnsi="Arial" w:cs="Arial"/>
          <w:sz w:val="22"/>
          <w:szCs w:val="22"/>
        </w:rPr>
        <w:lastRenderedPageBreak/>
        <w:t>Overall, the findings highlight that adolescent anxiety is best understood through a multi-layered framework in which social support, family dynamics, and peer relationships interact dynamically. This aligns with ecological and developmental models that emphasise the interconnected nature of adolescent experiences (Bronfenbrenner, 1979).</w:t>
      </w:r>
    </w:p>
    <w:p w14:paraId="074A09D4" w14:textId="77777777" w:rsidR="008B1E93" w:rsidRPr="00A252BE" w:rsidRDefault="008B1E93" w:rsidP="00E0191D">
      <w:pPr>
        <w:spacing w:after="0" w:line="360" w:lineRule="auto"/>
        <w:jc w:val="both"/>
        <w:rPr>
          <w:rFonts w:ascii="Arial" w:hAnsi="Arial" w:cs="Arial"/>
          <w:sz w:val="22"/>
          <w:szCs w:val="22"/>
        </w:rPr>
      </w:pPr>
    </w:p>
    <w:p w14:paraId="3E67ACC8" w14:textId="77777777" w:rsidR="008B1E93" w:rsidRPr="00A252BE" w:rsidRDefault="008B1E93" w:rsidP="00E0191D">
      <w:pPr>
        <w:spacing w:after="0" w:line="360" w:lineRule="auto"/>
        <w:jc w:val="both"/>
        <w:rPr>
          <w:rFonts w:ascii="Arial" w:hAnsi="Arial" w:cs="Arial"/>
          <w:sz w:val="22"/>
          <w:szCs w:val="22"/>
        </w:rPr>
      </w:pPr>
      <w:r w:rsidRPr="00A252BE">
        <w:rPr>
          <w:rFonts w:ascii="Arial" w:hAnsi="Arial" w:cs="Arial"/>
          <w:sz w:val="22"/>
          <w:szCs w:val="22"/>
        </w:rPr>
        <w:t>These findings also suggest that interventions focusing on a single domain may be insufficient. Instead, integrated approaches that address multiple levels of influence are more likely to produce sustainable improvements in mental health outcomes.</w:t>
      </w:r>
    </w:p>
    <w:p w14:paraId="3ADEB065" w14:textId="225345B9" w:rsidR="3A7CED5F" w:rsidRPr="00A252BE" w:rsidRDefault="3A7CED5F" w:rsidP="00E0191D">
      <w:pPr>
        <w:spacing w:after="0" w:line="360" w:lineRule="auto"/>
        <w:jc w:val="both"/>
        <w:rPr>
          <w:rFonts w:ascii="Arial" w:hAnsi="Arial" w:cs="Arial"/>
        </w:rPr>
      </w:pPr>
    </w:p>
    <w:p w14:paraId="3D399796" w14:textId="663F5B54" w:rsidR="3A7CED5F" w:rsidRPr="00A252BE" w:rsidRDefault="3A7CED5F" w:rsidP="00E0191D">
      <w:pPr>
        <w:spacing w:line="360" w:lineRule="auto"/>
        <w:jc w:val="both"/>
        <w:rPr>
          <w:rFonts w:ascii="Arial" w:eastAsia="Arial" w:hAnsi="Arial" w:cs="Arial"/>
          <w:sz w:val="22"/>
          <w:szCs w:val="22"/>
        </w:rPr>
      </w:pPr>
    </w:p>
    <w:p w14:paraId="16159270" w14:textId="4CE2E571" w:rsidR="00367C1A" w:rsidRPr="00A252BE" w:rsidRDefault="00367C1A" w:rsidP="00E0191D">
      <w:pPr>
        <w:spacing w:line="360" w:lineRule="auto"/>
        <w:jc w:val="both"/>
        <w:rPr>
          <w:rFonts w:ascii="Arial" w:eastAsia="Arial" w:hAnsi="Arial" w:cs="Arial"/>
          <w:sz w:val="22"/>
          <w:szCs w:val="22"/>
          <w:vertAlign w:val="superscript"/>
        </w:rPr>
      </w:pPr>
    </w:p>
    <w:p w14:paraId="3A0A2AAD" w14:textId="28528107" w:rsidR="3A7CED5F" w:rsidRPr="00A252BE" w:rsidRDefault="3A7CED5F" w:rsidP="00E0191D">
      <w:pPr>
        <w:spacing w:line="360" w:lineRule="auto"/>
        <w:jc w:val="both"/>
        <w:rPr>
          <w:rFonts w:ascii="Arial" w:eastAsia="Arial" w:hAnsi="Arial" w:cs="Arial"/>
          <w:sz w:val="22"/>
          <w:szCs w:val="22"/>
          <w:vertAlign w:val="superscript"/>
        </w:rPr>
      </w:pPr>
    </w:p>
    <w:p w14:paraId="53511364" w14:textId="77777777" w:rsidR="00836C8D" w:rsidRPr="00A252BE" w:rsidRDefault="00836C8D" w:rsidP="00E0191D">
      <w:pPr>
        <w:spacing w:line="360" w:lineRule="auto"/>
        <w:jc w:val="both"/>
        <w:rPr>
          <w:rFonts w:ascii="Arial" w:eastAsia="Arial" w:hAnsi="Arial" w:cs="Arial"/>
          <w:sz w:val="22"/>
          <w:szCs w:val="22"/>
          <w:vertAlign w:val="superscript"/>
        </w:rPr>
      </w:pPr>
    </w:p>
    <w:p w14:paraId="07979853" w14:textId="77777777" w:rsidR="00836C8D" w:rsidRPr="00A252BE" w:rsidRDefault="00836C8D" w:rsidP="00E0191D">
      <w:pPr>
        <w:spacing w:line="360" w:lineRule="auto"/>
        <w:jc w:val="both"/>
        <w:rPr>
          <w:rFonts w:ascii="Arial" w:eastAsia="Arial" w:hAnsi="Arial" w:cs="Arial"/>
          <w:sz w:val="22"/>
          <w:szCs w:val="22"/>
          <w:vertAlign w:val="superscript"/>
        </w:rPr>
      </w:pPr>
    </w:p>
    <w:p w14:paraId="77976294" w14:textId="77777777" w:rsidR="00836C8D" w:rsidRPr="00A252BE" w:rsidRDefault="00836C8D" w:rsidP="00E0191D">
      <w:pPr>
        <w:spacing w:line="360" w:lineRule="auto"/>
        <w:jc w:val="both"/>
        <w:rPr>
          <w:rFonts w:ascii="Arial" w:eastAsia="Arial" w:hAnsi="Arial" w:cs="Arial"/>
          <w:sz w:val="22"/>
          <w:szCs w:val="22"/>
          <w:vertAlign w:val="superscript"/>
        </w:rPr>
      </w:pPr>
    </w:p>
    <w:p w14:paraId="77D75BA9" w14:textId="77777777" w:rsidR="00836C8D" w:rsidRPr="00A252BE" w:rsidRDefault="00836C8D" w:rsidP="00E0191D">
      <w:pPr>
        <w:spacing w:line="360" w:lineRule="auto"/>
        <w:jc w:val="both"/>
        <w:rPr>
          <w:rFonts w:ascii="Arial" w:eastAsia="Arial" w:hAnsi="Arial" w:cs="Arial"/>
          <w:sz w:val="22"/>
          <w:szCs w:val="22"/>
          <w:vertAlign w:val="superscript"/>
        </w:rPr>
      </w:pPr>
    </w:p>
    <w:p w14:paraId="23AFF905" w14:textId="77777777" w:rsidR="00836C8D" w:rsidRPr="00A252BE" w:rsidRDefault="00836C8D" w:rsidP="00E0191D">
      <w:pPr>
        <w:spacing w:line="360" w:lineRule="auto"/>
        <w:jc w:val="both"/>
        <w:rPr>
          <w:rFonts w:ascii="Arial" w:eastAsia="Arial" w:hAnsi="Arial" w:cs="Arial"/>
          <w:sz w:val="22"/>
          <w:szCs w:val="22"/>
          <w:vertAlign w:val="superscript"/>
        </w:rPr>
      </w:pPr>
    </w:p>
    <w:p w14:paraId="253774FB" w14:textId="77777777" w:rsidR="00836C8D" w:rsidRPr="00A252BE" w:rsidRDefault="00836C8D" w:rsidP="00E0191D">
      <w:pPr>
        <w:spacing w:line="360" w:lineRule="auto"/>
        <w:jc w:val="both"/>
        <w:rPr>
          <w:rFonts w:ascii="Arial" w:eastAsia="Arial" w:hAnsi="Arial" w:cs="Arial"/>
          <w:sz w:val="22"/>
          <w:szCs w:val="22"/>
          <w:vertAlign w:val="superscript"/>
        </w:rPr>
      </w:pPr>
    </w:p>
    <w:p w14:paraId="2BA6101C" w14:textId="77777777" w:rsidR="00836C8D" w:rsidRPr="00A252BE" w:rsidRDefault="00836C8D" w:rsidP="00E0191D">
      <w:pPr>
        <w:spacing w:line="360" w:lineRule="auto"/>
        <w:jc w:val="both"/>
        <w:rPr>
          <w:rFonts w:ascii="Arial" w:eastAsia="Arial" w:hAnsi="Arial" w:cs="Arial"/>
          <w:sz w:val="22"/>
          <w:szCs w:val="22"/>
          <w:vertAlign w:val="superscript"/>
        </w:rPr>
      </w:pPr>
    </w:p>
    <w:p w14:paraId="42F20209" w14:textId="77777777" w:rsidR="00836C8D" w:rsidRPr="00A252BE" w:rsidRDefault="00836C8D" w:rsidP="00E0191D">
      <w:pPr>
        <w:spacing w:line="360" w:lineRule="auto"/>
        <w:jc w:val="both"/>
        <w:rPr>
          <w:rFonts w:ascii="Arial" w:eastAsia="Arial" w:hAnsi="Arial" w:cs="Arial"/>
          <w:sz w:val="22"/>
          <w:szCs w:val="22"/>
          <w:vertAlign w:val="superscript"/>
        </w:rPr>
      </w:pPr>
    </w:p>
    <w:p w14:paraId="43CD8268" w14:textId="77777777" w:rsidR="00836C8D" w:rsidRPr="00A252BE" w:rsidRDefault="00836C8D" w:rsidP="00E0191D">
      <w:pPr>
        <w:spacing w:line="360" w:lineRule="auto"/>
        <w:jc w:val="both"/>
        <w:rPr>
          <w:rFonts w:ascii="Arial" w:eastAsia="Arial" w:hAnsi="Arial" w:cs="Arial"/>
          <w:sz w:val="22"/>
          <w:szCs w:val="22"/>
          <w:vertAlign w:val="superscript"/>
        </w:rPr>
      </w:pPr>
    </w:p>
    <w:p w14:paraId="1E06446E" w14:textId="77777777" w:rsidR="00836C8D" w:rsidRPr="00A252BE" w:rsidRDefault="00836C8D" w:rsidP="00E0191D">
      <w:pPr>
        <w:spacing w:line="360" w:lineRule="auto"/>
        <w:jc w:val="both"/>
        <w:rPr>
          <w:rFonts w:ascii="Arial" w:eastAsia="Arial" w:hAnsi="Arial" w:cs="Arial"/>
          <w:sz w:val="22"/>
          <w:szCs w:val="22"/>
          <w:vertAlign w:val="superscript"/>
        </w:rPr>
      </w:pPr>
    </w:p>
    <w:p w14:paraId="3C26CAF3" w14:textId="77777777" w:rsidR="00836C8D" w:rsidRPr="00A252BE" w:rsidRDefault="00836C8D" w:rsidP="00E0191D">
      <w:pPr>
        <w:spacing w:line="360" w:lineRule="auto"/>
        <w:jc w:val="both"/>
        <w:rPr>
          <w:rFonts w:ascii="Arial" w:eastAsia="Arial" w:hAnsi="Arial" w:cs="Arial"/>
          <w:sz w:val="22"/>
          <w:szCs w:val="22"/>
          <w:vertAlign w:val="superscript"/>
        </w:rPr>
      </w:pPr>
    </w:p>
    <w:p w14:paraId="3860E2CD" w14:textId="77777777" w:rsidR="00836C8D" w:rsidRPr="00A252BE" w:rsidRDefault="00836C8D" w:rsidP="00E0191D">
      <w:pPr>
        <w:spacing w:line="360" w:lineRule="auto"/>
        <w:jc w:val="both"/>
        <w:rPr>
          <w:rFonts w:ascii="Arial" w:eastAsia="Arial" w:hAnsi="Arial" w:cs="Arial"/>
          <w:sz w:val="22"/>
          <w:szCs w:val="22"/>
          <w:vertAlign w:val="superscript"/>
        </w:rPr>
      </w:pPr>
    </w:p>
    <w:p w14:paraId="44D5E8AC" w14:textId="77777777" w:rsidR="00D32FC9" w:rsidRPr="00A252BE" w:rsidRDefault="00D32FC9" w:rsidP="00E0191D">
      <w:pPr>
        <w:spacing w:line="360" w:lineRule="auto"/>
        <w:jc w:val="both"/>
        <w:rPr>
          <w:rFonts w:ascii="Arial" w:eastAsia="Arial" w:hAnsi="Arial" w:cs="Arial"/>
          <w:sz w:val="22"/>
          <w:szCs w:val="22"/>
          <w:vertAlign w:val="superscript"/>
        </w:rPr>
      </w:pPr>
    </w:p>
    <w:p w14:paraId="054D9EF1" w14:textId="77777777" w:rsidR="00155F46" w:rsidRDefault="00155F46" w:rsidP="00E0191D">
      <w:pPr>
        <w:spacing w:line="360" w:lineRule="auto"/>
        <w:jc w:val="both"/>
        <w:rPr>
          <w:rFonts w:ascii="Arial" w:eastAsia="Arial" w:hAnsi="Arial" w:cs="Arial"/>
          <w:sz w:val="22"/>
          <w:szCs w:val="22"/>
          <w:vertAlign w:val="superscript"/>
        </w:rPr>
      </w:pPr>
    </w:p>
    <w:p w14:paraId="21E9CD63" w14:textId="77777777" w:rsidR="00377DAD" w:rsidRDefault="00377DAD" w:rsidP="00E0191D">
      <w:pPr>
        <w:spacing w:line="360" w:lineRule="auto"/>
        <w:jc w:val="both"/>
        <w:rPr>
          <w:rFonts w:ascii="Arial" w:eastAsia="Arial" w:hAnsi="Arial" w:cs="Arial"/>
          <w:sz w:val="22"/>
          <w:szCs w:val="22"/>
          <w:vertAlign w:val="superscript"/>
        </w:rPr>
      </w:pPr>
    </w:p>
    <w:p w14:paraId="3D75F729" w14:textId="77777777" w:rsidR="00377DAD" w:rsidRDefault="00377DAD" w:rsidP="00E0191D">
      <w:pPr>
        <w:spacing w:line="360" w:lineRule="auto"/>
        <w:jc w:val="both"/>
        <w:rPr>
          <w:rFonts w:ascii="Arial" w:eastAsia="Arial" w:hAnsi="Arial" w:cs="Arial"/>
          <w:sz w:val="22"/>
          <w:szCs w:val="22"/>
          <w:vertAlign w:val="superscript"/>
        </w:rPr>
      </w:pPr>
    </w:p>
    <w:p w14:paraId="544FDD62" w14:textId="77777777" w:rsidR="00377DAD" w:rsidRPr="00A252BE" w:rsidRDefault="00377DAD" w:rsidP="00E0191D">
      <w:pPr>
        <w:spacing w:line="360" w:lineRule="auto"/>
        <w:jc w:val="both"/>
        <w:rPr>
          <w:rFonts w:ascii="Arial" w:eastAsia="Arial" w:hAnsi="Arial" w:cs="Arial"/>
          <w:sz w:val="22"/>
          <w:szCs w:val="22"/>
          <w:vertAlign w:val="superscript"/>
        </w:rPr>
      </w:pPr>
    </w:p>
    <w:p w14:paraId="0908240E" w14:textId="7EEAA4FC" w:rsidR="3A7CED5F" w:rsidRPr="00E27CFA" w:rsidRDefault="62BE6ACA" w:rsidP="00E27CFA">
      <w:pPr>
        <w:pStyle w:val="Heading1"/>
        <w:rPr>
          <w:rFonts w:ascii="Arial" w:eastAsia="Arial" w:hAnsi="Arial" w:cs="Arial"/>
          <w:sz w:val="32"/>
          <w:szCs w:val="32"/>
        </w:rPr>
      </w:pPr>
      <w:bookmarkStart w:id="63" w:name="_Toc225143112"/>
      <w:bookmarkStart w:id="64" w:name="_Toc226479929"/>
      <w:r w:rsidRPr="00E27CFA">
        <w:rPr>
          <w:rFonts w:ascii="Arial" w:eastAsia="Arial" w:hAnsi="Arial" w:cs="Arial"/>
          <w:sz w:val="32"/>
          <w:szCs w:val="32"/>
        </w:rPr>
        <w:lastRenderedPageBreak/>
        <w:t>Chapter 5 – Conclusion and Recommendations</w:t>
      </w:r>
      <w:bookmarkEnd w:id="63"/>
      <w:bookmarkEnd w:id="64"/>
      <w:r w:rsidRPr="00E27CFA">
        <w:rPr>
          <w:rFonts w:ascii="Arial" w:eastAsia="Arial" w:hAnsi="Arial" w:cs="Arial"/>
          <w:sz w:val="32"/>
          <w:szCs w:val="32"/>
        </w:rPr>
        <w:t xml:space="preserve"> </w:t>
      </w:r>
    </w:p>
    <w:p w14:paraId="08218F14" w14:textId="77777777" w:rsidR="008B0196" w:rsidRPr="00E27CFA" w:rsidRDefault="58802F49" w:rsidP="00E27CFA">
      <w:pPr>
        <w:pStyle w:val="Heading2"/>
        <w:rPr>
          <w:rFonts w:ascii="Arial" w:hAnsi="Arial" w:cs="Arial"/>
          <w:sz w:val="28"/>
          <w:szCs w:val="28"/>
        </w:rPr>
      </w:pPr>
      <w:bookmarkStart w:id="65" w:name="_Toc225143113"/>
      <w:bookmarkStart w:id="66" w:name="_Toc226479930"/>
      <w:r w:rsidRPr="00E27CFA">
        <w:rPr>
          <w:rFonts w:ascii="Arial" w:hAnsi="Arial" w:cs="Arial"/>
          <w:sz w:val="28"/>
          <w:szCs w:val="28"/>
        </w:rPr>
        <w:t>5.1 – Overall Conclusion</w:t>
      </w:r>
      <w:bookmarkEnd w:id="65"/>
      <w:bookmarkEnd w:id="66"/>
      <w:r w:rsidRPr="00E27CFA">
        <w:rPr>
          <w:rFonts w:ascii="Arial" w:hAnsi="Arial" w:cs="Arial"/>
          <w:sz w:val="28"/>
          <w:szCs w:val="28"/>
        </w:rPr>
        <w:t xml:space="preserve"> </w:t>
      </w:r>
    </w:p>
    <w:p w14:paraId="7F0A77EF" w14:textId="693780A3" w:rsidR="008B0196" w:rsidRPr="00B932BA" w:rsidRDefault="008B0196" w:rsidP="00E0191D">
      <w:pPr>
        <w:spacing w:line="360" w:lineRule="auto"/>
        <w:jc w:val="both"/>
        <w:rPr>
          <w:rFonts w:ascii="Arial" w:eastAsia="Arial" w:hAnsi="Arial" w:cs="Arial"/>
          <w:sz w:val="22"/>
          <w:szCs w:val="22"/>
        </w:rPr>
      </w:pPr>
      <w:r w:rsidRPr="00B932BA">
        <w:rPr>
          <w:rFonts w:ascii="Arial" w:eastAsia="Arial" w:hAnsi="Arial" w:cs="Arial"/>
          <w:sz w:val="22"/>
          <w:szCs w:val="22"/>
        </w:rPr>
        <w:t xml:space="preserve">The purpose of this conclusion is to summarise the dissertation, reflecting on the exploration of social support and anxiety disorders in adolescents (Cohen and Wills, 1985; </w:t>
      </w:r>
      <w:proofErr w:type="spellStart"/>
      <w:r w:rsidRPr="00B932BA">
        <w:rPr>
          <w:rFonts w:ascii="Arial" w:eastAsia="Arial" w:hAnsi="Arial" w:cs="Arial"/>
          <w:sz w:val="22"/>
          <w:szCs w:val="22"/>
        </w:rPr>
        <w:t>Gariépy</w:t>
      </w:r>
      <w:proofErr w:type="spellEnd"/>
      <w:r w:rsidRPr="00B932BA">
        <w:rPr>
          <w:rFonts w:ascii="Arial" w:eastAsia="Arial" w:hAnsi="Arial" w:cs="Arial"/>
          <w:sz w:val="22"/>
          <w:szCs w:val="22"/>
        </w:rPr>
        <w:t xml:space="preserve"> et al., 2016). Chapter 1 established the research aim of investigating the impact of social support on anxiety symptoms, alongside objectives examining family dynamics, peer relationships, and mental health outcomes (Kessler et al., 2005; Rueger et al., 2016).</w:t>
      </w:r>
    </w:p>
    <w:p w14:paraId="7DF62DDF" w14:textId="77777777" w:rsidR="008B0196" w:rsidRPr="00B932BA" w:rsidRDefault="008B0196" w:rsidP="00E0191D">
      <w:pPr>
        <w:spacing w:line="360" w:lineRule="auto"/>
        <w:jc w:val="both"/>
        <w:rPr>
          <w:rFonts w:ascii="Arial" w:eastAsia="Arial" w:hAnsi="Arial" w:cs="Arial"/>
          <w:sz w:val="22"/>
          <w:szCs w:val="22"/>
        </w:rPr>
      </w:pPr>
      <w:r w:rsidRPr="00B932BA">
        <w:rPr>
          <w:rFonts w:ascii="Arial" w:eastAsia="Arial" w:hAnsi="Arial" w:cs="Arial"/>
          <w:sz w:val="22"/>
          <w:szCs w:val="22"/>
        </w:rPr>
        <w:t>Chapter 2 provided a theoretical framework, highlighting developments and policies surrounding adolescent mental health (NHS Digital, 2021; Public Health England, 2021). Chapter 3 outlined the methods and search strategies used, emphasising a systematic approach to gathering and analysing literature (Braun and Clarke, 2021; Nowell et al., 2017).</w:t>
      </w:r>
    </w:p>
    <w:p w14:paraId="16846D3F" w14:textId="77777777" w:rsidR="008B0196" w:rsidRPr="00B932BA" w:rsidRDefault="008B0196" w:rsidP="00E0191D">
      <w:pPr>
        <w:spacing w:line="360" w:lineRule="auto"/>
        <w:jc w:val="both"/>
        <w:rPr>
          <w:rFonts w:ascii="Arial" w:eastAsia="Arial" w:hAnsi="Arial" w:cs="Arial"/>
          <w:sz w:val="22"/>
          <w:szCs w:val="22"/>
        </w:rPr>
      </w:pPr>
      <w:r w:rsidRPr="00B932BA">
        <w:rPr>
          <w:rFonts w:ascii="Arial" w:eastAsia="Arial" w:hAnsi="Arial" w:cs="Arial"/>
          <w:sz w:val="22"/>
          <w:szCs w:val="22"/>
        </w:rPr>
        <w:t xml:space="preserve">Chapter 4 organised findings into three themes: social support, family dynamics, and peer relationships. Each highlighted the importance of social connections in managing anxiety and offered insights into interventions (Santini et al., 2015; </w:t>
      </w:r>
      <w:proofErr w:type="spellStart"/>
      <w:r w:rsidRPr="00B932BA">
        <w:rPr>
          <w:rFonts w:ascii="Arial" w:eastAsia="Arial" w:hAnsi="Arial" w:cs="Arial"/>
          <w:sz w:val="22"/>
          <w:szCs w:val="22"/>
        </w:rPr>
        <w:t>Scardera</w:t>
      </w:r>
      <w:proofErr w:type="spellEnd"/>
      <w:r w:rsidRPr="00B932BA">
        <w:rPr>
          <w:rFonts w:ascii="Arial" w:eastAsia="Arial" w:hAnsi="Arial" w:cs="Arial"/>
          <w:sz w:val="22"/>
          <w:szCs w:val="22"/>
        </w:rPr>
        <w:t xml:space="preserve"> et al., 2020). Social support reduces anxiety, but its effectiveness depends on the quality and consistency of relationships.</w:t>
      </w:r>
    </w:p>
    <w:p w14:paraId="7CC0BCEB" w14:textId="5D2F3E8E" w:rsidR="00367C1A" w:rsidRPr="00A252BE" w:rsidRDefault="008B0196" w:rsidP="00E0191D">
      <w:pPr>
        <w:spacing w:line="360" w:lineRule="auto"/>
        <w:jc w:val="both"/>
        <w:rPr>
          <w:rFonts w:ascii="Arial" w:eastAsia="Arial" w:hAnsi="Arial" w:cs="Arial"/>
          <w:sz w:val="22"/>
          <w:szCs w:val="22"/>
        </w:rPr>
      </w:pPr>
      <w:r w:rsidRPr="00B932BA">
        <w:rPr>
          <w:rFonts w:ascii="Arial" w:eastAsia="Arial" w:hAnsi="Arial" w:cs="Arial"/>
          <w:sz w:val="22"/>
          <w:szCs w:val="22"/>
        </w:rPr>
        <w:t>Overall, the research objectives have been addressed, demonstrating the influence of social support on adolescent anxiety (Gariepy et al., 2016). This dissertation reinforces the importance of supportive environments in promoting resilience and mental health outcomes (NHS Digital, 2022; Young Minds, 2022). However, inconsistencies in access to support services remain a challenge.</w:t>
      </w:r>
      <w:r w:rsidR="58802F49" w:rsidRPr="00A252BE">
        <w:rPr>
          <w:rFonts w:eastAsia="Arial"/>
        </w:rPr>
        <w:t xml:space="preserve"> </w:t>
      </w:r>
    </w:p>
    <w:p w14:paraId="6449FE82" w14:textId="77777777" w:rsidR="00D021BC" w:rsidRPr="00E27CFA" w:rsidRDefault="00D021BC" w:rsidP="00E27CFA">
      <w:pPr>
        <w:pStyle w:val="Heading2"/>
        <w:rPr>
          <w:rFonts w:ascii="Arial" w:hAnsi="Arial" w:cs="Arial"/>
          <w:color w:val="auto"/>
          <w:sz w:val="28"/>
          <w:szCs w:val="28"/>
        </w:rPr>
      </w:pPr>
      <w:bookmarkStart w:id="67" w:name="_Toc226479931"/>
      <w:r w:rsidRPr="00E27CFA">
        <w:rPr>
          <w:rFonts w:ascii="Arial" w:hAnsi="Arial" w:cs="Arial"/>
          <w:color w:val="auto"/>
          <w:sz w:val="28"/>
          <w:szCs w:val="28"/>
        </w:rPr>
        <w:t>5.2 – Limitations of the Study</w:t>
      </w:r>
      <w:bookmarkEnd w:id="67"/>
    </w:p>
    <w:p w14:paraId="09FC3E3F" w14:textId="77777777" w:rsidR="00C02C6C" w:rsidRPr="00B932BA" w:rsidRDefault="00C02C6C" w:rsidP="00E0191D">
      <w:pPr>
        <w:spacing w:line="360" w:lineRule="auto"/>
        <w:jc w:val="both"/>
        <w:rPr>
          <w:rFonts w:ascii="Arial" w:eastAsia="Arial" w:hAnsi="Arial" w:cs="Arial"/>
          <w:sz w:val="22"/>
          <w:szCs w:val="22"/>
        </w:rPr>
      </w:pPr>
      <w:r w:rsidRPr="00B932BA">
        <w:rPr>
          <w:rFonts w:ascii="Arial" w:eastAsia="Arial" w:hAnsi="Arial" w:cs="Arial"/>
          <w:sz w:val="22"/>
          <w:szCs w:val="22"/>
        </w:rPr>
        <w:t>This study is limited by its reliance on secondary data and variability in methodologies across included studies, which may affect generalisability. Although a systematic approach was used, the research depends on the quality and scope of existing literature, meaning weaknesses in original studies may influence the analysis (Braun and Clarke, 2021; Nowell et al., 2017).</w:t>
      </w:r>
    </w:p>
    <w:p w14:paraId="0F47B857" w14:textId="77777777" w:rsidR="00C02C6C" w:rsidRPr="00B932BA" w:rsidRDefault="00C02C6C" w:rsidP="00E0191D">
      <w:pPr>
        <w:spacing w:line="360" w:lineRule="auto"/>
        <w:jc w:val="both"/>
        <w:rPr>
          <w:rFonts w:ascii="Arial" w:eastAsia="Arial" w:hAnsi="Arial" w:cs="Arial"/>
          <w:sz w:val="22"/>
          <w:szCs w:val="22"/>
        </w:rPr>
      </w:pPr>
      <w:r w:rsidRPr="00B932BA">
        <w:rPr>
          <w:rFonts w:ascii="Arial" w:eastAsia="Arial" w:hAnsi="Arial" w:cs="Arial"/>
          <w:sz w:val="22"/>
          <w:szCs w:val="22"/>
        </w:rPr>
        <w:t>Differences in study design, samples, and measurement tools also make comparisons difficult. While a balanced range of literature was included, there remains the possibility of interpretative bias. These limitations do not invalidate the findings but suggest conclusions should be treated with caution.</w:t>
      </w:r>
    </w:p>
    <w:p w14:paraId="6EC1321D" w14:textId="77777777" w:rsidR="00E928B2" w:rsidRPr="00A252BE" w:rsidRDefault="00E928B2" w:rsidP="00E0191D">
      <w:pPr>
        <w:spacing w:line="360" w:lineRule="auto"/>
        <w:jc w:val="both"/>
        <w:rPr>
          <w:rFonts w:ascii="Arial" w:hAnsi="Arial" w:cs="Arial"/>
          <w:sz w:val="22"/>
          <w:szCs w:val="22"/>
        </w:rPr>
      </w:pPr>
    </w:p>
    <w:p w14:paraId="3617FE23" w14:textId="1A793BBD" w:rsidR="00E928B2" w:rsidRPr="00D2436E" w:rsidRDefault="00D021BC" w:rsidP="00E0191D">
      <w:pPr>
        <w:pStyle w:val="Heading2"/>
        <w:spacing w:line="360" w:lineRule="auto"/>
        <w:jc w:val="both"/>
        <w:rPr>
          <w:rFonts w:ascii="Arial" w:hAnsi="Arial" w:cs="Arial"/>
          <w:color w:val="auto"/>
          <w:sz w:val="28"/>
          <w:szCs w:val="28"/>
        </w:rPr>
      </w:pPr>
      <w:bookmarkStart w:id="68" w:name="_Toc226479932"/>
      <w:r w:rsidRPr="00D2436E">
        <w:rPr>
          <w:rFonts w:ascii="Arial" w:hAnsi="Arial" w:cs="Arial"/>
          <w:color w:val="auto"/>
          <w:sz w:val="28"/>
          <w:szCs w:val="28"/>
        </w:rPr>
        <w:lastRenderedPageBreak/>
        <w:t>5.3 – Recommendations</w:t>
      </w:r>
      <w:bookmarkEnd w:id="68"/>
    </w:p>
    <w:p w14:paraId="0D0E8965" w14:textId="7CCA3389" w:rsidR="0050168A" w:rsidRPr="000C042B" w:rsidRDefault="00D021BC" w:rsidP="00E0191D">
      <w:pPr>
        <w:pStyle w:val="Heading3"/>
        <w:spacing w:line="360" w:lineRule="auto"/>
        <w:jc w:val="both"/>
        <w:rPr>
          <w:rFonts w:ascii="Arial" w:hAnsi="Arial" w:cs="Arial"/>
          <w:b/>
          <w:bCs/>
          <w:color w:val="auto"/>
          <w:sz w:val="24"/>
          <w:szCs w:val="24"/>
        </w:rPr>
      </w:pPr>
      <w:bookmarkStart w:id="69" w:name="_Toc226479933"/>
      <w:r w:rsidRPr="000C042B">
        <w:rPr>
          <w:rFonts w:ascii="Arial" w:hAnsi="Arial" w:cs="Arial"/>
          <w:color w:val="auto"/>
          <w:sz w:val="24"/>
          <w:szCs w:val="24"/>
        </w:rPr>
        <w:t>5.3.1 –</w:t>
      </w:r>
      <w:r w:rsidRPr="000C042B">
        <w:rPr>
          <w:rFonts w:ascii="Arial" w:hAnsi="Arial" w:cs="Arial"/>
          <w:b/>
          <w:bCs/>
          <w:color w:val="auto"/>
          <w:sz w:val="24"/>
          <w:szCs w:val="24"/>
        </w:rPr>
        <w:t xml:space="preserve"> </w:t>
      </w:r>
      <w:r w:rsidRPr="000C042B">
        <w:rPr>
          <w:rFonts w:ascii="Arial" w:hAnsi="Arial" w:cs="Arial"/>
          <w:color w:val="auto"/>
          <w:sz w:val="24"/>
          <w:szCs w:val="24"/>
        </w:rPr>
        <w:t xml:space="preserve">Recommendation </w:t>
      </w:r>
      <w:r w:rsidR="00E04194" w:rsidRPr="000C042B">
        <w:rPr>
          <w:rFonts w:ascii="Arial" w:hAnsi="Arial" w:cs="Arial"/>
          <w:color w:val="auto"/>
          <w:sz w:val="24"/>
          <w:szCs w:val="24"/>
        </w:rPr>
        <w:t>1: Implement</w:t>
      </w:r>
      <w:r w:rsidRPr="000C042B">
        <w:rPr>
          <w:rFonts w:ascii="Arial" w:hAnsi="Arial" w:cs="Arial"/>
          <w:color w:val="auto"/>
          <w:sz w:val="24"/>
          <w:szCs w:val="24"/>
        </w:rPr>
        <w:t xml:space="preserve"> Peer Support Programs in Schools</w:t>
      </w:r>
      <w:bookmarkEnd w:id="69"/>
    </w:p>
    <w:p w14:paraId="21D8ABD5" w14:textId="77777777" w:rsidR="00BB45B0" w:rsidRPr="00D2436E" w:rsidRDefault="00BB45B0"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Recommendation:</w:t>
      </w:r>
      <w:r w:rsidRPr="00D2436E">
        <w:rPr>
          <w:rFonts w:ascii="Arial" w:eastAsia="Arial" w:hAnsi="Arial" w:cs="Arial"/>
          <w:sz w:val="22"/>
          <w:szCs w:val="22"/>
        </w:rPr>
        <w:t xml:space="preserve"> Establish peer support programs in schools to provide emotional and social support for students with anxiety disorders, including training peer mentors (Pickering et al., 2020; Chiu et al., 2021).</w:t>
      </w:r>
    </w:p>
    <w:p w14:paraId="3A1176C3" w14:textId="77777777" w:rsidR="00BB45B0" w:rsidRPr="00D2436E" w:rsidRDefault="00BB45B0"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Rationale:</w:t>
      </w:r>
      <w:r w:rsidRPr="00D2436E">
        <w:rPr>
          <w:rFonts w:ascii="Arial" w:eastAsia="Arial" w:hAnsi="Arial" w:cs="Arial"/>
          <w:sz w:val="22"/>
          <w:szCs w:val="22"/>
        </w:rPr>
        <w:t xml:space="preserve"> Peer relationships can act as both protective and risk factors. Research shows peer support can reduce anxiety symptoms (Taylor et al., 2017; Rueger et al., 2016). Structured programs provide accessible support and encourage help-seeking (Cook et al., 2015).</w:t>
      </w:r>
    </w:p>
    <w:p w14:paraId="3ED50A89" w14:textId="77777777" w:rsidR="00BB45B0" w:rsidRPr="00D2436E" w:rsidRDefault="00BB45B0"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Barriers and Limitations:</w:t>
      </w:r>
      <w:r w:rsidRPr="00D2436E">
        <w:rPr>
          <w:rFonts w:ascii="Arial" w:eastAsia="Arial" w:hAnsi="Arial" w:cs="Arial"/>
          <w:sz w:val="22"/>
          <w:szCs w:val="22"/>
        </w:rPr>
        <w:t xml:space="preserve"> Stigma may prevent participation (Gulliver et al., 2010; Public Health England, 2021), alongside resource constraints and variability in school provision.</w:t>
      </w:r>
    </w:p>
    <w:p w14:paraId="1511DCE9" w14:textId="543AC223" w:rsidR="008B2909" w:rsidRPr="00D2436E" w:rsidRDefault="00BB45B0"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Overcoming Barriers:</w:t>
      </w:r>
      <w:r w:rsidRPr="00D2436E">
        <w:rPr>
          <w:rFonts w:ascii="Arial" w:eastAsia="Arial" w:hAnsi="Arial" w:cs="Arial"/>
          <w:sz w:val="22"/>
          <w:szCs w:val="22"/>
        </w:rPr>
        <w:t xml:space="preserve"> Schools can promote mental health awareness (Department for Education, 2023) and seek funding through partnerships to support implementation.</w:t>
      </w:r>
    </w:p>
    <w:p w14:paraId="1BB9E0FC" w14:textId="61121147" w:rsidR="00FA63F1" w:rsidRPr="000957A5" w:rsidRDefault="00D021BC" w:rsidP="00E0191D">
      <w:pPr>
        <w:pStyle w:val="Heading3"/>
        <w:spacing w:line="360" w:lineRule="auto"/>
        <w:jc w:val="both"/>
        <w:rPr>
          <w:rFonts w:ascii="Arial" w:hAnsi="Arial" w:cs="Arial"/>
          <w:color w:val="auto"/>
          <w:sz w:val="24"/>
          <w:szCs w:val="24"/>
        </w:rPr>
      </w:pPr>
      <w:bookmarkStart w:id="70" w:name="_Toc226479934"/>
      <w:r w:rsidRPr="000957A5">
        <w:rPr>
          <w:rFonts w:ascii="Arial" w:hAnsi="Arial" w:cs="Arial"/>
          <w:color w:val="auto"/>
          <w:sz w:val="24"/>
          <w:szCs w:val="24"/>
        </w:rPr>
        <w:t>5.3.2 – Recommendation 2 Enhance Family Engagement in Mental Health Interventions</w:t>
      </w:r>
      <w:bookmarkEnd w:id="70"/>
    </w:p>
    <w:p w14:paraId="6225CF06" w14:textId="77777777" w:rsidR="008719FD" w:rsidRPr="00D2436E" w:rsidRDefault="008719FD"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Recommendation:</w:t>
      </w:r>
      <w:r w:rsidRPr="00D2436E">
        <w:rPr>
          <w:rFonts w:ascii="Arial" w:eastAsia="Arial" w:hAnsi="Arial" w:cs="Arial"/>
          <w:sz w:val="22"/>
          <w:szCs w:val="22"/>
        </w:rPr>
        <w:t xml:space="preserve"> Develop family engagement strategies, including therapy, workshops, and resources to improve communication and support (</w:t>
      </w:r>
      <w:proofErr w:type="spellStart"/>
      <w:r w:rsidRPr="00D2436E">
        <w:rPr>
          <w:rFonts w:ascii="Arial" w:eastAsia="Arial" w:hAnsi="Arial" w:cs="Arial"/>
          <w:sz w:val="22"/>
          <w:szCs w:val="22"/>
        </w:rPr>
        <w:t>Mikulincer</w:t>
      </w:r>
      <w:proofErr w:type="spellEnd"/>
      <w:r w:rsidRPr="00D2436E">
        <w:rPr>
          <w:rFonts w:ascii="Arial" w:eastAsia="Arial" w:hAnsi="Arial" w:cs="Arial"/>
          <w:sz w:val="22"/>
          <w:szCs w:val="22"/>
        </w:rPr>
        <w:t xml:space="preserve"> and Shaver, 2016; NICE, 2021).</w:t>
      </w:r>
    </w:p>
    <w:p w14:paraId="67F16BBD" w14:textId="77777777" w:rsidR="008719FD" w:rsidRPr="00D2436E" w:rsidRDefault="008719FD"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Rationale:</w:t>
      </w:r>
      <w:r w:rsidRPr="00D2436E">
        <w:rPr>
          <w:rFonts w:ascii="Arial" w:eastAsia="Arial" w:hAnsi="Arial" w:cs="Arial"/>
          <w:sz w:val="22"/>
          <w:szCs w:val="22"/>
        </w:rPr>
        <w:t xml:space="preserve"> Family dynamics strongly influence anxiety outcomes. </w:t>
      </w:r>
      <w:proofErr w:type="spellStart"/>
      <w:r w:rsidRPr="002C092A">
        <w:rPr>
          <w:rFonts w:ascii="Arial" w:eastAsia="Arial" w:hAnsi="Arial" w:cs="Arial"/>
          <w:sz w:val="22"/>
          <w:szCs w:val="22"/>
          <w:lang w:val="fr-FR"/>
        </w:rPr>
        <w:t>Supportive</w:t>
      </w:r>
      <w:proofErr w:type="spellEnd"/>
      <w:r w:rsidRPr="002C092A">
        <w:rPr>
          <w:rFonts w:ascii="Arial" w:eastAsia="Arial" w:hAnsi="Arial" w:cs="Arial"/>
          <w:sz w:val="22"/>
          <w:szCs w:val="22"/>
          <w:lang w:val="fr-FR"/>
        </w:rPr>
        <w:t xml:space="preserve"> </w:t>
      </w:r>
      <w:proofErr w:type="spellStart"/>
      <w:r w:rsidRPr="002C092A">
        <w:rPr>
          <w:rFonts w:ascii="Arial" w:eastAsia="Arial" w:hAnsi="Arial" w:cs="Arial"/>
          <w:sz w:val="22"/>
          <w:szCs w:val="22"/>
          <w:lang w:val="fr-FR"/>
        </w:rPr>
        <w:t>environments</w:t>
      </w:r>
      <w:proofErr w:type="spellEnd"/>
      <w:r w:rsidRPr="002C092A">
        <w:rPr>
          <w:rFonts w:ascii="Arial" w:eastAsia="Arial" w:hAnsi="Arial" w:cs="Arial"/>
          <w:sz w:val="22"/>
          <w:szCs w:val="22"/>
          <w:lang w:val="fr-FR"/>
        </w:rPr>
        <w:t xml:space="preserve"> </w:t>
      </w:r>
      <w:proofErr w:type="spellStart"/>
      <w:r w:rsidRPr="002C092A">
        <w:rPr>
          <w:rFonts w:ascii="Arial" w:eastAsia="Arial" w:hAnsi="Arial" w:cs="Arial"/>
          <w:sz w:val="22"/>
          <w:szCs w:val="22"/>
          <w:lang w:val="fr-FR"/>
        </w:rPr>
        <w:t>improve</w:t>
      </w:r>
      <w:proofErr w:type="spellEnd"/>
      <w:r w:rsidRPr="002C092A">
        <w:rPr>
          <w:rFonts w:ascii="Arial" w:eastAsia="Arial" w:hAnsi="Arial" w:cs="Arial"/>
          <w:sz w:val="22"/>
          <w:szCs w:val="22"/>
          <w:lang w:val="fr-FR"/>
        </w:rPr>
        <w:t xml:space="preserve"> adolescent mental </w:t>
      </w:r>
      <w:proofErr w:type="spellStart"/>
      <w:r w:rsidRPr="002C092A">
        <w:rPr>
          <w:rFonts w:ascii="Arial" w:eastAsia="Arial" w:hAnsi="Arial" w:cs="Arial"/>
          <w:sz w:val="22"/>
          <w:szCs w:val="22"/>
          <w:lang w:val="fr-FR"/>
        </w:rPr>
        <w:t>health</w:t>
      </w:r>
      <w:proofErr w:type="spellEnd"/>
      <w:r w:rsidRPr="002C092A">
        <w:rPr>
          <w:rFonts w:ascii="Arial" w:eastAsia="Arial" w:hAnsi="Arial" w:cs="Arial"/>
          <w:sz w:val="22"/>
          <w:szCs w:val="22"/>
          <w:lang w:val="fr-FR"/>
        </w:rPr>
        <w:t xml:space="preserve"> (McLeod et al., </w:t>
      </w:r>
      <w:proofErr w:type="gramStart"/>
      <w:r w:rsidRPr="002C092A">
        <w:rPr>
          <w:rFonts w:ascii="Arial" w:eastAsia="Arial" w:hAnsi="Arial" w:cs="Arial"/>
          <w:sz w:val="22"/>
          <w:szCs w:val="22"/>
          <w:lang w:val="fr-FR"/>
        </w:rPr>
        <w:t>2016;</w:t>
      </w:r>
      <w:proofErr w:type="gramEnd"/>
      <w:r w:rsidRPr="002C092A">
        <w:rPr>
          <w:rFonts w:ascii="Arial" w:eastAsia="Arial" w:hAnsi="Arial" w:cs="Arial"/>
          <w:sz w:val="22"/>
          <w:szCs w:val="22"/>
          <w:lang w:val="fr-FR"/>
        </w:rPr>
        <w:t xml:space="preserve"> Essau et al., 2019). </w:t>
      </w:r>
      <w:r w:rsidRPr="00D2436E">
        <w:rPr>
          <w:rFonts w:ascii="Arial" w:eastAsia="Arial" w:hAnsi="Arial" w:cs="Arial"/>
          <w:sz w:val="22"/>
          <w:szCs w:val="22"/>
        </w:rPr>
        <w:t>Family involvement enhances understanding and coping (Reupert et al., 2021).</w:t>
      </w:r>
    </w:p>
    <w:p w14:paraId="47E048DB" w14:textId="77777777" w:rsidR="008719FD" w:rsidRPr="00D2436E" w:rsidRDefault="008719FD"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Barriers and Limitations:</w:t>
      </w:r>
      <w:r w:rsidRPr="00D2436E">
        <w:rPr>
          <w:rFonts w:ascii="Arial" w:eastAsia="Arial" w:hAnsi="Arial" w:cs="Arial"/>
          <w:sz w:val="22"/>
          <w:szCs w:val="22"/>
        </w:rPr>
        <w:t xml:space="preserve"> Barriers include stigma, lack of awareness, and logistical challenges (Gulliver et al., 2010; NICE, 2021). Effectiveness may be reduced in high-conflict families.</w:t>
      </w:r>
    </w:p>
    <w:p w14:paraId="578B4C67" w14:textId="56398C23" w:rsidR="002041FA" w:rsidRPr="00D2436E" w:rsidRDefault="008719FD"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Overcoming Barriers:</w:t>
      </w:r>
      <w:r w:rsidRPr="00D2436E">
        <w:rPr>
          <w:rFonts w:ascii="Arial" w:eastAsia="Arial" w:hAnsi="Arial" w:cs="Arial"/>
          <w:sz w:val="22"/>
          <w:szCs w:val="22"/>
        </w:rPr>
        <w:t xml:space="preserve"> Flexible scheduling and culturally sensitive resources can improve access. Collaboration with schools and community organisations can enhance outreach (Department of Health and Social Care and Department for Education, 2018).</w:t>
      </w:r>
    </w:p>
    <w:p w14:paraId="5820B01B" w14:textId="3AB69C88" w:rsidR="00F428E5" w:rsidRPr="00344A17" w:rsidRDefault="00D021BC" w:rsidP="00E0191D">
      <w:pPr>
        <w:pStyle w:val="Heading3"/>
        <w:spacing w:line="360" w:lineRule="auto"/>
        <w:jc w:val="both"/>
        <w:rPr>
          <w:rFonts w:ascii="Arial" w:hAnsi="Arial" w:cs="Arial"/>
          <w:color w:val="auto"/>
          <w:sz w:val="24"/>
          <w:szCs w:val="24"/>
        </w:rPr>
      </w:pPr>
      <w:bookmarkStart w:id="71" w:name="_Toc226479935"/>
      <w:r w:rsidRPr="00344A17">
        <w:rPr>
          <w:rFonts w:ascii="Arial" w:hAnsi="Arial" w:cs="Arial"/>
          <w:color w:val="auto"/>
          <w:sz w:val="24"/>
          <w:szCs w:val="24"/>
        </w:rPr>
        <w:t>5.3.3 – Recommendation 3 Promote Community-Based Mental Health Initiatives</w:t>
      </w:r>
      <w:bookmarkEnd w:id="71"/>
    </w:p>
    <w:p w14:paraId="3755FDA8" w14:textId="6EA557A8" w:rsidR="00B738A9" w:rsidRPr="00D2436E" w:rsidRDefault="00B738A9"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Recommendation</w:t>
      </w:r>
      <w:r w:rsidRPr="00D2436E">
        <w:rPr>
          <w:rFonts w:ascii="Arial" w:eastAsia="Arial" w:hAnsi="Arial" w:cs="Arial"/>
          <w:sz w:val="22"/>
          <w:szCs w:val="22"/>
        </w:rPr>
        <w:t>: Develop community-based initiatives through partnerships to provide support networks, workshops, and activities (</w:t>
      </w:r>
      <w:proofErr w:type="spellStart"/>
      <w:r w:rsidRPr="00D2436E">
        <w:rPr>
          <w:rFonts w:ascii="Arial" w:eastAsia="Arial" w:hAnsi="Arial" w:cs="Arial"/>
          <w:sz w:val="22"/>
          <w:szCs w:val="22"/>
        </w:rPr>
        <w:t>Gariépy</w:t>
      </w:r>
      <w:proofErr w:type="spellEnd"/>
      <w:r w:rsidRPr="00D2436E">
        <w:rPr>
          <w:rFonts w:ascii="Arial" w:eastAsia="Arial" w:hAnsi="Arial" w:cs="Arial"/>
          <w:sz w:val="22"/>
          <w:szCs w:val="22"/>
        </w:rPr>
        <w:t xml:space="preserve"> et al., 2016).</w:t>
      </w:r>
    </w:p>
    <w:p w14:paraId="4ED00871" w14:textId="77777777" w:rsidR="00B738A9" w:rsidRPr="00D2436E" w:rsidRDefault="00B738A9"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lastRenderedPageBreak/>
        <w:t>Rationale</w:t>
      </w:r>
      <w:r w:rsidRPr="00D2436E">
        <w:rPr>
          <w:rFonts w:ascii="Arial" w:eastAsia="Arial" w:hAnsi="Arial" w:cs="Arial"/>
          <w:sz w:val="22"/>
          <w:szCs w:val="22"/>
        </w:rPr>
        <w:t>: Adolescent anxiety is shaped by broader social environments. Community support reduces isolation and strengthens social connections (Holt-</w:t>
      </w:r>
      <w:proofErr w:type="spellStart"/>
      <w:r w:rsidRPr="00D2436E">
        <w:rPr>
          <w:rFonts w:ascii="Arial" w:eastAsia="Arial" w:hAnsi="Arial" w:cs="Arial"/>
          <w:sz w:val="22"/>
          <w:szCs w:val="22"/>
        </w:rPr>
        <w:t>Lunstad</w:t>
      </w:r>
      <w:proofErr w:type="spellEnd"/>
      <w:r w:rsidRPr="00D2436E">
        <w:rPr>
          <w:rFonts w:ascii="Arial" w:eastAsia="Arial" w:hAnsi="Arial" w:cs="Arial"/>
          <w:sz w:val="22"/>
          <w:szCs w:val="22"/>
        </w:rPr>
        <w:t xml:space="preserve"> et al., 2010; </w:t>
      </w:r>
      <w:proofErr w:type="spellStart"/>
      <w:r w:rsidRPr="00D2436E">
        <w:rPr>
          <w:rFonts w:ascii="Arial" w:eastAsia="Arial" w:hAnsi="Arial" w:cs="Arial"/>
          <w:sz w:val="22"/>
          <w:szCs w:val="22"/>
        </w:rPr>
        <w:t>Scardera</w:t>
      </w:r>
      <w:proofErr w:type="spellEnd"/>
      <w:r w:rsidRPr="00D2436E">
        <w:rPr>
          <w:rFonts w:ascii="Arial" w:eastAsia="Arial" w:hAnsi="Arial" w:cs="Arial"/>
          <w:sz w:val="22"/>
          <w:szCs w:val="22"/>
        </w:rPr>
        <w:t xml:space="preserve"> et al., 2020).</w:t>
      </w:r>
    </w:p>
    <w:p w14:paraId="4FCC6E0D" w14:textId="77777777" w:rsidR="00B738A9" w:rsidRPr="00D2436E" w:rsidRDefault="00B738A9"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Barriers and Limitations:</w:t>
      </w:r>
      <w:r w:rsidRPr="00D2436E">
        <w:rPr>
          <w:rFonts w:ascii="Arial" w:eastAsia="Arial" w:hAnsi="Arial" w:cs="Arial"/>
          <w:sz w:val="22"/>
          <w:szCs w:val="22"/>
        </w:rPr>
        <w:t xml:space="preserve"> Challenges include limited funding, low awareness, and uneven service provision. Some adolescents may avoid participation due to stigma (Vannucci and McCauley Ohannessian, 2019).</w:t>
      </w:r>
    </w:p>
    <w:p w14:paraId="4A1B0D9F" w14:textId="77777777" w:rsidR="00B738A9" w:rsidRPr="00D2436E" w:rsidRDefault="00B738A9" w:rsidP="00E0191D">
      <w:pPr>
        <w:spacing w:line="360" w:lineRule="auto"/>
        <w:jc w:val="both"/>
        <w:rPr>
          <w:rFonts w:ascii="Arial" w:eastAsia="Arial" w:hAnsi="Arial" w:cs="Arial"/>
          <w:sz w:val="22"/>
          <w:szCs w:val="22"/>
        </w:rPr>
      </w:pPr>
      <w:r w:rsidRPr="00D2436E">
        <w:rPr>
          <w:rFonts w:ascii="Arial" w:eastAsia="Arial" w:hAnsi="Arial" w:cs="Arial"/>
          <w:b/>
          <w:bCs/>
          <w:sz w:val="22"/>
          <w:szCs w:val="22"/>
        </w:rPr>
        <w:t>Overcoming Barriers:</w:t>
      </w:r>
      <w:r w:rsidRPr="00D2436E">
        <w:rPr>
          <w:rFonts w:ascii="Arial" w:eastAsia="Arial" w:hAnsi="Arial" w:cs="Arial"/>
          <w:sz w:val="22"/>
          <w:szCs w:val="22"/>
        </w:rPr>
        <w:t xml:space="preserve"> Securing funding and increasing awareness can improve engagement (Public Health England, 2021). Creating inclusive environments can encourage participation.</w:t>
      </w:r>
    </w:p>
    <w:p w14:paraId="1538F109" w14:textId="77777777" w:rsidR="00B738A9" w:rsidRPr="00D2436E" w:rsidRDefault="00B738A9" w:rsidP="00E0191D">
      <w:pPr>
        <w:spacing w:line="360" w:lineRule="auto"/>
        <w:jc w:val="both"/>
        <w:rPr>
          <w:rFonts w:ascii="Arial" w:eastAsia="Arial" w:hAnsi="Arial" w:cs="Arial"/>
          <w:sz w:val="22"/>
          <w:szCs w:val="22"/>
        </w:rPr>
      </w:pPr>
      <w:r w:rsidRPr="00D2436E">
        <w:rPr>
          <w:rFonts w:ascii="Arial" w:eastAsia="Arial" w:hAnsi="Arial" w:cs="Arial"/>
          <w:sz w:val="22"/>
          <w:szCs w:val="22"/>
        </w:rPr>
        <w:t xml:space="preserve">These recommendations provide practical strategies to improve adolescent mental health. Implementing peer support, strengthening family involvement, and promoting community initiatives can foster resilience (Rueger et al., 2016; </w:t>
      </w:r>
      <w:proofErr w:type="spellStart"/>
      <w:r w:rsidRPr="00D2436E">
        <w:rPr>
          <w:rFonts w:ascii="Arial" w:eastAsia="Arial" w:hAnsi="Arial" w:cs="Arial"/>
          <w:sz w:val="22"/>
          <w:szCs w:val="22"/>
        </w:rPr>
        <w:t>Gariépy</w:t>
      </w:r>
      <w:proofErr w:type="spellEnd"/>
      <w:r w:rsidRPr="00D2436E">
        <w:rPr>
          <w:rFonts w:ascii="Arial" w:eastAsia="Arial" w:hAnsi="Arial" w:cs="Arial"/>
          <w:sz w:val="22"/>
          <w:szCs w:val="22"/>
        </w:rPr>
        <w:t xml:space="preserve"> et al., 2016).</w:t>
      </w:r>
    </w:p>
    <w:p w14:paraId="7E3C3641" w14:textId="3CF45FB8" w:rsidR="00E26ED1" w:rsidRPr="00D2436E" w:rsidRDefault="00B738A9" w:rsidP="00E0191D">
      <w:pPr>
        <w:spacing w:line="360" w:lineRule="auto"/>
        <w:jc w:val="both"/>
        <w:rPr>
          <w:rFonts w:ascii="Arial" w:eastAsia="Arial" w:hAnsi="Arial" w:cs="Arial"/>
          <w:sz w:val="22"/>
          <w:szCs w:val="22"/>
        </w:rPr>
      </w:pPr>
      <w:r w:rsidRPr="00D2436E">
        <w:rPr>
          <w:rFonts w:ascii="Arial" w:eastAsia="Arial" w:hAnsi="Arial" w:cs="Arial"/>
          <w:sz w:val="22"/>
          <w:szCs w:val="22"/>
        </w:rPr>
        <w:t>While barriers exist, they can be addressed through planning, collaboration, and reducing stigma (Public Health England, 2021). Success depends on consistent resources and equitable access. These approaches aim to create a holistic support system addressing adolescent anxiety (NHS Digital, 2022).</w:t>
      </w:r>
    </w:p>
    <w:p w14:paraId="4049EA31" w14:textId="1396B375" w:rsidR="00D021BC" w:rsidRPr="00D2436E" w:rsidRDefault="00D021BC" w:rsidP="00E0191D">
      <w:pPr>
        <w:pStyle w:val="Heading2"/>
        <w:spacing w:line="360" w:lineRule="auto"/>
        <w:jc w:val="both"/>
        <w:rPr>
          <w:rFonts w:ascii="Arial" w:hAnsi="Arial" w:cs="Arial"/>
          <w:color w:val="auto"/>
          <w:sz w:val="28"/>
          <w:szCs w:val="28"/>
        </w:rPr>
      </w:pPr>
      <w:bookmarkStart w:id="72" w:name="_Toc226479936"/>
      <w:r w:rsidRPr="00D2436E">
        <w:rPr>
          <w:rFonts w:ascii="Arial" w:hAnsi="Arial" w:cs="Arial"/>
          <w:color w:val="auto"/>
          <w:sz w:val="28"/>
          <w:szCs w:val="28"/>
        </w:rPr>
        <w:t>5.4 – Future Research</w:t>
      </w:r>
      <w:bookmarkEnd w:id="72"/>
    </w:p>
    <w:p w14:paraId="7FCF4C10" w14:textId="77777777" w:rsidR="009F631F" w:rsidRPr="00D2436E" w:rsidRDefault="009F631F" w:rsidP="00E0191D">
      <w:pPr>
        <w:spacing w:line="360" w:lineRule="auto"/>
        <w:jc w:val="both"/>
        <w:rPr>
          <w:rFonts w:ascii="Arial" w:eastAsia="Arial" w:hAnsi="Arial" w:cs="Arial"/>
          <w:sz w:val="22"/>
          <w:szCs w:val="22"/>
        </w:rPr>
      </w:pPr>
      <w:r w:rsidRPr="00D2436E">
        <w:rPr>
          <w:rFonts w:ascii="Arial" w:eastAsia="Arial" w:hAnsi="Arial" w:cs="Arial"/>
          <w:sz w:val="22"/>
          <w:szCs w:val="22"/>
        </w:rPr>
        <w:t>Future research should explore the long-term impact of different types of social support across diverse populations. Studies could examine how family, peer, school, and community support interact over time and which are most effective for specific groups.</w:t>
      </w:r>
    </w:p>
    <w:p w14:paraId="0C739D90" w14:textId="3CBB6E24" w:rsidR="007577FE" w:rsidRPr="00D2436E" w:rsidRDefault="009F631F" w:rsidP="00E0191D">
      <w:pPr>
        <w:spacing w:line="360" w:lineRule="auto"/>
        <w:jc w:val="both"/>
        <w:rPr>
          <w:rFonts w:ascii="Arial" w:eastAsia="Arial" w:hAnsi="Arial" w:cs="Arial"/>
          <w:sz w:val="22"/>
          <w:szCs w:val="22"/>
        </w:rPr>
      </w:pPr>
      <w:r w:rsidRPr="00D2436E">
        <w:rPr>
          <w:rFonts w:ascii="Arial" w:eastAsia="Arial" w:hAnsi="Arial" w:cs="Arial"/>
          <w:sz w:val="22"/>
          <w:szCs w:val="22"/>
        </w:rPr>
        <w:t>Further research is also needed on culturally diverse populations, digital peer relationships, and inequalities in access to support. Longitudinal and mixed-methods studies would help capture how support is experienced and sustained, contributing to more tailored interventions.</w:t>
      </w:r>
    </w:p>
    <w:p w14:paraId="46E292DD" w14:textId="77777777" w:rsidR="00603CE3" w:rsidRPr="00D2436E" w:rsidRDefault="00603CE3" w:rsidP="00E0191D">
      <w:pPr>
        <w:spacing w:line="360" w:lineRule="auto"/>
        <w:jc w:val="both"/>
        <w:rPr>
          <w:rFonts w:ascii="Arial" w:eastAsia="Arial" w:hAnsi="Arial" w:cs="Arial"/>
          <w:sz w:val="22"/>
          <w:szCs w:val="22"/>
        </w:rPr>
      </w:pPr>
    </w:p>
    <w:p w14:paraId="2840A2F0" w14:textId="77777777" w:rsidR="00603CE3" w:rsidRPr="00D2436E" w:rsidRDefault="00603CE3" w:rsidP="00E0191D">
      <w:pPr>
        <w:spacing w:line="360" w:lineRule="auto"/>
        <w:jc w:val="both"/>
        <w:rPr>
          <w:rFonts w:ascii="Arial" w:eastAsia="Arial" w:hAnsi="Arial" w:cs="Arial"/>
          <w:sz w:val="22"/>
          <w:szCs w:val="22"/>
        </w:rPr>
      </w:pPr>
    </w:p>
    <w:p w14:paraId="019F28D2" w14:textId="77777777" w:rsidR="00377DAD" w:rsidRPr="00D2436E" w:rsidRDefault="00377DAD" w:rsidP="00E0191D">
      <w:pPr>
        <w:spacing w:line="360" w:lineRule="auto"/>
        <w:jc w:val="both"/>
        <w:rPr>
          <w:rFonts w:ascii="Arial" w:eastAsia="Arial" w:hAnsi="Arial" w:cs="Arial"/>
          <w:sz w:val="22"/>
          <w:szCs w:val="22"/>
        </w:rPr>
      </w:pPr>
    </w:p>
    <w:p w14:paraId="2605242A" w14:textId="77777777" w:rsidR="00377DAD" w:rsidRPr="00D2436E" w:rsidRDefault="00377DAD" w:rsidP="00E0191D">
      <w:pPr>
        <w:spacing w:line="360" w:lineRule="auto"/>
        <w:jc w:val="both"/>
        <w:rPr>
          <w:rFonts w:ascii="Arial" w:eastAsia="Arial" w:hAnsi="Arial" w:cs="Arial"/>
          <w:sz w:val="22"/>
          <w:szCs w:val="22"/>
        </w:rPr>
      </w:pPr>
    </w:p>
    <w:p w14:paraId="4734E761" w14:textId="77777777" w:rsidR="00377DAD" w:rsidRPr="00D2436E" w:rsidRDefault="00377DAD" w:rsidP="00E0191D">
      <w:pPr>
        <w:spacing w:line="360" w:lineRule="auto"/>
        <w:jc w:val="both"/>
        <w:rPr>
          <w:rFonts w:ascii="Arial" w:eastAsia="Arial" w:hAnsi="Arial" w:cs="Arial"/>
          <w:sz w:val="22"/>
          <w:szCs w:val="22"/>
        </w:rPr>
      </w:pPr>
    </w:p>
    <w:p w14:paraId="54506C5E" w14:textId="77777777" w:rsidR="00377DAD" w:rsidRPr="00D2436E" w:rsidRDefault="00377DAD" w:rsidP="00E0191D">
      <w:pPr>
        <w:spacing w:line="360" w:lineRule="auto"/>
        <w:jc w:val="both"/>
        <w:rPr>
          <w:rFonts w:ascii="Arial" w:eastAsia="Arial" w:hAnsi="Arial" w:cs="Arial"/>
          <w:sz w:val="22"/>
          <w:szCs w:val="22"/>
        </w:rPr>
      </w:pPr>
    </w:p>
    <w:p w14:paraId="1D36397A" w14:textId="77777777" w:rsidR="00377DAD" w:rsidRPr="00D2436E" w:rsidRDefault="00377DAD" w:rsidP="00E0191D">
      <w:pPr>
        <w:spacing w:line="360" w:lineRule="auto"/>
        <w:jc w:val="both"/>
        <w:rPr>
          <w:rFonts w:ascii="Arial" w:eastAsia="Arial" w:hAnsi="Arial" w:cs="Arial"/>
          <w:sz w:val="22"/>
          <w:szCs w:val="22"/>
        </w:rPr>
      </w:pPr>
    </w:p>
    <w:p w14:paraId="77AEE70C" w14:textId="77777777" w:rsidR="00603CE3" w:rsidRPr="00D2436E" w:rsidRDefault="00603CE3" w:rsidP="00E0191D">
      <w:pPr>
        <w:spacing w:line="360" w:lineRule="auto"/>
        <w:jc w:val="both"/>
        <w:rPr>
          <w:rFonts w:ascii="Arial" w:eastAsia="Arial" w:hAnsi="Arial" w:cs="Arial"/>
          <w:sz w:val="22"/>
          <w:szCs w:val="22"/>
        </w:rPr>
      </w:pPr>
    </w:p>
    <w:p w14:paraId="726DB4D5" w14:textId="77777777" w:rsidR="007577FE" w:rsidRPr="00D2436E" w:rsidRDefault="007577FE" w:rsidP="00E0191D">
      <w:pPr>
        <w:spacing w:line="360" w:lineRule="auto"/>
        <w:jc w:val="both"/>
        <w:rPr>
          <w:rFonts w:ascii="Arial" w:eastAsia="Arial" w:hAnsi="Arial" w:cs="Arial"/>
        </w:rPr>
      </w:pPr>
    </w:p>
    <w:p w14:paraId="6459F608" w14:textId="0EDDCFF9" w:rsidR="00367C1A" w:rsidRPr="00FB00D4" w:rsidRDefault="58802F49" w:rsidP="00FB00D4">
      <w:pPr>
        <w:pStyle w:val="Heading1"/>
        <w:rPr>
          <w:rFonts w:ascii="Arial" w:eastAsia="Arial" w:hAnsi="Arial" w:cs="Arial"/>
          <w:color w:val="auto"/>
          <w:sz w:val="32"/>
          <w:szCs w:val="32"/>
        </w:rPr>
      </w:pPr>
      <w:bookmarkStart w:id="73" w:name="_Toc225143118"/>
      <w:bookmarkStart w:id="74" w:name="_Toc226479937"/>
      <w:r w:rsidRPr="00FB00D4">
        <w:rPr>
          <w:rFonts w:ascii="Arial" w:eastAsia="Arial" w:hAnsi="Arial" w:cs="Arial"/>
          <w:color w:val="auto"/>
          <w:sz w:val="32"/>
          <w:szCs w:val="32"/>
        </w:rPr>
        <w:t>CHAPTER 6 – References and Appendices</w:t>
      </w:r>
      <w:bookmarkEnd w:id="73"/>
      <w:bookmarkEnd w:id="74"/>
    </w:p>
    <w:p w14:paraId="72641F0D" w14:textId="77777777" w:rsidR="00C633B7" w:rsidRPr="00D2436E" w:rsidRDefault="00C633B7" w:rsidP="00EA4A56">
      <w:pPr>
        <w:pStyle w:val="Heading2"/>
        <w:jc w:val="both"/>
        <w:rPr>
          <w:rFonts w:ascii="Arial" w:eastAsia="Arial" w:hAnsi="Arial" w:cs="Arial"/>
          <w:color w:val="auto"/>
          <w:sz w:val="28"/>
          <w:szCs w:val="28"/>
        </w:rPr>
      </w:pPr>
      <w:bookmarkStart w:id="75" w:name="_Toc225143119"/>
      <w:bookmarkStart w:id="76" w:name="_Toc226479938"/>
      <w:r w:rsidRPr="00D2436E">
        <w:rPr>
          <w:rFonts w:ascii="Arial" w:eastAsia="Arial" w:hAnsi="Arial" w:cs="Arial"/>
          <w:color w:val="auto"/>
          <w:sz w:val="28"/>
          <w:szCs w:val="28"/>
        </w:rPr>
        <w:t>6.1 – References</w:t>
      </w:r>
      <w:bookmarkEnd w:id="75"/>
      <w:bookmarkEnd w:id="76"/>
    </w:p>
    <w:p w14:paraId="365ED602" w14:textId="48E57836" w:rsidR="3A7CED5F" w:rsidRPr="00856619" w:rsidRDefault="3A7CED5F" w:rsidP="0081477B">
      <w:pPr>
        <w:jc w:val="both"/>
        <w:rPr>
          <w:rFonts w:eastAsia="Arial"/>
          <w:sz w:val="22"/>
          <w:szCs w:val="22"/>
        </w:rPr>
      </w:pPr>
    </w:p>
    <w:p w14:paraId="0EA1018F" w14:textId="7F19BEAC"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Allen, J.P., Porter, M., McFarland, C., McElhaney, K.B. and Marsh, P. (2007) ‘The relation of attachment security to adolescents’ peer relationships’, </w:t>
      </w:r>
      <w:r w:rsidRPr="00856619">
        <w:rPr>
          <w:rFonts w:ascii="Arial" w:eastAsia="Arial" w:hAnsi="Arial" w:cs="Arial"/>
          <w:i/>
          <w:iCs/>
          <w:sz w:val="22"/>
          <w:szCs w:val="22"/>
        </w:rPr>
        <w:t>Child Development</w:t>
      </w:r>
      <w:r w:rsidRPr="00856619">
        <w:rPr>
          <w:rFonts w:ascii="Arial" w:eastAsia="Arial" w:hAnsi="Arial" w:cs="Arial"/>
          <w:sz w:val="22"/>
          <w:szCs w:val="22"/>
        </w:rPr>
        <w:t xml:space="preserve">, 78(4), pp. 1222–1239. Available at: </w:t>
      </w:r>
      <w:hyperlink r:id="rId8">
        <w:r w:rsidRPr="00856619">
          <w:rPr>
            <w:rStyle w:val="Hyperlink"/>
            <w:rFonts w:ascii="Arial" w:eastAsia="Arial" w:hAnsi="Arial" w:cs="Arial"/>
            <w:color w:val="auto"/>
            <w:sz w:val="22"/>
            <w:szCs w:val="22"/>
          </w:rPr>
          <w:t>https://doi.org/10.1111/j.1467-8624.2007.01062.x</w:t>
        </w:r>
      </w:hyperlink>
      <w:r w:rsidR="002901D4" w:rsidRPr="00856619">
        <w:rPr>
          <w:rFonts w:ascii="Arial" w:hAnsi="Arial" w:cs="Arial"/>
          <w:sz w:val="22"/>
          <w:szCs w:val="22"/>
        </w:rPr>
        <w:t xml:space="preserve"> .</w:t>
      </w:r>
    </w:p>
    <w:p w14:paraId="4D2EF26D" w14:textId="54D8675D" w:rsidR="3A7CED5F" w:rsidRPr="00856619" w:rsidRDefault="3A7CED5F" w:rsidP="003C5D4C">
      <w:pPr>
        <w:rPr>
          <w:rFonts w:ascii="Arial" w:eastAsia="Arial" w:hAnsi="Arial" w:cs="Arial"/>
          <w:sz w:val="22"/>
          <w:szCs w:val="22"/>
        </w:rPr>
      </w:pPr>
    </w:p>
    <w:p w14:paraId="1538FD4C" w14:textId="77777777" w:rsidR="002C598A"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Amiri, B., Amiri, B. and </w:t>
      </w:r>
      <w:proofErr w:type="spellStart"/>
      <w:r w:rsidRPr="00856619">
        <w:rPr>
          <w:rFonts w:ascii="Arial" w:eastAsia="Arial" w:hAnsi="Arial" w:cs="Arial"/>
          <w:sz w:val="22"/>
          <w:szCs w:val="22"/>
        </w:rPr>
        <w:t>Mazarei</w:t>
      </w:r>
      <w:proofErr w:type="spellEnd"/>
      <w:r w:rsidRPr="00856619">
        <w:rPr>
          <w:rFonts w:ascii="Arial" w:eastAsia="Arial" w:hAnsi="Arial" w:cs="Arial"/>
          <w:sz w:val="22"/>
          <w:szCs w:val="22"/>
        </w:rPr>
        <w:t>, H. (2024) ‘The effect of anxiety and social support on adolescents in the era of COVID-19’</w:t>
      </w:r>
      <w:r w:rsidRPr="00856619">
        <w:rPr>
          <w:rFonts w:ascii="Arial" w:eastAsia="Arial" w:hAnsi="Arial" w:cs="Arial"/>
          <w:i/>
          <w:iCs/>
          <w:sz w:val="22"/>
          <w:szCs w:val="22"/>
        </w:rPr>
        <w:t>, International Journal of Psychological Science</w:t>
      </w:r>
      <w:r w:rsidRPr="00856619">
        <w:rPr>
          <w:rFonts w:ascii="Arial" w:eastAsia="Arial" w:hAnsi="Arial" w:cs="Arial"/>
          <w:sz w:val="22"/>
          <w:szCs w:val="22"/>
        </w:rPr>
        <w:t>, 4(2), pp. 32–37.</w:t>
      </w:r>
      <w:r w:rsidR="00AE13D7" w:rsidRPr="00856619">
        <w:rPr>
          <w:rFonts w:ascii="Arial" w:eastAsia="Arial" w:hAnsi="Arial" w:cs="Arial"/>
          <w:sz w:val="22"/>
          <w:szCs w:val="22"/>
        </w:rPr>
        <w:t xml:space="preserve"> Available at: </w:t>
      </w:r>
      <w:hyperlink r:id="rId9">
        <w:r w:rsidR="002C598A" w:rsidRPr="00856619">
          <w:rPr>
            <w:rStyle w:val="Hyperlink"/>
            <w:rFonts w:ascii="Arial" w:eastAsia="Arial" w:hAnsi="Arial" w:cs="Arial"/>
            <w:color w:val="auto"/>
            <w:sz w:val="22"/>
            <w:szCs w:val="22"/>
          </w:rPr>
          <w:t>https://doi.org/10.11648/j.ijps.20240402.12</w:t>
        </w:r>
      </w:hyperlink>
      <w:r w:rsidR="002C598A" w:rsidRPr="00856619">
        <w:rPr>
          <w:rFonts w:ascii="Arial" w:eastAsia="Arial" w:hAnsi="Arial" w:cs="Arial"/>
          <w:sz w:val="22"/>
          <w:szCs w:val="22"/>
        </w:rPr>
        <w:t xml:space="preserve"> (Accessed: 20 February 2026).</w:t>
      </w:r>
    </w:p>
    <w:p w14:paraId="35A784E7" w14:textId="2075CF70" w:rsidR="3A7CED5F" w:rsidRPr="00856619" w:rsidRDefault="3A7CED5F" w:rsidP="003C5D4C">
      <w:pPr>
        <w:rPr>
          <w:rFonts w:ascii="Arial" w:eastAsia="Arial" w:hAnsi="Arial" w:cs="Arial"/>
          <w:sz w:val="22"/>
          <w:szCs w:val="22"/>
        </w:rPr>
      </w:pPr>
    </w:p>
    <w:p w14:paraId="74DBEA93" w14:textId="169947D3"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Anderson, T.L. (2024) ‘Contributing factors to the rise in adolescent anxiety’, </w:t>
      </w:r>
      <w:r w:rsidRPr="00856619">
        <w:rPr>
          <w:rFonts w:ascii="Arial" w:eastAsia="Arial" w:hAnsi="Arial" w:cs="Arial"/>
          <w:i/>
          <w:iCs/>
          <w:sz w:val="22"/>
          <w:szCs w:val="22"/>
        </w:rPr>
        <w:t>Psychiatry Research</w:t>
      </w:r>
      <w:r w:rsidRPr="00856619">
        <w:rPr>
          <w:rFonts w:ascii="Arial" w:eastAsia="Arial" w:hAnsi="Arial" w:cs="Arial"/>
          <w:sz w:val="22"/>
          <w:szCs w:val="22"/>
        </w:rPr>
        <w:t xml:space="preserve">. Available at: </w:t>
      </w:r>
      <w:hyperlink r:id="rId10">
        <w:r w:rsidRPr="00856619">
          <w:rPr>
            <w:rStyle w:val="Hyperlink"/>
            <w:rFonts w:ascii="Arial" w:eastAsia="Arial" w:hAnsi="Arial" w:cs="Arial"/>
            <w:color w:val="auto"/>
            <w:sz w:val="22"/>
            <w:szCs w:val="22"/>
          </w:rPr>
          <w:t>https://pmc.ncbi.nlm.nih.gov/articles/PMC11683866/</w:t>
        </w:r>
      </w:hyperlink>
      <w:r w:rsidRPr="00856619">
        <w:rPr>
          <w:rFonts w:ascii="Arial" w:eastAsia="Arial" w:hAnsi="Arial" w:cs="Arial"/>
          <w:sz w:val="22"/>
          <w:szCs w:val="22"/>
        </w:rPr>
        <w:t xml:space="preserve"> (Accessed: </w:t>
      </w:r>
      <w:r w:rsidR="009B6D2E" w:rsidRPr="00856619">
        <w:rPr>
          <w:rFonts w:ascii="Arial" w:eastAsia="Arial" w:hAnsi="Arial" w:cs="Arial"/>
          <w:sz w:val="22"/>
          <w:szCs w:val="22"/>
        </w:rPr>
        <w:t>21 January</w:t>
      </w:r>
      <w:r w:rsidRPr="00856619">
        <w:rPr>
          <w:rFonts w:ascii="Arial" w:eastAsia="Arial" w:hAnsi="Arial" w:cs="Arial"/>
          <w:sz w:val="22"/>
          <w:szCs w:val="22"/>
        </w:rPr>
        <w:t xml:space="preserve"> 2026).</w:t>
      </w:r>
    </w:p>
    <w:p w14:paraId="47B48C12" w14:textId="42B21A90" w:rsidR="3A7CED5F" w:rsidRPr="00856619" w:rsidRDefault="3A7CED5F" w:rsidP="003C5D4C">
      <w:pPr>
        <w:rPr>
          <w:rFonts w:ascii="Arial" w:eastAsia="Arial" w:hAnsi="Arial" w:cs="Arial"/>
          <w:sz w:val="22"/>
          <w:szCs w:val="22"/>
        </w:rPr>
      </w:pPr>
    </w:p>
    <w:p w14:paraId="4C14416E" w14:textId="78398867"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Barrett, P.M., Farrell, L., Ollendick, T.H. and </w:t>
      </w:r>
      <w:proofErr w:type="spellStart"/>
      <w:r w:rsidRPr="00856619">
        <w:rPr>
          <w:rFonts w:ascii="Arial" w:eastAsia="Arial" w:hAnsi="Arial" w:cs="Arial"/>
          <w:sz w:val="22"/>
          <w:szCs w:val="22"/>
        </w:rPr>
        <w:t>Dadds</w:t>
      </w:r>
      <w:proofErr w:type="spellEnd"/>
      <w:r w:rsidRPr="00856619">
        <w:rPr>
          <w:rFonts w:ascii="Arial" w:eastAsia="Arial" w:hAnsi="Arial" w:cs="Arial"/>
          <w:sz w:val="22"/>
          <w:szCs w:val="22"/>
        </w:rPr>
        <w:t xml:space="preserve">, M. (2015) ‘Long-term outcomes of cognitive behavioural therapy for childhood anxiety’, </w:t>
      </w:r>
      <w:r w:rsidRPr="00856619">
        <w:rPr>
          <w:rFonts w:ascii="Arial" w:eastAsia="Arial" w:hAnsi="Arial" w:cs="Arial"/>
          <w:i/>
          <w:iCs/>
          <w:sz w:val="22"/>
          <w:szCs w:val="22"/>
        </w:rPr>
        <w:t>Journal of Clinical Child &amp; Adolescent Psychology</w:t>
      </w:r>
      <w:r w:rsidRPr="00856619">
        <w:rPr>
          <w:rFonts w:ascii="Arial" w:eastAsia="Arial" w:hAnsi="Arial" w:cs="Arial"/>
          <w:sz w:val="22"/>
          <w:szCs w:val="22"/>
        </w:rPr>
        <w:t>, 35(3), pp. 403</w:t>
      </w:r>
      <w:r w:rsidR="00CF1381" w:rsidRPr="00856619">
        <w:rPr>
          <w:rFonts w:ascii="Arial" w:eastAsia="Arial" w:hAnsi="Arial" w:cs="Arial"/>
          <w:sz w:val="22"/>
          <w:szCs w:val="22"/>
        </w:rPr>
        <w:t>-</w:t>
      </w:r>
      <w:r w:rsidRPr="00856619">
        <w:rPr>
          <w:rFonts w:ascii="Arial" w:eastAsia="Arial" w:hAnsi="Arial" w:cs="Arial"/>
          <w:sz w:val="22"/>
          <w:szCs w:val="22"/>
        </w:rPr>
        <w:t xml:space="preserve">411. Available at: </w:t>
      </w:r>
      <w:hyperlink r:id="rId11">
        <w:r w:rsidRPr="00856619">
          <w:rPr>
            <w:rStyle w:val="Hyperlink"/>
            <w:rFonts w:ascii="Arial" w:eastAsia="Arial" w:hAnsi="Arial" w:cs="Arial"/>
            <w:color w:val="auto"/>
            <w:sz w:val="22"/>
            <w:szCs w:val="22"/>
          </w:rPr>
          <w:t>https://doi.org/10.1207/s15374424jccp3503_11</w:t>
        </w:r>
      </w:hyperlink>
      <w:r w:rsidRPr="00856619">
        <w:rPr>
          <w:rFonts w:ascii="Arial" w:eastAsia="Arial" w:hAnsi="Arial" w:cs="Arial"/>
          <w:sz w:val="22"/>
          <w:szCs w:val="22"/>
        </w:rPr>
        <w:t xml:space="preserve"> (Accessed: 23 </w:t>
      </w:r>
      <w:r w:rsidR="00CB1A46" w:rsidRPr="00856619">
        <w:rPr>
          <w:rFonts w:ascii="Arial" w:eastAsia="Arial" w:hAnsi="Arial" w:cs="Arial"/>
          <w:sz w:val="22"/>
          <w:szCs w:val="22"/>
        </w:rPr>
        <w:t>November</w:t>
      </w:r>
      <w:r w:rsidRPr="00856619">
        <w:rPr>
          <w:rFonts w:ascii="Arial" w:eastAsia="Arial" w:hAnsi="Arial" w:cs="Arial"/>
          <w:sz w:val="22"/>
          <w:szCs w:val="22"/>
        </w:rPr>
        <w:t xml:space="preserve"> 2026).</w:t>
      </w:r>
    </w:p>
    <w:p w14:paraId="6A75835E" w14:textId="7E874796" w:rsidR="3A7CED5F" w:rsidRPr="00856619" w:rsidRDefault="3A7CED5F" w:rsidP="003C5D4C">
      <w:pPr>
        <w:rPr>
          <w:rFonts w:ascii="Arial" w:eastAsia="Arial" w:hAnsi="Arial" w:cs="Arial"/>
          <w:sz w:val="22"/>
          <w:szCs w:val="22"/>
        </w:rPr>
      </w:pPr>
    </w:p>
    <w:p w14:paraId="7A5CC6DF" w14:textId="2E84337E"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Barrow, M. and Parker, G. (2020) ‘Digital influences on adolescent mental health’</w:t>
      </w:r>
      <w:r w:rsidRPr="00856619">
        <w:rPr>
          <w:rFonts w:ascii="Arial" w:eastAsia="Arial" w:hAnsi="Arial" w:cs="Arial"/>
          <w:i/>
          <w:iCs/>
          <w:sz w:val="22"/>
          <w:szCs w:val="22"/>
        </w:rPr>
        <w:t>, Journal of Adolescence</w:t>
      </w:r>
      <w:r w:rsidR="0031720B" w:rsidRPr="00856619">
        <w:rPr>
          <w:rFonts w:ascii="Arial" w:eastAsia="Arial" w:hAnsi="Arial" w:cs="Arial"/>
          <w:sz w:val="22"/>
          <w:szCs w:val="22"/>
        </w:rPr>
        <w:t>, 79</w:t>
      </w:r>
      <w:r w:rsidR="00BB71CD" w:rsidRPr="00856619">
        <w:rPr>
          <w:rFonts w:ascii="Arial" w:eastAsia="Arial" w:hAnsi="Arial" w:cs="Arial"/>
          <w:sz w:val="22"/>
          <w:szCs w:val="22"/>
        </w:rPr>
        <w:t>, pp</w:t>
      </w:r>
      <w:r w:rsidR="00785E2B" w:rsidRPr="00856619">
        <w:rPr>
          <w:rFonts w:ascii="Arial" w:eastAsia="Arial" w:hAnsi="Arial" w:cs="Arial"/>
          <w:sz w:val="22"/>
          <w:szCs w:val="22"/>
        </w:rPr>
        <w:t>.</w:t>
      </w:r>
      <w:r w:rsidR="0031720B" w:rsidRPr="00856619">
        <w:rPr>
          <w:rFonts w:ascii="Arial" w:eastAsia="Arial" w:hAnsi="Arial" w:cs="Arial"/>
          <w:sz w:val="22"/>
          <w:szCs w:val="22"/>
        </w:rPr>
        <w:t>148-156</w:t>
      </w:r>
      <w:r w:rsidRPr="00856619">
        <w:rPr>
          <w:rFonts w:ascii="Arial" w:eastAsia="Arial" w:hAnsi="Arial" w:cs="Arial"/>
          <w:sz w:val="22"/>
          <w:szCs w:val="22"/>
        </w:rPr>
        <w:t xml:space="preserve"> Available at: </w:t>
      </w:r>
      <w:hyperlink r:id="rId12">
        <w:r w:rsidRPr="00856619">
          <w:rPr>
            <w:rStyle w:val="Hyperlink"/>
            <w:rFonts w:ascii="Arial" w:eastAsia="Arial" w:hAnsi="Arial" w:cs="Arial"/>
            <w:color w:val="auto"/>
            <w:sz w:val="22"/>
            <w:szCs w:val="22"/>
          </w:rPr>
          <w:t>https://doi.org/10.1016/j.adolescence.2020.01.005</w:t>
        </w:r>
      </w:hyperlink>
      <w:r w:rsidR="00CB1A46" w:rsidRPr="00856619">
        <w:rPr>
          <w:rFonts w:ascii="Arial" w:hAnsi="Arial" w:cs="Arial"/>
          <w:sz w:val="22"/>
          <w:szCs w:val="22"/>
        </w:rPr>
        <w:t xml:space="preserve"> </w:t>
      </w:r>
      <w:r w:rsidR="005A2CB2" w:rsidRPr="00856619">
        <w:rPr>
          <w:rFonts w:ascii="Arial" w:hAnsi="Arial" w:cs="Arial"/>
          <w:sz w:val="22"/>
          <w:szCs w:val="22"/>
        </w:rPr>
        <w:t>(Accessed: 02 January 2026).</w:t>
      </w:r>
    </w:p>
    <w:p w14:paraId="741C9731" w14:textId="1E6F9246" w:rsidR="3A7CED5F" w:rsidRPr="00856619" w:rsidRDefault="3A7CED5F" w:rsidP="003C5D4C">
      <w:pPr>
        <w:rPr>
          <w:rFonts w:ascii="Arial" w:eastAsia="Arial" w:hAnsi="Arial" w:cs="Arial"/>
          <w:sz w:val="22"/>
          <w:szCs w:val="22"/>
        </w:rPr>
      </w:pPr>
    </w:p>
    <w:p w14:paraId="2DD82D63" w14:textId="1D6474D2"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Beck, A.T. (1976) </w:t>
      </w:r>
      <w:r w:rsidRPr="00856619">
        <w:rPr>
          <w:rFonts w:ascii="Arial" w:eastAsia="Arial" w:hAnsi="Arial" w:cs="Arial"/>
          <w:i/>
          <w:iCs/>
          <w:sz w:val="22"/>
          <w:szCs w:val="22"/>
        </w:rPr>
        <w:t>Cognitive Therapy and the Emotional Disorders</w:t>
      </w:r>
      <w:r w:rsidRPr="00856619">
        <w:rPr>
          <w:rFonts w:ascii="Arial" w:eastAsia="Arial" w:hAnsi="Arial" w:cs="Arial"/>
          <w:sz w:val="22"/>
          <w:szCs w:val="22"/>
        </w:rPr>
        <w:t>. New York: Penguin.</w:t>
      </w:r>
    </w:p>
    <w:p w14:paraId="4BCBEE56" w14:textId="3BF760DB" w:rsidR="3A7CED5F" w:rsidRPr="00856619" w:rsidRDefault="3A7CED5F" w:rsidP="003C5D4C">
      <w:pPr>
        <w:rPr>
          <w:rFonts w:ascii="Arial" w:eastAsia="Arial" w:hAnsi="Arial" w:cs="Arial"/>
          <w:sz w:val="22"/>
          <w:szCs w:val="22"/>
        </w:rPr>
      </w:pPr>
    </w:p>
    <w:p w14:paraId="40A0AF47" w14:textId="0D092CCB"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Best, P., </w:t>
      </w:r>
      <w:proofErr w:type="spellStart"/>
      <w:r w:rsidRPr="00856619">
        <w:rPr>
          <w:rFonts w:ascii="Arial" w:eastAsia="Arial" w:hAnsi="Arial" w:cs="Arial"/>
          <w:sz w:val="22"/>
          <w:szCs w:val="22"/>
        </w:rPr>
        <w:t>Manktelow</w:t>
      </w:r>
      <w:proofErr w:type="spellEnd"/>
      <w:r w:rsidRPr="00856619">
        <w:rPr>
          <w:rFonts w:ascii="Arial" w:eastAsia="Arial" w:hAnsi="Arial" w:cs="Arial"/>
          <w:sz w:val="22"/>
          <w:szCs w:val="22"/>
        </w:rPr>
        <w:t>, R. and Taylor, B. (2014) ‘Online communication, social media and adolescent wellbeing’</w:t>
      </w:r>
      <w:r w:rsidRPr="00856619">
        <w:rPr>
          <w:rFonts w:ascii="Arial" w:eastAsia="Arial" w:hAnsi="Arial" w:cs="Arial"/>
          <w:i/>
          <w:iCs/>
          <w:sz w:val="22"/>
          <w:szCs w:val="22"/>
        </w:rPr>
        <w:t>, Children and Youth Services Review</w:t>
      </w:r>
      <w:r w:rsidRPr="00856619">
        <w:rPr>
          <w:rFonts w:ascii="Arial" w:eastAsia="Arial" w:hAnsi="Arial" w:cs="Arial"/>
          <w:sz w:val="22"/>
          <w:szCs w:val="22"/>
        </w:rPr>
        <w:t xml:space="preserve">, 41, pp. 27–36. Available at: </w:t>
      </w:r>
      <w:hyperlink r:id="rId13">
        <w:r w:rsidRPr="00856619">
          <w:rPr>
            <w:rStyle w:val="Hyperlink"/>
            <w:rFonts w:ascii="Arial" w:eastAsia="Arial" w:hAnsi="Arial" w:cs="Arial"/>
            <w:color w:val="auto"/>
            <w:sz w:val="22"/>
            <w:szCs w:val="22"/>
          </w:rPr>
          <w:t>https://doi.org/10.1016/j.childyouth.2014.03.001</w:t>
        </w:r>
      </w:hyperlink>
      <w:r w:rsidR="00DD7A00" w:rsidRPr="00856619">
        <w:rPr>
          <w:rFonts w:ascii="Arial" w:hAnsi="Arial" w:cs="Arial"/>
          <w:sz w:val="22"/>
          <w:szCs w:val="22"/>
        </w:rPr>
        <w:t xml:space="preserve"> (Accessed </w:t>
      </w:r>
      <w:r w:rsidR="007F1ED5" w:rsidRPr="00856619">
        <w:rPr>
          <w:rFonts w:ascii="Arial" w:hAnsi="Arial" w:cs="Arial"/>
          <w:sz w:val="22"/>
          <w:szCs w:val="22"/>
        </w:rPr>
        <w:t>18 January 2026).</w:t>
      </w:r>
    </w:p>
    <w:p w14:paraId="40A5C985" w14:textId="56FC61D9" w:rsidR="3A7CED5F" w:rsidRPr="00856619" w:rsidRDefault="3A7CED5F" w:rsidP="003C5D4C">
      <w:pPr>
        <w:rPr>
          <w:rFonts w:ascii="Arial" w:eastAsia="Arial" w:hAnsi="Arial" w:cs="Arial"/>
          <w:sz w:val="22"/>
          <w:szCs w:val="22"/>
        </w:rPr>
      </w:pPr>
    </w:p>
    <w:p w14:paraId="29D43A14" w14:textId="4BCAF6A5" w:rsidR="0CD4DD13" w:rsidRPr="00856619" w:rsidRDefault="006A1B84" w:rsidP="003C5D4C">
      <w:pPr>
        <w:rPr>
          <w:rFonts w:ascii="Arial" w:hAnsi="Arial" w:cs="Arial"/>
          <w:sz w:val="22"/>
          <w:szCs w:val="22"/>
        </w:rPr>
      </w:pPr>
      <w:r w:rsidRPr="00856619">
        <w:rPr>
          <w:rFonts w:ascii="Arial" w:hAnsi="Arial" w:cs="Arial"/>
          <w:sz w:val="22"/>
          <w:szCs w:val="22"/>
        </w:rPr>
        <w:t xml:space="preserve">Bosmans G. (2016). </w:t>
      </w:r>
      <w:r w:rsidR="008275C1" w:rsidRPr="00856619">
        <w:rPr>
          <w:rFonts w:ascii="Arial" w:hAnsi="Arial" w:cs="Arial"/>
          <w:sz w:val="22"/>
          <w:szCs w:val="22"/>
        </w:rPr>
        <w:t>‘</w:t>
      </w:r>
      <w:r w:rsidRPr="00856619">
        <w:rPr>
          <w:rFonts w:ascii="Arial" w:hAnsi="Arial" w:cs="Arial"/>
          <w:sz w:val="22"/>
          <w:szCs w:val="22"/>
        </w:rPr>
        <w:t xml:space="preserve">Cognitive </w:t>
      </w:r>
      <w:r w:rsidR="003619C2" w:rsidRPr="00856619">
        <w:rPr>
          <w:rFonts w:ascii="Arial" w:hAnsi="Arial" w:cs="Arial"/>
          <w:sz w:val="22"/>
          <w:szCs w:val="22"/>
        </w:rPr>
        <w:t>b</w:t>
      </w:r>
      <w:r w:rsidRPr="00856619">
        <w:rPr>
          <w:rFonts w:ascii="Arial" w:hAnsi="Arial" w:cs="Arial"/>
          <w:sz w:val="22"/>
          <w:szCs w:val="22"/>
        </w:rPr>
        <w:t xml:space="preserve">ehaviour </w:t>
      </w:r>
      <w:r w:rsidR="003619C2" w:rsidRPr="00856619">
        <w:rPr>
          <w:rFonts w:ascii="Arial" w:hAnsi="Arial" w:cs="Arial"/>
          <w:sz w:val="22"/>
          <w:szCs w:val="22"/>
        </w:rPr>
        <w:t>t</w:t>
      </w:r>
      <w:r w:rsidRPr="00856619">
        <w:rPr>
          <w:rFonts w:ascii="Arial" w:hAnsi="Arial" w:cs="Arial"/>
          <w:sz w:val="22"/>
          <w:szCs w:val="22"/>
        </w:rPr>
        <w:t xml:space="preserve">herapy for </w:t>
      </w:r>
      <w:r w:rsidR="003619C2" w:rsidRPr="00856619">
        <w:rPr>
          <w:rFonts w:ascii="Arial" w:hAnsi="Arial" w:cs="Arial"/>
          <w:sz w:val="22"/>
          <w:szCs w:val="22"/>
        </w:rPr>
        <w:t>c</w:t>
      </w:r>
      <w:r w:rsidRPr="00856619">
        <w:rPr>
          <w:rFonts w:ascii="Arial" w:hAnsi="Arial" w:cs="Arial"/>
          <w:sz w:val="22"/>
          <w:szCs w:val="22"/>
        </w:rPr>
        <w:t xml:space="preserve">hildren and </w:t>
      </w:r>
      <w:r w:rsidR="003619C2" w:rsidRPr="00856619">
        <w:rPr>
          <w:rFonts w:ascii="Arial" w:hAnsi="Arial" w:cs="Arial"/>
          <w:sz w:val="22"/>
          <w:szCs w:val="22"/>
        </w:rPr>
        <w:t>a</w:t>
      </w:r>
      <w:r w:rsidRPr="00856619">
        <w:rPr>
          <w:rFonts w:ascii="Arial" w:hAnsi="Arial" w:cs="Arial"/>
          <w:sz w:val="22"/>
          <w:szCs w:val="22"/>
        </w:rPr>
        <w:t xml:space="preserve">dolescents: </w:t>
      </w:r>
      <w:r w:rsidR="008275C1" w:rsidRPr="00856619">
        <w:rPr>
          <w:rFonts w:ascii="Arial" w:hAnsi="Arial" w:cs="Arial"/>
          <w:sz w:val="22"/>
          <w:szCs w:val="22"/>
        </w:rPr>
        <w:t>c</w:t>
      </w:r>
      <w:r w:rsidRPr="00856619">
        <w:rPr>
          <w:rFonts w:ascii="Arial" w:hAnsi="Arial" w:cs="Arial"/>
          <w:sz w:val="22"/>
          <w:szCs w:val="22"/>
        </w:rPr>
        <w:t xml:space="preserve">an </w:t>
      </w:r>
      <w:r w:rsidR="008275C1" w:rsidRPr="00856619">
        <w:rPr>
          <w:rFonts w:ascii="Arial" w:hAnsi="Arial" w:cs="Arial"/>
          <w:sz w:val="22"/>
          <w:szCs w:val="22"/>
        </w:rPr>
        <w:t>a</w:t>
      </w:r>
      <w:r w:rsidRPr="00856619">
        <w:rPr>
          <w:rFonts w:ascii="Arial" w:hAnsi="Arial" w:cs="Arial"/>
          <w:sz w:val="22"/>
          <w:szCs w:val="22"/>
        </w:rPr>
        <w:t>ttachment</w:t>
      </w:r>
      <w:r w:rsidR="001B3497" w:rsidRPr="00856619">
        <w:rPr>
          <w:rFonts w:ascii="Arial" w:hAnsi="Arial" w:cs="Arial"/>
          <w:sz w:val="22"/>
          <w:szCs w:val="22"/>
        </w:rPr>
        <w:t xml:space="preserve"> </w:t>
      </w:r>
      <w:r w:rsidR="008275C1" w:rsidRPr="00856619">
        <w:rPr>
          <w:rFonts w:ascii="Arial" w:hAnsi="Arial" w:cs="Arial"/>
          <w:sz w:val="22"/>
          <w:szCs w:val="22"/>
        </w:rPr>
        <w:t>t</w:t>
      </w:r>
      <w:r w:rsidRPr="00856619">
        <w:rPr>
          <w:rFonts w:ascii="Arial" w:hAnsi="Arial" w:cs="Arial"/>
          <w:sz w:val="22"/>
          <w:szCs w:val="22"/>
        </w:rPr>
        <w:t xml:space="preserve">heory </w:t>
      </w:r>
      <w:r w:rsidR="008275C1" w:rsidRPr="00856619">
        <w:rPr>
          <w:rFonts w:ascii="Arial" w:hAnsi="Arial" w:cs="Arial"/>
          <w:sz w:val="22"/>
          <w:szCs w:val="22"/>
        </w:rPr>
        <w:t>c</w:t>
      </w:r>
      <w:r w:rsidRPr="00856619">
        <w:rPr>
          <w:rFonts w:ascii="Arial" w:hAnsi="Arial" w:cs="Arial"/>
          <w:sz w:val="22"/>
          <w:szCs w:val="22"/>
        </w:rPr>
        <w:t xml:space="preserve">ontribute to </w:t>
      </w:r>
      <w:r w:rsidR="008275C1" w:rsidRPr="00856619">
        <w:rPr>
          <w:rFonts w:ascii="Arial" w:hAnsi="Arial" w:cs="Arial"/>
          <w:sz w:val="22"/>
          <w:szCs w:val="22"/>
        </w:rPr>
        <w:t>i</w:t>
      </w:r>
      <w:r w:rsidRPr="00856619">
        <w:rPr>
          <w:rFonts w:ascii="Arial" w:hAnsi="Arial" w:cs="Arial"/>
          <w:sz w:val="22"/>
          <w:szCs w:val="22"/>
        </w:rPr>
        <w:t xml:space="preserve">ts </w:t>
      </w:r>
      <w:r w:rsidR="008275C1" w:rsidRPr="00856619">
        <w:rPr>
          <w:rFonts w:ascii="Arial" w:hAnsi="Arial" w:cs="Arial"/>
          <w:sz w:val="22"/>
          <w:szCs w:val="22"/>
        </w:rPr>
        <w:t>e</w:t>
      </w:r>
      <w:r w:rsidRPr="00856619">
        <w:rPr>
          <w:rFonts w:ascii="Arial" w:hAnsi="Arial" w:cs="Arial"/>
          <w:sz w:val="22"/>
          <w:szCs w:val="22"/>
        </w:rPr>
        <w:t>fficacy?</w:t>
      </w:r>
      <w:r w:rsidR="008275C1" w:rsidRPr="00856619">
        <w:rPr>
          <w:rFonts w:ascii="Arial" w:hAnsi="Arial" w:cs="Arial"/>
          <w:sz w:val="22"/>
          <w:szCs w:val="22"/>
        </w:rPr>
        <w:t>’</w:t>
      </w:r>
      <w:r w:rsidR="00785E2B" w:rsidRPr="00856619">
        <w:rPr>
          <w:rFonts w:ascii="Arial" w:hAnsi="Arial" w:cs="Arial"/>
          <w:sz w:val="22"/>
          <w:szCs w:val="22"/>
        </w:rPr>
        <w:t xml:space="preserve">, </w:t>
      </w:r>
      <w:r w:rsidRPr="00856619">
        <w:rPr>
          <w:rFonts w:ascii="Arial" w:hAnsi="Arial" w:cs="Arial"/>
          <w:i/>
          <w:iCs/>
          <w:sz w:val="22"/>
          <w:szCs w:val="22"/>
        </w:rPr>
        <w:t>Clinical child and family psychology review</w:t>
      </w:r>
      <w:r w:rsidRPr="00856619">
        <w:rPr>
          <w:rFonts w:ascii="Arial" w:hAnsi="Arial" w:cs="Arial"/>
          <w:sz w:val="22"/>
          <w:szCs w:val="22"/>
        </w:rPr>
        <w:t>, </w:t>
      </w:r>
      <w:r w:rsidRPr="00856619">
        <w:rPr>
          <w:rFonts w:ascii="Arial" w:hAnsi="Arial" w:cs="Arial"/>
          <w:i/>
          <w:iCs/>
          <w:sz w:val="22"/>
          <w:szCs w:val="22"/>
        </w:rPr>
        <w:t>19</w:t>
      </w:r>
      <w:r w:rsidRPr="00856619">
        <w:rPr>
          <w:rFonts w:ascii="Arial" w:hAnsi="Arial" w:cs="Arial"/>
          <w:sz w:val="22"/>
          <w:szCs w:val="22"/>
        </w:rPr>
        <w:t>(4),</w:t>
      </w:r>
      <w:r w:rsidR="001227C8" w:rsidRPr="00856619">
        <w:rPr>
          <w:rFonts w:ascii="Arial" w:hAnsi="Arial" w:cs="Arial"/>
          <w:sz w:val="22"/>
          <w:szCs w:val="22"/>
        </w:rPr>
        <w:t xml:space="preserve"> pp.</w:t>
      </w:r>
      <w:r w:rsidRPr="00856619">
        <w:rPr>
          <w:rFonts w:ascii="Arial" w:hAnsi="Arial" w:cs="Arial"/>
          <w:sz w:val="22"/>
          <w:szCs w:val="22"/>
        </w:rPr>
        <w:t xml:space="preserve"> 310–328. </w:t>
      </w:r>
      <w:r w:rsidR="00AB6D57" w:rsidRPr="00856619">
        <w:rPr>
          <w:rFonts w:ascii="Arial" w:hAnsi="Arial" w:cs="Arial"/>
          <w:sz w:val="22"/>
          <w:szCs w:val="22"/>
        </w:rPr>
        <w:t>Available</w:t>
      </w:r>
      <w:r w:rsidR="008275C1" w:rsidRPr="00856619">
        <w:rPr>
          <w:rFonts w:ascii="Arial" w:hAnsi="Arial" w:cs="Arial"/>
          <w:sz w:val="22"/>
          <w:szCs w:val="22"/>
        </w:rPr>
        <w:t xml:space="preserve"> </w:t>
      </w:r>
      <w:r w:rsidR="00AB6D57" w:rsidRPr="00856619">
        <w:rPr>
          <w:rFonts w:ascii="Arial" w:hAnsi="Arial" w:cs="Arial"/>
          <w:sz w:val="22"/>
          <w:szCs w:val="22"/>
        </w:rPr>
        <w:t xml:space="preserve">at: </w:t>
      </w:r>
      <w:hyperlink r:id="rId14" w:history="1">
        <w:r w:rsidR="00AB6D57" w:rsidRPr="00856619">
          <w:rPr>
            <w:rStyle w:val="Hyperlink"/>
            <w:rFonts w:ascii="Arial" w:hAnsi="Arial" w:cs="Arial"/>
            <w:color w:val="auto"/>
            <w:sz w:val="22"/>
            <w:szCs w:val="22"/>
          </w:rPr>
          <w:t>https://doi.org/10.1007/s10567-016-0212-3</w:t>
        </w:r>
      </w:hyperlink>
      <w:r w:rsidR="00AB6D57" w:rsidRPr="00856619">
        <w:rPr>
          <w:rFonts w:ascii="Arial" w:hAnsi="Arial" w:cs="Arial"/>
          <w:sz w:val="22"/>
          <w:szCs w:val="22"/>
        </w:rPr>
        <w:t xml:space="preserve"> </w:t>
      </w:r>
      <w:r w:rsidR="00DC1D1F" w:rsidRPr="00856619">
        <w:rPr>
          <w:rFonts w:ascii="Arial" w:hAnsi="Arial" w:cs="Arial"/>
          <w:sz w:val="22"/>
          <w:szCs w:val="22"/>
        </w:rPr>
        <w:t xml:space="preserve"> </w:t>
      </w:r>
      <w:r w:rsidR="007F1ED5" w:rsidRPr="00856619">
        <w:rPr>
          <w:rFonts w:ascii="Arial" w:hAnsi="Arial" w:cs="Arial"/>
          <w:sz w:val="22"/>
          <w:szCs w:val="22"/>
        </w:rPr>
        <w:t>(Accessed</w:t>
      </w:r>
      <w:r w:rsidR="005A60DE" w:rsidRPr="00856619">
        <w:rPr>
          <w:rFonts w:ascii="Arial" w:hAnsi="Arial" w:cs="Arial"/>
          <w:sz w:val="22"/>
          <w:szCs w:val="22"/>
        </w:rPr>
        <w:t>: 22 January 2026).</w:t>
      </w:r>
    </w:p>
    <w:p w14:paraId="4500BF12" w14:textId="611F383E" w:rsidR="3A7CED5F" w:rsidRPr="00856619" w:rsidRDefault="3A7CED5F" w:rsidP="003C5D4C">
      <w:pPr>
        <w:rPr>
          <w:rFonts w:ascii="Arial" w:eastAsia="Arial" w:hAnsi="Arial" w:cs="Arial"/>
          <w:sz w:val="22"/>
          <w:szCs w:val="22"/>
        </w:rPr>
      </w:pPr>
    </w:p>
    <w:p w14:paraId="1DE83F6F" w14:textId="39FB7518"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Bowlby, J. (1969)</w:t>
      </w:r>
      <w:r w:rsidRPr="00856619">
        <w:rPr>
          <w:rFonts w:ascii="Arial" w:eastAsia="Arial" w:hAnsi="Arial" w:cs="Arial"/>
          <w:i/>
          <w:iCs/>
          <w:sz w:val="22"/>
          <w:szCs w:val="22"/>
        </w:rPr>
        <w:t xml:space="preserve"> Attachment and Loss: Volume 1: Attachment</w:t>
      </w:r>
      <w:r w:rsidRPr="00856619">
        <w:rPr>
          <w:rFonts w:ascii="Arial" w:eastAsia="Arial" w:hAnsi="Arial" w:cs="Arial"/>
          <w:sz w:val="22"/>
          <w:szCs w:val="22"/>
        </w:rPr>
        <w:t>. London: Penguin.</w:t>
      </w:r>
    </w:p>
    <w:p w14:paraId="77871937" w14:textId="1F7E0334" w:rsidR="3A7CED5F" w:rsidRPr="00856619" w:rsidRDefault="3A7CED5F" w:rsidP="003C5D4C">
      <w:pPr>
        <w:rPr>
          <w:rFonts w:ascii="Arial" w:eastAsia="Arial" w:hAnsi="Arial" w:cs="Arial"/>
          <w:sz w:val="22"/>
          <w:szCs w:val="22"/>
        </w:rPr>
      </w:pPr>
    </w:p>
    <w:p w14:paraId="2A508549" w14:textId="050B8DAD"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Braun, V. and Clarke, V. (2006) ‘Using thematic analysis in psychology’, </w:t>
      </w:r>
      <w:r w:rsidRPr="00856619">
        <w:rPr>
          <w:rFonts w:ascii="Arial" w:eastAsia="Arial" w:hAnsi="Arial" w:cs="Arial"/>
          <w:i/>
          <w:iCs/>
          <w:sz w:val="22"/>
          <w:szCs w:val="22"/>
        </w:rPr>
        <w:t>Qualitative Research in Psychology</w:t>
      </w:r>
      <w:r w:rsidRPr="00856619">
        <w:rPr>
          <w:rFonts w:ascii="Arial" w:eastAsia="Arial" w:hAnsi="Arial" w:cs="Arial"/>
          <w:sz w:val="22"/>
          <w:szCs w:val="22"/>
        </w:rPr>
        <w:t xml:space="preserve">, 3(2), pp. 77–101. Available at: </w:t>
      </w:r>
      <w:hyperlink r:id="rId15">
        <w:r w:rsidRPr="00856619">
          <w:rPr>
            <w:rStyle w:val="Hyperlink"/>
            <w:rFonts w:ascii="Arial" w:eastAsia="Arial" w:hAnsi="Arial" w:cs="Arial"/>
            <w:color w:val="auto"/>
            <w:sz w:val="22"/>
            <w:szCs w:val="22"/>
          </w:rPr>
          <w:t>https://doi.org/10.1191/1478088706qp063oa</w:t>
        </w:r>
      </w:hyperlink>
      <w:r w:rsidRPr="00856619">
        <w:rPr>
          <w:rFonts w:ascii="Arial" w:eastAsia="Arial" w:hAnsi="Arial" w:cs="Arial"/>
          <w:sz w:val="22"/>
          <w:szCs w:val="22"/>
        </w:rPr>
        <w:t xml:space="preserve"> (Accessed: </w:t>
      </w:r>
      <w:r w:rsidR="000A0A6A" w:rsidRPr="00856619">
        <w:rPr>
          <w:rFonts w:ascii="Arial" w:eastAsia="Arial" w:hAnsi="Arial" w:cs="Arial"/>
          <w:sz w:val="22"/>
          <w:szCs w:val="22"/>
        </w:rPr>
        <w:t xml:space="preserve">09 December </w:t>
      </w:r>
      <w:r w:rsidRPr="00856619">
        <w:rPr>
          <w:rFonts w:ascii="Arial" w:eastAsia="Arial" w:hAnsi="Arial" w:cs="Arial"/>
          <w:sz w:val="22"/>
          <w:szCs w:val="22"/>
        </w:rPr>
        <w:t>202</w:t>
      </w:r>
      <w:r w:rsidR="000A0A6A" w:rsidRPr="00856619">
        <w:rPr>
          <w:rFonts w:ascii="Arial" w:eastAsia="Arial" w:hAnsi="Arial" w:cs="Arial"/>
          <w:sz w:val="22"/>
          <w:szCs w:val="22"/>
        </w:rPr>
        <w:t>5</w:t>
      </w:r>
      <w:r w:rsidRPr="00856619">
        <w:rPr>
          <w:rFonts w:ascii="Arial" w:eastAsia="Arial" w:hAnsi="Arial" w:cs="Arial"/>
          <w:sz w:val="22"/>
          <w:szCs w:val="22"/>
        </w:rPr>
        <w:t>).</w:t>
      </w:r>
    </w:p>
    <w:p w14:paraId="2A39D15F" w14:textId="06619CDB" w:rsidR="3A7CED5F" w:rsidRPr="00856619" w:rsidRDefault="3A7CED5F" w:rsidP="003C5D4C">
      <w:pPr>
        <w:rPr>
          <w:rFonts w:ascii="Arial" w:eastAsia="Arial" w:hAnsi="Arial" w:cs="Arial"/>
          <w:sz w:val="22"/>
          <w:szCs w:val="22"/>
        </w:rPr>
      </w:pPr>
    </w:p>
    <w:p w14:paraId="47A3405D" w14:textId="1730DABD"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Braun, V. and Clarke, V. (2021) </w:t>
      </w:r>
      <w:r w:rsidRPr="00856619">
        <w:rPr>
          <w:rFonts w:ascii="Arial" w:eastAsia="Arial" w:hAnsi="Arial" w:cs="Arial"/>
          <w:i/>
          <w:iCs/>
          <w:sz w:val="22"/>
          <w:szCs w:val="22"/>
        </w:rPr>
        <w:t>Thematic Analysis: A Practical Guide</w:t>
      </w:r>
      <w:r w:rsidRPr="00856619">
        <w:rPr>
          <w:rFonts w:ascii="Arial" w:eastAsia="Arial" w:hAnsi="Arial" w:cs="Arial"/>
          <w:sz w:val="22"/>
          <w:szCs w:val="22"/>
        </w:rPr>
        <w:t>. London: SAGE.</w:t>
      </w:r>
    </w:p>
    <w:p w14:paraId="590E9905" w14:textId="2DC6EC28" w:rsidR="3A7CED5F" w:rsidRPr="00856619" w:rsidRDefault="3A7CED5F" w:rsidP="003C5D4C">
      <w:pPr>
        <w:rPr>
          <w:rFonts w:ascii="Arial" w:eastAsia="Arial" w:hAnsi="Arial" w:cs="Arial"/>
          <w:sz w:val="22"/>
          <w:szCs w:val="22"/>
        </w:rPr>
      </w:pPr>
    </w:p>
    <w:p w14:paraId="3C44E1D1" w14:textId="7E0E9441"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Bronfenbrenner, U. (1979</w:t>
      </w:r>
      <w:r w:rsidRPr="00856619">
        <w:rPr>
          <w:rFonts w:ascii="Arial" w:eastAsia="Arial" w:hAnsi="Arial" w:cs="Arial"/>
          <w:i/>
          <w:iCs/>
          <w:sz w:val="22"/>
          <w:szCs w:val="22"/>
        </w:rPr>
        <w:t>) The Ecology of Human Development</w:t>
      </w:r>
      <w:r w:rsidRPr="00856619">
        <w:rPr>
          <w:rFonts w:ascii="Arial" w:eastAsia="Arial" w:hAnsi="Arial" w:cs="Arial"/>
          <w:sz w:val="22"/>
          <w:szCs w:val="22"/>
        </w:rPr>
        <w:t>. Cambridge, MA: Harvard University Press.</w:t>
      </w:r>
    </w:p>
    <w:p w14:paraId="555B9692" w14:textId="6884A59C" w:rsidR="3A7CED5F" w:rsidRPr="00856619" w:rsidRDefault="3A7CED5F" w:rsidP="003C5D4C">
      <w:pPr>
        <w:rPr>
          <w:rFonts w:ascii="Arial" w:eastAsia="Arial" w:hAnsi="Arial" w:cs="Arial"/>
          <w:sz w:val="22"/>
          <w:szCs w:val="22"/>
        </w:rPr>
      </w:pPr>
    </w:p>
    <w:p w14:paraId="0AD12CE3" w14:textId="656C7490"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Brown, B.B. and Larson, J. (2009) ‘Peer relationships in adolescence’, in Lerner, R.M. and Steinberg, L. (eds.) </w:t>
      </w:r>
      <w:r w:rsidRPr="00856619">
        <w:rPr>
          <w:rFonts w:ascii="Arial" w:eastAsia="Arial" w:hAnsi="Arial" w:cs="Arial"/>
          <w:i/>
          <w:iCs/>
          <w:sz w:val="22"/>
          <w:szCs w:val="22"/>
        </w:rPr>
        <w:t>Handbook of Adolescent Psychology</w:t>
      </w:r>
      <w:r w:rsidRPr="00856619">
        <w:rPr>
          <w:rFonts w:ascii="Arial" w:eastAsia="Arial" w:hAnsi="Arial" w:cs="Arial"/>
          <w:sz w:val="22"/>
          <w:szCs w:val="22"/>
        </w:rPr>
        <w:t xml:space="preserve">. Available at: </w:t>
      </w:r>
      <w:hyperlink r:id="rId16">
        <w:r w:rsidRPr="00856619">
          <w:rPr>
            <w:rStyle w:val="Hyperlink"/>
            <w:rFonts w:ascii="Arial" w:eastAsia="Arial" w:hAnsi="Arial" w:cs="Arial"/>
            <w:color w:val="auto"/>
            <w:sz w:val="22"/>
            <w:szCs w:val="22"/>
          </w:rPr>
          <w:t>https://doi.org/10.1002/9780470479193.adlpsy002004</w:t>
        </w:r>
      </w:hyperlink>
      <w:r w:rsidRPr="00856619">
        <w:rPr>
          <w:rFonts w:ascii="Arial" w:eastAsia="Arial" w:hAnsi="Arial" w:cs="Arial"/>
          <w:sz w:val="22"/>
          <w:szCs w:val="22"/>
        </w:rPr>
        <w:t xml:space="preserve"> (Accessed: </w:t>
      </w:r>
      <w:r w:rsidR="0091183D" w:rsidRPr="00856619">
        <w:rPr>
          <w:rFonts w:ascii="Arial" w:eastAsia="Arial" w:hAnsi="Arial" w:cs="Arial"/>
          <w:sz w:val="22"/>
          <w:szCs w:val="22"/>
        </w:rPr>
        <w:t xml:space="preserve">11 February </w:t>
      </w:r>
      <w:r w:rsidRPr="00856619">
        <w:rPr>
          <w:rFonts w:ascii="Arial" w:eastAsia="Arial" w:hAnsi="Arial" w:cs="Arial"/>
          <w:sz w:val="22"/>
          <w:szCs w:val="22"/>
        </w:rPr>
        <w:t>2026).</w:t>
      </w:r>
    </w:p>
    <w:p w14:paraId="57844DAB" w14:textId="536EA8B9" w:rsidR="3A7CED5F" w:rsidRPr="00856619" w:rsidRDefault="3A7CED5F" w:rsidP="003C5D4C">
      <w:pPr>
        <w:rPr>
          <w:rFonts w:ascii="Arial" w:eastAsia="Arial" w:hAnsi="Arial" w:cs="Arial"/>
          <w:sz w:val="22"/>
          <w:szCs w:val="22"/>
        </w:rPr>
      </w:pPr>
    </w:p>
    <w:p w14:paraId="6D960CE2" w14:textId="6491598C" w:rsidR="0CD4DD13" w:rsidRPr="00856619" w:rsidRDefault="0CD4DD13" w:rsidP="003C5D4C">
      <w:pPr>
        <w:rPr>
          <w:rFonts w:ascii="Arial" w:eastAsia="Arial" w:hAnsi="Arial" w:cs="Arial"/>
          <w:sz w:val="22"/>
          <w:szCs w:val="22"/>
        </w:rPr>
      </w:pPr>
      <w:proofErr w:type="spellStart"/>
      <w:r w:rsidRPr="00856619">
        <w:rPr>
          <w:rFonts w:ascii="Arial" w:eastAsia="Arial" w:hAnsi="Arial" w:cs="Arial"/>
          <w:sz w:val="22"/>
          <w:szCs w:val="22"/>
        </w:rPr>
        <w:t>Brumariu</w:t>
      </w:r>
      <w:proofErr w:type="spellEnd"/>
      <w:r w:rsidRPr="00856619">
        <w:rPr>
          <w:rFonts w:ascii="Arial" w:eastAsia="Arial" w:hAnsi="Arial" w:cs="Arial"/>
          <w:sz w:val="22"/>
          <w:szCs w:val="22"/>
        </w:rPr>
        <w:t xml:space="preserve">, L.E. and Kerns, K.A. (2010) ‘Parent–child attachment and internalizing symptoms’, </w:t>
      </w:r>
      <w:r w:rsidRPr="00856619">
        <w:rPr>
          <w:rFonts w:ascii="Arial" w:eastAsia="Arial" w:hAnsi="Arial" w:cs="Arial"/>
          <w:i/>
          <w:iCs/>
          <w:sz w:val="22"/>
          <w:szCs w:val="22"/>
        </w:rPr>
        <w:t>Development and Psychopathology</w:t>
      </w:r>
      <w:r w:rsidRPr="00856619">
        <w:rPr>
          <w:rFonts w:ascii="Arial" w:eastAsia="Arial" w:hAnsi="Arial" w:cs="Arial"/>
          <w:sz w:val="22"/>
          <w:szCs w:val="22"/>
        </w:rPr>
        <w:t xml:space="preserve">, 22(1), pp. 177–203. Available at: </w:t>
      </w:r>
      <w:hyperlink r:id="rId17">
        <w:r w:rsidRPr="00856619">
          <w:rPr>
            <w:rStyle w:val="Hyperlink"/>
            <w:rFonts w:ascii="Arial" w:eastAsia="Arial" w:hAnsi="Arial" w:cs="Arial"/>
            <w:color w:val="auto"/>
            <w:sz w:val="22"/>
            <w:szCs w:val="22"/>
          </w:rPr>
          <w:t>https://doi.org/10.1017/S0954579409990344</w:t>
        </w:r>
      </w:hyperlink>
      <w:r w:rsidR="0091183D" w:rsidRPr="00856619">
        <w:rPr>
          <w:rFonts w:ascii="Arial" w:hAnsi="Arial" w:cs="Arial"/>
          <w:sz w:val="22"/>
          <w:szCs w:val="22"/>
        </w:rPr>
        <w:t xml:space="preserve"> </w:t>
      </w:r>
      <w:r w:rsidR="00702326" w:rsidRPr="00856619">
        <w:rPr>
          <w:rFonts w:ascii="Arial" w:hAnsi="Arial" w:cs="Arial"/>
          <w:sz w:val="22"/>
          <w:szCs w:val="22"/>
        </w:rPr>
        <w:t>(Accessed: 23 January 2026).</w:t>
      </w:r>
    </w:p>
    <w:p w14:paraId="5C1B983D" w14:textId="3548879B" w:rsidR="3A7CED5F" w:rsidRPr="00856619" w:rsidRDefault="3A7CED5F" w:rsidP="003C5D4C">
      <w:pPr>
        <w:rPr>
          <w:rFonts w:ascii="Arial" w:eastAsia="Arial" w:hAnsi="Arial" w:cs="Arial"/>
          <w:sz w:val="22"/>
          <w:szCs w:val="22"/>
        </w:rPr>
      </w:pPr>
    </w:p>
    <w:p w14:paraId="5CDDFCAA" w14:textId="0C30A8BA"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Camara, M. (2017) ‘The role of social support in adolescents’</w:t>
      </w:r>
      <w:r w:rsidRPr="00856619">
        <w:rPr>
          <w:rFonts w:ascii="Arial" w:eastAsia="Arial" w:hAnsi="Arial" w:cs="Arial"/>
          <w:i/>
          <w:iCs/>
          <w:sz w:val="22"/>
          <w:szCs w:val="22"/>
        </w:rPr>
        <w:t>, Journal of Youth Studies</w:t>
      </w:r>
      <w:r w:rsidR="00641D3F" w:rsidRPr="00856619">
        <w:rPr>
          <w:rFonts w:ascii="Arial" w:eastAsia="Arial" w:hAnsi="Arial" w:cs="Arial"/>
          <w:sz w:val="22"/>
          <w:szCs w:val="22"/>
        </w:rPr>
        <w:t xml:space="preserve">, </w:t>
      </w:r>
      <w:r w:rsidR="00641D3F" w:rsidRPr="00856619">
        <w:rPr>
          <w:rFonts w:ascii="Arial" w:eastAsia="Arial" w:hAnsi="Arial" w:cs="Arial"/>
          <w:i/>
          <w:iCs/>
          <w:sz w:val="22"/>
          <w:szCs w:val="22"/>
        </w:rPr>
        <w:t>22</w:t>
      </w:r>
      <w:r w:rsidR="00641D3F" w:rsidRPr="00856619">
        <w:rPr>
          <w:rFonts w:ascii="Arial" w:eastAsia="Arial" w:hAnsi="Arial" w:cs="Arial"/>
          <w:sz w:val="22"/>
          <w:szCs w:val="22"/>
        </w:rPr>
        <w:t xml:space="preserve">(2), </w:t>
      </w:r>
      <w:r w:rsidR="000F28E8" w:rsidRPr="00856619">
        <w:rPr>
          <w:rFonts w:ascii="Arial" w:eastAsia="Arial" w:hAnsi="Arial" w:cs="Arial"/>
          <w:sz w:val="22"/>
          <w:szCs w:val="22"/>
        </w:rPr>
        <w:t>p</w:t>
      </w:r>
      <w:r w:rsidR="00C8541D" w:rsidRPr="00856619">
        <w:rPr>
          <w:rFonts w:ascii="Arial" w:eastAsia="Arial" w:hAnsi="Arial" w:cs="Arial"/>
          <w:sz w:val="22"/>
          <w:szCs w:val="22"/>
        </w:rPr>
        <w:t>p</w:t>
      </w:r>
      <w:r w:rsidR="00E73069" w:rsidRPr="00856619">
        <w:rPr>
          <w:rFonts w:ascii="Arial" w:eastAsia="Arial" w:hAnsi="Arial" w:cs="Arial"/>
          <w:sz w:val="22"/>
          <w:szCs w:val="22"/>
        </w:rPr>
        <w:t>,</w:t>
      </w:r>
      <w:r w:rsidR="00641D3F" w:rsidRPr="00856619">
        <w:rPr>
          <w:rFonts w:ascii="Arial" w:eastAsia="Arial" w:hAnsi="Arial" w:cs="Arial"/>
          <w:sz w:val="22"/>
          <w:szCs w:val="22"/>
        </w:rPr>
        <w:t>123–136.</w:t>
      </w:r>
      <w:r w:rsidRPr="00856619">
        <w:rPr>
          <w:rFonts w:ascii="Arial" w:eastAsia="Arial" w:hAnsi="Arial" w:cs="Arial"/>
          <w:sz w:val="22"/>
          <w:szCs w:val="22"/>
        </w:rPr>
        <w:t xml:space="preserve"> Available at: </w:t>
      </w:r>
      <w:hyperlink r:id="rId18">
        <w:r w:rsidRPr="00856619">
          <w:rPr>
            <w:rStyle w:val="Hyperlink"/>
            <w:rFonts w:ascii="Arial" w:eastAsia="Arial" w:hAnsi="Arial" w:cs="Arial"/>
            <w:color w:val="auto"/>
            <w:sz w:val="22"/>
            <w:szCs w:val="22"/>
          </w:rPr>
          <w:t>https://doi.org/10.1080/02673843.2013.875480</w:t>
        </w:r>
      </w:hyperlink>
      <w:r w:rsidRPr="00856619">
        <w:rPr>
          <w:rFonts w:ascii="Arial" w:eastAsia="Arial" w:hAnsi="Arial" w:cs="Arial"/>
          <w:sz w:val="22"/>
          <w:szCs w:val="22"/>
        </w:rPr>
        <w:t xml:space="preserve"> (Accessed:</w:t>
      </w:r>
      <w:r w:rsidR="00BE2939" w:rsidRPr="00856619">
        <w:rPr>
          <w:rFonts w:ascii="Arial" w:eastAsia="Arial" w:hAnsi="Arial" w:cs="Arial"/>
          <w:sz w:val="22"/>
          <w:szCs w:val="22"/>
        </w:rPr>
        <w:t xml:space="preserve">15 November </w:t>
      </w:r>
      <w:r w:rsidRPr="00856619">
        <w:rPr>
          <w:rFonts w:ascii="Arial" w:eastAsia="Arial" w:hAnsi="Arial" w:cs="Arial"/>
          <w:sz w:val="22"/>
          <w:szCs w:val="22"/>
        </w:rPr>
        <w:t>202</w:t>
      </w:r>
      <w:r w:rsidR="00BE2939" w:rsidRPr="00856619">
        <w:rPr>
          <w:rFonts w:ascii="Arial" w:eastAsia="Arial" w:hAnsi="Arial" w:cs="Arial"/>
          <w:sz w:val="22"/>
          <w:szCs w:val="22"/>
        </w:rPr>
        <w:t>5</w:t>
      </w:r>
      <w:r w:rsidRPr="00856619">
        <w:rPr>
          <w:rFonts w:ascii="Arial" w:eastAsia="Arial" w:hAnsi="Arial" w:cs="Arial"/>
          <w:sz w:val="22"/>
          <w:szCs w:val="22"/>
        </w:rPr>
        <w:t>).</w:t>
      </w:r>
    </w:p>
    <w:p w14:paraId="1C818416" w14:textId="37E88FEB" w:rsidR="3A7CED5F" w:rsidRPr="00856619" w:rsidRDefault="3A7CED5F" w:rsidP="003C5D4C">
      <w:pPr>
        <w:rPr>
          <w:rFonts w:ascii="Arial" w:eastAsia="Arial" w:hAnsi="Arial" w:cs="Arial"/>
          <w:sz w:val="22"/>
          <w:szCs w:val="22"/>
        </w:rPr>
      </w:pPr>
    </w:p>
    <w:p w14:paraId="1AED9D25" w14:textId="2DE82AD0"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Cao, Y.</w:t>
      </w:r>
      <w:r w:rsidR="00EB7290" w:rsidRPr="00856619">
        <w:rPr>
          <w:rFonts w:ascii="Arial" w:eastAsia="Arial" w:hAnsi="Arial" w:cs="Arial"/>
          <w:sz w:val="22"/>
          <w:szCs w:val="22"/>
        </w:rPr>
        <w:t>, Wang J, Huang Z, Qin Y, Gao S, Zhang H, Yuan M, Tang X.</w:t>
      </w:r>
      <w:r w:rsidRPr="00856619">
        <w:rPr>
          <w:rFonts w:ascii="Arial" w:eastAsia="Arial" w:hAnsi="Arial" w:cs="Arial"/>
          <w:sz w:val="22"/>
          <w:szCs w:val="22"/>
        </w:rPr>
        <w:t xml:space="preserve"> (2025) ‘The relationship between social anxiety and depression among adolescents’</w:t>
      </w:r>
      <w:r w:rsidRPr="00856619">
        <w:rPr>
          <w:rFonts w:ascii="Arial" w:eastAsia="Arial" w:hAnsi="Arial" w:cs="Arial"/>
          <w:i/>
          <w:iCs/>
          <w:sz w:val="22"/>
          <w:szCs w:val="22"/>
        </w:rPr>
        <w:t>, Healthcare</w:t>
      </w:r>
      <w:r w:rsidRPr="00856619">
        <w:rPr>
          <w:rFonts w:ascii="Arial" w:eastAsia="Arial" w:hAnsi="Arial" w:cs="Arial"/>
          <w:sz w:val="22"/>
          <w:szCs w:val="22"/>
        </w:rPr>
        <w:t>, 13(5), p</w:t>
      </w:r>
      <w:r w:rsidR="00C8541D" w:rsidRPr="00856619">
        <w:rPr>
          <w:rFonts w:ascii="Arial" w:eastAsia="Arial" w:hAnsi="Arial" w:cs="Arial"/>
          <w:sz w:val="22"/>
          <w:szCs w:val="22"/>
        </w:rPr>
        <w:t>p</w:t>
      </w:r>
      <w:r w:rsidRPr="00856619">
        <w:rPr>
          <w:rFonts w:ascii="Arial" w:eastAsia="Arial" w:hAnsi="Arial" w:cs="Arial"/>
          <w:sz w:val="22"/>
          <w:szCs w:val="22"/>
        </w:rPr>
        <w:t xml:space="preserve"> 533. Available at: </w:t>
      </w:r>
      <w:hyperlink r:id="rId19">
        <w:r w:rsidRPr="00856619">
          <w:rPr>
            <w:rStyle w:val="Hyperlink"/>
            <w:rFonts w:ascii="Arial" w:eastAsia="Arial" w:hAnsi="Arial" w:cs="Arial"/>
            <w:color w:val="auto"/>
            <w:sz w:val="22"/>
            <w:szCs w:val="22"/>
          </w:rPr>
          <w:t>https://www.mdpi.com/2227-9032/13/5/533</w:t>
        </w:r>
      </w:hyperlink>
      <w:r w:rsidRPr="00856619">
        <w:rPr>
          <w:rFonts w:ascii="Arial" w:eastAsia="Arial" w:hAnsi="Arial" w:cs="Arial"/>
          <w:sz w:val="22"/>
          <w:szCs w:val="22"/>
        </w:rPr>
        <w:t xml:space="preserve"> (Accessed: </w:t>
      </w:r>
      <w:r w:rsidR="00217321" w:rsidRPr="00856619">
        <w:rPr>
          <w:rFonts w:ascii="Arial" w:eastAsia="Arial" w:hAnsi="Arial" w:cs="Arial"/>
          <w:sz w:val="22"/>
          <w:szCs w:val="22"/>
        </w:rPr>
        <w:t xml:space="preserve">10 December </w:t>
      </w:r>
      <w:r w:rsidRPr="00856619">
        <w:rPr>
          <w:rFonts w:ascii="Arial" w:eastAsia="Arial" w:hAnsi="Arial" w:cs="Arial"/>
          <w:sz w:val="22"/>
          <w:szCs w:val="22"/>
        </w:rPr>
        <w:t>202</w:t>
      </w:r>
      <w:r w:rsidR="00217321" w:rsidRPr="00856619">
        <w:rPr>
          <w:rFonts w:ascii="Arial" w:eastAsia="Arial" w:hAnsi="Arial" w:cs="Arial"/>
          <w:sz w:val="22"/>
          <w:szCs w:val="22"/>
        </w:rPr>
        <w:t>5</w:t>
      </w:r>
      <w:r w:rsidRPr="00856619">
        <w:rPr>
          <w:rFonts w:ascii="Arial" w:eastAsia="Arial" w:hAnsi="Arial" w:cs="Arial"/>
          <w:sz w:val="22"/>
          <w:szCs w:val="22"/>
        </w:rPr>
        <w:t>).</w:t>
      </w:r>
    </w:p>
    <w:p w14:paraId="3382D3D9" w14:textId="31EC7460" w:rsidR="3A7CED5F" w:rsidRPr="00856619" w:rsidRDefault="3A7CED5F" w:rsidP="003C5D4C">
      <w:pPr>
        <w:rPr>
          <w:rFonts w:ascii="Arial" w:eastAsia="Arial" w:hAnsi="Arial" w:cs="Arial"/>
          <w:sz w:val="22"/>
          <w:szCs w:val="22"/>
        </w:rPr>
      </w:pPr>
    </w:p>
    <w:p w14:paraId="3086F512" w14:textId="0C47E22A"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Chiu, K., Clark, D.M. and Leigh, E. (2021) ‘Prospective associations between peer relationships and adolescent anxiety’, </w:t>
      </w:r>
      <w:r w:rsidRPr="00856619">
        <w:rPr>
          <w:rFonts w:ascii="Arial" w:eastAsia="Arial" w:hAnsi="Arial" w:cs="Arial"/>
          <w:i/>
          <w:iCs/>
          <w:sz w:val="22"/>
          <w:szCs w:val="22"/>
        </w:rPr>
        <w:t>Journal of Affective Disorders</w:t>
      </w:r>
      <w:r w:rsidRPr="00856619">
        <w:rPr>
          <w:rFonts w:ascii="Arial" w:eastAsia="Arial" w:hAnsi="Arial" w:cs="Arial"/>
          <w:sz w:val="22"/>
          <w:szCs w:val="22"/>
        </w:rPr>
        <w:t xml:space="preserve">, 294, pp. 206–213. Available at: </w:t>
      </w:r>
      <w:hyperlink r:id="rId20">
        <w:r w:rsidRPr="00856619">
          <w:rPr>
            <w:rStyle w:val="Hyperlink"/>
            <w:rFonts w:ascii="Arial" w:eastAsia="Arial" w:hAnsi="Arial" w:cs="Arial"/>
            <w:color w:val="auto"/>
            <w:sz w:val="22"/>
            <w:szCs w:val="22"/>
          </w:rPr>
          <w:t>https://doi.org/10.1016/j.jad.2021.07.030</w:t>
        </w:r>
      </w:hyperlink>
      <w:r w:rsidRPr="00856619">
        <w:rPr>
          <w:rFonts w:ascii="Arial" w:eastAsia="Arial" w:hAnsi="Arial" w:cs="Arial"/>
          <w:sz w:val="22"/>
          <w:szCs w:val="22"/>
        </w:rPr>
        <w:t xml:space="preserve"> (Accessed: 23 </w:t>
      </w:r>
      <w:r w:rsidR="00217321" w:rsidRPr="00856619">
        <w:rPr>
          <w:rFonts w:ascii="Arial" w:eastAsia="Arial" w:hAnsi="Arial" w:cs="Arial"/>
          <w:sz w:val="22"/>
          <w:szCs w:val="22"/>
        </w:rPr>
        <w:t xml:space="preserve">February </w:t>
      </w:r>
      <w:r w:rsidRPr="00856619">
        <w:rPr>
          <w:rFonts w:ascii="Arial" w:eastAsia="Arial" w:hAnsi="Arial" w:cs="Arial"/>
          <w:sz w:val="22"/>
          <w:szCs w:val="22"/>
        </w:rPr>
        <w:t>2026).</w:t>
      </w:r>
    </w:p>
    <w:p w14:paraId="64B7CD36" w14:textId="3A8AB4C2" w:rsidR="3A7CED5F" w:rsidRPr="00856619" w:rsidRDefault="3A7CED5F" w:rsidP="003C5D4C">
      <w:pPr>
        <w:rPr>
          <w:rFonts w:ascii="Arial" w:eastAsia="Arial" w:hAnsi="Arial" w:cs="Arial"/>
          <w:sz w:val="22"/>
          <w:szCs w:val="22"/>
        </w:rPr>
      </w:pPr>
    </w:p>
    <w:p w14:paraId="64CAE1D2" w14:textId="54A4FEA1"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Chu, P.S., Saucier, D.A. and Hafner, E. (2010) ‘Meta-analysis of the relationships between social support and well-being’, </w:t>
      </w:r>
      <w:r w:rsidRPr="00856619">
        <w:rPr>
          <w:rFonts w:ascii="Arial" w:eastAsia="Arial" w:hAnsi="Arial" w:cs="Arial"/>
          <w:i/>
          <w:iCs/>
          <w:sz w:val="22"/>
          <w:szCs w:val="22"/>
        </w:rPr>
        <w:t>Journal of Social and Clinical Psychology</w:t>
      </w:r>
      <w:r w:rsidRPr="00856619">
        <w:rPr>
          <w:rFonts w:ascii="Arial" w:eastAsia="Arial" w:hAnsi="Arial" w:cs="Arial"/>
          <w:sz w:val="22"/>
          <w:szCs w:val="22"/>
        </w:rPr>
        <w:t xml:space="preserve">, 29(6), pp. 624–645. Available at: </w:t>
      </w:r>
      <w:hyperlink r:id="rId21">
        <w:r w:rsidRPr="00856619">
          <w:rPr>
            <w:rStyle w:val="Hyperlink"/>
            <w:rFonts w:ascii="Arial" w:eastAsia="Arial" w:hAnsi="Arial" w:cs="Arial"/>
            <w:color w:val="auto"/>
            <w:sz w:val="22"/>
            <w:szCs w:val="22"/>
          </w:rPr>
          <w:t>https://doi.org/10.1521/jscp.2010.29.6.624</w:t>
        </w:r>
      </w:hyperlink>
      <w:r w:rsidR="00F31466" w:rsidRPr="00856619">
        <w:rPr>
          <w:rFonts w:ascii="Arial" w:hAnsi="Arial" w:cs="Arial"/>
          <w:sz w:val="22"/>
          <w:szCs w:val="22"/>
        </w:rPr>
        <w:t xml:space="preserve"> </w:t>
      </w:r>
      <w:r w:rsidR="00702326" w:rsidRPr="00856619">
        <w:rPr>
          <w:rFonts w:ascii="Arial" w:hAnsi="Arial" w:cs="Arial"/>
          <w:sz w:val="22"/>
          <w:szCs w:val="22"/>
        </w:rPr>
        <w:t xml:space="preserve">(Accessed: </w:t>
      </w:r>
      <w:r w:rsidR="008D6C6B" w:rsidRPr="00856619">
        <w:rPr>
          <w:rFonts w:ascii="Arial" w:hAnsi="Arial" w:cs="Arial"/>
          <w:sz w:val="22"/>
          <w:szCs w:val="22"/>
        </w:rPr>
        <w:t>20 December 2025).</w:t>
      </w:r>
    </w:p>
    <w:p w14:paraId="129452CC" w14:textId="766CFD60" w:rsidR="3A7CED5F" w:rsidRPr="00856619" w:rsidRDefault="3A7CED5F" w:rsidP="003C5D4C">
      <w:pPr>
        <w:rPr>
          <w:rFonts w:ascii="Arial" w:eastAsia="Arial" w:hAnsi="Arial" w:cs="Arial"/>
          <w:sz w:val="22"/>
          <w:szCs w:val="22"/>
        </w:rPr>
      </w:pPr>
    </w:p>
    <w:p w14:paraId="5D215B58" w14:textId="507B18B7" w:rsidR="3A7CED5F" w:rsidRPr="00856619" w:rsidRDefault="0081611C" w:rsidP="003C5D4C">
      <w:pPr>
        <w:rPr>
          <w:rFonts w:ascii="Arial" w:eastAsia="Arial" w:hAnsi="Arial" w:cs="Arial"/>
          <w:sz w:val="22"/>
          <w:szCs w:val="22"/>
        </w:rPr>
      </w:pPr>
      <w:r w:rsidRPr="00856619">
        <w:rPr>
          <w:rFonts w:ascii="Arial" w:eastAsia="Arial" w:hAnsi="Arial" w:cs="Arial"/>
          <w:sz w:val="22"/>
          <w:szCs w:val="22"/>
        </w:rPr>
        <w:t xml:space="preserve">Ciarrochi, J., Morin, A. J. S., </w:t>
      </w:r>
      <w:proofErr w:type="spellStart"/>
      <w:r w:rsidRPr="00856619">
        <w:rPr>
          <w:rFonts w:ascii="Arial" w:eastAsia="Arial" w:hAnsi="Arial" w:cs="Arial"/>
          <w:sz w:val="22"/>
          <w:szCs w:val="22"/>
        </w:rPr>
        <w:t>Sahdra</w:t>
      </w:r>
      <w:proofErr w:type="spellEnd"/>
      <w:r w:rsidRPr="00856619">
        <w:rPr>
          <w:rFonts w:ascii="Arial" w:eastAsia="Arial" w:hAnsi="Arial" w:cs="Arial"/>
          <w:sz w:val="22"/>
          <w:szCs w:val="22"/>
        </w:rPr>
        <w:t>, B. K., Litalien, D., and Parker, P. D. (2017). ‘A longitudinal person-</w:t>
      </w:r>
      <w:proofErr w:type="spellStart"/>
      <w:r w:rsidRPr="00856619">
        <w:rPr>
          <w:rFonts w:ascii="Arial" w:eastAsia="Arial" w:hAnsi="Arial" w:cs="Arial"/>
          <w:sz w:val="22"/>
          <w:szCs w:val="22"/>
        </w:rPr>
        <w:t>centered</w:t>
      </w:r>
      <w:proofErr w:type="spellEnd"/>
      <w:r w:rsidRPr="00856619">
        <w:rPr>
          <w:rFonts w:ascii="Arial" w:eastAsia="Arial" w:hAnsi="Arial" w:cs="Arial"/>
          <w:sz w:val="22"/>
          <w:szCs w:val="22"/>
        </w:rPr>
        <w:t xml:space="preserve"> perspective on youth social support: Relations with psychological wellbeing’. </w:t>
      </w:r>
      <w:r w:rsidRPr="00856619">
        <w:rPr>
          <w:rFonts w:ascii="Arial" w:eastAsia="Arial" w:hAnsi="Arial" w:cs="Arial"/>
          <w:i/>
          <w:iCs/>
          <w:sz w:val="22"/>
          <w:szCs w:val="22"/>
        </w:rPr>
        <w:t>Developmental psychology</w:t>
      </w:r>
      <w:r w:rsidRPr="00856619">
        <w:rPr>
          <w:rFonts w:ascii="Arial" w:eastAsia="Arial" w:hAnsi="Arial" w:cs="Arial"/>
          <w:sz w:val="22"/>
          <w:szCs w:val="22"/>
        </w:rPr>
        <w:t>, </w:t>
      </w:r>
      <w:r w:rsidRPr="00856619">
        <w:rPr>
          <w:rFonts w:ascii="Arial" w:eastAsia="Arial" w:hAnsi="Arial" w:cs="Arial"/>
          <w:i/>
          <w:iCs/>
          <w:sz w:val="22"/>
          <w:szCs w:val="22"/>
        </w:rPr>
        <w:t>53</w:t>
      </w:r>
      <w:r w:rsidRPr="00856619">
        <w:rPr>
          <w:rFonts w:ascii="Arial" w:eastAsia="Arial" w:hAnsi="Arial" w:cs="Arial"/>
          <w:sz w:val="22"/>
          <w:szCs w:val="22"/>
        </w:rPr>
        <w:t>(6), pp</w:t>
      </w:r>
      <w:r w:rsidR="0075441C" w:rsidRPr="00856619">
        <w:rPr>
          <w:rFonts w:ascii="Arial" w:eastAsia="Arial" w:hAnsi="Arial" w:cs="Arial"/>
          <w:sz w:val="22"/>
          <w:szCs w:val="22"/>
        </w:rPr>
        <w:t xml:space="preserve">. </w:t>
      </w:r>
      <w:r w:rsidRPr="00856619">
        <w:rPr>
          <w:rFonts w:ascii="Arial" w:eastAsia="Arial" w:hAnsi="Arial" w:cs="Arial"/>
          <w:sz w:val="22"/>
          <w:szCs w:val="22"/>
        </w:rPr>
        <w:t xml:space="preserve">1154–1169. Available at </w:t>
      </w:r>
      <w:hyperlink r:id="rId22" w:history="1">
        <w:r w:rsidRPr="00856619">
          <w:rPr>
            <w:rStyle w:val="Hyperlink"/>
            <w:rFonts w:ascii="Arial" w:eastAsia="Arial" w:hAnsi="Arial" w:cs="Arial"/>
            <w:color w:val="auto"/>
            <w:sz w:val="22"/>
            <w:szCs w:val="22"/>
          </w:rPr>
          <w:t>https://doi.org/10.1037/dev0000315</w:t>
        </w:r>
      </w:hyperlink>
      <w:r w:rsidRPr="00856619">
        <w:rPr>
          <w:rFonts w:ascii="Arial" w:eastAsia="Arial" w:hAnsi="Arial" w:cs="Arial"/>
          <w:sz w:val="22"/>
          <w:szCs w:val="22"/>
        </w:rPr>
        <w:t xml:space="preserve"> (Accessed: </w:t>
      </w:r>
      <w:r w:rsidR="001D5333" w:rsidRPr="00856619">
        <w:rPr>
          <w:rFonts w:ascii="Arial" w:eastAsia="Arial" w:hAnsi="Arial" w:cs="Arial"/>
          <w:sz w:val="22"/>
          <w:szCs w:val="22"/>
        </w:rPr>
        <w:t>20 December 2025).</w:t>
      </w:r>
    </w:p>
    <w:p w14:paraId="123E4142" w14:textId="77777777" w:rsidR="001D5333" w:rsidRPr="00856619" w:rsidRDefault="001D5333" w:rsidP="003C5D4C">
      <w:pPr>
        <w:rPr>
          <w:rFonts w:ascii="Arial" w:eastAsia="Arial" w:hAnsi="Arial" w:cs="Arial"/>
          <w:sz w:val="22"/>
          <w:szCs w:val="22"/>
        </w:rPr>
      </w:pPr>
    </w:p>
    <w:p w14:paraId="4F5050F0" w14:textId="5F5CBD9F"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Cohen, S. and Wills, T.A. (1985) ‘Stress, social support, and the buffering hypothesis’, </w:t>
      </w:r>
      <w:r w:rsidRPr="00856619">
        <w:rPr>
          <w:rFonts w:ascii="Arial" w:eastAsia="Arial" w:hAnsi="Arial" w:cs="Arial"/>
          <w:i/>
          <w:iCs/>
          <w:sz w:val="22"/>
          <w:szCs w:val="22"/>
        </w:rPr>
        <w:t>Psychological Bulletin</w:t>
      </w:r>
      <w:r w:rsidRPr="00856619">
        <w:rPr>
          <w:rFonts w:ascii="Arial" w:eastAsia="Arial" w:hAnsi="Arial" w:cs="Arial"/>
          <w:sz w:val="22"/>
          <w:szCs w:val="22"/>
        </w:rPr>
        <w:t xml:space="preserve">, 98(2), pp. 310–357. Available at: </w:t>
      </w:r>
      <w:hyperlink r:id="rId23">
        <w:r w:rsidRPr="00856619">
          <w:rPr>
            <w:rStyle w:val="Hyperlink"/>
            <w:rFonts w:ascii="Arial" w:eastAsia="Arial" w:hAnsi="Arial" w:cs="Arial"/>
            <w:color w:val="auto"/>
            <w:sz w:val="22"/>
            <w:szCs w:val="22"/>
          </w:rPr>
          <w:t>https://doi.org/10.1037/0033-2909.98.2.310</w:t>
        </w:r>
      </w:hyperlink>
      <w:r w:rsidRPr="00856619">
        <w:rPr>
          <w:rFonts w:ascii="Arial" w:eastAsia="Arial" w:hAnsi="Arial" w:cs="Arial"/>
          <w:sz w:val="22"/>
          <w:szCs w:val="22"/>
        </w:rPr>
        <w:t xml:space="preserve"> (Accessed: </w:t>
      </w:r>
      <w:r w:rsidR="00F31466" w:rsidRPr="00856619">
        <w:rPr>
          <w:rFonts w:ascii="Arial" w:eastAsia="Arial" w:hAnsi="Arial" w:cs="Arial"/>
          <w:sz w:val="22"/>
          <w:szCs w:val="22"/>
        </w:rPr>
        <w:t>19 Jan</w:t>
      </w:r>
      <w:r w:rsidR="00D271C4" w:rsidRPr="00856619">
        <w:rPr>
          <w:rFonts w:ascii="Arial" w:eastAsia="Arial" w:hAnsi="Arial" w:cs="Arial"/>
          <w:sz w:val="22"/>
          <w:szCs w:val="22"/>
        </w:rPr>
        <w:t xml:space="preserve">uary </w:t>
      </w:r>
      <w:r w:rsidRPr="00856619">
        <w:rPr>
          <w:rFonts w:ascii="Arial" w:eastAsia="Arial" w:hAnsi="Arial" w:cs="Arial"/>
          <w:sz w:val="22"/>
          <w:szCs w:val="22"/>
        </w:rPr>
        <w:t>2026).</w:t>
      </w:r>
    </w:p>
    <w:p w14:paraId="14CAE19D" w14:textId="77777777" w:rsidR="00670D0B" w:rsidRPr="00856619" w:rsidRDefault="00670D0B" w:rsidP="003C5D4C">
      <w:pPr>
        <w:rPr>
          <w:rFonts w:ascii="Arial" w:eastAsia="Arial" w:hAnsi="Arial" w:cs="Arial"/>
          <w:sz w:val="22"/>
          <w:szCs w:val="22"/>
        </w:rPr>
      </w:pPr>
    </w:p>
    <w:p w14:paraId="53CE5CEE" w14:textId="61DB9828" w:rsidR="00670D0B" w:rsidRPr="00856619" w:rsidRDefault="00670D0B" w:rsidP="003C5D4C">
      <w:pPr>
        <w:rPr>
          <w:rFonts w:ascii="Arial" w:eastAsia="Arial" w:hAnsi="Arial" w:cs="Arial"/>
          <w:sz w:val="22"/>
          <w:szCs w:val="22"/>
        </w:rPr>
      </w:pPr>
      <w:r w:rsidRPr="00856619">
        <w:rPr>
          <w:rFonts w:ascii="Arial" w:eastAsia="Arial" w:hAnsi="Arial" w:cs="Arial"/>
          <w:sz w:val="22"/>
          <w:szCs w:val="22"/>
        </w:rPr>
        <w:t xml:space="preserve">Cook, C. R., Frye, M., </w:t>
      </w:r>
      <w:proofErr w:type="spellStart"/>
      <w:r w:rsidRPr="00856619">
        <w:rPr>
          <w:rFonts w:ascii="Arial" w:eastAsia="Arial" w:hAnsi="Arial" w:cs="Arial"/>
          <w:sz w:val="22"/>
          <w:szCs w:val="22"/>
        </w:rPr>
        <w:t>Slemrod</w:t>
      </w:r>
      <w:proofErr w:type="spellEnd"/>
      <w:r w:rsidRPr="00856619">
        <w:rPr>
          <w:rFonts w:ascii="Arial" w:eastAsia="Arial" w:hAnsi="Arial" w:cs="Arial"/>
          <w:sz w:val="22"/>
          <w:szCs w:val="22"/>
        </w:rPr>
        <w:t xml:space="preserve">, T., Lyon, A. R., Renshaw, T. L., </w:t>
      </w:r>
      <w:r w:rsidR="000B2C80" w:rsidRPr="00856619">
        <w:rPr>
          <w:rFonts w:ascii="Arial" w:eastAsia="Arial" w:hAnsi="Arial" w:cs="Arial"/>
          <w:sz w:val="22"/>
          <w:szCs w:val="22"/>
        </w:rPr>
        <w:t xml:space="preserve">and </w:t>
      </w:r>
      <w:r w:rsidRPr="00856619">
        <w:rPr>
          <w:rFonts w:ascii="Arial" w:eastAsia="Arial" w:hAnsi="Arial" w:cs="Arial"/>
          <w:sz w:val="22"/>
          <w:szCs w:val="22"/>
        </w:rPr>
        <w:t>Zhang, Y. (2015). An integrated approach to universal prevention: Independent and combined effects of PBIS and SEL on youths’ mental health. </w:t>
      </w:r>
      <w:r w:rsidRPr="00856619">
        <w:rPr>
          <w:rFonts w:ascii="Arial" w:eastAsia="Arial" w:hAnsi="Arial" w:cs="Arial"/>
          <w:i/>
          <w:iCs/>
          <w:sz w:val="22"/>
          <w:szCs w:val="22"/>
        </w:rPr>
        <w:t>School Psychology Quarterly, 30</w:t>
      </w:r>
      <w:r w:rsidRPr="00856619">
        <w:rPr>
          <w:rFonts w:ascii="Arial" w:eastAsia="Arial" w:hAnsi="Arial" w:cs="Arial"/>
          <w:sz w:val="22"/>
          <w:szCs w:val="22"/>
        </w:rPr>
        <w:t xml:space="preserve">(2), </w:t>
      </w:r>
      <w:r w:rsidR="000B2C80" w:rsidRPr="00856619">
        <w:rPr>
          <w:rFonts w:ascii="Arial" w:eastAsia="Arial" w:hAnsi="Arial" w:cs="Arial"/>
          <w:sz w:val="22"/>
          <w:szCs w:val="22"/>
        </w:rPr>
        <w:t>pp</w:t>
      </w:r>
      <w:r w:rsidRPr="00856619">
        <w:rPr>
          <w:rFonts w:ascii="Arial" w:eastAsia="Arial" w:hAnsi="Arial" w:cs="Arial"/>
          <w:sz w:val="22"/>
          <w:szCs w:val="22"/>
        </w:rPr>
        <w:t>166–183.</w:t>
      </w:r>
      <w:r w:rsidR="000B2C80" w:rsidRPr="00856619">
        <w:rPr>
          <w:rFonts w:ascii="Arial" w:eastAsia="Arial" w:hAnsi="Arial" w:cs="Arial"/>
          <w:sz w:val="22"/>
          <w:szCs w:val="22"/>
        </w:rPr>
        <w:t xml:space="preserve"> Available at:</w:t>
      </w:r>
      <w:r w:rsidRPr="00856619">
        <w:rPr>
          <w:rFonts w:ascii="Arial" w:eastAsia="Arial" w:hAnsi="Arial" w:cs="Arial"/>
          <w:sz w:val="22"/>
          <w:szCs w:val="22"/>
        </w:rPr>
        <w:t> </w:t>
      </w:r>
      <w:hyperlink r:id="rId24" w:tgtFrame="_blank" w:history="1">
        <w:r w:rsidRPr="00856619">
          <w:rPr>
            <w:rStyle w:val="Hyperlink"/>
            <w:rFonts w:ascii="Arial" w:eastAsia="Arial" w:hAnsi="Arial" w:cs="Arial"/>
            <w:color w:val="auto"/>
            <w:sz w:val="22"/>
            <w:szCs w:val="22"/>
          </w:rPr>
          <w:t>https://doi.org/10.1037/spq0000102</w:t>
        </w:r>
      </w:hyperlink>
      <w:r w:rsidR="000B2C80" w:rsidRPr="00856619">
        <w:rPr>
          <w:rFonts w:ascii="Arial" w:eastAsia="Arial" w:hAnsi="Arial" w:cs="Arial"/>
          <w:sz w:val="22"/>
          <w:szCs w:val="22"/>
        </w:rPr>
        <w:t xml:space="preserve"> (Accessed: </w:t>
      </w:r>
      <w:r w:rsidR="003D2BBA" w:rsidRPr="00856619">
        <w:rPr>
          <w:rFonts w:ascii="Arial" w:eastAsia="Arial" w:hAnsi="Arial" w:cs="Arial"/>
          <w:sz w:val="22"/>
          <w:szCs w:val="22"/>
        </w:rPr>
        <w:t>15 November 2025).</w:t>
      </w:r>
    </w:p>
    <w:p w14:paraId="4E2800C0" w14:textId="4B3F8539" w:rsidR="3A7CED5F" w:rsidRPr="00856619" w:rsidRDefault="3A7CED5F" w:rsidP="003C5D4C">
      <w:pPr>
        <w:rPr>
          <w:rFonts w:ascii="Arial" w:eastAsia="Arial" w:hAnsi="Arial" w:cs="Arial"/>
          <w:sz w:val="22"/>
          <w:szCs w:val="22"/>
        </w:rPr>
      </w:pPr>
    </w:p>
    <w:p w14:paraId="64313A2C" w14:textId="7A36E000"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Costello, E.J., Mustillo, S., </w:t>
      </w:r>
      <w:proofErr w:type="spellStart"/>
      <w:r w:rsidRPr="00856619">
        <w:rPr>
          <w:rFonts w:ascii="Arial" w:eastAsia="Arial" w:hAnsi="Arial" w:cs="Arial"/>
          <w:sz w:val="22"/>
          <w:szCs w:val="22"/>
        </w:rPr>
        <w:t>Erkanli</w:t>
      </w:r>
      <w:proofErr w:type="spellEnd"/>
      <w:r w:rsidRPr="00856619">
        <w:rPr>
          <w:rFonts w:ascii="Arial" w:eastAsia="Arial" w:hAnsi="Arial" w:cs="Arial"/>
          <w:sz w:val="22"/>
          <w:szCs w:val="22"/>
        </w:rPr>
        <w:t xml:space="preserve">, A., Keeler, G. and Angold, A. (2003) ‘Prevalence and development of psychiatric disorders’, </w:t>
      </w:r>
      <w:r w:rsidRPr="00856619">
        <w:rPr>
          <w:rFonts w:ascii="Arial" w:eastAsia="Arial" w:hAnsi="Arial" w:cs="Arial"/>
          <w:i/>
          <w:iCs/>
          <w:sz w:val="22"/>
          <w:szCs w:val="22"/>
        </w:rPr>
        <w:t>Archives of General Psychiatry</w:t>
      </w:r>
      <w:r w:rsidRPr="00856619">
        <w:rPr>
          <w:rFonts w:ascii="Arial" w:eastAsia="Arial" w:hAnsi="Arial" w:cs="Arial"/>
          <w:sz w:val="22"/>
          <w:szCs w:val="22"/>
        </w:rPr>
        <w:t xml:space="preserve">, 60(8), pp. 837–844. Available at: </w:t>
      </w:r>
      <w:hyperlink r:id="rId25">
        <w:r w:rsidRPr="00856619">
          <w:rPr>
            <w:rStyle w:val="Hyperlink"/>
            <w:rFonts w:ascii="Arial" w:eastAsia="Arial" w:hAnsi="Arial" w:cs="Arial"/>
            <w:color w:val="auto"/>
            <w:sz w:val="22"/>
            <w:szCs w:val="22"/>
          </w:rPr>
          <w:t>https://doi.org/10.1001/archpsyc.60.8.837</w:t>
        </w:r>
      </w:hyperlink>
      <w:r w:rsidRPr="00856619">
        <w:rPr>
          <w:rFonts w:ascii="Arial" w:eastAsia="Arial" w:hAnsi="Arial" w:cs="Arial"/>
          <w:sz w:val="22"/>
          <w:szCs w:val="22"/>
        </w:rPr>
        <w:t xml:space="preserve"> (Accessed: </w:t>
      </w:r>
      <w:r w:rsidR="00D271C4" w:rsidRPr="00856619">
        <w:rPr>
          <w:rFonts w:ascii="Arial" w:eastAsia="Arial" w:hAnsi="Arial" w:cs="Arial"/>
          <w:sz w:val="22"/>
          <w:szCs w:val="22"/>
        </w:rPr>
        <w:t xml:space="preserve">16 January </w:t>
      </w:r>
      <w:r w:rsidRPr="00856619">
        <w:rPr>
          <w:rFonts w:ascii="Arial" w:eastAsia="Arial" w:hAnsi="Arial" w:cs="Arial"/>
          <w:sz w:val="22"/>
          <w:szCs w:val="22"/>
        </w:rPr>
        <w:t>2026).</w:t>
      </w:r>
    </w:p>
    <w:p w14:paraId="335BBA55" w14:textId="60B4EC54" w:rsidR="3A7CED5F" w:rsidRPr="00856619" w:rsidRDefault="3A7CED5F" w:rsidP="003C5D4C">
      <w:pPr>
        <w:rPr>
          <w:rFonts w:ascii="Arial" w:eastAsia="Arial" w:hAnsi="Arial" w:cs="Arial"/>
          <w:sz w:val="22"/>
          <w:szCs w:val="22"/>
        </w:rPr>
      </w:pPr>
    </w:p>
    <w:p w14:paraId="2378D61B" w14:textId="0BE036A3" w:rsidR="003E5CE5" w:rsidRPr="008E542E" w:rsidRDefault="0CD4DD13" w:rsidP="003C5D4C">
      <w:pPr>
        <w:rPr>
          <w:rFonts w:ascii="Arial" w:hAnsi="Arial" w:cs="Arial"/>
          <w:sz w:val="22"/>
          <w:szCs w:val="22"/>
        </w:rPr>
      </w:pPr>
      <w:r w:rsidRPr="00856619">
        <w:rPr>
          <w:rFonts w:ascii="Arial" w:eastAsia="Arial" w:hAnsi="Arial" w:cs="Arial"/>
          <w:sz w:val="22"/>
          <w:szCs w:val="22"/>
        </w:rPr>
        <w:t>Creswell, C.</w:t>
      </w:r>
      <w:r w:rsidR="00586859">
        <w:rPr>
          <w:rFonts w:ascii="Arial" w:eastAsia="Arial" w:hAnsi="Arial" w:cs="Arial"/>
          <w:sz w:val="22"/>
          <w:szCs w:val="22"/>
        </w:rPr>
        <w:t xml:space="preserve">, Leigh, E., Larkin, M., </w:t>
      </w:r>
      <w:r w:rsidR="00702C03">
        <w:rPr>
          <w:rFonts w:ascii="Arial" w:eastAsia="Arial" w:hAnsi="Arial" w:cs="Arial"/>
          <w:sz w:val="22"/>
          <w:szCs w:val="22"/>
        </w:rPr>
        <w:t>Stephen, G., Violato, M., Brooks</w:t>
      </w:r>
      <w:r w:rsidR="00790B96">
        <w:rPr>
          <w:rFonts w:ascii="Arial" w:eastAsia="Arial" w:hAnsi="Arial" w:cs="Arial"/>
          <w:sz w:val="22"/>
          <w:szCs w:val="22"/>
        </w:rPr>
        <w:t>, E., Pearcey, S., Taylor</w:t>
      </w:r>
      <w:r w:rsidR="00786F5A">
        <w:rPr>
          <w:rFonts w:ascii="Arial" w:eastAsia="Arial" w:hAnsi="Arial" w:cs="Arial"/>
          <w:sz w:val="22"/>
          <w:szCs w:val="22"/>
        </w:rPr>
        <w:t>, L.,</w:t>
      </w:r>
      <w:r w:rsidR="0051603C">
        <w:rPr>
          <w:rFonts w:ascii="Arial" w:eastAsia="Arial" w:hAnsi="Arial" w:cs="Arial"/>
          <w:sz w:val="22"/>
          <w:szCs w:val="22"/>
        </w:rPr>
        <w:t xml:space="preserve"> Stallard, P., Waite</w:t>
      </w:r>
      <w:r w:rsidR="00545870">
        <w:rPr>
          <w:rFonts w:ascii="Arial" w:eastAsia="Arial" w:hAnsi="Arial" w:cs="Arial"/>
          <w:sz w:val="22"/>
          <w:szCs w:val="22"/>
        </w:rPr>
        <w:t xml:space="preserve">, P., Reynolds, S., Taylor, G., </w:t>
      </w:r>
      <w:r w:rsidR="00F338B9">
        <w:rPr>
          <w:rFonts w:ascii="Arial" w:eastAsia="Arial" w:hAnsi="Arial" w:cs="Arial"/>
          <w:sz w:val="22"/>
          <w:szCs w:val="22"/>
        </w:rPr>
        <w:t>Parkes, E, W</w:t>
      </w:r>
      <w:r w:rsidR="008E542E">
        <w:rPr>
          <w:rFonts w:ascii="Arial" w:eastAsia="Arial" w:hAnsi="Arial" w:cs="Arial"/>
          <w:sz w:val="22"/>
          <w:szCs w:val="22"/>
        </w:rPr>
        <w:t>., and</w:t>
      </w:r>
      <w:r w:rsidR="00F338B9">
        <w:rPr>
          <w:rFonts w:ascii="Arial" w:eastAsia="Arial" w:hAnsi="Arial" w:cs="Arial"/>
          <w:sz w:val="22"/>
          <w:szCs w:val="22"/>
        </w:rPr>
        <w:t xml:space="preserve"> Clark</w:t>
      </w:r>
      <w:r w:rsidR="008E542E">
        <w:rPr>
          <w:rFonts w:ascii="Arial" w:eastAsia="Arial" w:hAnsi="Arial" w:cs="Arial"/>
          <w:sz w:val="22"/>
          <w:szCs w:val="22"/>
        </w:rPr>
        <w:t>, M, D</w:t>
      </w:r>
      <w:r w:rsidR="00F338B9">
        <w:rPr>
          <w:rFonts w:ascii="Arial" w:eastAsia="Arial" w:hAnsi="Arial" w:cs="Arial"/>
          <w:sz w:val="22"/>
          <w:szCs w:val="22"/>
        </w:rPr>
        <w:t>.</w:t>
      </w:r>
      <w:r w:rsidR="008E542E">
        <w:rPr>
          <w:rFonts w:ascii="Arial" w:eastAsia="Arial" w:hAnsi="Arial" w:cs="Arial"/>
          <w:sz w:val="22"/>
          <w:szCs w:val="22"/>
        </w:rPr>
        <w:t xml:space="preserve"> </w:t>
      </w:r>
      <w:r w:rsidRPr="00856619">
        <w:rPr>
          <w:rFonts w:ascii="Arial" w:eastAsia="Arial" w:hAnsi="Arial" w:cs="Arial"/>
          <w:sz w:val="22"/>
          <w:szCs w:val="22"/>
        </w:rPr>
        <w:t xml:space="preserve">(2021) ‘Cognitive therapy for social anxiety disorder in adolescents’, </w:t>
      </w:r>
      <w:r w:rsidRPr="00856619">
        <w:rPr>
          <w:rFonts w:ascii="Arial" w:eastAsia="Arial" w:hAnsi="Arial" w:cs="Arial"/>
          <w:i/>
          <w:iCs/>
          <w:sz w:val="22"/>
          <w:szCs w:val="22"/>
        </w:rPr>
        <w:t>Health Technology Assessment</w:t>
      </w:r>
      <w:r w:rsidRPr="00856619">
        <w:rPr>
          <w:rFonts w:ascii="Arial" w:eastAsia="Arial" w:hAnsi="Arial" w:cs="Arial"/>
          <w:sz w:val="22"/>
          <w:szCs w:val="22"/>
        </w:rPr>
        <w:t xml:space="preserve">, 25(20). Available at: </w:t>
      </w:r>
      <w:hyperlink r:id="rId26">
        <w:r w:rsidRPr="00856619">
          <w:rPr>
            <w:rStyle w:val="Hyperlink"/>
            <w:rFonts w:ascii="Arial" w:eastAsia="Arial" w:hAnsi="Arial" w:cs="Arial"/>
            <w:color w:val="auto"/>
            <w:sz w:val="22"/>
            <w:szCs w:val="22"/>
          </w:rPr>
          <w:t>https://doi.org/10.3310/hta25200</w:t>
        </w:r>
      </w:hyperlink>
      <w:r w:rsidR="008D6C6B" w:rsidRPr="00856619">
        <w:rPr>
          <w:rFonts w:ascii="Arial" w:hAnsi="Arial" w:cs="Arial"/>
          <w:sz w:val="22"/>
          <w:szCs w:val="22"/>
        </w:rPr>
        <w:t xml:space="preserve"> (Accessed: </w:t>
      </w:r>
      <w:r w:rsidR="00880F04" w:rsidRPr="00856619">
        <w:rPr>
          <w:rFonts w:ascii="Arial" w:hAnsi="Arial" w:cs="Arial"/>
          <w:sz w:val="22"/>
          <w:szCs w:val="22"/>
        </w:rPr>
        <w:t>02 February 2026).</w:t>
      </w:r>
    </w:p>
    <w:p w14:paraId="30ADAABF" w14:textId="4ED72C24" w:rsidR="3A7CED5F" w:rsidRPr="00856619" w:rsidRDefault="3A7CED5F" w:rsidP="003C5D4C">
      <w:pPr>
        <w:rPr>
          <w:rFonts w:ascii="Arial" w:eastAsia="Arial" w:hAnsi="Arial" w:cs="Arial"/>
          <w:sz w:val="22"/>
          <w:szCs w:val="22"/>
        </w:rPr>
      </w:pPr>
    </w:p>
    <w:p w14:paraId="51353C23" w14:textId="1EF2AB6F"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Department for Education</w:t>
      </w:r>
      <w:r w:rsidR="00CF7B05" w:rsidRPr="00856619">
        <w:rPr>
          <w:rFonts w:ascii="Arial" w:eastAsia="Arial" w:hAnsi="Arial" w:cs="Arial"/>
          <w:sz w:val="22"/>
          <w:szCs w:val="22"/>
        </w:rPr>
        <w:t>.</w:t>
      </w:r>
      <w:r w:rsidR="00DF2810" w:rsidRPr="00856619">
        <w:rPr>
          <w:rFonts w:ascii="Arial" w:eastAsia="Arial" w:hAnsi="Arial" w:cs="Arial"/>
          <w:sz w:val="22"/>
          <w:szCs w:val="22"/>
        </w:rPr>
        <w:t xml:space="preserve"> </w:t>
      </w:r>
      <w:r w:rsidRPr="00856619">
        <w:rPr>
          <w:rFonts w:ascii="Arial" w:eastAsia="Arial" w:hAnsi="Arial" w:cs="Arial"/>
          <w:sz w:val="22"/>
          <w:szCs w:val="22"/>
        </w:rPr>
        <w:t>(2017</w:t>
      </w:r>
      <w:r w:rsidRPr="00856619">
        <w:rPr>
          <w:rFonts w:ascii="Arial" w:eastAsia="Arial" w:hAnsi="Arial" w:cs="Arial"/>
          <w:i/>
          <w:iCs/>
          <w:sz w:val="22"/>
          <w:szCs w:val="22"/>
        </w:rPr>
        <w:t>) Preventing and Tackling Bullying</w:t>
      </w:r>
      <w:r w:rsidRPr="00856619">
        <w:rPr>
          <w:rFonts w:ascii="Arial" w:eastAsia="Arial" w:hAnsi="Arial" w:cs="Arial"/>
          <w:sz w:val="22"/>
          <w:szCs w:val="22"/>
        </w:rPr>
        <w:t xml:space="preserve">. Available at: </w:t>
      </w:r>
      <w:hyperlink r:id="rId27">
        <w:r w:rsidRPr="00856619">
          <w:rPr>
            <w:rStyle w:val="Hyperlink"/>
            <w:rFonts w:ascii="Arial" w:eastAsia="Arial" w:hAnsi="Arial" w:cs="Arial"/>
            <w:color w:val="auto"/>
            <w:sz w:val="22"/>
            <w:szCs w:val="22"/>
          </w:rPr>
          <w:t>https://www.gov.uk/government/publications/preventing-and-tackling-bullying</w:t>
        </w:r>
      </w:hyperlink>
      <w:r w:rsidRPr="00856619">
        <w:rPr>
          <w:rFonts w:ascii="Arial" w:eastAsia="Arial" w:hAnsi="Arial" w:cs="Arial"/>
          <w:sz w:val="22"/>
          <w:szCs w:val="22"/>
        </w:rPr>
        <w:t xml:space="preserve"> (Accessed: 23 </w:t>
      </w:r>
      <w:r w:rsidR="00880F04" w:rsidRPr="00856619">
        <w:rPr>
          <w:rFonts w:ascii="Arial" w:eastAsia="Arial" w:hAnsi="Arial" w:cs="Arial"/>
          <w:sz w:val="22"/>
          <w:szCs w:val="22"/>
        </w:rPr>
        <w:t>Jan</w:t>
      </w:r>
      <w:r w:rsidR="00142D54" w:rsidRPr="00856619">
        <w:rPr>
          <w:rFonts w:ascii="Arial" w:eastAsia="Arial" w:hAnsi="Arial" w:cs="Arial"/>
          <w:sz w:val="22"/>
          <w:szCs w:val="22"/>
        </w:rPr>
        <w:t>uary</w:t>
      </w:r>
      <w:r w:rsidRPr="00856619">
        <w:rPr>
          <w:rFonts w:ascii="Arial" w:eastAsia="Arial" w:hAnsi="Arial" w:cs="Arial"/>
          <w:sz w:val="22"/>
          <w:szCs w:val="22"/>
        </w:rPr>
        <w:t xml:space="preserve"> 2026).</w:t>
      </w:r>
    </w:p>
    <w:p w14:paraId="32603185" w14:textId="3DCD6D38" w:rsidR="3A7CED5F" w:rsidRPr="00856619" w:rsidRDefault="3A7CED5F" w:rsidP="003C5D4C">
      <w:pPr>
        <w:rPr>
          <w:rFonts w:ascii="Arial" w:eastAsia="Arial" w:hAnsi="Arial" w:cs="Arial"/>
          <w:sz w:val="22"/>
          <w:szCs w:val="22"/>
        </w:rPr>
      </w:pPr>
    </w:p>
    <w:p w14:paraId="5F7D1EF5" w14:textId="464E85ED"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Department for Education</w:t>
      </w:r>
      <w:r w:rsidR="00DF2810" w:rsidRPr="00856619">
        <w:rPr>
          <w:rFonts w:ascii="Arial" w:eastAsia="Arial" w:hAnsi="Arial" w:cs="Arial"/>
          <w:sz w:val="22"/>
          <w:szCs w:val="22"/>
        </w:rPr>
        <w:t>.</w:t>
      </w:r>
      <w:r w:rsidRPr="00856619">
        <w:rPr>
          <w:rFonts w:ascii="Arial" w:eastAsia="Arial" w:hAnsi="Arial" w:cs="Arial"/>
          <w:sz w:val="22"/>
          <w:szCs w:val="22"/>
        </w:rPr>
        <w:t xml:space="preserve"> (2023) </w:t>
      </w:r>
      <w:r w:rsidRPr="00856619">
        <w:rPr>
          <w:rFonts w:ascii="Arial" w:eastAsia="Arial" w:hAnsi="Arial" w:cs="Arial"/>
          <w:i/>
          <w:iCs/>
          <w:sz w:val="22"/>
          <w:szCs w:val="22"/>
        </w:rPr>
        <w:t>Mental Health and Behaviour in Schools</w:t>
      </w:r>
      <w:r w:rsidRPr="00856619">
        <w:rPr>
          <w:rFonts w:ascii="Arial" w:eastAsia="Arial" w:hAnsi="Arial" w:cs="Arial"/>
          <w:sz w:val="22"/>
          <w:szCs w:val="22"/>
        </w:rPr>
        <w:t xml:space="preserve">. Available at: </w:t>
      </w:r>
      <w:hyperlink r:id="rId28" w:history="1">
        <w:r w:rsidR="00E07A98" w:rsidRPr="00856619">
          <w:rPr>
            <w:rStyle w:val="Hyperlink"/>
            <w:rFonts w:ascii="Arial" w:eastAsia="Arial" w:hAnsi="Arial" w:cs="Arial"/>
            <w:color w:val="auto"/>
            <w:sz w:val="22"/>
            <w:szCs w:val="22"/>
          </w:rPr>
          <w:t>https://www.gov.uk/government/publications/mental-health-and-behaviour-in-schools--2</w:t>
        </w:r>
      </w:hyperlink>
      <w:r w:rsidR="00E07A98" w:rsidRPr="00856619">
        <w:rPr>
          <w:rFonts w:ascii="Arial" w:eastAsia="Arial" w:hAnsi="Arial" w:cs="Arial"/>
          <w:sz w:val="22"/>
          <w:szCs w:val="22"/>
        </w:rPr>
        <w:t xml:space="preserve"> </w:t>
      </w:r>
      <w:r w:rsidR="00737729" w:rsidRPr="00856619">
        <w:rPr>
          <w:rFonts w:ascii="Arial" w:eastAsia="Arial" w:hAnsi="Arial" w:cs="Arial"/>
          <w:sz w:val="22"/>
          <w:szCs w:val="22"/>
        </w:rPr>
        <w:t xml:space="preserve"> </w:t>
      </w:r>
      <w:r w:rsidRPr="00856619">
        <w:rPr>
          <w:rFonts w:ascii="Arial" w:eastAsia="Arial" w:hAnsi="Arial" w:cs="Arial"/>
          <w:sz w:val="22"/>
          <w:szCs w:val="22"/>
        </w:rPr>
        <w:t>(Accessed: 2</w:t>
      </w:r>
      <w:r w:rsidR="00142D54" w:rsidRPr="00856619">
        <w:rPr>
          <w:rFonts w:ascii="Arial" w:eastAsia="Arial" w:hAnsi="Arial" w:cs="Arial"/>
          <w:sz w:val="22"/>
          <w:szCs w:val="22"/>
        </w:rPr>
        <w:t>8</w:t>
      </w:r>
      <w:r w:rsidRPr="00856619">
        <w:rPr>
          <w:rFonts w:ascii="Arial" w:eastAsia="Arial" w:hAnsi="Arial" w:cs="Arial"/>
          <w:sz w:val="22"/>
          <w:szCs w:val="22"/>
        </w:rPr>
        <w:t xml:space="preserve"> </w:t>
      </w:r>
      <w:r w:rsidR="00142D54" w:rsidRPr="00856619">
        <w:rPr>
          <w:rFonts w:ascii="Arial" w:eastAsia="Arial" w:hAnsi="Arial" w:cs="Arial"/>
          <w:sz w:val="22"/>
          <w:szCs w:val="22"/>
        </w:rPr>
        <w:t>January</w:t>
      </w:r>
      <w:r w:rsidRPr="00856619">
        <w:rPr>
          <w:rFonts w:ascii="Arial" w:eastAsia="Arial" w:hAnsi="Arial" w:cs="Arial"/>
          <w:sz w:val="22"/>
          <w:szCs w:val="22"/>
        </w:rPr>
        <w:t xml:space="preserve"> 2026).</w:t>
      </w:r>
    </w:p>
    <w:p w14:paraId="1F639E4B" w14:textId="342DB03B" w:rsidR="3A7CED5F" w:rsidRPr="00856619" w:rsidRDefault="3A7CED5F" w:rsidP="003C5D4C">
      <w:pPr>
        <w:rPr>
          <w:rFonts w:ascii="Arial" w:eastAsia="Arial" w:hAnsi="Arial" w:cs="Arial"/>
          <w:sz w:val="22"/>
          <w:szCs w:val="22"/>
        </w:rPr>
      </w:pPr>
    </w:p>
    <w:p w14:paraId="5A0B16F7" w14:textId="5C12CD4B"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Department of Health and Social Care and Department for Education</w:t>
      </w:r>
      <w:r w:rsidR="00DF2810" w:rsidRPr="00856619">
        <w:rPr>
          <w:rFonts w:ascii="Arial" w:eastAsia="Arial" w:hAnsi="Arial" w:cs="Arial"/>
          <w:sz w:val="22"/>
          <w:szCs w:val="22"/>
        </w:rPr>
        <w:t>.</w:t>
      </w:r>
      <w:r w:rsidRPr="00856619">
        <w:rPr>
          <w:rFonts w:ascii="Arial" w:eastAsia="Arial" w:hAnsi="Arial" w:cs="Arial"/>
          <w:sz w:val="22"/>
          <w:szCs w:val="22"/>
        </w:rPr>
        <w:t xml:space="preserve"> (2018) </w:t>
      </w:r>
      <w:r w:rsidRPr="00856619">
        <w:rPr>
          <w:rFonts w:ascii="Arial" w:eastAsia="Arial" w:hAnsi="Arial" w:cs="Arial"/>
          <w:i/>
          <w:iCs/>
          <w:sz w:val="22"/>
          <w:szCs w:val="22"/>
        </w:rPr>
        <w:t>Transforming Children and Young People’s Mental Health Provision: A Green Paper</w:t>
      </w:r>
      <w:r w:rsidRPr="00856619">
        <w:rPr>
          <w:rFonts w:ascii="Arial" w:eastAsia="Arial" w:hAnsi="Arial" w:cs="Arial"/>
          <w:sz w:val="22"/>
          <w:szCs w:val="22"/>
        </w:rPr>
        <w:t xml:space="preserve">. Available at: </w:t>
      </w:r>
      <w:hyperlink r:id="rId29">
        <w:r w:rsidRPr="00856619">
          <w:rPr>
            <w:rStyle w:val="Hyperlink"/>
            <w:rFonts w:ascii="Arial" w:eastAsia="Arial" w:hAnsi="Arial" w:cs="Arial"/>
            <w:color w:val="auto"/>
            <w:sz w:val="22"/>
            <w:szCs w:val="22"/>
          </w:rPr>
          <w:t>https://www.gov.uk/government/publications/transforming-children-and-young-peoples-mental-health-provision</w:t>
        </w:r>
      </w:hyperlink>
      <w:r w:rsidRPr="00856619">
        <w:rPr>
          <w:rFonts w:ascii="Arial" w:eastAsia="Arial" w:hAnsi="Arial" w:cs="Arial"/>
          <w:sz w:val="22"/>
          <w:szCs w:val="22"/>
        </w:rPr>
        <w:t xml:space="preserve"> (Accessed: </w:t>
      </w:r>
      <w:r w:rsidR="00142D54" w:rsidRPr="00856619">
        <w:rPr>
          <w:rFonts w:ascii="Arial" w:eastAsia="Arial" w:hAnsi="Arial" w:cs="Arial"/>
          <w:sz w:val="22"/>
          <w:szCs w:val="22"/>
        </w:rPr>
        <w:t>14</w:t>
      </w:r>
      <w:r w:rsidRPr="00856619">
        <w:rPr>
          <w:rFonts w:ascii="Arial" w:eastAsia="Arial" w:hAnsi="Arial" w:cs="Arial"/>
          <w:sz w:val="22"/>
          <w:szCs w:val="22"/>
        </w:rPr>
        <w:t xml:space="preserve"> </w:t>
      </w:r>
      <w:r w:rsidR="00142D54" w:rsidRPr="00856619">
        <w:rPr>
          <w:rFonts w:ascii="Arial" w:eastAsia="Arial" w:hAnsi="Arial" w:cs="Arial"/>
          <w:sz w:val="22"/>
          <w:szCs w:val="22"/>
        </w:rPr>
        <w:t>February</w:t>
      </w:r>
      <w:r w:rsidRPr="00856619">
        <w:rPr>
          <w:rFonts w:ascii="Arial" w:eastAsia="Arial" w:hAnsi="Arial" w:cs="Arial"/>
          <w:sz w:val="22"/>
          <w:szCs w:val="22"/>
        </w:rPr>
        <w:t xml:space="preserve"> 2026).</w:t>
      </w:r>
    </w:p>
    <w:p w14:paraId="58649EAC" w14:textId="4E925BEE" w:rsidR="3A7CED5F" w:rsidRPr="00856619" w:rsidRDefault="3A7CED5F" w:rsidP="003C5D4C">
      <w:pPr>
        <w:rPr>
          <w:rFonts w:ascii="Arial" w:eastAsia="Arial" w:hAnsi="Arial" w:cs="Arial"/>
          <w:sz w:val="22"/>
          <w:szCs w:val="22"/>
        </w:rPr>
      </w:pPr>
    </w:p>
    <w:p w14:paraId="02BC3515" w14:textId="17F6A7C7"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lastRenderedPageBreak/>
        <w:t>Eccles, J.S. and Roeser, R.W. (2011) ‘Schools as developmental contexts’</w:t>
      </w:r>
      <w:r w:rsidR="00BE5D70" w:rsidRPr="00856619">
        <w:rPr>
          <w:rFonts w:ascii="Arial" w:eastAsia="Arial" w:hAnsi="Arial" w:cs="Arial"/>
          <w:i/>
          <w:iCs/>
          <w:sz w:val="22"/>
          <w:szCs w:val="22"/>
        </w:rPr>
        <w:t>,</w:t>
      </w:r>
      <w:r w:rsidRPr="00856619">
        <w:rPr>
          <w:rFonts w:ascii="Arial" w:eastAsia="Arial" w:hAnsi="Arial" w:cs="Arial"/>
          <w:i/>
          <w:iCs/>
          <w:sz w:val="22"/>
          <w:szCs w:val="22"/>
        </w:rPr>
        <w:t xml:space="preserve"> Journal of Research on Adolescence</w:t>
      </w:r>
      <w:r w:rsidRPr="00856619">
        <w:rPr>
          <w:rFonts w:ascii="Arial" w:eastAsia="Arial" w:hAnsi="Arial" w:cs="Arial"/>
          <w:sz w:val="22"/>
          <w:szCs w:val="22"/>
        </w:rPr>
        <w:t xml:space="preserve">, 21(1), pp. 225–241. Available at: </w:t>
      </w:r>
      <w:hyperlink r:id="rId30">
        <w:r w:rsidRPr="00856619">
          <w:rPr>
            <w:rStyle w:val="Hyperlink"/>
            <w:rFonts w:ascii="Arial" w:eastAsia="Arial" w:hAnsi="Arial" w:cs="Arial"/>
            <w:color w:val="auto"/>
            <w:sz w:val="22"/>
            <w:szCs w:val="22"/>
          </w:rPr>
          <w:t>https://doi.org/10.1111/j.1532-7795.2010.00725.x</w:t>
        </w:r>
      </w:hyperlink>
      <w:r w:rsidRPr="00856619">
        <w:rPr>
          <w:rFonts w:ascii="Arial" w:eastAsia="Arial" w:hAnsi="Arial" w:cs="Arial"/>
          <w:sz w:val="22"/>
          <w:szCs w:val="22"/>
        </w:rPr>
        <w:t xml:space="preserve"> (Accessed: </w:t>
      </w:r>
      <w:r w:rsidR="00DF2810" w:rsidRPr="00856619">
        <w:rPr>
          <w:rFonts w:ascii="Arial" w:eastAsia="Arial" w:hAnsi="Arial" w:cs="Arial"/>
          <w:sz w:val="22"/>
          <w:szCs w:val="22"/>
        </w:rPr>
        <w:t>1</w:t>
      </w:r>
      <w:r w:rsidR="004B4932" w:rsidRPr="00856619">
        <w:rPr>
          <w:rFonts w:ascii="Arial" w:eastAsia="Arial" w:hAnsi="Arial" w:cs="Arial"/>
          <w:sz w:val="22"/>
          <w:szCs w:val="22"/>
        </w:rPr>
        <w:t>1 February</w:t>
      </w:r>
      <w:r w:rsidRPr="00856619">
        <w:rPr>
          <w:rFonts w:ascii="Arial" w:eastAsia="Arial" w:hAnsi="Arial" w:cs="Arial"/>
          <w:sz w:val="22"/>
          <w:szCs w:val="22"/>
        </w:rPr>
        <w:t xml:space="preserve"> 2026).</w:t>
      </w:r>
    </w:p>
    <w:p w14:paraId="458C00BF" w14:textId="4FDACBDB" w:rsidR="3A7CED5F" w:rsidRPr="00856619" w:rsidRDefault="3A7CED5F" w:rsidP="003C5D4C">
      <w:pPr>
        <w:rPr>
          <w:rFonts w:ascii="Arial" w:eastAsia="Arial" w:hAnsi="Arial" w:cs="Arial"/>
          <w:sz w:val="22"/>
          <w:szCs w:val="22"/>
        </w:rPr>
      </w:pPr>
    </w:p>
    <w:p w14:paraId="6F461B35" w14:textId="60794455" w:rsidR="001B3497" w:rsidRPr="00856619" w:rsidRDefault="00814367" w:rsidP="003C5D4C">
      <w:pPr>
        <w:rPr>
          <w:rFonts w:ascii="Arial" w:eastAsia="Arial" w:hAnsi="Arial" w:cs="Arial"/>
          <w:sz w:val="22"/>
          <w:szCs w:val="22"/>
        </w:rPr>
      </w:pPr>
      <w:r w:rsidRPr="00856619">
        <w:rPr>
          <w:rFonts w:ascii="Arial" w:eastAsia="Arial" w:hAnsi="Arial" w:cs="Arial"/>
          <w:sz w:val="22"/>
          <w:szCs w:val="22"/>
        </w:rPr>
        <w:t xml:space="preserve">Essau, C. A., Lewinsohn, P. M., Lim, J. X., Ho, M. R., </w:t>
      </w:r>
      <w:r w:rsidR="00505CE2" w:rsidRPr="00856619">
        <w:rPr>
          <w:rFonts w:ascii="Arial" w:eastAsia="Arial" w:hAnsi="Arial" w:cs="Arial"/>
          <w:sz w:val="22"/>
          <w:szCs w:val="22"/>
        </w:rPr>
        <w:t xml:space="preserve">and </w:t>
      </w:r>
      <w:r w:rsidRPr="00856619">
        <w:rPr>
          <w:rFonts w:ascii="Arial" w:eastAsia="Arial" w:hAnsi="Arial" w:cs="Arial"/>
          <w:sz w:val="22"/>
          <w:szCs w:val="22"/>
        </w:rPr>
        <w:t>Rohde, P. (2018)</w:t>
      </w:r>
      <w:r w:rsidR="00E61B5E" w:rsidRPr="00856619">
        <w:rPr>
          <w:rFonts w:ascii="Arial" w:eastAsia="Arial" w:hAnsi="Arial" w:cs="Arial"/>
          <w:sz w:val="22"/>
          <w:szCs w:val="22"/>
        </w:rPr>
        <w:t xml:space="preserve"> ‘</w:t>
      </w:r>
      <w:r w:rsidRPr="00856619">
        <w:rPr>
          <w:rFonts w:ascii="Arial" w:eastAsia="Arial" w:hAnsi="Arial" w:cs="Arial"/>
          <w:sz w:val="22"/>
          <w:szCs w:val="22"/>
        </w:rPr>
        <w:t>Incidence, recurrence and comorbidity of anxiety disorders in four major developmental stages</w:t>
      </w:r>
      <w:r w:rsidR="00E61B5E" w:rsidRPr="00856619">
        <w:rPr>
          <w:rFonts w:ascii="Arial" w:eastAsia="Arial" w:hAnsi="Arial" w:cs="Arial"/>
          <w:sz w:val="22"/>
          <w:szCs w:val="22"/>
        </w:rPr>
        <w:t>’</w:t>
      </w:r>
      <w:r w:rsidR="005165B5" w:rsidRPr="00856619">
        <w:rPr>
          <w:rFonts w:ascii="Arial" w:eastAsia="Arial" w:hAnsi="Arial" w:cs="Arial"/>
          <w:sz w:val="22"/>
          <w:szCs w:val="22"/>
        </w:rPr>
        <w:t>,</w:t>
      </w:r>
      <w:r w:rsidR="001B3497" w:rsidRPr="00856619">
        <w:rPr>
          <w:rFonts w:ascii="Arial" w:eastAsia="Arial" w:hAnsi="Arial" w:cs="Arial"/>
          <w:sz w:val="22"/>
          <w:szCs w:val="22"/>
        </w:rPr>
        <w:t xml:space="preserve"> </w:t>
      </w:r>
      <w:r w:rsidR="00B900EA" w:rsidRPr="00856619">
        <w:rPr>
          <w:rFonts w:ascii="Arial" w:eastAsia="Arial" w:hAnsi="Arial" w:cs="Arial"/>
          <w:i/>
          <w:iCs/>
          <w:sz w:val="22"/>
          <w:szCs w:val="22"/>
        </w:rPr>
        <w:t>Journal</w:t>
      </w:r>
      <w:r w:rsidR="00B900EA" w:rsidRPr="00856619">
        <w:rPr>
          <w:rFonts w:ascii="Arial" w:eastAsia="Arial" w:hAnsi="Arial" w:cs="Arial"/>
          <w:sz w:val="22"/>
          <w:szCs w:val="22"/>
        </w:rPr>
        <w:t xml:space="preserve"> </w:t>
      </w:r>
      <w:r w:rsidR="00B900EA" w:rsidRPr="00856619">
        <w:rPr>
          <w:rFonts w:ascii="Arial" w:eastAsia="Arial" w:hAnsi="Arial" w:cs="Arial"/>
          <w:i/>
          <w:iCs/>
          <w:sz w:val="22"/>
          <w:szCs w:val="22"/>
        </w:rPr>
        <w:t>of affective disorders</w:t>
      </w:r>
      <w:r w:rsidR="00B900EA" w:rsidRPr="00856619">
        <w:rPr>
          <w:rFonts w:ascii="Arial" w:eastAsia="Arial" w:hAnsi="Arial" w:cs="Arial"/>
          <w:sz w:val="22"/>
          <w:szCs w:val="22"/>
        </w:rPr>
        <w:t xml:space="preserve">, 228, pp. 248-253. </w:t>
      </w:r>
      <w:r w:rsidR="0060344F" w:rsidRPr="00856619">
        <w:rPr>
          <w:rFonts w:ascii="Arial" w:eastAsia="Arial" w:hAnsi="Arial" w:cs="Arial"/>
          <w:sz w:val="22"/>
          <w:szCs w:val="22"/>
        </w:rPr>
        <w:t xml:space="preserve">Available at: </w:t>
      </w:r>
      <w:hyperlink r:id="rId31" w:history="1">
        <w:r w:rsidR="0060344F" w:rsidRPr="00856619">
          <w:rPr>
            <w:rStyle w:val="Hyperlink"/>
            <w:rFonts w:ascii="Arial" w:eastAsia="Arial" w:hAnsi="Arial" w:cs="Arial"/>
            <w:color w:val="auto"/>
            <w:sz w:val="22"/>
            <w:szCs w:val="22"/>
          </w:rPr>
          <w:t>https://doi.org/10.1016/j.jad.2017.12.014</w:t>
        </w:r>
      </w:hyperlink>
      <w:r w:rsidR="0060344F" w:rsidRPr="00856619">
        <w:rPr>
          <w:rFonts w:ascii="Arial" w:eastAsia="Arial" w:hAnsi="Arial" w:cs="Arial"/>
          <w:sz w:val="22"/>
          <w:szCs w:val="22"/>
        </w:rPr>
        <w:t xml:space="preserve"> (Accessed: 22 February 2026).</w:t>
      </w:r>
    </w:p>
    <w:p w14:paraId="774A5B4E" w14:textId="45ADDD6F" w:rsidR="3A7CED5F" w:rsidRPr="00856619" w:rsidRDefault="3A7CED5F" w:rsidP="003C5D4C">
      <w:pPr>
        <w:rPr>
          <w:rFonts w:ascii="Arial" w:eastAsia="Arial" w:hAnsi="Arial" w:cs="Arial"/>
          <w:sz w:val="22"/>
          <w:szCs w:val="22"/>
        </w:rPr>
      </w:pPr>
    </w:p>
    <w:p w14:paraId="4AFB8D24" w14:textId="447EC500" w:rsidR="0CD4DD13" w:rsidRPr="00856619" w:rsidRDefault="00A97923" w:rsidP="003C5D4C">
      <w:pPr>
        <w:rPr>
          <w:rFonts w:ascii="Arial" w:eastAsia="Arial" w:hAnsi="Arial" w:cs="Arial"/>
          <w:sz w:val="22"/>
          <w:szCs w:val="22"/>
        </w:rPr>
      </w:pPr>
      <w:r w:rsidRPr="00856619">
        <w:rPr>
          <w:rFonts w:ascii="Arial" w:hAnsi="Arial" w:cs="Arial"/>
          <w:sz w:val="22"/>
          <w:szCs w:val="22"/>
        </w:rPr>
        <w:t xml:space="preserve">Fazel, M., Hoagwood, K., Stephan, S., </w:t>
      </w:r>
      <w:r w:rsidR="00505CE2" w:rsidRPr="00856619">
        <w:rPr>
          <w:rFonts w:ascii="Arial" w:hAnsi="Arial" w:cs="Arial"/>
          <w:sz w:val="22"/>
          <w:szCs w:val="22"/>
        </w:rPr>
        <w:t>and</w:t>
      </w:r>
      <w:r w:rsidRPr="00856619">
        <w:rPr>
          <w:rFonts w:ascii="Arial" w:hAnsi="Arial" w:cs="Arial"/>
          <w:sz w:val="22"/>
          <w:szCs w:val="22"/>
        </w:rPr>
        <w:t xml:space="preserve"> Ford, T. (2014) </w:t>
      </w:r>
      <w:r w:rsidR="00505CE2" w:rsidRPr="00856619">
        <w:rPr>
          <w:rFonts w:ascii="Arial" w:hAnsi="Arial" w:cs="Arial"/>
          <w:sz w:val="22"/>
          <w:szCs w:val="22"/>
        </w:rPr>
        <w:t>‘</w:t>
      </w:r>
      <w:r w:rsidRPr="00856619">
        <w:rPr>
          <w:rFonts w:ascii="Arial" w:hAnsi="Arial" w:cs="Arial"/>
          <w:sz w:val="22"/>
          <w:szCs w:val="22"/>
        </w:rPr>
        <w:t>Mental health interventions in schools 1: Mental health interventions in schools in high-income countries</w:t>
      </w:r>
      <w:r w:rsidR="00505CE2" w:rsidRPr="00856619">
        <w:rPr>
          <w:rFonts w:ascii="Arial" w:hAnsi="Arial" w:cs="Arial"/>
          <w:sz w:val="22"/>
          <w:szCs w:val="22"/>
        </w:rPr>
        <w:t>’</w:t>
      </w:r>
      <w:r w:rsidR="005165B5" w:rsidRPr="00856619">
        <w:rPr>
          <w:rFonts w:ascii="Arial" w:hAnsi="Arial" w:cs="Arial"/>
          <w:sz w:val="22"/>
          <w:szCs w:val="22"/>
        </w:rPr>
        <w:t>,</w:t>
      </w:r>
      <w:r w:rsidRPr="00856619">
        <w:rPr>
          <w:rFonts w:ascii="Arial" w:hAnsi="Arial" w:cs="Arial"/>
          <w:sz w:val="22"/>
          <w:szCs w:val="22"/>
        </w:rPr>
        <w:t> </w:t>
      </w:r>
      <w:r w:rsidRPr="00856619">
        <w:rPr>
          <w:rFonts w:ascii="Arial" w:hAnsi="Arial" w:cs="Arial"/>
          <w:i/>
          <w:iCs/>
          <w:sz w:val="22"/>
          <w:szCs w:val="22"/>
        </w:rPr>
        <w:t>The lancet. Psychiatry</w:t>
      </w:r>
      <w:r w:rsidRPr="00856619">
        <w:rPr>
          <w:rFonts w:ascii="Arial" w:hAnsi="Arial" w:cs="Arial"/>
          <w:sz w:val="22"/>
          <w:szCs w:val="22"/>
        </w:rPr>
        <w:t>, </w:t>
      </w:r>
      <w:r w:rsidRPr="00856619">
        <w:rPr>
          <w:rFonts w:ascii="Arial" w:hAnsi="Arial" w:cs="Arial"/>
          <w:i/>
          <w:iCs/>
          <w:sz w:val="22"/>
          <w:szCs w:val="22"/>
        </w:rPr>
        <w:t>1</w:t>
      </w:r>
      <w:r w:rsidRPr="00856619">
        <w:rPr>
          <w:rFonts w:ascii="Arial" w:hAnsi="Arial" w:cs="Arial"/>
          <w:sz w:val="22"/>
          <w:szCs w:val="22"/>
        </w:rPr>
        <w:t xml:space="preserve">(5), </w:t>
      </w:r>
      <w:r w:rsidR="00505CE2" w:rsidRPr="00856619">
        <w:rPr>
          <w:rFonts w:ascii="Arial" w:hAnsi="Arial" w:cs="Arial"/>
          <w:sz w:val="22"/>
          <w:szCs w:val="22"/>
        </w:rPr>
        <w:t>pp</w:t>
      </w:r>
      <w:r w:rsidR="005165B5" w:rsidRPr="00856619">
        <w:rPr>
          <w:rFonts w:ascii="Arial" w:hAnsi="Arial" w:cs="Arial"/>
          <w:sz w:val="22"/>
          <w:szCs w:val="22"/>
        </w:rPr>
        <w:t>.</w:t>
      </w:r>
      <w:r w:rsidR="00505CE2" w:rsidRPr="00856619">
        <w:rPr>
          <w:rFonts w:ascii="Arial" w:hAnsi="Arial" w:cs="Arial"/>
          <w:sz w:val="22"/>
          <w:szCs w:val="22"/>
        </w:rPr>
        <w:t xml:space="preserve"> </w:t>
      </w:r>
      <w:r w:rsidRPr="00856619">
        <w:rPr>
          <w:rFonts w:ascii="Arial" w:hAnsi="Arial" w:cs="Arial"/>
          <w:sz w:val="22"/>
          <w:szCs w:val="22"/>
        </w:rPr>
        <w:t xml:space="preserve">377–387. </w:t>
      </w:r>
      <w:r w:rsidR="00505CE2" w:rsidRPr="00856619">
        <w:rPr>
          <w:rFonts w:ascii="Arial" w:hAnsi="Arial" w:cs="Arial"/>
          <w:sz w:val="22"/>
          <w:szCs w:val="22"/>
        </w:rPr>
        <w:t xml:space="preserve">Available at: </w:t>
      </w:r>
      <w:hyperlink r:id="rId32" w:history="1">
        <w:r w:rsidR="00505CE2" w:rsidRPr="00856619">
          <w:rPr>
            <w:rStyle w:val="Hyperlink"/>
            <w:rFonts w:ascii="Arial" w:hAnsi="Arial" w:cs="Arial"/>
            <w:color w:val="auto"/>
            <w:sz w:val="22"/>
            <w:szCs w:val="22"/>
          </w:rPr>
          <w:t>https://doi.org/10.1016/S2215-0366(14)70312-8</w:t>
        </w:r>
      </w:hyperlink>
      <w:r w:rsidR="00505CE2" w:rsidRPr="00856619">
        <w:rPr>
          <w:rFonts w:ascii="Arial" w:hAnsi="Arial" w:cs="Arial"/>
          <w:sz w:val="22"/>
          <w:szCs w:val="22"/>
        </w:rPr>
        <w:t xml:space="preserve"> </w:t>
      </w:r>
      <w:r w:rsidRPr="00856619">
        <w:rPr>
          <w:rFonts w:ascii="Arial" w:hAnsi="Arial" w:cs="Arial"/>
          <w:sz w:val="22"/>
          <w:szCs w:val="22"/>
        </w:rPr>
        <w:t xml:space="preserve"> </w:t>
      </w:r>
      <w:r w:rsidR="00DF6DDB" w:rsidRPr="00856619">
        <w:rPr>
          <w:rFonts w:ascii="Arial" w:hAnsi="Arial" w:cs="Arial"/>
          <w:sz w:val="22"/>
          <w:szCs w:val="22"/>
        </w:rPr>
        <w:t>(Accessed</w:t>
      </w:r>
      <w:r w:rsidR="006635E6" w:rsidRPr="00856619">
        <w:rPr>
          <w:rFonts w:ascii="Arial" w:hAnsi="Arial" w:cs="Arial"/>
          <w:sz w:val="22"/>
          <w:szCs w:val="22"/>
        </w:rPr>
        <w:t>: 28 January 2026).</w:t>
      </w:r>
    </w:p>
    <w:p w14:paraId="725971F3" w14:textId="5CFC3DF1" w:rsidR="3A7CED5F" w:rsidRPr="00856619" w:rsidRDefault="3A7CED5F" w:rsidP="003C5D4C">
      <w:pPr>
        <w:rPr>
          <w:rFonts w:ascii="Arial" w:eastAsia="Arial" w:hAnsi="Arial" w:cs="Arial"/>
          <w:sz w:val="22"/>
          <w:szCs w:val="22"/>
        </w:rPr>
      </w:pPr>
    </w:p>
    <w:p w14:paraId="7B7AAB5D" w14:textId="6CAD39DA" w:rsidR="003B11A5"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Festinger, L. (1954) ‘A theory of social comparison </w:t>
      </w:r>
      <w:r w:rsidR="00D64203" w:rsidRPr="00856619">
        <w:rPr>
          <w:rFonts w:ascii="Arial" w:eastAsia="Arial" w:hAnsi="Arial" w:cs="Arial"/>
          <w:sz w:val="22"/>
          <w:szCs w:val="22"/>
        </w:rPr>
        <w:t>processes’</w:t>
      </w:r>
      <w:r w:rsidR="00100086" w:rsidRPr="00856619">
        <w:rPr>
          <w:rFonts w:ascii="Arial" w:eastAsia="Arial" w:hAnsi="Arial" w:cs="Arial"/>
          <w:sz w:val="22"/>
          <w:szCs w:val="22"/>
        </w:rPr>
        <w:t>,</w:t>
      </w:r>
      <w:r w:rsidRPr="00856619">
        <w:rPr>
          <w:rFonts w:ascii="Arial" w:eastAsia="Arial" w:hAnsi="Arial" w:cs="Arial"/>
          <w:sz w:val="22"/>
          <w:szCs w:val="22"/>
        </w:rPr>
        <w:t xml:space="preserve"> </w:t>
      </w:r>
      <w:r w:rsidRPr="00856619">
        <w:rPr>
          <w:rFonts w:ascii="Arial" w:eastAsia="Arial" w:hAnsi="Arial" w:cs="Arial"/>
          <w:i/>
          <w:iCs/>
          <w:sz w:val="22"/>
          <w:szCs w:val="22"/>
        </w:rPr>
        <w:t>Human Relations</w:t>
      </w:r>
      <w:r w:rsidRPr="00856619">
        <w:rPr>
          <w:rFonts w:ascii="Arial" w:eastAsia="Arial" w:hAnsi="Arial" w:cs="Arial"/>
          <w:sz w:val="22"/>
          <w:szCs w:val="22"/>
        </w:rPr>
        <w:t xml:space="preserve">, 7(2), pp. 117–140. </w:t>
      </w:r>
      <w:r w:rsidR="003B11A5" w:rsidRPr="00856619">
        <w:rPr>
          <w:rFonts w:ascii="Arial" w:eastAsia="Arial" w:hAnsi="Arial" w:cs="Arial"/>
          <w:sz w:val="22"/>
          <w:szCs w:val="22"/>
        </w:rPr>
        <w:t xml:space="preserve">Available at: </w:t>
      </w:r>
      <w:hyperlink r:id="rId33" w:history="1">
        <w:r w:rsidR="004D3E0A" w:rsidRPr="00856619">
          <w:rPr>
            <w:rStyle w:val="Hyperlink"/>
            <w:rFonts w:ascii="Arial" w:eastAsia="Arial" w:hAnsi="Arial" w:cs="Arial"/>
            <w:color w:val="auto"/>
            <w:sz w:val="22"/>
            <w:szCs w:val="22"/>
          </w:rPr>
          <w:t>https://doi.org/10.1177/0018726754000700202</w:t>
        </w:r>
      </w:hyperlink>
      <w:r w:rsidR="004D3E0A" w:rsidRPr="00856619">
        <w:rPr>
          <w:rFonts w:ascii="Arial" w:eastAsia="Arial" w:hAnsi="Arial" w:cs="Arial"/>
          <w:sz w:val="22"/>
          <w:szCs w:val="22"/>
        </w:rPr>
        <w:t xml:space="preserve"> (A</w:t>
      </w:r>
      <w:r w:rsidR="00F246C4" w:rsidRPr="00856619">
        <w:rPr>
          <w:rFonts w:ascii="Arial" w:eastAsia="Arial" w:hAnsi="Arial" w:cs="Arial"/>
          <w:sz w:val="22"/>
          <w:szCs w:val="22"/>
        </w:rPr>
        <w:t>ccessed:22 November 2025).</w:t>
      </w:r>
    </w:p>
    <w:p w14:paraId="396047C0" w14:textId="0C65B8AE" w:rsidR="3A7CED5F" w:rsidRPr="00856619" w:rsidRDefault="3A7CED5F" w:rsidP="003C5D4C">
      <w:pPr>
        <w:rPr>
          <w:rFonts w:ascii="Arial" w:eastAsia="Arial" w:hAnsi="Arial" w:cs="Arial"/>
          <w:sz w:val="22"/>
          <w:szCs w:val="22"/>
        </w:rPr>
      </w:pPr>
    </w:p>
    <w:p w14:paraId="3BB00D44" w14:textId="112BB061" w:rsidR="00F246C4" w:rsidRPr="00856619" w:rsidRDefault="0CD4DD13" w:rsidP="003C5D4C">
      <w:pPr>
        <w:rPr>
          <w:rFonts w:ascii="Arial" w:eastAsia="Arial" w:hAnsi="Arial" w:cs="Arial"/>
          <w:sz w:val="22"/>
          <w:szCs w:val="22"/>
        </w:rPr>
      </w:pPr>
      <w:r w:rsidRPr="00856619">
        <w:rPr>
          <w:rFonts w:ascii="Arial" w:eastAsia="Arial" w:hAnsi="Arial" w:cs="Arial"/>
          <w:sz w:val="22"/>
          <w:szCs w:val="22"/>
        </w:rPr>
        <w:t>Fitzpatrick, M.M. (2024) ‘Relationship between family and friend support and anxiety symptoms</w:t>
      </w:r>
      <w:r w:rsidR="00F246C4" w:rsidRPr="00856619">
        <w:rPr>
          <w:rFonts w:ascii="Arial" w:eastAsia="Arial" w:hAnsi="Arial" w:cs="Arial"/>
          <w:sz w:val="22"/>
          <w:szCs w:val="22"/>
        </w:rPr>
        <w:t xml:space="preserve"> among adoles</w:t>
      </w:r>
      <w:r w:rsidR="00E364F4" w:rsidRPr="00856619">
        <w:rPr>
          <w:rFonts w:ascii="Arial" w:eastAsia="Arial" w:hAnsi="Arial" w:cs="Arial"/>
          <w:sz w:val="22"/>
          <w:szCs w:val="22"/>
        </w:rPr>
        <w:t>c</w:t>
      </w:r>
      <w:r w:rsidR="00F246C4" w:rsidRPr="00856619">
        <w:rPr>
          <w:rFonts w:ascii="Arial" w:eastAsia="Arial" w:hAnsi="Arial" w:cs="Arial"/>
          <w:sz w:val="22"/>
          <w:szCs w:val="22"/>
        </w:rPr>
        <w:t xml:space="preserve">ents’, </w:t>
      </w:r>
      <w:r w:rsidR="00E364F4" w:rsidRPr="00856619">
        <w:rPr>
          <w:rFonts w:ascii="Arial" w:eastAsia="Arial" w:hAnsi="Arial" w:cs="Arial"/>
          <w:i/>
          <w:iCs/>
          <w:sz w:val="22"/>
          <w:szCs w:val="22"/>
        </w:rPr>
        <w:t>Journal of Adolescence</w:t>
      </w:r>
      <w:r w:rsidR="00E364F4" w:rsidRPr="00856619">
        <w:rPr>
          <w:rFonts w:ascii="Arial" w:eastAsia="Arial" w:hAnsi="Arial" w:cs="Arial"/>
          <w:sz w:val="22"/>
          <w:szCs w:val="22"/>
        </w:rPr>
        <w:t xml:space="preserve">. Available at: </w:t>
      </w:r>
      <w:hyperlink r:id="rId34" w:history="1">
        <w:r w:rsidR="0087669D" w:rsidRPr="00856619">
          <w:rPr>
            <w:rStyle w:val="Hyperlink"/>
            <w:rFonts w:ascii="Arial" w:eastAsia="Arial" w:hAnsi="Arial" w:cs="Arial"/>
            <w:color w:val="auto"/>
            <w:sz w:val="22"/>
            <w:szCs w:val="22"/>
          </w:rPr>
          <w:t>https://www.sciencedirect.com/science/article/pii/S0891524524001718</w:t>
        </w:r>
      </w:hyperlink>
      <w:r w:rsidR="004E50C5" w:rsidRPr="00856619">
        <w:rPr>
          <w:rFonts w:ascii="Arial" w:eastAsia="Arial" w:hAnsi="Arial" w:cs="Arial"/>
          <w:sz w:val="22"/>
          <w:szCs w:val="22"/>
        </w:rPr>
        <w:t xml:space="preserve"> (Accessed: 20 </w:t>
      </w:r>
      <w:r w:rsidR="003C5D4C" w:rsidRPr="00856619">
        <w:rPr>
          <w:rFonts w:ascii="Arial" w:eastAsia="Arial" w:hAnsi="Arial" w:cs="Arial"/>
          <w:sz w:val="22"/>
          <w:szCs w:val="22"/>
        </w:rPr>
        <w:t>February 2026</w:t>
      </w:r>
      <w:r w:rsidR="00D44266" w:rsidRPr="00856619">
        <w:rPr>
          <w:rFonts w:ascii="Arial" w:eastAsia="Arial" w:hAnsi="Arial" w:cs="Arial"/>
          <w:sz w:val="22"/>
          <w:szCs w:val="22"/>
        </w:rPr>
        <w:t>).</w:t>
      </w:r>
    </w:p>
    <w:p w14:paraId="1B4701A7" w14:textId="7D361926" w:rsidR="3A7CED5F" w:rsidRPr="00856619" w:rsidRDefault="3A7CED5F" w:rsidP="003C5D4C">
      <w:pPr>
        <w:rPr>
          <w:rFonts w:ascii="Arial" w:eastAsia="Arial" w:hAnsi="Arial" w:cs="Arial"/>
          <w:sz w:val="22"/>
          <w:szCs w:val="22"/>
        </w:rPr>
      </w:pPr>
    </w:p>
    <w:p w14:paraId="433F9EC6" w14:textId="40D4B63B" w:rsidR="0CD4DD13" w:rsidRPr="00856619" w:rsidRDefault="004E5BD2" w:rsidP="003C5D4C">
      <w:pPr>
        <w:rPr>
          <w:rFonts w:ascii="Arial" w:eastAsia="Arial" w:hAnsi="Arial" w:cs="Arial"/>
          <w:sz w:val="22"/>
          <w:szCs w:val="22"/>
        </w:rPr>
      </w:pPr>
      <w:proofErr w:type="spellStart"/>
      <w:r w:rsidRPr="00856619">
        <w:rPr>
          <w:rFonts w:ascii="Arial" w:eastAsia="Arial" w:hAnsi="Arial" w:cs="Arial"/>
          <w:sz w:val="22"/>
          <w:szCs w:val="22"/>
        </w:rPr>
        <w:t>Gariépy</w:t>
      </w:r>
      <w:proofErr w:type="spellEnd"/>
      <w:r w:rsidRPr="00856619">
        <w:rPr>
          <w:rFonts w:ascii="Arial" w:eastAsia="Arial" w:hAnsi="Arial" w:cs="Arial"/>
          <w:sz w:val="22"/>
          <w:szCs w:val="22"/>
        </w:rPr>
        <w:t>, G., Honkaniemi, H.,</w:t>
      </w:r>
      <w:r w:rsidR="00F132C4" w:rsidRPr="00856619">
        <w:rPr>
          <w:rFonts w:ascii="Arial" w:eastAsia="Arial" w:hAnsi="Arial" w:cs="Arial"/>
          <w:sz w:val="22"/>
          <w:szCs w:val="22"/>
        </w:rPr>
        <w:t xml:space="preserve"> </w:t>
      </w:r>
      <w:r w:rsidRPr="00856619">
        <w:rPr>
          <w:rFonts w:ascii="Arial" w:eastAsia="Arial" w:hAnsi="Arial" w:cs="Arial"/>
          <w:sz w:val="22"/>
          <w:szCs w:val="22"/>
        </w:rPr>
        <w:t xml:space="preserve">and Quesnel-Vallée, A. (2016) ‘Social support and protection from depression: systematic review of current findings in Western </w:t>
      </w:r>
      <w:proofErr w:type="spellStart"/>
      <w:r w:rsidRPr="00856619">
        <w:rPr>
          <w:rFonts w:ascii="Arial" w:eastAsia="Arial" w:hAnsi="Arial" w:cs="Arial"/>
          <w:sz w:val="22"/>
          <w:szCs w:val="22"/>
        </w:rPr>
        <w:t>countries</w:t>
      </w:r>
      <w:proofErr w:type="gramStart"/>
      <w:r w:rsidRPr="00856619">
        <w:rPr>
          <w:rFonts w:ascii="Arial" w:eastAsia="Arial" w:hAnsi="Arial" w:cs="Arial"/>
          <w:sz w:val="22"/>
          <w:szCs w:val="22"/>
        </w:rPr>
        <w:t>’</w:t>
      </w:r>
      <w:r w:rsidR="00100086" w:rsidRPr="00856619">
        <w:rPr>
          <w:rFonts w:ascii="Arial" w:eastAsia="Arial" w:hAnsi="Arial" w:cs="Arial"/>
          <w:sz w:val="22"/>
          <w:szCs w:val="22"/>
        </w:rPr>
        <w:t>,</w:t>
      </w:r>
      <w:r w:rsidRPr="00856619">
        <w:rPr>
          <w:rFonts w:ascii="Arial" w:eastAsia="Arial" w:hAnsi="Arial" w:cs="Arial"/>
          <w:i/>
          <w:iCs/>
          <w:sz w:val="22"/>
          <w:szCs w:val="22"/>
        </w:rPr>
        <w:t>The</w:t>
      </w:r>
      <w:proofErr w:type="spellEnd"/>
      <w:proofErr w:type="gramEnd"/>
      <w:r w:rsidRPr="00856619">
        <w:rPr>
          <w:rFonts w:ascii="Arial" w:eastAsia="Arial" w:hAnsi="Arial" w:cs="Arial"/>
          <w:i/>
          <w:iCs/>
          <w:sz w:val="22"/>
          <w:szCs w:val="22"/>
        </w:rPr>
        <w:t xml:space="preserve"> British journal of psychiatry: the journal of mental science</w:t>
      </w:r>
      <w:r w:rsidRPr="00856619">
        <w:rPr>
          <w:rFonts w:ascii="Arial" w:eastAsia="Arial" w:hAnsi="Arial" w:cs="Arial"/>
          <w:sz w:val="22"/>
          <w:szCs w:val="22"/>
        </w:rPr>
        <w:t>, </w:t>
      </w:r>
      <w:r w:rsidRPr="00856619">
        <w:rPr>
          <w:rFonts w:ascii="Arial" w:eastAsia="Arial" w:hAnsi="Arial" w:cs="Arial"/>
          <w:i/>
          <w:iCs/>
          <w:sz w:val="22"/>
          <w:szCs w:val="22"/>
        </w:rPr>
        <w:t>209</w:t>
      </w:r>
      <w:r w:rsidRPr="00856619">
        <w:rPr>
          <w:rFonts w:ascii="Arial" w:eastAsia="Arial" w:hAnsi="Arial" w:cs="Arial"/>
          <w:sz w:val="22"/>
          <w:szCs w:val="22"/>
        </w:rPr>
        <w:t>(4), pp</w:t>
      </w:r>
      <w:r w:rsidR="00100086" w:rsidRPr="00856619">
        <w:rPr>
          <w:rFonts w:ascii="Arial" w:eastAsia="Arial" w:hAnsi="Arial" w:cs="Arial"/>
          <w:sz w:val="22"/>
          <w:szCs w:val="22"/>
        </w:rPr>
        <w:t>.</w:t>
      </w:r>
      <w:r w:rsidRPr="00856619">
        <w:rPr>
          <w:rFonts w:ascii="Arial" w:eastAsia="Arial" w:hAnsi="Arial" w:cs="Arial"/>
          <w:sz w:val="22"/>
          <w:szCs w:val="22"/>
        </w:rPr>
        <w:t xml:space="preserve"> 284–293. Available at: </w:t>
      </w:r>
      <w:hyperlink r:id="rId35" w:history="1">
        <w:r w:rsidRPr="00856619">
          <w:rPr>
            <w:rStyle w:val="Hyperlink"/>
            <w:rFonts w:ascii="Arial" w:eastAsia="Arial" w:hAnsi="Arial" w:cs="Arial"/>
            <w:color w:val="auto"/>
            <w:sz w:val="22"/>
            <w:szCs w:val="22"/>
          </w:rPr>
          <w:t>https://doi.org/10.1192/bjp.bp.115.169094</w:t>
        </w:r>
      </w:hyperlink>
      <w:r w:rsidRPr="00856619">
        <w:rPr>
          <w:rFonts w:ascii="Arial" w:eastAsia="Arial" w:hAnsi="Arial" w:cs="Arial"/>
          <w:sz w:val="22"/>
          <w:szCs w:val="22"/>
        </w:rPr>
        <w:t xml:space="preserve"> </w:t>
      </w:r>
      <w:r w:rsidR="0CD4DD13" w:rsidRPr="00856619">
        <w:rPr>
          <w:rFonts w:ascii="Arial" w:eastAsia="Arial" w:hAnsi="Arial" w:cs="Arial"/>
          <w:sz w:val="22"/>
          <w:szCs w:val="22"/>
        </w:rPr>
        <w:t xml:space="preserve"> (Accessed:</w:t>
      </w:r>
      <w:r w:rsidR="00585003" w:rsidRPr="00856619">
        <w:rPr>
          <w:rFonts w:ascii="Arial" w:eastAsia="Arial" w:hAnsi="Arial" w:cs="Arial"/>
          <w:sz w:val="22"/>
          <w:szCs w:val="22"/>
        </w:rPr>
        <w:t xml:space="preserve"> </w:t>
      </w:r>
      <w:r w:rsidR="00940EF7" w:rsidRPr="00856619">
        <w:rPr>
          <w:rFonts w:ascii="Arial" w:eastAsia="Arial" w:hAnsi="Arial" w:cs="Arial"/>
          <w:sz w:val="22"/>
          <w:szCs w:val="22"/>
        </w:rPr>
        <w:t>29 November 2025</w:t>
      </w:r>
      <w:r w:rsidR="0CD4DD13" w:rsidRPr="00856619">
        <w:rPr>
          <w:rFonts w:ascii="Arial" w:eastAsia="Arial" w:hAnsi="Arial" w:cs="Arial"/>
          <w:sz w:val="22"/>
          <w:szCs w:val="22"/>
        </w:rPr>
        <w:t>).</w:t>
      </w:r>
    </w:p>
    <w:p w14:paraId="6E9417A1" w14:textId="4E770848" w:rsidR="3A7CED5F" w:rsidRPr="00856619" w:rsidRDefault="3A7CED5F" w:rsidP="003C5D4C">
      <w:pPr>
        <w:rPr>
          <w:rFonts w:ascii="Arial" w:eastAsia="Arial" w:hAnsi="Arial" w:cs="Arial"/>
          <w:sz w:val="22"/>
          <w:szCs w:val="22"/>
        </w:rPr>
      </w:pPr>
    </w:p>
    <w:p w14:paraId="0A9B806C" w14:textId="2F62139A"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Gulliver, A., Griffiths, K.M. and Christensen, H. (2010) ‘Perceived barriers and facilitators to mental health help-seeking in young people’</w:t>
      </w:r>
      <w:r w:rsidR="00100086" w:rsidRPr="00856619">
        <w:rPr>
          <w:rFonts w:ascii="Arial" w:eastAsia="Arial" w:hAnsi="Arial" w:cs="Arial"/>
          <w:sz w:val="22"/>
          <w:szCs w:val="22"/>
        </w:rPr>
        <w:t>,</w:t>
      </w:r>
      <w:r w:rsidRPr="00856619">
        <w:rPr>
          <w:rFonts w:ascii="Arial" w:eastAsia="Arial" w:hAnsi="Arial" w:cs="Arial"/>
          <w:sz w:val="22"/>
          <w:szCs w:val="22"/>
        </w:rPr>
        <w:t xml:space="preserve"> </w:t>
      </w:r>
      <w:r w:rsidRPr="00856619">
        <w:rPr>
          <w:rFonts w:ascii="Arial" w:eastAsia="Arial" w:hAnsi="Arial" w:cs="Arial"/>
          <w:i/>
          <w:iCs/>
          <w:sz w:val="22"/>
          <w:szCs w:val="22"/>
        </w:rPr>
        <w:t>BMC Psychiatry,</w:t>
      </w:r>
      <w:r w:rsidRPr="00856619">
        <w:rPr>
          <w:rFonts w:ascii="Arial" w:eastAsia="Arial" w:hAnsi="Arial" w:cs="Arial"/>
          <w:sz w:val="22"/>
          <w:szCs w:val="22"/>
        </w:rPr>
        <w:t xml:space="preserve"> 10, p</w:t>
      </w:r>
      <w:r w:rsidR="00100086" w:rsidRPr="00856619">
        <w:rPr>
          <w:rFonts w:ascii="Arial" w:eastAsia="Arial" w:hAnsi="Arial" w:cs="Arial"/>
          <w:sz w:val="22"/>
          <w:szCs w:val="22"/>
        </w:rPr>
        <w:t>p</w:t>
      </w:r>
      <w:r w:rsidRPr="00856619">
        <w:rPr>
          <w:rFonts w:ascii="Arial" w:eastAsia="Arial" w:hAnsi="Arial" w:cs="Arial"/>
          <w:sz w:val="22"/>
          <w:szCs w:val="22"/>
        </w:rPr>
        <w:t xml:space="preserve">. 113. Available at: </w:t>
      </w:r>
      <w:hyperlink r:id="rId36">
        <w:r w:rsidRPr="00856619">
          <w:rPr>
            <w:rStyle w:val="Hyperlink"/>
            <w:rFonts w:ascii="Arial" w:eastAsia="Arial" w:hAnsi="Arial" w:cs="Arial"/>
            <w:color w:val="auto"/>
            <w:sz w:val="22"/>
            <w:szCs w:val="22"/>
          </w:rPr>
          <w:t>https://doi.org/10.1186/1471-244X-10-113</w:t>
        </w:r>
      </w:hyperlink>
      <w:r w:rsidRPr="00856619">
        <w:rPr>
          <w:rFonts w:ascii="Arial" w:eastAsia="Arial" w:hAnsi="Arial" w:cs="Arial"/>
          <w:sz w:val="22"/>
          <w:szCs w:val="22"/>
        </w:rPr>
        <w:t xml:space="preserve"> (Accessed: </w:t>
      </w:r>
      <w:r w:rsidR="00E3026E" w:rsidRPr="00856619">
        <w:rPr>
          <w:rFonts w:ascii="Arial" w:eastAsia="Arial" w:hAnsi="Arial" w:cs="Arial"/>
          <w:sz w:val="22"/>
          <w:szCs w:val="22"/>
        </w:rPr>
        <w:t xml:space="preserve">28 January </w:t>
      </w:r>
      <w:r w:rsidRPr="00856619">
        <w:rPr>
          <w:rFonts w:ascii="Arial" w:eastAsia="Arial" w:hAnsi="Arial" w:cs="Arial"/>
          <w:sz w:val="22"/>
          <w:szCs w:val="22"/>
        </w:rPr>
        <w:t>2026).</w:t>
      </w:r>
    </w:p>
    <w:p w14:paraId="3E9CAD50" w14:textId="5FE35F73" w:rsidR="3A7CED5F" w:rsidRPr="00856619" w:rsidRDefault="3A7CED5F" w:rsidP="003C5D4C">
      <w:pPr>
        <w:rPr>
          <w:rFonts w:ascii="Arial" w:eastAsia="Arial" w:hAnsi="Arial" w:cs="Arial"/>
          <w:sz w:val="22"/>
          <w:szCs w:val="22"/>
        </w:rPr>
      </w:pPr>
    </w:p>
    <w:p w14:paraId="41269FBB" w14:textId="53AD35BC" w:rsidR="0CD4DD13" w:rsidRPr="00856619" w:rsidRDefault="00791E3A" w:rsidP="003C5D4C">
      <w:pPr>
        <w:rPr>
          <w:rFonts w:ascii="Arial" w:eastAsia="Arial" w:hAnsi="Arial" w:cs="Arial"/>
          <w:sz w:val="22"/>
          <w:szCs w:val="22"/>
        </w:rPr>
      </w:pPr>
      <w:r w:rsidRPr="00856619">
        <w:rPr>
          <w:rFonts w:ascii="Arial" w:eastAsia="Arial" w:hAnsi="Arial" w:cs="Arial"/>
          <w:sz w:val="22"/>
          <w:szCs w:val="22"/>
        </w:rPr>
        <w:t xml:space="preserve">Gunderson, J. G., Fruzzetti, A., Unruh, B., </w:t>
      </w:r>
      <w:r w:rsidR="009C2DA1" w:rsidRPr="00856619">
        <w:rPr>
          <w:rFonts w:ascii="Arial" w:eastAsia="Arial" w:hAnsi="Arial" w:cs="Arial"/>
          <w:sz w:val="22"/>
          <w:szCs w:val="22"/>
        </w:rPr>
        <w:t>and</w:t>
      </w:r>
      <w:r w:rsidRPr="00856619">
        <w:rPr>
          <w:rFonts w:ascii="Arial" w:eastAsia="Arial" w:hAnsi="Arial" w:cs="Arial"/>
          <w:sz w:val="22"/>
          <w:szCs w:val="22"/>
        </w:rPr>
        <w:t xml:space="preserve"> Choi-Kain, L. (2018) </w:t>
      </w:r>
      <w:r w:rsidR="009C2DA1" w:rsidRPr="00856619">
        <w:rPr>
          <w:rFonts w:ascii="Arial" w:eastAsia="Arial" w:hAnsi="Arial" w:cs="Arial"/>
          <w:sz w:val="22"/>
          <w:szCs w:val="22"/>
        </w:rPr>
        <w:t>‘</w:t>
      </w:r>
      <w:r w:rsidRPr="00856619">
        <w:rPr>
          <w:rFonts w:ascii="Arial" w:eastAsia="Arial" w:hAnsi="Arial" w:cs="Arial"/>
          <w:sz w:val="22"/>
          <w:szCs w:val="22"/>
        </w:rPr>
        <w:t>Competing Theories of Borderline Personality Disorder</w:t>
      </w:r>
      <w:r w:rsidR="009C2DA1" w:rsidRPr="00856619">
        <w:rPr>
          <w:rFonts w:ascii="Arial" w:eastAsia="Arial" w:hAnsi="Arial" w:cs="Arial"/>
          <w:sz w:val="22"/>
          <w:szCs w:val="22"/>
        </w:rPr>
        <w:t>’</w:t>
      </w:r>
      <w:r w:rsidRPr="00856619">
        <w:rPr>
          <w:rFonts w:ascii="Arial" w:eastAsia="Arial" w:hAnsi="Arial" w:cs="Arial"/>
          <w:sz w:val="22"/>
          <w:szCs w:val="22"/>
        </w:rPr>
        <w:t>. </w:t>
      </w:r>
      <w:r w:rsidRPr="00856619">
        <w:rPr>
          <w:rFonts w:ascii="Arial" w:eastAsia="Arial" w:hAnsi="Arial" w:cs="Arial"/>
          <w:i/>
          <w:iCs/>
          <w:sz w:val="22"/>
          <w:szCs w:val="22"/>
        </w:rPr>
        <w:t>Journal of personality disorders</w:t>
      </w:r>
      <w:r w:rsidRPr="00856619">
        <w:rPr>
          <w:rFonts w:ascii="Arial" w:eastAsia="Arial" w:hAnsi="Arial" w:cs="Arial"/>
          <w:sz w:val="22"/>
          <w:szCs w:val="22"/>
        </w:rPr>
        <w:t>, </w:t>
      </w:r>
      <w:r w:rsidRPr="00856619">
        <w:rPr>
          <w:rFonts w:ascii="Arial" w:eastAsia="Arial" w:hAnsi="Arial" w:cs="Arial"/>
          <w:i/>
          <w:iCs/>
          <w:sz w:val="22"/>
          <w:szCs w:val="22"/>
        </w:rPr>
        <w:t>32</w:t>
      </w:r>
      <w:r w:rsidRPr="00856619">
        <w:rPr>
          <w:rFonts w:ascii="Arial" w:eastAsia="Arial" w:hAnsi="Arial" w:cs="Arial"/>
          <w:sz w:val="22"/>
          <w:szCs w:val="22"/>
        </w:rPr>
        <w:t xml:space="preserve">(2), </w:t>
      </w:r>
      <w:r w:rsidR="009C2DA1" w:rsidRPr="00856619">
        <w:rPr>
          <w:rFonts w:ascii="Arial" w:eastAsia="Arial" w:hAnsi="Arial" w:cs="Arial"/>
          <w:sz w:val="22"/>
          <w:szCs w:val="22"/>
        </w:rPr>
        <w:t>pp</w:t>
      </w:r>
      <w:r w:rsidR="004955DA" w:rsidRPr="00856619">
        <w:rPr>
          <w:rFonts w:ascii="Arial" w:eastAsia="Arial" w:hAnsi="Arial" w:cs="Arial"/>
          <w:sz w:val="22"/>
          <w:szCs w:val="22"/>
        </w:rPr>
        <w:t>.</w:t>
      </w:r>
      <w:r w:rsidR="009C2DA1" w:rsidRPr="00856619">
        <w:rPr>
          <w:rFonts w:ascii="Arial" w:eastAsia="Arial" w:hAnsi="Arial" w:cs="Arial"/>
          <w:sz w:val="22"/>
          <w:szCs w:val="22"/>
        </w:rPr>
        <w:t xml:space="preserve"> </w:t>
      </w:r>
      <w:r w:rsidRPr="00856619">
        <w:rPr>
          <w:rFonts w:ascii="Arial" w:eastAsia="Arial" w:hAnsi="Arial" w:cs="Arial"/>
          <w:sz w:val="22"/>
          <w:szCs w:val="22"/>
        </w:rPr>
        <w:t xml:space="preserve">148–167. </w:t>
      </w:r>
      <w:r w:rsidR="009C2DA1" w:rsidRPr="00856619">
        <w:rPr>
          <w:rFonts w:ascii="Arial" w:eastAsia="Arial" w:hAnsi="Arial" w:cs="Arial"/>
          <w:sz w:val="22"/>
          <w:szCs w:val="22"/>
        </w:rPr>
        <w:t xml:space="preserve">Available at: </w:t>
      </w:r>
      <w:hyperlink r:id="rId37" w:history="1">
        <w:r w:rsidR="00814D04" w:rsidRPr="00856619">
          <w:rPr>
            <w:rStyle w:val="Hyperlink"/>
            <w:rFonts w:ascii="Arial" w:eastAsia="Arial" w:hAnsi="Arial" w:cs="Arial"/>
            <w:color w:val="auto"/>
            <w:sz w:val="22"/>
            <w:szCs w:val="22"/>
          </w:rPr>
          <w:t>https://doi.org/10.1521/pedi.2018.32.2.148</w:t>
        </w:r>
      </w:hyperlink>
      <w:r w:rsidR="009C2DA1" w:rsidRPr="00856619">
        <w:rPr>
          <w:rFonts w:ascii="Arial" w:eastAsia="Arial" w:hAnsi="Arial" w:cs="Arial"/>
          <w:sz w:val="22"/>
          <w:szCs w:val="22"/>
        </w:rPr>
        <w:t xml:space="preserve"> </w:t>
      </w:r>
      <w:r w:rsidR="0CD4DD13" w:rsidRPr="00856619">
        <w:rPr>
          <w:rFonts w:ascii="Arial" w:eastAsia="Arial" w:hAnsi="Arial" w:cs="Arial"/>
          <w:sz w:val="22"/>
          <w:szCs w:val="22"/>
        </w:rPr>
        <w:t xml:space="preserve"> (Accessed: </w:t>
      </w:r>
      <w:r w:rsidR="00E3026E" w:rsidRPr="00856619">
        <w:rPr>
          <w:rFonts w:ascii="Arial" w:eastAsia="Arial" w:hAnsi="Arial" w:cs="Arial"/>
          <w:sz w:val="22"/>
          <w:szCs w:val="22"/>
        </w:rPr>
        <w:t xml:space="preserve">02 February </w:t>
      </w:r>
      <w:r w:rsidR="0CD4DD13" w:rsidRPr="00856619">
        <w:rPr>
          <w:rFonts w:ascii="Arial" w:eastAsia="Arial" w:hAnsi="Arial" w:cs="Arial"/>
          <w:sz w:val="22"/>
          <w:szCs w:val="22"/>
        </w:rPr>
        <w:t>2026).</w:t>
      </w:r>
    </w:p>
    <w:p w14:paraId="60E5CFB6" w14:textId="55EB004A" w:rsidR="3A7CED5F" w:rsidRPr="00856619" w:rsidRDefault="3A7CED5F" w:rsidP="003C5D4C">
      <w:pPr>
        <w:rPr>
          <w:rFonts w:ascii="Arial" w:eastAsia="Arial" w:hAnsi="Arial" w:cs="Arial"/>
          <w:sz w:val="22"/>
          <w:szCs w:val="22"/>
        </w:rPr>
      </w:pPr>
    </w:p>
    <w:p w14:paraId="24BE1A39" w14:textId="77777777" w:rsidR="004955DA" w:rsidRPr="00856619" w:rsidRDefault="004955DA" w:rsidP="003C5D4C">
      <w:pPr>
        <w:rPr>
          <w:rFonts w:ascii="Arial" w:eastAsia="Arial" w:hAnsi="Arial" w:cs="Arial"/>
          <w:sz w:val="22"/>
          <w:szCs w:val="22"/>
        </w:rPr>
      </w:pPr>
    </w:p>
    <w:p w14:paraId="2D2E0484" w14:textId="4D969424" w:rsidR="3A7CED5F" w:rsidRPr="00856619" w:rsidRDefault="00DE4216" w:rsidP="003C5D4C">
      <w:pPr>
        <w:rPr>
          <w:rFonts w:ascii="Arial" w:eastAsia="Arial" w:hAnsi="Arial" w:cs="Arial"/>
          <w:sz w:val="22"/>
          <w:szCs w:val="22"/>
        </w:rPr>
      </w:pPr>
      <w:r w:rsidRPr="00856619">
        <w:rPr>
          <w:rFonts w:ascii="Arial" w:eastAsia="Arial" w:hAnsi="Arial" w:cs="Arial"/>
          <w:sz w:val="22"/>
          <w:szCs w:val="22"/>
        </w:rPr>
        <w:lastRenderedPageBreak/>
        <w:t xml:space="preserve">Herres, J., Krauthamer Ewing, E. S., Levy, S., Creed, T. A., and Diamond, G. S. (2023) ‘Combining attachment-based family therapy and cognitive </w:t>
      </w:r>
      <w:proofErr w:type="spellStart"/>
      <w:r w:rsidRPr="00856619">
        <w:rPr>
          <w:rFonts w:ascii="Arial" w:eastAsia="Arial" w:hAnsi="Arial" w:cs="Arial"/>
          <w:sz w:val="22"/>
          <w:szCs w:val="22"/>
        </w:rPr>
        <w:t>behavioral</w:t>
      </w:r>
      <w:proofErr w:type="spellEnd"/>
      <w:r w:rsidRPr="00856619">
        <w:rPr>
          <w:rFonts w:ascii="Arial" w:eastAsia="Arial" w:hAnsi="Arial" w:cs="Arial"/>
          <w:sz w:val="22"/>
          <w:szCs w:val="22"/>
        </w:rPr>
        <w:t xml:space="preserve"> therapy to improve outcomes for adolescents with anxiety’</w:t>
      </w:r>
      <w:r w:rsidR="004955DA" w:rsidRPr="00856619">
        <w:rPr>
          <w:rFonts w:ascii="Arial" w:eastAsia="Arial" w:hAnsi="Arial" w:cs="Arial"/>
          <w:sz w:val="22"/>
          <w:szCs w:val="22"/>
        </w:rPr>
        <w:t>,</w:t>
      </w:r>
      <w:r w:rsidRPr="00856619">
        <w:rPr>
          <w:rFonts w:ascii="Arial" w:eastAsia="Arial" w:hAnsi="Arial" w:cs="Arial"/>
          <w:sz w:val="22"/>
          <w:szCs w:val="22"/>
        </w:rPr>
        <w:t> </w:t>
      </w:r>
      <w:r w:rsidRPr="00856619">
        <w:rPr>
          <w:rFonts w:ascii="Arial" w:eastAsia="Arial" w:hAnsi="Arial" w:cs="Arial"/>
          <w:i/>
          <w:iCs/>
          <w:sz w:val="22"/>
          <w:szCs w:val="22"/>
        </w:rPr>
        <w:t>Frontiers in psychiatry</w:t>
      </w:r>
      <w:r w:rsidRPr="00856619">
        <w:rPr>
          <w:rFonts w:ascii="Arial" w:eastAsia="Arial" w:hAnsi="Arial" w:cs="Arial"/>
          <w:sz w:val="22"/>
          <w:szCs w:val="22"/>
        </w:rPr>
        <w:t>, </w:t>
      </w:r>
      <w:r w:rsidRPr="00856619">
        <w:rPr>
          <w:rFonts w:ascii="Arial" w:eastAsia="Arial" w:hAnsi="Arial" w:cs="Arial"/>
          <w:i/>
          <w:iCs/>
          <w:sz w:val="22"/>
          <w:szCs w:val="22"/>
        </w:rPr>
        <w:t>14</w:t>
      </w:r>
      <w:r w:rsidRPr="00856619">
        <w:rPr>
          <w:rFonts w:ascii="Arial" w:eastAsia="Arial" w:hAnsi="Arial" w:cs="Arial"/>
          <w:sz w:val="22"/>
          <w:szCs w:val="22"/>
        </w:rPr>
        <w:t>. Available at</w:t>
      </w:r>
      <w:r w:rsidR="00ED22CF" w:rsidRPr="00856619">
        <w:rPr>
          <w:rFonts w:ascii="Arial" w:eastAsia="Arial" w:hAnsi="Arial" w:cs="Arial"/>
          <w:sz w:val="22"/>
          <w:szCs w:val="22"/>
        </w:rPr>
        <w:t xml:space="preserve">: </w:t>
      </w:r>
      <w:hyperlink r:id="rId38" w:history="1">
        <w:r w:rsidR="00ED22CF" w:rsidRPr="00856619">
          <w:rPr>
            <w:rStyle w:val="Hyperlink"/>
            <w:rFonts w:ascii="Arial" w:eastAsia="Arial" w:hAnsi="Arial" w:cs="Arial"/>
            <w:color w:val="auto"/>
            <w:sz w:val="22"/>
            <w:szCs w:val="22"/>
          </w:rPr>
          <w:t>https://doi.org/10.3389/fpsyt.2023.1096291</w:t>
        </w:r>
      </w:hyperlink>
      <w:r w:rsidRPr="00856619">
        <w:rPr>
          <w:rFonts w:ascii="Arial" w:eastAsia="Arial" w:hAnsi="Arial" w:cs="Arial"/>
          <w:sz w:val="22"/>
          <w:szCs w:val="22"/>
        </w:rPr>
        <w:t xml:space="preserve"> </w:t>
      </w:r>
      <w:r w:rsidR="00ED22CF" w:rsidRPr="00856619">
        <w:rPr>
          <w:rFonts w:ascii="Arial" w:eastAsia="Arial" w:hAnsi="Arial" w:cs="Arial"/>
          <w:sz w:val="22"/>
          <w:szCs w:val="22"/>
        </w:rPr>
        <w:t>(Accessed: 13 February 2026).</w:t>
      </w:r>
    </w:p>
    <w:p w14:paraId="330BFA62" w14:textId="77777777" w:rsidR="004955DA" w:rsidRPr="00856619" w:rsidRDefault="004955DA" w:rsidP="003C5D4C">
      <w:pPr>
        <w:rPr>
          <w:rFonts w:ascii="Arial" w:eastAsia="Arial" w:hAnsi="Arial" w:cs="Arial"/>
          <w:sz w:val="22"/>
          <w:szCs w:val="22"/>
        </w:rPr>
      </w:pPr>
    </w:p>
    <w:p w14:paraId="7FBD5494" w14:textId="4D9EF166"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Hofmann, S.G., </w:t>
      </w:r>
      <w:proofErr w:type="spellStart"/>
      <w:r w:rsidRPr="00856619">
        <w:rPr>
          <w:rFonts w:ascii="Arial" w:eastAsia="Arial" w:hAnsi="Arial" w:cs="Arial"/>
          <w:sz w:val="22"/>
          <w:szCs w:val="22"/>
        </w:rPr>
        <w:t>Asnaani</w:t>
      </w:r>
      <w:proofErr w:type="spellEnd"/>
      <w:r w:rsidRPr="00856619">
        <w:rPr>
          <w:rFonts w:ascii="Arial" w:eastAsia="Arial" w:hAnsi="Arial" w:cs="Arial"/>
          <w:sz w:val="22"/>
          <w:szCs w:val="22"/>
        </w:rPr>
        <w:t xml:space="preserve">, A., Vonk, I., Sawyer, A.T. and Fang, A. (2012) ‘The efficacy of cognitive </w:t>
      </w:r>
      <w:proofErr w:type="spellStart"/>
      <w:r w:rsidRPr="00856619">
        <w:rPr>
          <w:rFonts w:ascii="Arial" w:eastAsia="Arial" w:hAnsi="Arial" w:cs="Arial"/>
          <w:sz w:val="22"/>
          <w:szCs w:val="22"/>
        </w:rPr>
        <w:t>behavioral</w:t>
      </w:r>
      <w:proofErr w:type="spellEnd"/>
      <w:r w:rsidRPr="00856619">
        <w:rPr>
          <w:rFonts w:ascii="Arial" w:eastAsia="Arial" w:hAnsi="Arial" w:cs="Arial"/>
          <w:sz w:val="22"/>
          <w:szCs w:val="22"/>
        </w:rPr>
        <w:t xml:space="preserve"> therapy’</w:t>
      </w:r>
      <w:r w:rsidR="00BA6799" w:rsidRPr="00856619">
        <w:rPr>
          <w:rFonts w:ascii="Arial" w:eastAsia="Arial" w:hAnsi="Arial" w:cs="Arial"/>
          <w:sz w:val="22"/>
          <w:szCs w:val="22"/>
        </w:rPr>
        <w:t xml:space="preserve">, </w:t>
      </w:r>
      <w:r w:rsidRPr="00856619">
        <w:rPr>
          <w:rFonts w:ascii="Arial" w:eastAsia="Arial" w:hAnsi="Arial" w:cs="Arial"/>
          <w:i/>
          <w:iCs/>
          <w:sz w:val="22"/>
          <w:szCs w:val="22"/>
        </w:rPr>
        <w:t>Cognitive Therapy and Research</w:t>
      </w:r>
      <w:r w:rsidRPr="00856619">
        <w:rPr>
          <w:rFonts w:ascii="Arial" w:eastAsia="Arial" w:hAnsi="Arial" w:cs="Arial"/>
          <w:sz w:val="22"/>
          <w:szCs w:val="22"/>
        </w:rPr>
        <w:t xml:space="preserve">, 36, pp. 427–440. Available at: </w:t>
      </w:r>
      <w:hyperlink r:id="rId39">
        <w:r w:rsidRPr="00856619">
          <w:rPr>
            <w:rStyle w:val="Hyperlink"/>
            <w:rFonts w:ascii="Arial" w:eastAsia="Arial" w:hAnsi="Arial" w:cs="Arial"/>
            <w:color w:val="auto"/>
            <w:sz w:val="22"/>
            <w:szCs w:val="22"/>
          </w:rPr>
          <w:t>https://doi.org/10.1007/s10608-012-9476-1</w:t>
        </w:r>
      </w:hyperlink>
      <w:r w:rsidR="009E2865" w:rsidRPr="00856619">
        <w:rPr>
          <w:rFonts w:ascii="Arial" w:hAnsi="Arial" w:cs="Arial"/>
          <w:sz w:val="22"/>
          <w:szCs w:val="22"/>
        </w:rPr>
        <w:t xml:space="preserve"> (Accessed: </w:t>
      </w:r>
      <w:r w:rsidR="00D017EF" w:rsidRPr="00856619">
        <w:rPr>
          <w:rFonts w:ascii="Arial" w:hAnsi="Arial" w:cs="Arial"/>
          <w:sz w:val="22"/>
          <w:szCs w:val="22"/>
        </w:rPr>
        <w:t>09 February 2026).</w:t>
      </w:r>
    </w:p>
    <w:p w14:paraId="542FFAF5" w14:textId="3771DA47" w:rsidR="3A7CED5F" w:rsidRPr="00856619" w:rsidRDefault="3A7CED5F" w:rsidP="003C5D4C">
      <w:pPr>
        <w:rPr>
          <w:rFonts w:ascii="Arial" w:eastAsia="Arial" w:hAnsi="Arial" w:cs="Arial"/>
          <w:sz w:val="22"/>
          <w:szCs w:val="22"/>
        </w:rPr>
      </w:pPr>
    </w:p>
    <w:p w14:paraId="29E51BFA" w14:textId="2B2AC35E"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Holt-</w:t>
      </w:r>
      <w:proofErr w:type="spellStart"/>
      <w:r w:rsidRPr="00856619">
        <w:rPr>
          <w:rFonts w:ascii="Arial" w:eastAsia="Arial" w:hAnsi="Arial" w:cs="Arial"/>
          <w:sz w:val="22"/>
          <w:szCs w:val="22"/>
        </w:rPr>
        <w:t>Lunstad</w:t>
      </w:r>
      <w:proofErr w:type="spellEnd"/>
      <w:r w:rsidRPr="00856619">
        <w:rPr>
          <w:rFonts w:ascii="Arial" w:eastAsia="Arial" w:hAnsi="Arial" w:cs="Arial"/>
          <w:sz w:val="22"/>
          <w:szCs w:val="22"/>
        </w:rPr>
        <w:t>, J., Smith, T.B. and Layton, J.B. (2010) ‘Social relationships and mortality risk: A meta-analytic review’</w:t>
      </w:r>
      <w:r w:rsidR="00BA6799" w:rsidRPr="00856619">
        <w:rPr>
          <w:rFonts w:ascii="Arial" w:eastAsia="Arial" w:hAnsi="Arial" w:cs="Arial"/>
          <w:sz w:val="22"/>
          <w:szCs w:val="22"/>
        </w:rPr>
        <w:t>,</w:t>
      </w:r>
      <w:r w:rsidR="00D017EF" w:rsidRPr="00856619">
        <w:rPr>
          <w:rFonts w:ascii="Arial" w:eastAsia="Arial" w:hAnsi="Arial" w:cs="Arial"/>
          <w:sz w:val="22"/>
          <w:szCs w:val="22"/>
        </w:rPr>
        <w:t xml:space="preserve"> </w:t>
      </w:r>
      <w:proofErr w:type="spellStart"/>
      <w:r w:rsidRPr="00856619">
        <w:rPr>
          <w:rFonts w:ascii="Arial" w:eastAsia="Arial" w:hAnsi="Arial" w:cs="Arial"/>
          <w:i/>
          <w:iCs/>
          <w:sz w:val="22"/>
          <w:szCs w:val="22"/>
        </w:rPr>
        <w:t>PLoS</w:t>
      </w:r>
      <w:proofErr w:type="spellEnd"/>
      <w:r w:rsidRPr="00856619">
        <w:rPr>
          <w:rFonts w:ascii="Arial" w:eastAsia="Arial" w:hAnsi="Arial" w:cs="Arial"/>
          <w:i/>
          <w:iCs/>
          <w:sz w:val="22"/>
          <w:szCs w:val="22"/>
        </w:rPr>
        <w:t xml:space="preserve"> Medicine</w:t>
      </w:r>
      <w:r w:rsidRPr="00856619">
        <w:rPr>
          <w:rFonts w:ascii="Arial" w:eastAsia="Arial" w:hAnsi="Arial" w:cs="Arial"/>
          <w:sz w:val="22"/>
          <w:szCs w:val="22"/>
        </w:rPr>
        <w:t xml:space="preserve">, 7(7). Available at: </w:t>
      </w:r>
      <w:hyperlink r:id="rId40">
        <w:r w:rsidRPr="00856619">
          <w:rPr>
            <w:rStyle w:val="Hyperlink"/>
            <w:rFonts w:ascii="Arial" w:eastAsia="Arial" w:hAnsi="Arial" w:cs="Arial"/>
            <w:color w:val="auto"/>
            <w:sz w:val="22"/>
            <w:szCs w:val="22"/>
          </w:rPr>
          <w:t>https://doi.org/10.1371/journal.pmed.1000316</w:t>
        </w:r>
      </w:hyperlink>
      <w:r w:rsidRPr="00856619">
        <w:rPr>
          <w:rFonts w:ascii="Arial" w:eastAsia="Arial" w:hAnsi="Arial" w:cs="Arial"/>
          <w:sz w:val="22"/>
          <w:szCs w:val="22"/>
        </w:rPr>
        <w:t xml:space="preserve"> (Accessed: </w:t>
      </w:r>
      <w:r w:rsidR="003C20A1" w:rsidRPr="00856619">
        <w:rPr>
          <w:rFonts w:ascii="Arial" w:eastAsia="Arial" w:hAnsi="Arial" w:cs="Arial"/>
          <w:sz w:val="22"/>
          <w:szCs w:val="22"/>
        </w:rPr>
        <w:t xml:space="preserve">19 February </w:t>
      </w:r>
      <w:r w:rsidRPr="00856619">
        <w:rPr>
          <w:rFonts w:ascii="Arial" w:eastAsia="Arial" w:hAnsi="Arial" w:cs="Arial"/>
          <w:sz w:val="22"/>
          <w:szCs w:val="22"/>
        </w:rPr>
        <w:t>2026).</w:t>
      </w:r>
    </w:p>
    <w:p w14:paraId="75E04CB8" w14:textId="78E206CE" w:rsidR="3A7CED5F" w:rsidRPr="00856619" w:rsidRDefault="3A7CED5F" w:rsidP="003C5D4C">
      <w:pPr>
        <w:rPr>
          <w:rFonts w:ascii="Arial" w:eastAsia="Arial" w:hAnsi="Arial" w:cs="Arial"/>
          <w:sz w:val="22"/>
          <w:szCs w:val="22"/>
        </w:rPr>
      </w:pPr>
    </w:p>
    <w:p w14:paraId="07445B9E" w14:textId="54A4BB8C" w:rsidR="0CD4DD13" w:rsidRPr="00856619" w:rsidRDefault="00B047F2" w:rsidP="003C5D4C">
      <w:pPr>
        <w:rPr>
          <w:rFonts w:ascii="Arial" w:eastAsia="Arial" w:hAnsi="Arial" w:cs="Arial"/>
          <w:sz w:val="22"/>
          <w:szCs w:val="22"/>
        </w:rPr>
      </w:pPr>
      <w:r w:rsidRPr="00856619">
        <w:rPr>
          <w:rFonts w:ascii="Arial" w:hAnsi="Arial" w:cs="Arial"/>
          <w:sz w:val="22"/>
          <w:szCs w:val="22"/>
        </w:rPr>
        <w:t xml:space="preserve">Kendall, P. C., Compton, S. N., </w:t>
      </w:r>
      <w:proofErr w:type="spellStart"/>
      <w:r w:rsidRPr="00856619">
        <w:rPr>
          <w:rFonts w:ascii="Arial" w:hAnsi="Arial" w:cs="Arial"/>
          <w:sz w:val="22"/>
          <w:szCs w:val="22"/>
        </w:rPr>
        <w:t>Walkup</w:t>
      </w:r>
      <w:proofErr w:type="spellEnd"/>
      <w:r w:rsidRPr="00856619">
        <w:rPr>
          <w:rFonts w:ascii="Arial" w:hAnsi="Arial" w:cs="Arial"/>
          <w:sz w:val="22"/>
          <w:szCs w:val="22"/>
        </w:rPr>
        <w:t xml:space="preserve">, J. T., </w:t>
      </w:r>
      <w:proofErr w:type="spellStart"/>
      <w:r w:rsidRPr="00856619">
        <w:rPr>
          <w:rFonts w:ascii="Arial" w:hAnsi="Arial" w:cs="Arial"/>
          <w:sz w:val="22"/>
          <w:szCs w:val="22"/>
        </w:rPr>
        <w:t>Birmaher</w:t>
      </w:r>
      <w:proofErr w:type="spellEnd"/>
      <w:r w:rsidRPr="00856619">
        <w:rPr>
          <w:rFonts w:ascii="Arial" w:hAnsi="Arial" w:cs="Arial"/>
          <w:sz w:val="22"/>
          <w:szCs w:val="22"/>
        </w:rPr>
        <w:t xml:space="preserve">, B., Albano, A. M., Sherrill, J., Ginsburg, G., Rynn, M., McCracken, J., Gosch, E., Keeton, C., Bergman, L., </w:t>
      </w:r>
      <w:proofErr w:type="spellStart"/>
      <w:r w:rsidRPr="00856619">
        <w:rPr>
          <w:rFonts w:ascii="Arial" w:hAnsi="Arial" w:cs="Arial"/>
          <w:sz w:val="22"/>
          <w:szCs w:val="22"/>
        </w:rPr>
        <w:t>Sakolsky</w:t>
      </w:r>
      <w:proofErr w:type="spellEnd"/>
      <w:r w:rsidRPr="00856619">
        <w:rPr>
          <w:rFonts w:ascii="Arial" w:hAnsi="Arial" w:cs="Arial"/>
          <w:sz w:val="22"/>
          <w:szCs w:val="22"/>
        </w:rPr>
        <w:t xml:space="preserve">, D., </w:t>
      </w:r>
      <w:proofErr w:type="spellStart"/>
      <w:r w:rsidRPr="00856619">
        <w:rPr>
          <w:rFonts w:ascii="Arial" w:hAnsi="Arial" w:cs="Arial"/>
          <w:sz w:val="22"/>
          <w:szCs w:val="22"/>
        </w:rPr>
        <w:t>Suveg</w:t>
      </w:r>
      <w:proofErr w:type="spellEnd"/>
      <w:r w:rsidRPr="00856619">
        <w:rPr>
          <w:rFonts w:ascii="Arial" w:hAnsi="Arial" w:cs="Arial"/>
          <w:sz w:val="22"/>
          <w:szCs w:val="22"/>
        </w:rPr>
        <w:t xml:space="preserve">, C., Iyengar, S., March, J., </w:t>
      </w:r>
      <w:r w:rsidR="00A15EF9" w:rsidRPr="00856619">
        <w:rPr>
          <w:rFonts w:ascii="Arial" w:hAnsi="Arial" w:cs="Arial"/>
          <w:sz w:val="22"/>
          <w:szCs w:val="22"/>
        </w:rPr>
        <w:t>and</w:t>
      </w:r>
      <w:r w:rsidRPr="00856619">
        <w:rPr>
          <w:rFonts w:ascii="Arial" w:hAnsi="Arial" w:cs="Arial"/>
          <w:sz w:val="22"/>
          <w:szCs w:val="22"/>
        </w:rPr>
        <w:t xml:space="preserve"> Piacentini, J. (2010) </w:t>
      </w:r>
      <w:r w:rsidR="00A15EF9" w:rsidRPr="00856619">
        <w:rPr>
          <w:rFonts w:ascii="Arial" w:hAnsi="Arial" w:cs="Arial"/>
          <w:sz w:val="22"/>
          <w:szCs w:val="22"/>
        </w:rPr>
        <w:t>‘</w:t>
      </w:r>
      <w:r w:rsidRPr="00856619">
        <w:rPr>
          <w:rFonts w:ascii="Arial" w:hAnsi="Arial" w:cs="Arial"/>
          <w:sz w:val="22"/>
          <w:szCs w:val="22"/>
        </w:rPr>
        <w:t>Clinical characteristics of anxiety disordered youth</w:t>
      </w:r>
      <w:r w:rsidR="00A15EF9" w:rsidRPr="00856619">
        <w:rPr>
          <w:rFonts w:ascii="Arial" w:hAnsi="Arial" w:cs="Arial"/>
          <w:sz w:val="22"/>
          <w:szCs w:val="22"/>
        </w:rPr>
        <w:t>’</w:t>
      </w:r>
      <w:r w:rsidR="00BA6799" w:rsidRPr="00856619">
        <w:rPr>
          <w:rFonts w:ascii="Arial" w:hAnsi="Arial" w:cs="Arial"/>
          <w:sz w:val="22"/>
          <w:szCs w:val="22"/>
        </w:rPr>
        <w:t xml:space="preserve">, </w:t>
      </w:r>
      <w:r w:rsidRPr="00856619">
        <w:rPr>
          <w:rFonts w:ascii="Arial" w:hAnsi="Arial" w:cs="Arial"/>
          <w:i/>
          <w:iCs/>
          <w:sz w:val="22"/>
          <w:szCs w:val="22"/>
        </w:rPr>
        <w:t>Journal of anxiety disorders</w:t>
      </w:r>
      <w:r w:rsidRPr="00856619">
        <w:rPr>
          <w:rFonts w:ascii="Arial" w:hAnsi="Arial" w:cs="Arial"/>
          <w:sz w:val="22"/>
          <w:szCs w:val="22"/>
        </w:rPr>
        <w:t>, </w:t>
      </w:r>
      <w:r w:rsidRPr="00856619">
        <w:rPr>
          <w:rFonts w:ascii="Arial" w:hAnsi="Arial" w:cs="Arial"/>
          <w:i/>
          <w:iCs/>
          <w:sz w:val="22"/>
          <w:szCs w:val="22"/>
        </w:rPr>
        <w:t>24</w:t>
      </w:r>
      <w:r w:rsidRPr="00856619">
        <w:rPr>
          <w:rFonts w:ascii="Arial" w:hAnsi="Arial" w:cs="Arial"/>
          <w:sz w:val="22"/>
          <w:szCs w:val="22"/>
        </w:rPr>
        <w:t xml:space="preserve">(3), </w:t>
      </w:r>
      <w:r w:rsidR="00A15EF9" w:rsidRPr="00856619">
        <w:rPr>
          <w:rFonts w:ascii="Arial" w:hAnsi="Arial" w:cs="Arial"/>
          <w:sz w:val="22"/>
          <w:szCs w:val="22"/>
        </w:rPr>
        <w:t>pp</w:t>
      </w:r>
      <w:r w:rsidR="00BA6799" w:rsidRPr="00856619">
        <w:rPr>
          <w:rFonts w:ascii="Arial" w:hAnsi="Arial" w:cs="Arial"/>
          <w:sz w:val="22"/>
          <w:szCs w:val="22"/>
        </w:rPr>
        <w:t>.</w:t>
      </w:r>
      <w:r w:rsidR="00A15EF9" w:rsidRPr="00856619">
        <w:rPr>
          <w:rFonts w:ascii="Arial" w:hAnsi="Arial" w:cs="Arial"/>
          <w:sz w:val="22"/>
          <w:szCs w:val="22"/>
        </w:rPr>
        <w:t xml:space="preserve"> </w:t>
      </w:r>
      <w:r w:rsidRPr="00856619">
        <w:rPr>
          <w:rFonts w:ascii="Arial" w:hAnsi="Arial" w:cs="Arial"/>
          <w:sz w:val="22"/>
          <w:szCs w:val="22"/>
        </w:rPr>
        <w:t>360–365.</w:t>
      </w:r>
      <w:r w:rsidR="00CE4C4B" w:rsidRPr="00856619">
        <w:rPr>
          <w:rFonts w:ascii="Arial" w:hAnsi="Arial" w:cs="Arial"/>
          <w:sz w:val="22"/>
          <w:szCs w:val="22"/>
        </w:rPr>
        <w:t>Available at:</w:t>
      </w:r>
      <w:r w:rsidRPr="00856619">
        <w:rPr>
          <w:rFonts w:ascii="Arial" w:hAnsi="Arial" w:cs="Arial"/>
          <w:sz w:val="22"/>
          <w:szCs w:val="22"/>
        </w:rPr>
        <w:t xml:space="preserve"> </w:t>
      </w:r>
      <w:hyperlink r:id="rId41" w:history="1">
        <w:r w:rsidR="00CE4C4B" w:rsidRPr="00856619">
          <w:rPr>
            <w:rStyle w:val="Hyperlink"/>
            <w:rFonts w:ascii="Arial" w:hAnsi="Arial" w:cs="Arial"/>
            <w:color w:val="auto"/>
            <w:sz w:val="22"/>
            <w:szCs w:val="22"/>
          </w:rPr>
          <w:t>https://doi.org/10.1016/j.janxdis.2010.01.009</w:t>
        </w:r>
      </w:hyperlink>
      <w:r w:rsidR="00CE4C4B" w:rsidRPr="00856619">
        <w:rPr>
          <w:rFonts w:ascii="Arial" w:hAnsi="Arial" w:cs="Arial"/>
          <w:sz w:val="22"/>
          <w:szCs w:val="22"/>
        </w:rPr>
        <w:t xml:space="preserve"> </w:t>
      </w:r>
      <w:r w:rsidRPr="00856619">
        <w:rPr>
          <w:rFonts w:ascii="Arial" w:hAnsi="Arial" w:cs="Arial"/>
          <w:sz w:val="22"/>
          <w:szCs w:val="22"/>
        </w:rPr>
        <w:t xml:space="preserve"> </w:t>
      </w:r>
      <w:r w:rsidR="003C20A1" w:rsidRPr="00856619">
        <w:rPr>
          <w:rFonts w:ascii="Arial" w:hAnsi="Arial" w:cs="Arial"/>
          <w:sz w:val="22"/>
          <w:szCs w:val="22"/>
        </w:rPr>
        <w:t>(Accessed: 26 February 2026).</w:t>
      </w:r>
    </w:p>
    <w:p w14:paraId="5F6F2B8F" w14:textId="63E8838C" w:rsidR="3A7CED5F" w:rsidRPr="00856619" w:rsidRDefault="3A7CED5F" w:rsidP="003C5D4C">
      <w:pPr>
        <w:rPr>
          <w:rFonts w:ascii="Arial" w:eastAsia="Arial" w:hAnsi="Arial" w:cs="Arial"/>
          <w:sz w:val="22"/>
          <w:szCs w:val="22"/>
        </w:rPr>
      </w:pPr>
    </w:p>
    <w:p w14:paraId="3D578EFC" w14:textId="75A951F5"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Kerr, B.</w:t>
      </w:r>
      <w:r w:rsidR="00806A09" w:rsidRPr="00856619">
        <w:rPr>
          <w:rFonts w:ascii="Arial" w:eastAsia="Arial" w:hAnsi="Arial" w:cs="Arial"/>
          <w:sz w:val="22"/>
          <w:szCs w:val="22"/>
        </w:rPr>
        <w:t>,</w:t>
      </w:r>
      <w:r w:rsidR="007C1D4A" w:rsidRPr="00856619">
        <w:rPr>
          <w:rFonts w:ascii="Arial" w:eastAsia="Arial" w:hAnsi="Arial" w:cs="Arial"/>
          <w:sz w:val="22"/>
          <w:szCs w:val="22"/>
        </w:rPr>
        <w:t xml:space="preserve"> Garimella,</w:t>
      </w:r>
      <w:r w:rsidR="00806A09" w:rsidRPr="00856619">
        <w:rPr>
          <w:rFonts w:ascii="Arial" w:eastAsia="Arial" w:hAnsi="Arial" w:cs="Arial"/>
          <w:sz w:val="22"/>
          <w:szCs w:val="22"/>
        </w:rPr>
        <w:t xml:space="preserve"> A.,</w:t>
      </w:r>
      <w:r w:rsidR="007C1D4A" w:rsidRPr="00856619">
        <w:rPr>
          <w:rFonts w:ascii="Arial" w:eastAsia="Arial" w:hAnsi="Arial" w:cs="Arial"/>
          <w:sz w:val="22"/>
          <w:szCs w:val="22"/>
        </w:rPr>
        <w:t xml:space="preserve"> </w:t>
      </w:r>
      <w:proofErr w:type="spellStart"/>
      <w:r w:rsidR="007C1D4A" w:rsidRPr="00856619">
        <w:rPr>
          <w:rFonts w:ascii="Arial" w:eastAsia="Arial" w:hAnsi="Arial" w:cs="Arial"/>
          <w:sz w:val="22"/>
          <w:szCs w:val="22"/>
        </w:rPr>
        <w:t>Pillarisetti</w:t>
      </w:r>
      <w:proofErr w:type="spellEnd"/>
      <w:r w:rsidR="00806A09" w:rsidRPr="00856619">
        <w:rPr>
          <w:rFonts w:ascii="Arial" w:eastAsia="Arial" w:hAnsi="Arial" w:cs="Arial"/>
          <w:sz w:val="22"/>
          <w:szCs w:val="22"/>
        </w:rPr>
        <w:t>, L.,</w:t>
      </w:r>
      <w:r w:rsidR="007C1D4A" w:rsidRPr="00856619">
        <w:rPr>
          <w:rFonts w:ascii="Arial" w:eastAsia="Arial" w:hAnsi="Arial" w:cs="Arial"/>
          <w:sz w:val="22"/>
          <w:szCs w:val="22"/>
        </w:rPr>
        <w:t xml:space="preserve"> </w:t>
      </w:r>
      <w:proofErr w:type="spellStart"/>
      <w:r w:rsidR="007C1D4A" w:rsidRPr="00856619">
        <w:rPr>
          <w:rFonts w:ascii="Arial" w:eastAsia="Arial" w:hAnsi="Arial" w:cs="Arial"/>
          <w:sz w:val="22"/>
          <w:szCs w:val="22"/>
        </w:rPr>
        <w:t>Charlly</w:t>
      </w:r>
      <w:proofErr w:type="spellEnd"/>
      <w:r w:rsidR="007C1D4A" w:rsidRPr="00856619">
        <w:rPr>
          <w:rFonts w:ascii="Arial" w:eastAsia="Arial" w:hAnsi="Arial" w:cs="Arial"/>
          <w:sz w:val="22"/>
          <w:szCs w:val="22"/>
        </w:rPr>
        <w:t>,</w:t>
      </w:r>
      <w:r w:rsidR="00806A09" w:rsidRPr="00856619">
        <w:rPr>
          <w:rFonts w:ascii="Arial" w:eastAsia="Arial" w:hAnsi="Arial" w:cs="Arial"/>
          <w:sz w:val="22"/>
          <w:szCs w:val="22"/>
        </w:rPr>
        <w:t xml:space="preserve"> N.,</w:t>
      </w:r>
      <w:r w:rsidR="007C1D4A" w:rsidRPr="00856619">
        <w:rPr>
          <w:rFonts w:ascii="Arial" w:eastAsia="Arial" w:hAnsi="Arial" w:cs="Arial"/>
          <w:sz w:val="22"/>
          <w:szCs w:val="22"/>
        </w:rPr>
        <w:t xml:space="preserve"> Sullivan,</w:t>
      </w:r>
      <w:r w:rsidR="00806A09" w:rsidRPr="00856619">
        <w:rPr>
          <w:rFonts w:ascii="Arial" w:eastAsia="Arial" w:hAnsi="Arial" w:cs="Arial"/>
          <w:sz w:val="22"/>
          <w:szCs w:val="22"/>
        </w:rPr>
        <w:t xml:space="preserve"> K.,</w:t>
      </w:r>
      <w:r w:rsidR="007C1D4A" w:rsidRPr="00856619">
        <w:rPr>
          <w:rFonts w:ascii="Arial" w:eastAsia="Arial" w:hAnsi="Arial" w:cs="Arial"/>
          <w:sz w:val="22"/>
          <w:szCs w:val="22"/>
        </w:rPr>
        <w:t xml:space="preserve"> Moreno</w:t>
      </w:r>
      <w:r w:rsidR="008F7623" w:rsidRPr="00856619">
        <w:rPr>
          <w:rFonts w:ascii="Arial" w:eastAsia="Arial" w:hAnsi="Arial" w:cs="Arial"/>
          <w:sz w:val="22"/>
          <w:szCs w:val="22"/>
        </w:rPr>
        <w:t>, M, A.</w:t>
      </w:r>
      <w:r w:rsidR="007C1D4A" w:rsidRPr="00856619">
        <w:rPr>
          <w:rFonts w:ascii="Arial" w:eastAsia="Arial" w:hAnsi="Arial" w:cs="Arial"/>
          <w:sz w:val="22"/>
          <w:szCs w:val="22"/>
        </w:rPr>
        <w:t xml:space="preserve"> </w:t>
      </w:r>
      <w:r w:rsidRPr="00856619">
        <w:rPr>
          <w:rFonts w:ascii="Arial" w:eastAsia="Arial" w:hAnsi="Arial" w:cs="Arial"/>
          <w:sz w:val="22"/>
          <w:szCs w:val="22"/>
        </w:rPr>
        <w:t>(2025) ‘</w:t>
      </w:r>
      <w:r w:rsidR="00281583" w:rsidRPr="00856619">
        <w:rPr>
          <w:rFonts w:ascii="Arial" w:eastAsia="Arial" w:hAnsi="Arial" w:cs="Arial"/>
          <w:sz w:val="22"/>
          <w:szCs w:val="22"/>
        </w:rPr>
        <w:t xml:space="preserve">Associations </w:t>
      </w:r>
      <w:r w:rsidR="00601304" w:rsidRPr="00856619">
        <w:rPr>
          <w:rFonts w:ascii="Arial" w:eastAsia="Arial" w:hAnsi="Arial" w:cs="Arial"/>
          <w:sz w:val="22"/>
          <w:szCs w:val="22"/>
        </w:rPr>
        <w:t>b</w:t>
      </w:r>
      <w:r w:rsidR="00281583" w:rsidRPr="00856619">
        <w:rPr>
          <w:rFonts w:ascii="Arial" w:eastAsia="Arial" w:hAnsi="Arial" w:cs="Arial"/>
          <w:sz w:val="22"/>
          <w:szCs w:val="22"/>
        </w:rPr>
        <w:t xml:space="preserve">etween </w:t>
      </w:r>
      <w:r w:rsidR="00601304" w:rsidRPr="00856619">
        <w:rPr>
          <w:rFonts w:ascii="Arial" w:eastAsia="Arial" w:hAnsi="Arial" w:cs="Arial"/>
          <w:sz w:val="22"/>
          <w:szCs w:val="22"/>
        </w:rPr>
        <w:t>s</w:t>
      </w:r>
      <w:r w:rsidR="00281583" w:rsidRPr="00856619">
        <w:rPr>
          <w:rFonts w:ascii="Arial" w:eastAsia="Arial" w:hAnsi="Arial" w:cs="Arial"/>
          <w:sz w:val="22"/>
          <w:szCs w:val="22"/>
        </w:rPr>
        <w:t xml:space="preserve">ocial </w:t>
      </w:r>
      <w:r w:rsidR="00601304" w:rsidRPr="00856619">
        <w:rPr>
          <w:rFonts w:ascii="Arial" w:eastAsia="Arial" w:hAnsi="Arial" w:cs="Arial"/>
          <w:sz w:val="22"/>
          <w:szCs w:val="22"/>
        </w:rPr>
        <w:t>m</w:t>
      </w:r>
      <w:r w:rsidR="00281583" w:rsidRPr="00856619">
        <w:rPr>
          <w:rFonts w:ascii="Arial" w:eastAsia="Arial" w:hAnsi="Arial" w:cs="Arial"/>
          <w:sz w:val="22"/>
          <w:szCs w:val="22"/>
        </w:rPr>
        <w:t xml:space="preserve">edia </w:t>
      </w:r>
      <w:r w:rsidR="00601304" w:rsidRPr="00856619">
        <w:rPr>
          <w:rFonts w:ascii="Arial" w:eastAsia="Arial" w:hAnsi="Arial" w:cs="Arial"/>
          <w:sz w:val="22"/>
          <w:szCs w:val="22"/>
        </w:rPr>
        <w:t>u</w:t>
      </w:r>
      <w:r w:rsidR="00281583" w:rsidRPr="00856619">
        <w:rPr>
          <w:rFonts w:ascii="Arial" w:eastAsia="Arial" w:hAnsi="Arial" w:cs="Arial"/>
          <w:sz w:val="22"/>
          <w:szCs w:val="22"/>
        </w:rPr>
        <w:t xml:space="preserve">se and </w:t>
      </w:r>
      <w:r w:rsidR="00601304" w:rsidRPr="00856619">
        <w:rPr>
          <w:rFonts w:ascii="Arial" w:eastAsia="Arial" w:hAnsi="Arial" w:cs="Arial"/>
          <w:sz w:val="22"/>
          <w:szCs w:val="22"/>
        </w:rPr>
        <w:t>a</w:t>
      </w:r>
      <w:r w:rsidR="00281583" w:rsidRPr="00856619">
        <w:rPr>
          <w:rFonts w:ascii="Arial" w:eastAsia="Arial" w:hAnsi="Arial" w:cs="Arial"/>
          <w:sz w:val="22"/>
          <w:szCs w:val="22"/>
        </w:rPr>
        <w:t xml:space="preserve">nxiety </w:t>
      </w:r>
      <w:r w:rsidR="00601304" w:rsidRPr="00856619">
        <w:rPr>
          <w:rFonts w:ascii="Arial" w:eastAsia="Arial" w:hAnsi="Arial" w:cs="Arial"/>
          <w:sz w:val="22"/>
          <w:szCs w:val="22"/>
        </w:rPr>
        <w:t>a</w:t>
      </w:r>
      <w:r w:rsidR="00281583" w:rsidRPr="00856619">
        <w:rPr>
          <w:rFonts w:ascii="Arial" w:eastAsia="Arial" w:hAnsi="Arial" w:cs="Arial"/>
          <w:sz w:val="22"/>
          <w:szCs w:val="22"/>
        </w:rPr>
        <w:t xml:space="preserve">mong </w:t>
      </w:r>
      <w:r w:rsidR="00601304" w:rsidRPr="00856619">
        <w:rPr>
          <w:rFonts w:ascii="Arial" w:eastAsia="Arial" w:hAnsi="Arial" w:cs="Arial"/>
          <w:sz w:val="22"/>
          <w:szCs w:val="22"/>
        </w:rPr>
        <w:t>a</w:t>
      </w:r>
      <w:r w:rsidR="00281583" w:rsidRPr="00856619">
        <w:rPr>
          <w:rFonts w:ascii="Arial" w:eastAsia="Arial" w:hAnsi="Arial" w:cs="Arial"/>
          <w:sz w:val="22"/>
          <w:szCs w:val="22"/>
        </w:rPr>
        <w:t xml:space="preserve">dolescents: </w:t>
      </w:r>
      <w:r w:rsidR="00601304" w:rsidRPr="00856619">
        <w:rPr>
          <w:rFonts w:ascii="Arial" w:eastAsia="Arial" w:hAnsi="Arial" w:cs="Arial"/>
          <w:sz w:val="22"/>
          <w:szCs w:val="22"/>
        </w:rPr>
        <w:t>a</w:t>
      </w:r>
      <w:r w:rsidR="00281583" w:rsidRPr="00856619">
        <w:rPr>
          <w:rFonts w:ascii="Arial" w:eastAsia="Arial" w:hAnsi="Arial" w:cs="Arial"/>
          <w:sz w:val="22"/>
          <w:szCs w:val="22"/>
        </w:rPr>
        <w:t xml:space="preserve"> </w:t>
      </w:r>
      <w:r w:rsidR="00601304" w:rsidRPr="00856619">
        <w:rPr>
          <w:rFonts w:ascii="Arial" w:eastAsia="Arial" w:hAnsi="Arial" w:cs="Arial"/>
          <w:sz w:val="22"/>
          <w:szCs w:val="22"/>
        </w:rPr>
        <w:t>s</w:t>
      </w:r>
      <w:r w:rsidR="00281583" w:rsidRPr="00856619">
        <w:rPr>
          <w:rFonts w:ascii="Arial" w:eastAsia="Arial" w:hAnsi="Arial" w:cs="Arial"/>
          <w:sz w:val="22"/>
          <w:szCs w:val="22"/>
        </w:rPr>
        <w:t xml:space="preserve">ystematic </w:t>
      </w:r>
      <w:r w:rsidR="00601304" w:rsidRPr="00856619">
        <w:rPr>
          <w:rFonts w:ascii="Arial" w:eastAsia="Arial" w:hAnsi="Arial" w:cs="Arial"/>
          <w:sz w:val="22"/>
          <w:szCs w:val="22"/>
        </w:rPr>
        <w:t>r</w:t>
      </w:r>
      <w:r w:rsidR="00281583" w:rsidRPr="00856619">
        <w:rPr>
          <w:rFonts w:ascii="Arial" w:eastAsia="Arial" w:hAnsi="Arial" w:cs="Arial"/>
          <w:sz w:val="22"/>
          <w:szCs w:val="22"/>
        </w:rPr>
        <w:t xml:space="preserve">eview </w:t>
      </w:r>
      <w:r w:rsidR="00601304" w:rsidRPr="00856619">
        <w:rPr>
          <w:rFonts w:ascii="Arial" w:eastAsia="Arial" w:hAnsi="Arial" w:cs="Arial"/>
          <w:sz w:val="22"/>
          <w:szCs w:val="22"/>
        </w:rPr>
        <w:t>s</w:t>
      </w:r>
      <w:r w:rsidR="00281583" w:rsidRPr="00856619">
        <w:rPr>
          <w:rFonts w:ascii="Arial" w:eastAsia="Arial" w:hAnsi="Arial" w:cs="Arial"/>
          <w:sz w:val="22"/>
          <w:szCs w:val="22"/>
        </w:rPr>
        <w:t>tudy</w:t>
      </w:r>
      <w:r w:rsidRPr="00856619">
        <w:rPr>
          <w:rFonts w:ascii="Arial" w:eastAsia="Arial" w:hAnsi="Arial" w:cs="Arial"/>
          <w:sz w:val="22"/>
          <w:szCs w:val="22"/>
        </w:rPr>
        <w:t>’</w:t>
      </w:r>
      <w:r w:rsidR="00BA6799" w:rsidRPr="00856619">
        <w:rPr>
          <w:rFonts w:ascii="Arial" w:eastAsia="Arial" w:hAnsi="Arial" w:cs="Arial"/>
          <w:sz w:val="22"/>
          <w:szCs w:val="22"/>
        </w:rPr>
        <w:t>,</w:t>
      </w:r>
      <w:r w:rsidRPr="00856619">
        <w:rPr>
          <w:rFonts w:ascii="Arial" w:eastAsia="Arial" w:hAnsi="Arial" w:cs="Arial"/>
          <w:sz w:val="22"/>
          <w:szCs w:val="22"/>
        </w:rPr>
        <w:t xml:space="preserve"> </w:t>
      </w:r>
      <w:r w:rsidRPr="00856619">
        <w:rPr>
          <w:rFonts w:ascii="Arial" w:eastAsia="Arial" w:hAnsi="Arial" w:cs="Arial"/>
          <w:i/>
          <w:iCs/>
          <w:sz w:val="22"/>
          <w:szCs w:val="22"/>
        </w:rPr>
        <w:t>Journal of Adolescent Health</w:t>
      </w:r>
      <w:r w:rsidRPr="00856619">
        <w:rPr>
          <w:rFonts w:ascii="Arial" w:eastAsia="Arial" w:hAnsi="Arial" w:cs="Arial"/>
          <w:sz w:val="22"/>
          <w:szCs w:val="22"/>
        </w:rPr>
        <w:t xml:space="preserve">. Available at: </w:t>
      </w:r>
      <w:hyperlink r:id="rId42">
        <w:r w:rsidRPr="00856619">
          <w:rPr>
            <w:rStyle w:val="Hyperlink"/>
            <w:rFonts w:ascii="Arial" w:eastAsia="Arial" w:hAnsi="Arial" w:cs="Arial"/>
            <w:color w:val="auto"/>
            <w:sz w:val="22"/>
            <w:szCs w:val="22"/>
          </w:rPr>
          <w:t>https://www.jahonline.org/article/S1054-139X(24)00433-6/fulltext</w:t>
        </w:r>
      </w:hyperlink>
      <w:r w:rsidRPr="00856619">
        <w:rPr>
          <w:rFonts w:ascii="Arial" w:eastAsia="Arial" w:hAnsi="Arial" w:cs="Arial"/>
          <w:sz w:val="22"/>
          <w:szCs w:val="22"/>
        </w:rPr>
        <w:t xml:space="preserve"> (Accessed: </w:t>
      </w:r>
      <w:r w:rsidR="002C163B" w:rsidRPr="00856619">
        <w:rPr>
          <w:rFonts w:ascii="Arial" w:eastAsia="Arial" w:hAnsi="Arial" w:cs="Arial"/>
          <w:sz w:val="22"/>
          <w:szCs w:val="22"/>
        </w:rPr>
        <w:t xml:space="preserve">25 January </w:t>
      </w:r>
      <w:r w:rsidRPr="00856619">
        <w:rPr>
          <w:rFonts w:ascii="Arial" w:eastAsia="Arial" w:hAnsi="Arial" w:cs="Arial"/>
          <w:sz w:val="22"/>
          <w:szCs w:val="22"/>
        </w:rPr>
        <w:t>2026).</w:t>
      </w:r>
    </w:p>
    <w:p w14:paraId="361F572E" w14:textId="3735504F" w:rsidR="3A7CED5F" w:rsidRPr="00856619" w:rsidRDefault="3A7CED5F" w:rsidP="003C5D4C">
      <w:pPr>
        <w:rPr>
          <w:rFonts w:ascii="Arial" w:eastAsia="Arial" w:hAnsi="Arial" w:cs="Arial"/>
          <w:sz w:val="22"/>
          <w:szCs w:val="22"/>
        </w:rPr>
      </w:pPr>
    </w:p>
    <w:p w14:paraId="3F09D668" w14:textId="09AFA4D0"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Kessler, R.C., Berglund, P., Demler, O., Jin, R. and Walters, E.E. (2005) ‘Lifetime prevalence and age-of-onset distributions of DSM-IV disorders’</w:t>
      </w:r>
      <w:r w:rsidR="00E17A37" w:rsidRPr="00856619">
        <w:rPr>
          <w:rFonts w:ascii="Arial" w:eastAsia="Arial" w:hAnsi="Arial" w:cs="Arial"/>
          <w:sz w:val="22"/>
          <w:szCs w:val="22"/>
        </w:rPr>
        <w:t xml:space="preserve">, </w:t>
      </w:r>
      <w:r w:rsidRPr="00856619">
        <w:rPr>
          <w:rFonts w:ascii="Arial" w:eastAsia="Arial" w:hAnsi="Arial" w:cs="Arial"/>
          <w:i/>
          <w:iCs/>
          <w:sz w:val="22"/>
          <w:szCs w:val="22"/>
        </w:rPr>
        <w:t>Archives of General Psychiatry</w:t>
      </w:r>
      <w:r w:rsidRPr="00856619">
        <w:rPr>
          <w:rFonts w:ascii="Arial" w:eastAsia="Arial" w:hAnsi="Arial" w:cs="Arial"/>
          <w:sz w:val="22"/>
          <w:szCs w:val="22"/>
        </w:rPr>
        <w:t xml:space="preserve">, 62(6), pp. 593–602. Available at: </w:t>
      </w:r>
      <w:hyperlink r:id="rId43">
        <w:r w:rsidRPr="00856619">
          <w:rPr>
            <w:rStyle w:val="Hyperlink"/>
            <w:rFonts w:ascii="Arial" w:eastAsia="Arial" w:hAnsi="Arial" w:cs="Arial"/>
            <w:color w:val="auto"/>
            <w:sz w:val="22"/>
            <w:szCs w:val="22"/>
          </w:rPr>
          <w:t>https://doi.org/10.1001/archpsyc.62.6.593</w:t>
        </w:r>
      </w:hyperlink>
      <w:r w:rsidRPr="00856619">
        <w:rPr>
          <w:rFonts w:ascii="Arial" w:eastAsia="Arial" w:hAnsi="Arial" w:cs="Arial"/>
          <w:sz w:val="22"/>
          <w:szCs w:val="22"/>
        </w:rPr>
        <w:t xml:space="preserve"> (Accessed: </w:t>
      </w:r>
      <w:r w:rsidR="0006467F" w:rsidRPr="00856619">
        <w:rPr>
          <w:rFonts w:ascii="Arial" w:eastAsia="Arial" w:hAnsi="Arial" w:cs="Arial"/>
          <w:sz w:val="22"/>
          <w:szCs w:val="22"/>
        </w:rPr>
        <w:t xml:space="preserve">14 February </w:t>
      </w:r>
      <w:r w:rsidRPr="00856619">
        <w:rPr>
          <w:rFonts w:ascii="Arial" w:eastAsia="Arial" w:hAnsi="Arial" w:cs="Arial"/>
          <w:sz w:val="22"/>
          <w:szCs w:val="22"/>
        </w:rPr>
        <w:t>2026).</w:t>
      </w:r>
    </w:p>
    <w:p w14:paraId="571B130E" w14:textId="110C7BA3" w:rsidR="3A7CED5F" w:rsidRPr="00856619" w:rsidRDefault="3A7CED5F" w:rsidP="003C5D4C">
      <w:pPr>
        <w:rPr>
          <w:rFonts w:ascii="Arial" w:eastAsia="Arial" w:hAnsi="Arial" w:cs="Arial"/>
          <w:sz w:val="22"/>
          <w:szCs w:val="22"/>
        </w:rPr>
      </w:pPr>
    </w:p>
    <w:p w14:paraId="690A8D43" w14:textId="5C8817CA"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Lakey, B. and Orehek, E. (2011) ‘Relational regulation theory’</w:t>
      </w:r>
      <w:r w:rsidR="00E17A37" w:rsidRPr="00856619">
        <w:rPr>
          <w:rFonts w:ascii="Arial" w:eastAsia="Arial" w:hAnsi="Arial" w:cs="Arial"/>
          <w:sz w:val="22"/>
          <w:szCs w:val="22"/>
        </w:rPr>
        <w:t xml:space="preserve">, </w:t>
      </w:r>
      <w:r w:rsidRPr="00856619">
        <w:rPr>
          <w:rFonts w:ascii="Arial" w:eastAsia="Arial" w:hAnsi="Arial" w:cs="Arial"/>
          <w:i/>
          <w:iCs/>
          <w:sz w:val="22"/>
          <w:szCs w:val="22"/>
        </w:rPr>
        <w:t>Psychological Review</w:t>
      </w:r>
      <w:r w:rsidRPr="00856619">
        <w:rPr>
          <w:rFonts w:ascii="Arial" w:eastAsia="Arial" w:hAnsi="Arial" w:cs="Arial"/>
          <w:sz w:val="22"/>
          <w:szCs w:val="22"/>
        </w:rPr>
        <w:t xml:space="preserve">, 118(3), pp. 482–495. Available at: </w:t>
      </w:r>
      <w:hyperlink r:id="rId44">
        <w:r w:rsidRPr="00856619">
          <w:rPr>
            <w:rStyle w:val="Hyperlink"/>
            <w:rFonts w:ascii="Arial" w:eastAsia="Arial" w:hAnsi="Arial" w:cs="Arial"/>
            <w:color w:val="auto"/>
            <w:sz w:val="22"/>
            <w:szCs w:val="22"/>
          </w:rPr>
          <w:t>https://doi.org/10.1037/a0023477</w:t>
        </w:r>
      </w:hyperlink>
      <w:r w:rsidRPr="00856619">
        <w:rPr>
          <w:rFonts w:ascii="Arial" w:eastAsia="Arial" w:hAnsi="Arial" w:cs="Arial"/>
          <w:sz w:val="22"/>
          <w:szCs w:val="22"/>
        </w:rPr>
        <w:t xml:space="preserve"> (Accessed</w:t>
      </w:r>
      <w:r w:rsidR="0006467F" w:rsidRPr="00856619">
        <w:rPr>
          <w:rFonts w:ascii="Arial" w:eastAsia="Arial" w:hAnsi="Arial" w:cs="Arial"/>
          <w:sz w:val="22"/>
          <w:szCs w:val="22"/>
        </w:rPr>
        <w:t>: 26</w:t>
      </w:r>
      <w:r w:rsidR="007F5E56" w:rsidRPr="00856619">
        <w:rPr>
          <w:rFonts w:ascii="Arial" w:eastAsia="Arial" w:hAnsi="Arial" w:cs="Arial"/>
          <w:sz w:val="22"/>
          <w:szCs w:val="22"/>
        </w:rPr>
        <w:t xml:space="preserve"> January</w:t>
      </w:r>
      <w:r w:rsidRPr="00856619">
        <w:rPr>
          <w:rFonts w:ascii="Arial" w:eastAsia="Arial" w:hAnsi="Arial" w:cs="Arial"/>
          <w:sz w:val="22"/>
          <w:szCs w:val="22"/>
        </w:rPr>
        <w:t xml:space="preserve"> 2026).</w:t>
      </w:r>
    </w:p>
    <w:p w14:paraId="59B31B4E" w14:textId="600B21DC" w:rsidR="3A7CED5F" w:rsidRPr="00856619" w:rsidRDefault="3A7CED5F" w:rsidP="003C5D4C">
      <w:pPr>
        <w:rPr>
          <w:rFonts w:ascii="Arial" w:eastAsia="Arial" w:hAnsi="Arial" w:cs="Arial"/>
          <w:sz w:val="22"/>
          <w:szCs w:val="22"/>
        </w:rPr>
      </w:pPr>
    </w:p>
    <w:p w14:paraId="49DB813F" w14:textId="62A03DEE"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Marmot, M. </w:t>
      </w:r>
      <w:r w:rsidR="00936DAF" w:rsidRPr="00856619">
        <w:rPr>
          <w:rFonts w:ascii="Arial" w:eastAsia="Arial" w:hAnsi="Arial" w:cs="Arial"/>
          <w:sz w:val="22"/>
          <w:szCs w:val="22"/>
        </w:rPr>
        <w:t xml:space="preserve">Marmot, M., Allen, J., Boyce, T., Goldblatt., and Morrison, J. </w:t>
      </w:r>
      <w:r w:rsidRPr="00856619">
        <w:rPr>
          <w:rFonts w:ascii="Arial" w:eastAsia="Arial" w:hAnsi="Arial" w:cs="Arial"/>
          <w:sz w:val="22"/>
          <w:szCs w:val="22"/>
        </w:rPr>
        <w:t xml:space="preserve">(2020) Health </w:t>
      </w:r>
      <w:r w:rsidR="00E17A37" w:rsidRPr="00856619">
        <w:rPr>
          <w:rFonts w:ascii="Arial" w:eastAsia="Arial" w:hAnsi="Arial" w:cs="Arial"/>
          <w:sz w:val="22"/>
          <w:szCs w:val="22"/>
        </w:rPr>
        <w:t>e</w:t>
      </w:r>
      <w:r w:rsidRPr="00856619">
        <w:rPr>
          <w:rFonts w:ascii="Arial" w:eastAsia="Arial" w:hAnsi="Arial" w:cs="Arial"/>
          <w:sz w:val="22"/>
          <w:szCs w:val="22"/>
        </w:rPr>
        <w:t xml:space="preserve">quity in England: The </w:t>
      </w:r>
      <w:r w:rsidR="00E17A37" w:rsidRPr="00856619">
        <w:rPr>
          <w:rFonts w:ascii="Arial" w:eastAsia="Arial" w:hAnsi="Arial" w:cs="Arial"/>
          <w:sz w:val="22"/>
          <w:szCs w:val="22"/>
        </w:rPr>
        <w:t>m</w:t>
      </w:r>
      <w:r w:rsidRPr="00856619">
        <w:rPr>
          <w:rFonts w:ascii="Arial" w:eastAsia="Arial" w:hAnsi="Arial" w:cs="Arial"/>
          <w:sz w:val="22"/>
          <w:szCs w:val="22"/>
        </w:rPr>
        <w:t xml:space="preserve">armot </w:t>
      </w:r>
      <w:r w:rsidR="00E17A37" w:rsidRPr="00856619">
        <w:rPr>
          <w:rFonts w:ascii="Arial" w:eastAsia="Arial" w:hAnsi="Arial" w:cs="Arial"/>
          <w:sz w:val="22"/>
          <w:szCs w:val="22"/>
        </w:rPr>
        <w:t>r</w:t>
      </w:r>
      <w:r w:rsidRPr="00856619">
        <w:rPr>
          <w:rFonts w:ascii="Arial" w:eastAsia="Arial" w:hAnsi="Arial" w:cs="Arial"/>
          <w:sz w:val="22"/>
          <w:szCs w:val="22"/>
        </w:rPr>
        <w:t xml:space="preserve">eview 10 </w:t>
      </w:r>
      <w:r w:rsidR="00E17A37" w:rsidRPr="00856619">
        <w:rPr>
          <w:rFonts w:ascii="Arial" w:eastAsia="Arial" w:hAnsi="Arial" w:cs="Arial"/>
          <w:sz w:val="22"/>
          <w:szCs w:val="22"/>
        </w:rPr>
        <w:t>y</w:t>
      </w:r>
      <w:r w:rsidRPr="00856619">
        <w:rPr>
          <w:rFonts w:ascii="Arial" w:eastAsia="Arial" w:hAnsi="Arial" w:cs="Arial"/>
          <w:sz w:val="22"/>
          <w:szCs w:val="22"/>
        </w:rPr>
        <w:t xml:space="preserve">ears </w:t>
      </w:r>
      <w:r w:rsidR="00E17A37" w:rsidRPr="00856619">
        <w:rPr>
          <w:rFonts w:ascii="Arial" w:eastAsia="Arial" w:hAnsi="Arial" w:cs="Arial"/>
          <w:sz w:val="22"/>
          <w:szCs w:val="22"/>
        </w:rPr>
        <w:t>o</w:t>
      </w:r>
      <w:r w:rsidRPr="00856619">
        <w:rPr>
          <w:rFonts w:ascii="Arial" w:eastAsia="Arial" w:hAnsi="Arial" w:cs="Arial"/>
          <w:sz w:val="22"/>
          <w:szCs w:val="22"/>
        </w:rPr>
        <w:t xml:space="preserve">n. Available at: </w:t>
      </w:r>
      <w:hyperlink r:id="rId45">
        <w:r w:rsidRPr="00856619">
          <w:rPr>
            <w:rStyle w:val="Hyperlink"/>
            <w:rFonts w:ascii="Arial" w:eastAsia="Arial" w:hAnsi="Arial" w:cs="Arial"/>
            <w:color w:val="auto"/>
            <w:sz w:val="22"/>
            <w:szCs w:val="22"/>
          </w:rPr>
          <w:t>https://www.health.org.uk/publications/reports/the-marmot-review-10-years-on</w:t>
        </w:r>
      </w:hyperlink>
      <w:r w:rsidRPr="00856619">
        <w:rPr>
          <w:rFonts w:ascii="Arial" w:eastAsia="Arial" w:hAnsi="Arial" w:cs="Arial"/>
          <w:sz w:val="22"/>
          <w:szCs w:val="22"/>
        </w:rPr>
        <w:t xml:space="preserve"> (Accessed: 20 March 2026).</w:t>
      </w:r>
    </w:p>
    <w:p w14:paraId="3CD75356" w14:textId="0560167B" w:rsidR="3A7CED5F" w:rsidRPr="00856619" w:rsidRDefault="3A7CED5F" w:rsidP="003C5D4C">
      <w:pPr>
        <w:rPr>
          <w:rFonts w:ascii="Arial" w:eastAsia="Arial" w:hAnsi="Arial" w:cs="Arial"/>
          <w:sz w:val="22"/>
          <w:szCs w:val="22"/>
        </w:rPr>
      </w:pPr>
    </w:p>
    <w:p w14:paraId="461A6FBD" w14:textId="56F60153"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lastRenderedPageBreak/>
        <w:t xml:space="preserve">Masten, A.S. (2001) ‘Ordinary magic: </w:t>
      </w:r>
      <w:r w:rsidR="000A039D" w:rsidRPr="00856619">
        <w:rPr>
          <w:rFonts w:ascii="Arial" w:eastAsia="Arial" w:hAnsi="Arial" w:cs="Arial"/>
          <w:sz w:val="22"/>
          <w:szCs w:val="22"/>
        </w:rPr>
        <w:t>r</w:t>
      </w:r>
      <w:r w:rsidRPr="00856619">
        <w:rPr>
          <w:rFonts w:ascii="Arial" w:eastAsia="Arial" w:hAnsi="Arial" w:cs="Arial"/>
          <w:sz w:val="22"/>
          <w:szCs w:val="22"/>
        </w:rPr>
        <w:t>esilience processes in development’</w:t>
      </w:r>
      <w:r w:rsidR="007F5E56" w:rsidRPr="00856619">
        <w:rPr>
          <w:rFonts w:ascii="Arial" w:eastAsia="Arial" w:hAnsi="Arial" w:cs="Arial"/>
          <w:sz w:val="22"/>
          <w:szCs w:val="22"/>
        </w:rPr>
        <w:t>.</w:t>
      </w:r>
      <w:r w:rsidRPr="00856619">
        <w:rPr>
          <w:rFonts w:ascii="Arial" w:eastAsia="Arial" w:hAnsi="Arial" w:cs="Arial"/>
          <w:sz w:val="22"/>
          <w:szCs w:val="22"/>
        </w:rPr>
        <w:t xml:space="preserve"> </w:t>
      </w:r>
      <w:r w:rsidRPr="00856619">
        <w:rPr>
          <w:rFonts w:ascii="Arial" w:eastAsia="Arial" w:hAnsi="Arial" w:cs="Arial"/>
          <w:i/>
          <w:iCs/>
          <w:sz w:val="22"/>
          <w:szCs w:val="22"/>
        </w:rPr>
        <w:t>American Psychologist</w:t>
      </w:r>
      <w:r w:rsidRPr="00856619">
        <w:rPr>
          <w:rFonts w:ascii="Arial" w:eastAsia="Arial" w:hAnsi="Arial" w:cs="Arial"/>
          <w:sz w:val="22"/>
          <w:szCs w:val="22"/>
        </w:rPr>
        <w:t xml:space="preserve">, 56(3), pp. 227–238. Available at: </w:t>
      </w:r>
      <w:hyperlink r:id="rId46">
        <w:r w:rsidRPr="00856619">
          <w:rPr>
            <w:rStyle w:val="Hyperlink"/>
            <w:rFonts w:ascii="Arial" w:eastAsia="Arial" w:hAnsi="Arial" w:cs="Arial"/>
            <w:color w:val="auto"/>
            <w:sz w:val="22"/>
            <w:szCs w:val="22"/>
          </w:rPr>
          <w:t>https://doi.org/10.1037/0003-066X.56.3.227</w:t>
        </w:r>
      </w:hyperlink>
      <w:r w:rsidRPr="00856619">
        <w:rPr>
          <w:rFonts w:ascii="Arial" w:eastAsia="Arial" w:hAnsi="Arial" w:cs="Arial"/>
          <w:sz w:val="22"/>
          <w:szCs w:val="22"/>
        </w:rPr>
        <w:t xml:space="preserve"> (Accessed:</w:t>
      </w:r>
      <w:r w:rsidR="007F5E56" w:rsidRPr="00856619">
        <w:rPr>
          <w:rFonts w:ascii="Arial" w:eastAsia="Arial" w:hAnsi="Arial" w:cs="Arial"/>
          <w:sz w:val="22"/>
          <w:szCs w:val="22"/>
        </w:rPr>
        <w:t xml:space="preserve">16 December </w:t>
      </w:r>
      <w:r w:rsidRPr="00856619">
        <w:rPr>
          <w:rFonts w:ascii="Arial" w:eastAsia="Arial" w:hAnsi="Arial" w:cs="Arial"/>
          <w:sz w:val="22"/>
          <w:szCs w:val="22"/>
        </w:rPr>
        <w:t>202</w:t>
      </w:r>
      <w:r w:rsidR="00A103C7" w:rsidRPr="00856619">
        <w:rPr>
          <w:rFonts w:ascii="Arial" w:eastAsia="Arial" w:hAnsi="Arial" w:cs="Arial"/>
          <w:sz w:val="22"/>
          <w:szCs w:val="22"/>
        </w:rPr>
        <w:t>5</w:t>
      </w:r>
      <w:r w:rsidRPr="00856619">
        <w:rPr>
          <w:rFonts w:ascii="Arial" w:eastAsia="Arial" w:hAnsi="Arial" w:cs="Arial"/>
          <w:sz w:val="22"/>
          <w:szCs w:val="22"/>
        </w:rPr>
        <w:t>).</w:t>
      </w:r>
    </w:p>
    <w:p w14:paraId="40856F14" w14:textId="1618F58C" w:rsidR="3A7CED5F" w:rsidRPr="00856619" w:rsidRDefault="3A7CED5F" w:rsidP="003C5D4C">
      <w:pPr>
        <w:rPr>
          <w:rFonts w:ascii="Arial" w:eastAsia="Arial" w:hAnsi="Arial" w:cs="Arial"/>
          <w:sz w:val="22"/>
          <w:szCs w:val="22"/>
        </w:rPr>
      </w:pPr>
    </w:p>
    <w:p w14:paraId="62F3CAA0" w14:textId="5BD6B085"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McLeod, B.D., Wood, J.J. and Weisz, J.R. (2007) ‘Examining the association between parenting and childhood anxiety: A meta-</w:t>
      </w:r>
      <w:proofErr w:type="spellStart"/>
      <w:r w:rsidRPr="00856619">
        <w:rPr>
          <w:rFonts w:ascii="Arial" w:eastAsia="Arial" w:hAnsi="Arial" w:cs="Arial"/>
          <w:sz w:val="22"/>
          <w:szCs w:val="22"/>
        </w:rPr>
        <w:t>analysis’</w:t>
      </w:r>
      <w:r w:rsidR="000A039D" w:rsidRPr="00856619">
        <w:rPr>
          <w:rFonts w:ascii="Arial" w:eastAsia="Arial" w:hAnsi="Arial" w:cs="Arial"/>
          <w:sz w:val="22"/>
          <w:szCs w:val="22"/>
        </w:rPr>
        <w:t>m</w:t>
      </w:r>
      <w:proofErr w:type="spellEnd"/>
      <w:r w:rsidRPr="00856619">
        <w:rPr>
          <w:rFonts w:ascii="Arial" w:eastAsia="Arial" w:hAnsi="Arial" w:cs="Arial"/>
          <w:sz w:val="22"/>
          <w:szCs w:val="22"/>
        </w:rPr>
        <w:t xml:space="preserve"> </w:t>
      </w:r>
      <w:r w:rsidRPr="00856619">
        <w:rPr>
          <w:rFonts w:ascii="Arial" w:eastAsia="Arial" w:hAnsi="Arial" w:cs="Arial"/>
          <w:i/>
          <w:iCs/>
          <w:sz w:val="22"/>
          <w:szCs w:val="22"/>
        </w:rPr>
        <w:t>Clinical Psychology Review</w:t>
      </w:r>
      <w:r w:rsidRPr="00856619">
        <w:rPr>
          <w:rFonts w:ascii="Arial" w:eastAsia="Arial" w:hAnsi="Arial" w:cs="Arial"/>
          <w:sz w:val="22"/>
          <w:szCs w:val="22"/>
        </w:rPr>
        <w:t xml:space="preserve">, 27(2), pp. 155–172. Available at: </w:t>
      </w:r>
      <w:hyperlink r:id="rId47">
        <w:r w:rsidRPr="00856619">
          <w:rPr>
            <w:rStyle w:val="Hyperlink"/>
            <w:rFonts w:ascii="Arial" w:eastAsia="Arial" w:hAnsi="Arial" w:cs="Arial"/>
            <w:color w:val="auto"/>
            <w:sz w:val="22"/>
            <w:szCs w:val="22"/>
          </w:rPr>
          <w:t>https://doi.org/10.1016/j.cpr.2006.09.002</w:t>
        </w:r>
      </w:hyperlink>
      <w:r w:rsidRPr="00856619">
        <w:rPr>
          <w:rFonts w:ascii="Arial" w:eastAsia="Arial" w:hAnsi="Arial" w:cs="Arial"/>
          <w:sz w:val="22"/>
          <w:szCs w:val="22"/>
        </w:rPr>
        <w:t xml:space="preserve"> (Accessed: </w:t>
      </w:r>
      <w:r w:rsidR="003A293E" w:rsidRPr="00856619">
        <w:rPr>
          <w:rFonts w:ascii="Arial" w:eastAsia="Arial" w:hAnsi="Arial" w:cs="Arial"/>
          <w:sz w:val="22"/>
          <w:szCs w:val="22"/>
        </w:rPr>
        <w:t xml:space="preserve">15 January </w:t>
      </w:r>
      <w:r w:rsidRPr="00856619">
        <w:rPr>
          <w:rFonts w:ascii="Arial" w:eastAsia="Arial" w:hAnsi="Arial" w:cs="Arial"/>
          <w:sz w:val="22"/>
          <w:szCs w:val="22"/>
        </w:rPr>
        <w:t>2026).</w:t>
      </w:r>
    </w:p>
    <w:p w14:paraId="368A5377" w14:textId="173600A0" w:rsidR="3A7CED5F" w:rsidRPr="00856619" w:rsidRDefault="3A7CED5F" w:rsidP="003C5D4C">
      <w:pPr>
        <w:rPr>
          <w:rFonts w:ascii="Arial" w:eastAsia="Arial" w:hAnsi="Arial" w:cs="Arial"/>
          <w:sz w:val="22"/>
          <w:szCs w:val="22"/>
        </w:rPr>
      </w:pPr>
    </w:p>
    <w:p w14:paraId="6113933F" w14:textId="2B3E87ED"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Mental Health Foundation</w:t>
      </w:r>
      <w:r w:rsidR="000A3192" w:rsidRPr="00856619">
        <w:rPr>
          <w:rFonts w:ascii="Arial" w:eastAsia="Arial" w:hAnsi="Arial" w:cs="Arial"/>
          <w:sz w:val="22"/>
          <w:szCs w:val="22"/>
        </w:rPr>
        <w:t>.</w:t>
      </w:r>
      <w:r w:rsidRPr="00856619">
        <w:rPr>
          <w:rFonts w:ascii="Arial" w:eastAsia="Arial" w:hAnsi="Arial" w:cs="Arial"/>
          <w:sz w:val="22"/>
          <w:szCs w:val="22"/>
        </w:rPr>
        <w:t xml:space="preserve"> (2022</w:t>
      </w:r>
      <w:r w:rsidRPr="00856619">
        <w:rPr>
          <w:rFonts w:ascii="Arial" w:eastAsia="Arial" w:hAnsi="Arial" w:cs="Arial"/>
          <w:i/>
          <w:iCs/>
          <w:sz w:val="22"/>
          <w:szCs w:val="22"/>
        </w:rPr>
        <w:t>) The mental health of children and young people during COVID-19</w:t>
      </w:r>
      <w:r w:rsidRPr="00856619">
        <w:rPr>
          <w:rFonts w:ascii="Arial" w:eastAsia="Arial" w:hAnsi="Arial" w:cs="Arial"/>
          <w:sz w:val="22"/>
          <w:szCs w:val="22"/>
        </w:rPr>
        <w:t xml:space="preserve">. Available at: </w:t>
      </w:r>
      <w:hyperlink r:id="rId48">
        <w:r w:rsidRPr="00856619">
          <w:rPr>
            <w:rStyle w:val="Hyperlink"/>
            <w:rFonts w:ascii="Arial" w:eastAsia="Arial" w:hAnsi="Arial" w:cs="Arial"/>
            <w:color w:val="auto"/>
            <w:sz w:val="22"/>
            <w:szCs w:val="22"/>
          </w:rPr>
          <w:t>https://www.mentalhealth.org.uk</w:t>
        </w:r>
      </w:hyperlink>
      <w:r w:rsidRPr="00856619">
        <w:rPr>
          <w:rFonts w:ascii="Arial" w:eastAsia="Arial" w:hAnsi="Arial" w:cs="Arial"/>
          <w:sz w:val="22"/>
          <w:szCs w:val="22"/>
        </w:rPr>
        <w:t xml:space="preserve"> (Accessed: </w:t>
      </w:r>
      <w:r w:rsidR="000A3192" w:rsidRPr="00856619">
        <w:rPr>
          <w:rFonts w:ascii="Arial" w:eastAsia="Arial" w:hAnsi="Arial" w:cs="Arial"/>
          <w:sz w:val="22"/>
          <w:szCs w:val="22"/>
        </w:rPr>
        <w:t xml:space="preserve">01 February </w:t>
      </w:r>
      <w:r w:rsidRPr="00856619">
        <w:rPr>
          <w:rFonts w:ascii="Arial" w:eastAsia="Arial" w:hAnsi="Arial" w:cs="Arial"/>
          <w:sz w:val="22"/>
          <w:szCs w:val="22"/>
        </w:rPr>
        <w:t>2026).</w:t>
      </w:r>
    </w:p>
    <w:p w14:paraId="17C1C28B" w14:textId="3191A17E" w:rsidR="3A7CED5F" w:rsidRPr="00856619" w:rsidRDefault="3A7CED5F" w:rsidP="003C5D4C">
      <w:pPr>
        <w:rPr>
          <w:rFonts w:ascii="Arial" w:eastAsia="Arial" w:hAnsi="Arial" w:cs="Arial"/>
          <w:sz w:val="22"/>
          <w:szCs w:val="22"/>
        </w:rPr>
      </w:pPr>
    </w:p>
    <w:p w14:paraId="25049AEA" w14:textId="774CC639"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Mikulincer, M. and Shaver, P.R. (2016) </w:t>
      </w:r>
      <w:r w:rsidRPr="00856619">
        <w:rPr>
          <w:rFonts w:ascii="Arial" w:eastAsia="Arial" w:hAnsi="Arial" w:cs="Arial"/>
          <w:i/>
          <w:iCs/>
          <w:sz w:val="22"/>
          <w:szCs w:val="22"/>
        </w:rPr>
        <w:t xml:space="preserve">Attachment in </w:t>
      </w:r>
      <w:r w:rsidR="000A039D" w:rsidRPr="00856619">
        <w:rPr>
          <w:rFonts w:ascii="Arial" w:eastAsia="Arial" w:hAnsi="Arial" w:cs="Arial"/>
          <w:i/>
          <w:iCs/>
          <w:sz w:val="22"/>
          <w:szCs w:val="22"/>
        </w:rPr>
        <w:t>a</w:t>
      </w:r>
      <w:r w:rsidRPr="00856619">
        <w:rPr>
          <w:rFonts w:ascii="Arial" w:eastAsia="Arial" w:hAnsi="Arial" w:cs="Arial"/>
          <w:i/>
          <w:iCs/>
          <w:sz w:val="22"/>
          <w:szCs w:val="22"/>
        </w:rPr>
        <w:t xml:space="preserve">dulthood: </w:t>
      </w:r>
      <w:r w:rsidR="000A039D" w:rsidRPr="00856619">
        <w:rPr>
          <w:rFonts w:ascii="Arial" w:eastAsia="Arial" w:hAnsi="Arial" w:cs="Arial"/>
          <w:i/>
          <w:iCs/>
          <w:sz w:val="22"/>
          <w:szCs w:val="22"/>
        </w:rPr>
        <w:t>s</w:t>
      </w:r>
      <w:r w:rsidRPr="00856619">
        <w:rPr>
          <w:rFonts w:ascii="Arial" w:eastAsia="Arial" w:hAnsi="Arial" w:cs="Arial"/>
          <w:i/>
          <w:iCs/>
          <w:sz w:val="22"/>
          <w:szCs w:val="22"/>
        </w:rPr>
        <w:t xml:space="preserve">tructure, </w:t>
      </w:r>
      <w:r w:rsidR="000A039D" w:rsidRPr="00856619">
        <w:rPr>
          <w:rFonts w:ascii="Arial" w:eastAsia="Arial" w:hAnsi="Arial" w:cs="Arial"/>
          <w:i/>
          <w:iCs/>
          <w:sz w:val="22"/>
          <w:szCs w:val="22"/>
        </w:rPr>
        <w:t>d</w:t>
      </w:r>
      <w:r w:rsidRPr="00856619">
        <w:rPr>
          <w:rFonts w:ascii="Arial" w:eastAsia="Arial" w:hAnsi="Arial" w:cs="Arial"/>
          <w:i/>
          <w:iCs/>
          <w:sz w:val="22"/>
          <w:szCs w:val="22"/>
        </w:rPr>
        <w:t xml:space="preserve">ynamics, and </w:t>
      </w:r>
      <w:r w:rsidR="000A039D" w:rsidRPr="00856619">
        <w:rPr>
          <w:rFonts w:ascii="Arial" w:eastAsia="Arial" w:hAnsi="Arial" w:cs="Arial"/>
          <w:i/>
          <w:iCs/>
          <w:sz w:val="22"/>
          <w:szCs w:val="22"/>
        </w:rPr>
        <w:t>c</w:t>
      </w:r>
      <w:r w:rsidRPr="00856619">
        <w:rPr>
          <w:rFonts w:ascii="Arial" w:eastAsia="Arial" w:hAnsi="Arial" w:cs="Arial"/>
          <w:i/>
          <w:iCs/>
          <w:sz w:val="22"/>
          <w:szCs w:val="22"/>
        </w:rPr>
        <w:t xml:space="preserve">hange. </w:t>
      </w:r>
      <w:r w:rsidRPr="00856619">
        <w:rPr>
          <w:rFonts w:ascii="Arial" w:eastAsia="Arial" w:hAnsi="Arial" w:cs="Arial"/>
          <w:sz w:val="22"/>
          <w:szCs w:val="22"/>
        </w:rPr>
        <w:t xml:space="preserve">2nd </w:t>
      </w:r>
      <w:proofErr w:type="spellStart"/>
      <w:r w:rsidRPr="00856619">
        <w:rPr>
          <w:rFonts w:ascii="Arial" w:eastAsia="Arial" w:hAnsi="Arial" w:cs="Arial"/>
          <w:sz w:val="22"/>
          <w:szCs w:val="22"/>
        </w:rPr>
        <w:t>edn</w:t>
      </w:r>
      <w:proofErr w:type="spellEnd"/>
      <w:r w:rsidRPr="00856619">
        <w:rPr>
          <w:rFonts w:ascii="Arial" w:eastAsia="Arial" w:hAnsi="Arial" w:cs="Arial"/>
          <w:i/>
          <w:iCs/>
          <w:sz w:val="22"/>
          <w:szCs w:val="22"/>
        </w:rPr>
        <w:t>.</w:t>
      </w:r>
      <w:r w:rsidRPr="00856619">
        <w:rPr>
          <w:rFonts w:ascii="Arial" w:eastAsia="Arial" w:hAnsi="Arial" w:cs="Arial"/>
          <w:sz w:val="22"/>
          <w:szCs w:val="22"/>
        </w:rPr>
        <w:t xml:space="preserve"> New York: Guilford Press.</w:t>
      </w:r>
    </w:p>
    <w:p w14:paraId="39014A0C" w14:textId="2E341534" w:rsidR="3A7CED5F" w:rsidRPr="00856619" w:rsidRDefault="3A7CED5F" w:rsidP="003C5D4C">
      <w:pPr>
        <w:rPr>
          <w:rFonts w:ascii="Arial" w:eastAsia="Arial" w:hAnsi="Arial" w:cs="Arial"/>
          <w:sz w:val="22"/>
          <w:szCs w:val="22"/>
        </w:rPr>
      </w:pPr>
    </w:p>
    <w:p w14:paraId="0730B837" w14:textId="5B3965EF" w:rsidR="001414F7" w:rsidRPr="00856619" w:rsidRDefault="0CD4DD13" w:rsidP="003C5D4C">
      <w:pPr>
        <w:rPr>
          <w:rFonts w:ascii="Arial" w:eastAsia="Arial" w:hAnsi="Arial" w:cs="Arial"/>
          <w:sz w:val="22"/>
          <w:szCs w:val="22"/>
        </w:rPr>
      </w:pPr>
      <w:r w:rsidRPr="00856619">
        <w:rPr>
          <w:rFonts w:ascii="Arial" w:eastAsia="Arial" w:hAnsi="Arial" w:cs="Arial"/>
          <w:sz w:val="22"/>
          <w:szCs w:val="22"/>
        </w:rPr>
        <w:t>Muris, P. (20</w:t>
      </w:r>
      <w:r w:rsidR="00497502" w:rsidRPr="00856619">
        <w:rPr>
          <w:rFonts w:ascii="Arial" w:eastAsia="Arial" w:hAnsi="Arial" w:cs="Arial"/>
          <w:sz w:val="22"/>
          <w:szCs w:val="22"/>
        </w:rPr>
        <w:t>02</w:t>
      </w:r>
      <w:r w:rsidRPr="00856619">
        <w:rPr>
          <w:rFonts w:ascii="Arial" w:eastAsia="Arial" w:hAnsi="Arial" w:cs="Arial"/>
          <w:sz w:val="22"/>
          <w:szCs w:val="22"/>
        </w:rPr>
        <w:t>)</w:t>
      </w:r>
      <w:r w:rsidR="006A5A86" w:rsidRPr="00856619">
        <w:rPr>
          <w:rFonts w:ascii="Arial" w:hAnsi="Arial" w:cs="Arial"/>
          <w:sz w:val="22"/>
          <w:szCs w:val="22"/>
        </w:rPr>
        <w:t xml:space="preserve"> ‘</w:t>
      </w:r>
      <w:r w:rsidR="006A5A86" w:rsidRPr="00856619">
        <w:rPr>
          <w:rFonts w:ascii="Arial" w:eastAsia="Arial" w:hAnsi="Arial" w:cs="Arial"/>
          <w:sz w:val="22"/>
          <w:szCs w:val="22"/>
        </w:rPr>
        <w:t>Relationships between self-efficacy and symptoms of anxiety disorders and depression in a normal adolescent sample’</w:t>
      </w:r>
      <w:r w:rsidR="0017427F" w:rsidRPr="00856619">
        <w:rPr>
          <w:rFonts w:ascii="Arial" w:eastAsia="Arial" w:hAnsi="Arial" w:cs="Arial"/>
          <w:sz w:val="22"/>
          <w:szCs w:val="22"/>
        </w:rPr>
        <w:t>,</w:t>
      </w:r>
      <w:r w:rsidR="001414F7" w:rsidRPr="00856619">
        <w:rPr>
          <w:rFonts w:ascii="Arial" w:eastAsia="Arial" w:hAnsi="Arial" w:cs="Arial"/>
          <w:sz w:val="22"/>
          <w:szCs w:val="22"/>
        </w:rPr>
        <w:t xml:space="preserve"> </w:t>
      </w:r>
      <w:r w:rsidR="003C7B98" w:rsidRPr="00856619">
        <w:rPr>
          <w:rFonts w:ascii="Arial" w:eastAsia="Arial" w:hAnsi="Arial" w:cs="Arial"/>
          <w:i/>
          <w:iCs/>
          <w:sz w:val="22"/>
          <w:szCs w:val="22"/>
        </w:rPr>
        <w:t>Science Direct</w:t>
      </w:r>
      <w:r w:rsidR="003C7B98" w:rsidRPr="00856619">
        <w:rPr>
          <w:rFonts w:ascii="Arial" w:eastAsia="Arial" w:hAnsi="Arial" w:cs="Arial"/>
          <w:sz w:val="22"/>
          <w:szCs w:val="22"/>
        </w:rPr>
        <w:t xml:space="preserve">, </w:t>
      </w:r>
      <w:r w:rsidR="001414F7" w:rsidRPr="00856619">
        <w:rPr>
          <w:rFonts w:ascii="Arial" w:eastAsia="Arial" w:hAnsi="Arial" w:cs="Arial"/>
          <w:sz w:val="22"/>
          <w:szCs w:val="22"/>
        </w:rPr>
        <w:t>32</w:t>
      </w:r>
      <w:r w:rsidR="001B4084" w:rsidRPr="00856619">
        <w:rPr>
          <w:rFonts w:ascii="Arial" w:eastAsia="Arial" w:hAnsi="Arial" w:cs="Arial"/>
          <w:sz w:val="22"/>
          <w:szCs w:val="22"/>
        </w:rPr>
        <w:t xml:space="preserve"> (</w:t>
      </w:r>
      <w:r w:rsidR="001414F7" w:rsidRPr="00856619">
        <w:rPr>
          <w:rFonts w:ascii="Arial" w:eastAsia="Arial" w:hAnsi="Arial" w:cs="Arial"/>
          <w:sz w:val="22"/>
          <w:szCs w:val="22"/>
        </w:rPr>
        <w:t>2</w:t>
      </w:r>
      <w:r w:rsidR="001B4084" w:rsidRPr="00856619">
        <w:rPr>
          <w:rFonts w:ascii="Arial" w:eastAsia="Arial" w:hAnsi="Arial" w:cs="Arial"/>
          <w:sz w:val="22"/>
          <w:szCs w:val="22"/>
        </w:rPr>
        <w:t>)</w:t>
      </w:r>
      <w:r w:rsidR="003C7B98" w:rsidRPr="00856619">
        <w:rPr>
          <w:rFonts w:ascii="Arial" w:eastAsia="Arial" w:hAnsi="Arial" w:cs="Arial"/>
          <w:sz w:val="22"/>
          <w:szCs w:val="22"/>
        </w:rPr>
        <w:t xml:space="preserve"> pp</w:t>
      </w:r>
      <w:r w:rsidR="0017427F" w:rsidRPr="00856619">
        <w:rPr>
          <w:rFonts w:ascii="Arial" w:eastAsia="Arial" w:hAnsi="Arial" w:cs="Arial"/>
          <w:sz w:val="22"/>
          <w:szCs w:val="22"/>
        </w:rPr>
        <w:t>.</w:t>
      </w:r>
      <w:r w:rsidR="00FD71F3" w:rsidRPr="00856619">
        <w:rPr>
          <w:rFonts w:ascii="Arial" w:eastAsia="Arial" w:hAnsi="Arial" w:cs="Arial"/>
          <w:sz w:val="22"/>
          <w:szCs w:val="22"/>
        </w:rPr>
        <w:t xml:space="preserve"> 337-348. Available at:</w:t>
      </w:r>
      <w:r w:rsidR="00941CD2" w:rsidRPr="00856619">
        <w:rPr>
          <w:rFonts w:ascii="Arial" w:eastAsia="Arial" w:hAnsi="Arial" w:cs="Arial"/>
          <w:sz w:val="22"/>
          <w:szCs w:val="22"/>
        </w:rPr>
        <w:t xml:space="preserve"> </w:t>
      </w:r>
      <w:hyperlink r:id="rId49">
        <w:r w:rsidR="00941CD2" w:rsidRPr="00856619">
          <w:rPr>
            <w:rStyle w:val="Hyperlink"/>
            <w:rFonts w:ascii="Arial" w:eastAsia="Arial" w:hAnsi="Arial" w:cs="Arial"/>
            <w:color w:val="auto"/>
            <w:sz w:val="22"/>
            <w:szCs w:val="22"/>
          </w:rPr>
          <w:t>https://doi.org/10.1016/j.brat.2015.04.008</w:t>
        </w:r>
      </w:hyperlink>
      <w:r w:rsidR="00941CD2" w:rsidRPr="00856619">
        <w:rPr>
          <w:rFonts w:ascii="Arial" w:eastAsia="Arial" w:hAnsi="Arial" w:cs="Arial"/>
          <w:sz w:val="22"/>
          <w:szCs w:val="22"/>
        </w:rPr>
        <w:t xml:space="preserve"> (Accessed: 23 January 2026).</w:t>
      </w:r>
    </w:p>
    <w:p w14:paraId="14600481" w14:textId="77777777" w:rsidR="0017427F" w:rsidRPr="00856619" w:rsidRDefault="0017427F" w:rsidP="003C5D4C">
      <w:pPr>
        <w:rPr>
          <w:rFonts w:ascii="Arial" w:eastAsia="Arial" w:hAnsi="Arial" w:cs="Arial"/>
          <w:sz w:val="22"/>
          <w:szCs w:val="22"/>
        </w:rPr>
      </w:pPr>
    </w:p>
    <w:p w14:paraId="758DEA8C" w14:textId="5E9EFD62" w:rsidR="0CD4DD13" w:rsidRPr="00856619" w:rsidRDefault="0CD4DD13" w:rsidP="003C5D4C">
      <w:pPr>
        <w:rPr>
          <w:rFonts w:ascii="Arial" w:eastAsia="Arial" w:hAnsi="Arial" w:cs="Arial"/>
          <w:sz w:val="22"/>
          <w:szCs w:val="22"/>
        </w:rPr>
      </w:pPr>
      <w:r w:rsidRPr="00856619">
        <w:rPr>
          <w:rFonts w:ascii="Arial" w:eastAsia="Arial" w:hAnsi="Arial" w:cs="Arial"/>
          <w:sz w:val="22"/>
          <w:szCs w:val="22"/>
        </w:rPr>
        <w:t xml:space="preserve">Murray, L., Creswell, C. and Cooper, P.J. (2009) ‘The development of anxiety disorders’, </w:t>
      </w:r>
      <w:r w:rsidRPr="00856619">
        <w:rPr>
          <w:rFonts w:ascii="Arial" w:eastAsia="Arial" w:hAnsi="Arial" w:cs="Arial"/>
          <w:i/>
          <w:iCs/>
          <w:sz w:val="22"/>
          <w:szCs w:val="22"/>
        </w:rPr>
        <w:t>Psychological Medicine</w:t>
      </w:r>
      <w:r w:rsidRPr="00856619">
        <w:rPr>
          <w:rFonts w:ascii="Arial" w:eastAsia="Arial" w:hAnsi="Arial" w:cs="Arial"/>
          <w:sz w:val="22"/>
          <w:szCs w:val="22"/>
        </w:rPr>
        <w:t>. Available at:</w:t>
      </w:r>
      <w:r w:rsidR="003058E5" w:rsidRPr="00856619">
        <w:rPr>
          <w:rFonts w:ascii="Arial" w:eastAsia="Arial" w:hAnsi="Arial" w:cs="Arial"/>
          <w:sz w:val="22"/>
          <w:szCs w:val="22"/>
        </w:rPr>
        <w:t xml:space="preserve"> </w:t>
      </w:r>
      <w:hyperlink r:id="rId50" w:history="1">
        <w:r w:rsidR="0017427F" w:rsidRPr="00856619">
          <w:rPr>
            <w:rStyle w:val="Hyperlink"/>
            <w:rFonts w:ascii="Arial" w:eastAsia="Arial" w:hAnsi="Arial" w:cs="Arial"/>
            <w:color w:val="auto"/>
            <w:sz w:val="22"/>
            <w:szCs w:val="22"/>
          </w:rPr>
          <w:t>https://www.cambridge.org/core/journals/psychological-medicine/article/abs/development-of-anxiety-disorders-in-childhood-an-integrative-review/78CA4C983719D652402CA1F5A0E259DD</w:t>
        </w:r>
      </w:hyperlink>
      <w:r w:rsidR="0017427F" w:rsidRPr="00856619">
        <w:rPr>
          <w:rFonts w:ascii="Arial" w:eastAsia="Arial" w:hAnsi="Arial" w:cs="Arial"/>
          <w:sz w:val="22"/>
          <w:szCs w:val="22"/>
        </w:rPr>
        <w:t xml:space="preserve"> </w:t>
      </w:r>
      <w:r w:rsidRPr="00856619">
        <w:rPr>
          <w:rFonts w:ascii="Arial" w:eastAsia="Arial" w:hAnsi="Arial" w:cs="Arial"/>
          <w:sz w:val="22"/>
          <w:szCs w:val="22"/>
        </w:rPr>
        <w:t xml:space="preserve">(Accessed: </w:t>
      </w:r>
      <w:r w:rsidR="00065E5A" w:rsidRPr="00856619">
        <w:rPr>
          <w:rFonts w:ascii="Arial" w:eastAsia="Arial" w:hAnsi="Arial" w:cs="Arial"/>
          <w:sz w:val="22"/>
          <w:szCs w:val="22"/>
        </w:rPr>
        <w:t>04 February</w:t>
      </w:r>
      <w:r w:rsidRPr="00856619">
        <w:rPr>
          <w:rFonts w:ascii="Arial" w:eastAsia="Arial" w:hAnsi="Arial" w:cs="Arial"/>
          <w:sz w:val="22"/>
          <w:szCs w:val="22"/>
        </w:rPr>
        <w:t xml:space="preserve"> 2026</w:t>
      </w:r>
      <w:r w:rsidR="277C86DC" w:rsidRPr="00856619">
        <w:rPr>
          <w:rFonts w:ascii="Arial" w:eastAsia="Arial" w:hAnsi="Arial" w:cs="Arial"/>
          <w:sz w:val="22"/>
          <w:szCs w:val="22"/>
        </w:rPr>
        <w:t>).</w:t>
      </w:r>
    </w:p>
    <w:p w14:paraId="4457E542" w14:textId="77777777" w:rsidR="00C73C49" w:rsidRPr="00856619" w:rsidRDefault="00C73C49" w:rsidP="003C5D4C">
      <w:pPr>
        <w:rPr>
          <w:rFonts w:ascii="Arial" w:eastAsia="Arial" w:hAnsi="Arial" w:cs="Arial"/>
          <w:sz w:val="22"/>
          <w:szCs w:val="22"/>
        </w:rPr>
      </w:pPr>
    </w:p>
    <w:p w14:paraId="1D9D9753" w14:textId="146B7A29"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National Institute for Health and Care Excellence</w:t>
      </w:r>
      <w:r w:rsidR="00065E5A" w:rsidRPr="00856619">
        <w:rPr>
          <w:rFonts w:ascii="Arial" w:eastAsia="Arial" w:hAnsi="Arial" w:cs="Arial"/>
          <w:sz w:val="22"/>
          <w:szCs w:val="22"/>
        </w:rPr>
        <w:t>.</w:t>
      </w:r>
      <w:r w:rsidRPr="00856619">
        <w:rPr>
          <w:rFonts w:ascii="Arial" w:eastAsia="Arial" w:hAnsi="Arial" w:cs="Arial"/>
          <w:sz w:val="22"/>
          <w:szCs w:val="22"/>
        </w:rPr>
        <w:t xml:space="preserve"> (2021) </w:t>
      </w:r>
      <w:proofErr w:type="gramStart"/>
      <w:r w:rsidRPr="00856619">
        <w:rPr>
          <w:rFonts w:ascii="Arial" w:eastAsia="Arial" w:hAnsi="Arial" w:cs="Arial"/>
          <w:i/>
          <w:iCs/>
          <w:sz w:val="22"/>
          <w:szCs w:val="22"/>
        </w:rPr>
        <w:t xml:space="preserve">Anxiety </w:t>
      </w:r>
      <w:r w:rsidR="00595287" w:rsidRPr="00856619">
        <w:rPr>
          <w:rFonts w:ascii="Arial" w:eastAsia="Arial" w:hAnsi="Arial" w:cs="Arial"/>
          <w:i/>
          <w:iCs/>
          <w:sz w:val="22"/>
          <w:szCs w:val="22"/>
        </w:rPr>
        <w:t>d</w:t>
      </w:r>
      <w:r w:rsidRPr="00856619">
        <w:rPr>
          <w:rFonts w:ascii="Arial" w:eastAsia="Arial" w:hAnsi="Arial" w:cs="Arial"/>
          <w:i/>
          <w:iCs/>
          <w:sz w:val="22"/>
          <w:szCs w:val="22"/>
        </w:rPr>
        <w:t>isorders</w:t>
      </w:r>
      <w:proofErr w:type="gramEnd"/>
      <w:r w:rsidRPr="00856619">
        <w:rPr>
          <w:rFonts w:ascii="Arial" w:eastAsia="Arial" w:hAnsi="Arial" w:cs="Arial"/>
          <w:i/>
          <w:iCs/>
          <w:sz w:val="22"/>
          <w:szCs w:val="22"/>
        </w:rPr>
        <w:t xml:space="preserve">: </w:t>
      </w:r>
      <w:r w:rsidR="00595287" w:rsidRPr="00856619">
        <w:rPr>
          <w:rFonts w:ascii="Arial" w:eastAsia="Arial" w:hAnsi="Arial" w:cs="Arial"/>
          <w:i/>
          <w:iCs/>
          <w:sz w:val="22"/>
          <w:szCs w:val="22"/>
        </w:rPr>
        <w:t>q</w:t>
      </w:r>
      <w:r w:rsidRPr="00856619">
        <w:rPr>
          <w:rFonts w:ascii="Arial" w:eastAsia="Arial" w:hAnsi="Arial" w:cs="Arial"/>
          <w:i/>
          <w:iCs/>
          <w:sz w:val="22"/>
          <w:szCs w:val="22"/>
        </w:rPr>
        <w:t xml:space="preserve">uality </w:t>
      </w:r>
      <w:r w:rsidR="00595287" w:rsidRPr="00856619">
        <w:rPr>
          <w:rFonts w:ascii="Arial" w:eastAsia="Arial" w:hAnsi="Arial" w:cs="Arial"/>
          <w:i/>
          <w:iCs/>
          <w:sz w:val="22"/>
          <w:szCs w:val="22"/>
        </w:rPr>
        <w:t>s</w:t>
      </w:r>
      <w:r w:rsidRPr="00856619">
        <w:rPr>
          <w:rFonts w:ascii="Arial" w:eastAsia="Arial" w:hAnsi="Arial" w:cs="Arial"/>
          <w:i/>
          <w:iCs/>
          <w:sz w:val="22"/>
          <w:szCs w:val="22"/>
        </w:rPr>
        <w:t>tandard.</w:t>
      </w:r>
      <w:r w:rsidRPr="00856619">
        <w:rPr>
          <w:rFonts w:ascii="Arial" w:eastAsia="Arial" w:hAnsi="Arial" w:cs="Arial"/>
          <w:sz w:val="22"/>
          <w:szCs w:val="22"/>
        </w:rPr>
        <w:t xml:space="preserve"> Available at: </w:t>
      </w:r>
      <w:hyperlink r:id="rId51">
        <w:r w:rsidRPr="00856619">
          <w:rPr>
            <w:rStyle w:val="Hyperlink"/>
            <w:rFonts w:ascii="Arial" w:eastAsia="Arial" w:hAnsi="Arial" w:cs="Arial"/>
            <w:color w:val="auto"/>
            <w:sz w:val="22"/>
            <w:szCs w:val="22"/>
          </w:rPr>
          <w:t>https://www.nice.org.uk</w:t>
        </w:r>
      </w:hyperlink>
      <w:r w:rsidR="00EE4071" w:rsidRPr="00856619">
        <w:rPr>
          <w:rFonts w:ascii="Arial" w:hAnsi="Arial" w:cs="Arial"/>
          <w:sz w:val="22"/>
          <w:szCs w:val="22"/>
        </w:rPr>
        <w:t xml:space="preserve"> </w:t>
      </w:r>
      <w:r w:rsidRPr="00856619">
        <w:rPr>
          <w:rFonts w:ascii="Arial" w:eastAsia="Arial" w:hAnsi="Arial" w:cs="Arial"/>
          <w:sz w:val="22"/>
          <w:szCs w:val="22"/>
        </w:rPr>
        <w:t xml:space="preserve"> (Accessed: </w:t>
      </w:r>
      <w:r w:rsidR="00595287" w:rsidRPr="00856619">
        <w:rPr>
          <w:rFonts w:ascii="Arial" w:eastAsia="Arial" w:hAnsi="Arial" w:cs="Arial"/>
          <w:sz w:val="22"/>
          <w:szCs w:val="22"/>
        </w:rPr>
        <w:t xml:space="preserve">21 January </w:t>
      </w:r>
      <w:r w:rsidRPr="00856619">
        <w:rPr>
          <w:rFonts w:ascii="Arial" w:eastAsia="Arial" w:hAnsi="Arial" w:cs="Arial"/>
          <w:sz w:val="22"/>
          <w:szCs w:val="22"/>
        </w:rPr>
        <w:t>2026).</w:t>
      </w:r>
    </w:p>
    <w:p w14:paraId="4F620827" w14:textId="1E53C28D" w:rsidR="3A7CED5F" w:rsidRPr="00856619" w:rsidRDefault="3A7CED5F" w:rsidP="003C5D4C">
      <w:pPr>
        <w:rPr>
          <w:rFonts w:ascii="Arial" w:eastAsia="Arial" w:hAnsi="Arial" w:cs="Arial"/>
          <w:sz w:val="22"/>
          <w:szCs w:val="22"/>
        </w:rPr>
      </w:pPr>
    </w:p>
    <w:p w14:paraId="67760B7D" w14:textId="10401916"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NHS Digital</w:t>
      </w:r>
      <w:r w:rsidR="00170A24" w:rsidRPr="00856619">
        <w:rPr>
          <w:rFonts w:ascii="Arial" w:eastAsia="Arial" w:hAnsi="Arial" w:cs="Arial"/>
          <w:sz w:val="22"/>
          <w:szCs w:val="22"/>
        </w:rPr>
        <w:t>.</w:t>
      </w:r>
      <w:r w:rsidRPr="00856619">
        <w:rPr>
          <w:rFonts w:ascii="Arial" w:eastAsia="Arial" w:hAnsi="Arial" w:cs="Arial"/>
          <w:sz w:val="22"/>
          <w:szCs w:val="22"/>
        </w:rPr>
        <w:t xml:space="preserve"> (2021) </w:t>
      </w:r>
      <w:r w:rsidRPr="00856619">
        <w:rPr>
          <w:rFonts w:ascii="Arial" w:eastAsia="Arial" w:hAnsi="Arial" w:cs="Arial"/>
          <w:i/>
          <w:iCs/>
          <w:sz w:val="22"/>
          <w:szCs w:val="22"/>
        </w:rPr>
        <w:t xml:space="preserve">Mental </w:t>
      </w:r>
      <w:r w:rsidR="00170A24" w:rsidRPr="00856619">
        <w:rPr>
          <w:rFonts w:ascii="Arial" w:eastAsia="Arial" w:hAnsi="Arial" w:cs="Arial"/>
          <w:i/>
          <w:iCs/>
          <w:sz w:val="22"/>
          <w:szCs w:val="22"/>
        </w:rPr>
        <w:t>h</w:t>
      </w:r>
      <w:r w:rsidRPr="00856619">
        <w:rPr>
          <w:rFonts w:ascii="Arial" w:eastAsia="Arial" w:hAnsi="Arial" w:cs="Arial"/>
          <w:i/>
          <w:iCs/>
          <w:sz w:val="22"/>
          <w:szCs w:val="22"/>
        </w:rPr>
        <w:t xml:space="preserve">ealth of </w:t>
      </w:r>
      <w:r w:rsidR="00170A24" w:rsidRPr="00856619">
        <w:rPr>
          <w:rFonts w:ascii="Arial" w:eastAsia="Arial" w:hAnsi="Arial" w:cs="Arial"/>
          <w:i/>
          <w:iCs/>
          <w:sz w:val="22"/>
          <w:szCs w:val="22"/>
        </w:rPr>
        <w:t>c</w:t>
      </w:r>
      <w:r w:rsidRPr="00856619">
        <w:rPr>
          <w:rFonts w:ascii="Arial" w:eastAsia="Arial" w:hAnsi="Arial" w:cs="Arial"/>
          <w:i/>
          <w:iCs/>
          <w:sz w:val="22"/>
          <w:szCs w:val="22"/>
        </w:rPr>
        <w:t xml:space="preserve">hildren and </w:t>
      </w:r>
      <w:r w:rsidR="00170A24" w:rsidRPr="00856619">
        <w:rPr>
          <w:rFonts w:ascii="Arial" w:eastAsia="Arial" w:hAnsi="Arial" w:cs="Arial"/>
          <w:i/>
          <w:iCs/>
          <w:sz w:val="22"/>
          <w:szCs w:val="22"/>
        </w:rPr>
        <w:t>y</w:t>
      </w:r>
      <w:r w:rsidRPr="00856619">
        <w:rPr>
          <w:rFonts w:ascii="Arial" w:eastAsia="Arial" w:hAnsi="Arial" w:cs="Arial"/>
          <w:i/>
          <w:iCs/>
          <w:sz w:val="22"/>
          <w:szCs w:val="22"/>
        </w:rPr>
        <w:t xml:space="preserve">oung </w:t>
      </w:r>
      <w:r w:rsidR="00170A24" w:rsidRPr="00856619">
        <w:rPr>
          <w:rFonts w:ascii="Arial" w:eastAsia="Arial" w:hAnsi="Arial" w:cs="Arial"/>
          <w:i/>
          <w:iCs/>
          <w:sz w:val="22"/>
          <w:szCs w:val="22"/>
        </w:rPr>
        <w:t>p</w:t>
      </w:r>
      <w:r w:rsidRPr="00856619">
        <w:rPr>
          <w:rFonts w:ascii="Arial" w:eastAsia="Arial" w:hAnsi="Arial" w:cs="Arial"/>
          <w:i/>
          <w:iCs/>
          <w:sz w:val="22"/>
          <w:szCs w:val="22"/>
        </w:rPr>
        <w:t>eople in England 2021</w:t>
      </w:r>
      <w:r w:rsidRPr="00856619">
        <w:rPr>
          <w:rFonts w:ascii="Arial" w:eastAsia="Arial" w:hAnsi="Arial" w:cs="Arial"/>
          <w:sz w:val="22"/>
          <w:szCs w:val="22"/>
        </w:rPr>
        <w:t>. Available at</w:t>
      </w:r>
      <w:r w:rsidR="0068112E" w:rsidRPr="00856619">
        <w:rPr>
          <w:rFonts w:ascii="Arial" w:eastAsia="Arial" w:hAnsi="Arial" w:cs="Arial"/>
          <w:sz w:val="22"/>
          <w:szCs w:val="22"/>
        </w:rPr>
        <w:t xml:space="preserve">: </w:t>
      </w:r>
      <w:hyperlink r:id="rId52" w:history="1">
        <w:r w:rsidR="00E0414C" w:rsidRPr="00856619">
          <w:rPr>
            <w:rStyle w:val="Hyperlink"/>
            <w:rFonts w:ascii="Arial" w:eastAsia="Arial" w:hAnsi="Arial" w:cs="Arial"/>
            <w:color w:val="auto"/>
            <w:sz w:val="22"/>
            <w:szCs w:val="22"/>
          </w:rPr>
          <w:t>https://files.digital.nhs.uk/97/B09EF8/mhcyp_2021_rep.pdf</w:t>
        </w:r>
      </w:hyperlink>
      <w:r w:rsidR="00E0414C" w:rsidRPr="00856619">
        <w:rPr>
          <w:rFonts w:ascii="Arial" w:eastAsia="Arial" w:hAnsi="Arial" w:cs="Arial"/>
          <w:sz w:val="22"/>
          <w:szCs w:val="22"/>
        </w:rPr>
        <w:t xml:space="preserve"> </w:t>
      </w:r>
      <w:r w:rsidRPr="00856619">
        <w:rPr>
          <w:rFonts w:ascii="Arial" w:eastAsia="Arial" w:hAnsi="Arial" w:cs="Arial"/>
          <w:sz w:val="22"/>
          <w:szCs w:val="22"/>
        </w:rPr>
        <w:t xml:space="preserve"> (Accessed: 20 </w:t>
      </w:r>
      <w:r w:rsidR="00170A24" w:rsidRPr="00856619">
        <w:rPr>
          <w:rFonts w:ascii="Arial" w:eastAsia="Arial" w:hAnsi="Arial" w:cs="Arial"/>
          <w:sz w:val="22"/>
          <w:szCs w:val="22"/>
        </w:rPr>
        <w:t xml:space="preserve">February </w:t>
      </w:r>
      <w:r w:rsidRPr="00856619">
        <w:rPr>
          <w:rFonts w:ascii="Arial" w:eastAsia="Arial" w:hAnsi="Arial" w:cs="Arial"/>
          <w:sz w:val="22"/>
          <w:szCs w:val="22"/>
        </w:rPr>
        <w:t>2026).</w:t>
      </w:r>
    </w:p>
    <w:p w14:paraId="2CB40128" w14:textId="77777777" w:rsidR="005D098A" w:rsidRPr="00856619" w:rsidRDefault="005D098A" w:rsidP="003C5D4C">
      <w:pPr>
        <w:rPr>
          <w:rFonts w:ascii="Arial" w:eastAsia="Arial" w:hAnsi="Arial" w:cs="Arial"/>
          <w:sz w:val="22"/>
          <w:szCs w:val="22"/>
        </w:rPr>
      </w:pPr>
    </w:p>
    <w:p w14:paraId="78B91A47" w14:textId="0380AC4B" w:rsidR="00A01539" w:rsidRPr="00856619" w:rsidRDefault="71DBE16D" w:rsidP="003C5D4C">
      <w:pPr>
        <w:rPr>
          <w:rFonts w:ascii="Arial" w:eastAsia="Arial" w:hAnsi="Arial" w:cs="Arial"/>
          <w:sz w:val="22"/>
          <w:szCs w:val="22"/>
        </w:rPr>
      </w:pPr>
      <w:r w:rsidRPr="00856619">
        <w:rPr>
          <w:rFonts w:ascii="Arial" w:eastAsia="Arial" w:hAnsi="Arial" w:cs="Arial"/>
          <w:sz w:val="22"/>
          <w:szCs w:val="22"/>
        </w:rPr>
        <w:t>NHS Digital</w:t>
      </w:r>
      <w:r w:rsidR="00170A24" w:rsidRPr="00856619">
        <w:rPr>
          <w:rFonts w:ascii="Arial" w:eastAsia="Arial" w:hAnsi="Arial" w:cs="Arial"/>
          <w:sz w:val="22"/>
          <w:szCs w:val="22"/>
        </w:rPr>
        <w:t>.</w:t>
      </w:r>
      <w:r w:rsidRPr="00856619">
        <w:rPr>
          <w:rFonts w:ascii="Arial" w:eastAsia="Arial" w:hAnsi="Arial" w:cs="Arial"/>
          <w:sz w:val="22"/>
          <w:szCs w:val="22"/>
        </w:rPr>
        <w:t xml:space="preserve"> (2022) </w:t>
      </w:r>
      <w:r w:rsidRPr="00856619">
        <w:rPr>
          <w:rFonts w:ascii="Arial" w:eastAsia="Arial" w:hAnsi="Arial" w:cs="Arial"/>
          <w:i/>
          <w:iCs/>
          <w:sz w:val="22"/>
          <w:szCs w:val="22"/>
        </w:rPr>
        <w:t xml:space="preserve">Mental </w:t>
      </w:r>
      <w:r w:rsidR="00170A24" w:rsidRPr="00856619">
        <w:rPr>
          <w:rFonts w:ascii="Arial" w:eastAsia="Arial" w:hAnsi="Arial" w:cs="Arial"/>
          <w:i/>
          <w:iCs/>
          <w:sz w:val="22"/>
          <w:szCs w:val="22"/>
        </w:rPr>
        <w:t>h</w:t>
      </w:r>
      <w:r w:rsidRPr="00856619">
        <w:rPr>
          <w:rFonts w:ascii="Arial" w:eastAsia="Arial" w:hAnsi="Arial" w:cs="Arial"/>
          <w:i/>
          <w:iCs/>
          <w:sz w:val="22"/>
          <w:szCs w:val="22"/>
        </w:rPr>
        <w:t xml:space="preserve">ealth of </w:t>
      </w:r>
      <w:r w:rsidR="00170A24" w:rsidRPr="00856619">
        <w:rPr>
          <w:rFonts w:ascii="Arial" w:eastAsia="Arial" w:hAnsi="Arial" w:cs="Arial"/>
          <w:i/>
          <w:iCs/>
          <w:sz w:val="22"/>
          <w:szCs w:val="22"/>
        </w:rPr>
        <w:t>c</w:t>
      </w:r>
      <w:r w:rsidRPr="00856619">
        <w:rPr>
          <w:rFonts w:ascii="Arial" w:eastAsia="Arial" w:hAnsi="Arial" w:cs="Arial"/>
          <w:i/>
          <w:iCs/>
          <w:sz w:val="22"/>
          <w:szCs w:val="22"/>
        </w:rPr>
        <w:t xml:space="preserve">hildren and </w:t>
      </w:r>
      <w:r w:rsidR="00170A24" w:rsidRPr="00856619">
        <w:rPr>
          <w:rFonts w:ascii="Arial" w:eastAsia="Arial" w:hAnsi="Arial" w:cs="Arial"/>
          <w:i/>
          <w:iCs/>
          <w:sz w:val="22"/>
          <w:szCs w:val="22"/>
        </w:rPr>
        <w:t>y</w:t>
      </w:r>
      <w:r w:rsidRPr="00856619">
        <w:rPr>
          <w:rFonts w:ascii="Arial" w:eastAsia="Arial" w:hAnsi="Arial" w:cs="Arial"/>
          <w:i/>
          <w:iCs/>
          <w:sz w:val="22"/>
          <w:szCs w:val="22"/>
        </w:rPr>
        <w:t xml:space="preserve">oung </w:t>
      </w:r>
      <w:r w:rsidR="00170A24" w:rsidRPr="00856619">
        <w:rPr>
          <w:rFonts w:ascii="Arial" w:eastAsia="Arial" w:hAnsi="Arial" w:cs="Arial"/>
          <w:i/>
          <w:iCs/>
          <w:sz w:val="22"/>
          <w:szCs w:val="22"/>
        </w:rPr>
        <w:t>p</w:t>
      </w:r>
      <w:r w:rsidRPr="00856619">
        <w:rPr>
          <w:rFonts w:ascii="Arial" w:eastAsia="Arial" w:hAnsi="Arial" w:cs="Arial"/>
          <w:i/>
          <w:iCs/>
          <w:sz w:val="22"/>
          <w:szCs w:val="22"/>
        </w:rPr>
        <w:t>eople in England 2022</w:t>
      </w:r>
      <w:r w:rsidRPr="00856619">
        <w:rPr>
          <w:rFonts w:ascii="Arial" w:eastAsia="Arial" w:hAnsi="Arial" w:cs="Arial"/>
          <w:sz w:val="22"/>
          <w:szCs w:val="22"/>
        </w:rPr>
        <w:t>. Available at:</w:t>
      </w:r>
      <w:r w:rsidR="009100A5" w:rsidRPr="00856619">
        <w:rPr>
          <w:rFonts w:ascii="Arial" w:eastAsia="Arial" w:hAnsi="Arial" w:cs="Arial"/>
          <w:sz w:val="22"/>
          <w:szCs w:val="22"/>
        </w:rPr>
        <w:t xml:space="preserve"> </w:t>
      </w:r>
      <w:hyperlink r:id="rId53" w:history="1">
        <w:r w:rsidR="00C81BAB" w:rsidRPr="00856619">
          <w:rPr>
            <w:rStyle w:val="Hyperlink"/>
            <w:rFonts w:ascii="Arial" w:eastAsia="Arial" w:hAnsi="Arial" w:cs="Arial"/>
            <w:color w:val="auto"/>
            <w:sz w:val="22"/>
            <w:szCs w:val="22"/>
          </w:rPr>
          <w:t>https://digital.nhs.uk/data-and-information/publications/statistical/mental-health-of-children-and-young-people-in-england/2022-follow-up-to-the-2017-survey/introduction</w:t>
        </w:r>
      </w:hyperlink>
      <w:r w:rsidR="00C81BAB" w:rsidRPr="00856619">
        <w:rPr>
          <w:rFonts w:ascii="Arial" w:eastAsia="Arial" w:hAnsi="Arial" w:cs="Arial"/>
          <w:sz w:val="22"/>
          <w:szCs w:val="22"/>
        </w:rPr>
        <w:t xml:space="preserve">   (Accessed: 23 January 2026)</w:t>
      </w:r>
      <w:r w:rsidR="008E542E">
        <w:rPr>
          <w:rFonts w:ascii="Arial" w:eastAsia="Arial" w:hAnsi="Arial" w:cs="Arial"/>
          <w:sz w:val="22"/>
          <w:szCs w:val="22"/>
        </w:rPr>
        <w:t>.</w:t>
      </w:r>
    </w:p>
    <w:p w14:paraId="132FB7EE" w14:textId="3072C374" w:rsidR="3A7CED5F" w:rsidRPr="00856619" w:rsidRDefault="3A7CED5F" w:rsidP="003C5D4C">
      <w:pPr>
        <w:rPr>
          <w:rFonts w:ascii="Arial" w:eastAsia="Arial" w:hAnsi="Arial" w:cs="Arial"/>
          <w:sz w:val="22"/>
          <w:szCs w:val="22"/>
        </w:rPr>
      </w:pPr>
    </w:p>
    <w:p w14:paraId="40F8674F" w14:textId="0C100953"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lastRenderedPageBreak/>
        <w:t xml:space="preserve">Nowell, L.S., Norris, J.M., White, D.E. and Moules, N.J. (2017) ‘Thematic analysis: </w:t>
      </w:r>
      <w:r w:rsidR="00170A24" w:rsidRPr="00856619">
        <w:rPr>
          <w:rFonts w:ascii="Arial" w:eastAsia="Arial" w:hAnsi="Arial" w:cs="Arial"/>
          <w:sz w:val="22"/>
          <w:szCs w:val="22"/>
        </w:rPr>
        <w:t>s</w:t>
      </w:r>
      <w:r w:rsidRPr="00856619">
        <w:rPr>
          <w:rFonts w:ascii="Arial" w:eastAsia="Arial" w:hAnsi="Arial" w:cs="Arial"/>
          <w:sz w:val="22"/>
          <w:szCs w:val="22"/>
        </w:rPr>
        <w:t>triving to meet the trustworthiness criteria’</w:t>
      </w:r>
      <w:r w:rsidR="00EE4071" w:rsidRPr="00856619">
        <w:rPr>
          <w:rFonts w:ascii="Arial" w:eastAsia="Arial" w:hAnsi="Arial" w:cs="Arial"/>
          <w:sz w:val="22"/>
          <w:szCs w:val="22"/>
        </w:rPr>
        <w:t>,</w:t>
      </w:r>
      <w:r w:rsidR="00060864" w:rsidRPr="00856619">
        <w:rPr>
          <w:rFonts w:ascii="Arial" w:eastAsia="Arial" w:hAnsi="Arial" w:cs="Arial"/>
          <w:sz w:val="22"/>
          <w:szCs w:val="22"/>
        </w:rPr>
        <w:t xml:space="preserve"> </w:t>
      </w:r>
      <w:r w:rsidRPr="00856619">
        <w:rPr>
          <w:rFonts w:ascii="Arial" w:eastAsia="Arial" w:hAnsi="Arial" w:cs="Arial"/>
          <w:i/>
          <w:iCs/>
          <w:sz w:val="22"/>
          <w:szCs w:val="22"/>
        </w:rPr>
        <w:t>International Journal of Qualitative Methods</w:t>
      </w:r>
      <w:r w:rsidRPr="00856619">
        <w:rPr>
          <w:rFonts w:ascii="Arial" w:eastAsia="Arial" w:hAnsi="Arial" w:cs="Arial"/>
          <w:sz w:val="22"/>
          <w:szCs w:val="22"/>
        </w:rPr>
        <w:t xml:space="preserve">, 16(1). Available at: </w:t>
      </w:r>
      <w:hyperlink r:id="rId54">
        <w:r w:rsidRPr="00856619">
          <w:rPr>
            <w:rStyle w:val="Hyperlink"/>
            <w:rFonts w:ascii="Arial" w:eastAsia="Arial" w:hAnsi="Arial" w:cs="Arial"/>
            <w:color w:val="auto"/>
            <w:sz w:val="22"/>
            <w:szCs w:val="22"/>
          </w:rPr>
          <w:t>https://doi.org/10.1177/1609406917733847</w:t>
        </w:r>
      </w:hyperlink>
      <w:r w:rsidRPr="00856619">
        <w:rPr>
          <w:rFonts w:ascii="Arial" w:eastAsia="Arial" w:hAnsi="Arial" w:cs="Arial"/>
          <w:sz w:val="22"/>
          <w:szCs w:val="22"/>
        </w:rPr>
        <w:t xml:space="preserve"> (Accessed: </w:t>
      </w:r>
      <w:r w:rsidR="00170A24" w:rsidRPr="00856619">
        <w:rPr>
          <w:rFonts w:ascii="Arial" w:eastAsia="Arial" w:hAnsi="Arial" w:cs="Arial"/>
          <w:sz w:val="22"/>
          <w:szCs w:val="22"/>
        </w:rPr>
        <w:t>06 January</w:t>
      </w:r>
      <w:r w:rsidRPr="00856619">
        <w:rPr>
          <w:rFonts w:ascii="Arial" w:eastAsia="Arial" w:hAnsi="Arial" w:cs="Arial"/>
          <w:sz w:val="22"/>
          <w:szCs w:val="22"/>
        </w:rPr>
        <w:t xml:space="preserve"> 2026).</w:t>
      </w:r>
    </w:p>
    <w:p w14:paraId="341063CC" w14:textId="123B0907" w:rsidR="3A7CED5F" w:rsidRPr="00856619" w:rsidRDefault="3A7CED5F" w:rsidP="003C5D4C">
      <w:pPr>
        <w:rPr>
          <w:rFonts w:ascii="Arial" w:eastAsia="Arial" w:hAnsi="Arial" w:cs="Arial"/>
          <w:sz w:val="22"/>
          <w:szCs w:val="22"/>
        </w:rPr>
      </w:pPr>
    </w:p>
    <w:p w14:paraId="20BC7D46" w14:textId="33E002C2"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Odgers, C.L. and Jensen, M.R. (2020) ‘Annual Research Review: Digital technology and adolescent mental health’</w:t>
      </w:r>
      <w:r w:rsidR="00EE4071" w:rsidRPr="00856619">
        <w:rPr>
          <w:rFonts w:ascii="Arial" w:eastAsia="Arial" w:hAnsi="Arial" w:cs="Arial"/>
          <w:sz w:val="22"/>
          <w:szCs w:val="22"/>
        </w:rPr>
        <w:t xml:space="preserve">, </w:t>
      </w:r>
      <w:r w:rsidRPr="00856619">
        <w:rPr>
          <w:rFonts w:ascii="Arial" w:eastAsia="Arial" w:hAnsi="Arial" w:cs="Arial"/>
          <w:i/>
          <w:iCs/>
          <w:sz w:val="22"/>
          <w:szCs w:val="22"/>
        </w:rPr>
        <w:t>Journal of Child Psychology and Psychiatry</w:t>
      </w:r>
      <w:r w:rsidRPr="00856619">
        <w:rPr>
          <w:rFonts w:ascii="Arial" w:eastAsia="Arial" w:hAnsi="Arial" w:cs="Arial"/>
          <w:sz w:val="22"/>
          <w:szCs w:val="22"/>
        </w:rPr>
        <w:t xml:space="preserve">, 61(3), pp. 336–348. Available at: </w:t>
      </w:r>
      <w:hyperlink r:id="rId55">
        <w:r w:rsidRPr="00856619">
          <w:rPr>
            <w:rStyle w:val="Hyperlink"/>
            <w:rFonts w:ascii="Arial" w:eastAsia="Arial" w:hAnsi="Arial" w:cs="Arial"/>
            <w:color w:val="auto"/>
            <w:sz w:val="22"/>
            <w:szCs w:val="22"/>
          </w:rPr>
          <w:t>https://doi.org/10.1111/jcpp.13190</w:t>
        </w:r>
      </w:hyperlink>
      <w:r w:rsidR="00170A24" w:rsidRPr="00856619">
        <w:rPr>
          <w:rFonts w:ascii="Arial" w:hAnsi="Arial" w:cs="Arial"/>
          <w:sz w:val="22"/>
          <w:szCs w:val="22"/>
        </w:rPr>
        <w:t xml:space="preserve"> (Accessed: </w:t>
      </w:r>
      <w:r w:rsidR="00B3081B" w:rsidRPr="00856619">
        <w:rPr>
          <w:rFonts w:ascii="Arial" w:hAnsi="Arial" w:cs="Arial"/>
          <w:sz w:val="22"/>
          <w:szCs w:val="22"/>
        </w:rPr>
        <w:t>18 January 2026).</w:t>
      </w:r>
    </w:p>
    <w:p w14:paraId="1B9F8D97" w14:textId="158E5D06" w:rsidR="3A7CED5F" w:rsidRPr="00856619" w:rsidRDefault="3A7CED5F" w:rsidP="003C5D4C">
      <w:pPr>
        <w:rPr>
          <w:rFonts w:ascii="Arial" w:eastAsia="Arial" w:hAnsi="Arial" w:cs="Arial"/>
          <w:sz w:val="22"/>
          <w:szCs w:val="22"/>
        </w:rPr>
      </w:pPr>
    </w:p>
    <w:p w14:paraId="55AAA125" w14:textId="72099AC7"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Office for National Statistics</w:t>
      </w:r>
      <w:r w:rsidR="00B3081B" w:rsidRPr="00856619">
        <w:rPr>
          <w:rFonts w:ascii="Arial" w:eastAsia="Arial" w:hAnsi="Arial" w:cs="Arial"/>
          <w:sz w:val="22"/>
          <w:szCs w:val="22"/>
        </w:rPr>
        <w:t>.</w:t>
      </w:r>
      <w:r w:rsidRPr="00856619">
        <w:rPr>
          <w:rFonts w:ascii="Arial" w:eastAsia="Arial" w:hAnsi="Arial" w:cs="Arial"/>
          <w:sz w:val="22"/>
          <w:szCs w:val="22"/>
        </w:rPr>
        <w:t xml:space="preserve"> (2020</w:t>
      </w:r>
      <w:r w:rsidRPr="00856619">
        <w:rPr>
          <w:rFonts w:ascii="Arial" w:eastAsia="Arial" w:hAnsi="Arial" w:cs="Arial"/>
          <w:i/>
          <w:iCs/>
          <w:sz w:val="22"/>
          <w:szCs w:val="22"/>
        </w:rPr>
        <w:t xml:space="preserve">) Families and </w:t>
      </w:r>
      <w:r w:rsidR="00B3081B" w:rsidRPr="00856619">
        <w:rPr>
          <w:rFonts w:ascii="Arial" w:eastAsia="Arial" w:hAnsi="Arial" w:cs="Arial"/>
          <w:i/>
          <w:iCs/>
          <w:sz w:val="22"/>
          <w:szCs w:val="22"/>
        </w:rPr>
        <w:t>h</w:t>
      </w:r>
      <w:r w:rsidRPr="00856619">
        <w:rPr>
          <w:rFonts w:ascii="Arial" w:eastAsia="Arial" w:hAnsi="Arial" w:cs="Arial"/>
          <w:i/>
          <w:iCs/>
          <w:sz w:val="22"/>
          <w:szCs w:val="22"/>
        </w:rPr>
        <w:t>ouseholds in the UK</w:t>
      </w:r>
      <w:r w:rsidRPr="00856619">
        <w:rPr>
          <w:rFonts w:ascii="Arial" w:eastAsia="Arial" w:hAnsi="Arial" w:cs="Arial"/>
          <w:sz w:val="22"/>
          <w:szCs w:val="22"/>
        </w:rPr>
        <w:t xml:space="preserve">. Available at: </w:t>
      </w:r>
      <w:hyperlink r:id="rId56">
        <w:r w:rsidRPr="00856619">
          <w:rPr>
            <w:rStyle w:val="Hyperlink"/>
            <w:rFonts w:ascii="Arial" w:eastAsia="Arial" w:hAnsi="Arial" w:cs="Arial"/>
            <w:color w:val="auto"/>
            <w:sz w:val="22"/>
            <w:szCs w:val="22"/>
          </w:rPr>
          <w:t>https://www.ons.gov.uk</w:t>
        </w:r>
      </w:hyperlink>
      <w:r w:rsidRPr="00856619">
        <w:rPr>
          <w:rFonts w:ascii="Arial" w:eastAsia="Arial" w:hAnsi="Arial" w:cs="Arial"/>
          <w:sz w:val="22"/>
          <w:szCs w:val="22"/>
        </w:rPr>
        <w:t xml:space="preserve"> (</w:t>
      </w:r>
      <w:r w:rsidR="00B3081B" w:rsidRPr="00856619">
        <w:rPr>
          <w:rFonts w:ascii="Arial" w:eastAsia="Arial" w:hAnsi="Arial" w:cs="Arial"/>
          <w:sz w:val="22"/>
          <w:szCs w:val="22"/>
        </w:rPr>
        <w:t xml:space="preserve">Accessed: </w:t>
      </w:r>
      <w:r w:rsidR="0045335A" w:rsidRPr="00856619">
        <w:rPr>
          <w:rFonts w:ascii="Arial" w:eastAsia="Arial" w:hAnsi="Arial" w:cs="Arial"/>
          <w:sz w:val="22"/>
          <w:szCs w:val="22"/>
        </w:rPr>
        <w:t>21 December 2025).</w:t>
      </w:r>
    </w:p>
    <w:p w14:paraId="2104202A" w14:textId="310EB299" w:rsidR="3A7CED5F" w:rsidRPr="00856619" w:rsidRDefault="3A7CED5F" w:rsidP="003C5D4C">
      <w:pPr>
        <w:rPr>
          <w:rFonts w:ascii="Arial" w:eastAsia="Arial" w:hAnsi="Arial" w:cs="Arial"/>
          <w:sz w:val="22"/>
          <w:szCs w:val="22"/>
        </w:rPr>
      </w:pPr>
    </w:p>
    <w:p w14:paraId="0126F43E" w14:textId="2E1B66E7"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 xml:space="preserve">Ozbay, F., Johnson, D.C., </w:t>
      </w:r>
      <w:proofErr w:type="spellStart"/>
      <w:r w:rsidRPr="00856619">
        <w:rPr>
          <w:rFonts w:ascii="Arial" w:eastAsia="Arial" w:hAnsi="Arial" w:cs="Arial"/>
          <w:sz w:val="22"/>
          <w:szCs w:val="22"/>
        </w:rPr>
        <w:t>Dimoulas</w:t>
      </w:r>
      <w:proofErr w:type="spellEnd"/>
      <w:r w:rsidRPr="00856619">
        <w:rPr>
          <w:rFonts w:ascii="Arial" w:eastAsia="Arial" w:hAnsi="Arial" w:cs="Arial"/>
          <w:sz w:val="22"/>
          <w:szCs w:val="22"/>
        </w:rPr>
        <w:t>, E., Morgan, C.A. and Charney, D. (2007) ‘Social support and resilience’</w:t>
      </w:r>
      <w:r w:rsidR="0045335A" w:rsidRPr="00856619">
        <w:rPr>
          <w:rFonts w:ascii="Arial" w:eastAsia="Arial" w:hAnsi="Arial" w:cs="Arial"/>
          <w:sz w:val="22"/>
          <w:szCs w:val="22"/>
        </w:rPr>
        <w:t>.</w:t>
      </w:r>
      <w:r w:rsidRPr="00856619">
        <w:rPr>
          <w:rFonts w:ascii="Arial" w:eastAsia="Arial" w:hAnsi="Arial" w:cs="Arial"/>
          <w:i/>
          <w:iCs/>
          <w:sz w:val="22"/>
          <w:szCs w:val="22"/>
        </w:rPr>
        <w:t xml:space="preserve"> Psychiatry</w:t>
      </w:r>
      <w:r w:rsidRPr="00856619">
        <w:rPr>
          <w:rFonts w:ascii="Arial" w:eastAsia="Arial" w:hAnsi="Arial" w:cs="Arial"/>
          <w:sz w:val="22"/>
          <w:szCs w:val="22"/>
        </w:rPr>
        <w:t xml:space="preserve">. Available at: </w:t>
      </w:r>
      <w:hyperlink r:id="rId57">
        <w:r w:rsidRPr="00856619">
          <w:rPr>
            <w:rStyle w:val="Hyperlink"/>
            <w:rFonts w:ascii="Arial" w:eastAsia="Arial" w:hAnsi="Arial" w:cs="Arial"/>
            <w:color w:val="auto"/>
            <w:sz w:val="22"/>
            <w:szCs w:val="22"/>
          </w:rPr>
          <w:t>https://pmc.ncbi.nlm.nih.gov/articles/PMC2921311/</w:t>
        </w:r>
      </w:hyperlink>
      <w:r w:rsidRPr="00856619">
        <w:rPr>
          <w:rFonts w:ascii="Arial" w:eastAsia="Arial" w:hAnsi="Arial" w:cs="Arial"/>
          <w:sz w:val="22"/>
          <w:szCs w:val="22"/>
        </w:rPr>
        <w:t xml:space="preserve"> (Accessed: </w:t>
      </w:r>
      <w:r w:rsidR="0045335A" w:rsidRPr="00856619">
        <w:rPr>
          <w:rFonts w:ascii="Arial" w:eastAsia="Arial" w:hAnsi="Arial" w:cs="Arial"/>
          <w:sz w:val="22"/>
          <w:szCs w:val="22"/>
        </w:rPr>
        <w:t xml:space="preserve">02 January </w:t>
      </w:r>
      <w:r w:rsidRPr="00856619">
        <w:rPr>
          <w:rFonts w:ascii="Arial" w:eastAsia="Arial" w:hAnsi="Arial" w:cs="Arial"/>
          <w:sz w:val="22"/>
          <w:szCs w:val="22"/>
        </w:rPr>
        <w:t>2026).</w:t>
      </w:r>
    </w:p>
    <w:p w14:paraId="6544441E" w14:textId="15792B6E" w:rsidR="3A7CED5F" w:rsidRPr="00856619" w:rsidRDefault="3A7CED5F" w:rsidP="003C5D4C">
      <w:pPr>
        <w:rPr>
          <w:rFonts w:ascii="Arial" w:eastAsia="Arial" w:hAnsi="Arial" w:cs="Arial"/>
          <w:sz w:val="22"/>
          <w:szCs w:val="22"/>
        </w:rPr>
      </w:pPr>
    </w:p>
    <w:p w14:paraId="19F71104" w14:textId="326B2108"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Patel, V., Flisher, A.J., Hetrick, S. and McGorry, P. (2007) ‘Mental health of young people: a global public-health challenge’</w:t>
      </w:r>
      <w:r w:rsidR="0040246F" w:rsidRPr="00856619">
        <w:rPr>
          <w:rFonts w:ascii="Arial" w:eastAsia="Arial" w:hAnsi="Arial" w:cs="Arial"/>
          <w:sz w:val="22"/>
          <w:szCs w:val="22"/>
        </w:rPr>
        <w:t xml:space="preserve">, </w:t>
      </w:r>
      <w:r w:rsidRPr="00856619">
        <w:rPr>
          <w:rFonts w:ascii="Arial" w:eastAsia="Arial" w:hAnsi="Arial" w:cs="Arial"/>
          <w:i/>
          <w:iCs/>
          <w:sz w:val="22"/>
          <w:szCs w:val="22"/>
        </w:rPr>
        <w:t>The Lancet,</w:t>
      </w:r>
      <w:r w:rsidRPr="00856619">
        <w:rPr>
          <w:rFonts w:ascii="Arial" w:eastAsia="Arial" w:hAnsi="Arial" w:cs="Arial"/>
          <w:sz w:val="22"/>
          <w:szCs w:val="22"/>
        </w:rPr>
        <w:t xml:space="preserve"> 369, pp. 1302–1313. Available at: </w:t>
      </w:r>
      <w:hyperlink r:id="rId58">
        <w:r w:rsidRPr="00856619">
          <w:rPr>
            <w:rStyle w:val="Hyperlink"/>
            <w:rFonts w:ascii="Arial" w:eastAsia="Arial" w:hAnsi="Arial" w:cs="Arial"/>
            <w:color w:val="auto"/>
            <w:sz w:val="22"/>
            <w:szCs w:val="22"/>
          </w:rPr>
          <w:t>https://doi.org/10.1016/S0140-6736(07)60368-7</w:t>
        </w:r>
      </w:hyperlink>
      <w:r w:rsidR="000A3FB5" w:rsidRPr="00856619">
        <w:rPr>
          <w:rFonts w:ascii="Arial" w:hAnsi="Arial" w:cs="Arial"/>
          <w:sz w:val="22"/>
          <w:szCs w:val="22"/>
        </w:rPr>
        <w:t xml:space="preserve"> (Accessed: 17 February 2026).</w:t>
      </w:r>
    </w:p>
    <w:p w14:paraId="17582216" w14:textId="5FD00D00" w:rsidR="3A7CED5F" w:rsidRPr="00856619" w:rsidRDefault="3A7CED5F" w:rsidP="003C5D4C">
      <w:pPr>
        <w:rPr>
          <w:rFonts w:ascii="Arial" w:eastAsia="Arial" w:hAnsi="Arial" w:cs="Arial"/>
          <w:sz w:val="22"/>
          <w:szCs w:val="22"/>
        </w:rPr>
      </w:pPr>
    </w:p>
    <w:p w14:paraId="13B1E6C0" w14:textId="4F918C90"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Pickering, L., Hadwin, J.A. and Kovshoff, H. (2020) ‘The role of peers in the development of social anxiety in adolescents’</w:t>
      </w:r>
      <w:r w:rsidR="0040246F" w:rsidRPr="00856619">
        <w:rPr>
          <w:rFonts w:ascii="Arial" w:eastAsia="Arial" w:hAnsi="Arial" w:cs="Arial"/>
          <w:sz w:val="22"/>
          <w:szCs w:val="22"/>
        </w:rPr>
        <w:t>,</w:t>
      </w:r>
      <w:r w:rsidRPr="00856619">
        <w:rPr>
          <w:rFonts w:ascii="Arial" w:eastAsia="Arial" w:hAnsi="Arial" w:cs="Arial"/>
          <w:sz w:val="22"/>
          <w:szCs w:val="22"/>
        </w:rPr>
        <w:t xml:space="preserve"> </w:t>
      </w:r>
      <w:r w:rsidRPr="00856619">
        <w:rPr>
          <w:rFonts w:ascii="Arial" w:eastAsia="Arial" w:hAnsi="Arial" w:cs="Arial"/>
          <w:i/>
          <w:iCs/>
          <w:sz w:val="22"/>
          <w:szCs w:val="22"/>
        </w:rPr>
        <w:t>Adolescent Research Review</w:t>
      </w:r>
      <w:r w:rsidRPr="00856619">
        <w:rPr>
          <w:rFonts w:ascii="Arial" w:eastAsia="Arial" w:hAnsi="Arial" w:cs="Arial"/>
          <w:sz w:val="22"/>
          <w:szCs w:val="22"/>
        </w:rPr>
        <w:t xml:space="preserve">, 5, pp. 341–362. Available at: </w:t>
      </w:r>
      <w:hyperlink r:id="rId59">
        <w:r w:rsidRPr="00856619">
          <w:rPr>
            <w:rStyle w:val="Hyperlink"/>
            <w:rFonts w:ascii="Arial" w:eastAsia="Arial" w:hAnsi="Arial" w:cs="Arial"/>
            <w:color w:val="auto"/>
            <w:sz w:val="22"/>
            <w:szCs w:val="22"/>
          </w:rPr>
          <w:t>https://doi.org/10.1007/s40894-019-00117-x</w:t>
        </w:r>
      </w:hyperlink>
      <w:r w:rsidRPr="00856619">
        <w:rPr>
          <w:rFonts w:ascii="Arial" w:eastAsia="Arial" w:hAnsi="Arial" w:cs="Arial"/>
          <w:sz w:val="22"/>
          <w:szCs w:val="22"/>
        </w:rPr>
        <w:t xml:space="preserve"> (Accessed: 20 </w:t>
      </w:r>
      <w:r w:rsidR="000A3FB5" w:rsidRPr="00856619">
        <w:rPr>
          <w:rFonts w:ascii="Arial" w:eastAsia="Arial" w:hAnsi="Arial" w:cs="Arial"/>
          <w:sz w:val="22"/>
          <w:szCs w:val="22"/>
        </w:rPr>
        <w:t xml:space="preserve">February </w:t>
      </w:r>
      <w:r w:rsidRPr="00856619">
        <w:rPr>
          <w:rFonts w:ascii="Arial" w:eastAsia="Arial" w:hAnsi="Arial" w:cs="Arial"/>
          <w:sz w:val="22"/>
          <w:szCs w:val="22"/>
        </w:rPr>
        <w:t>2026).</w:t>
      </w:r>
    </w:p>
    <w:p w14:paraId="7D5DEB36" w14:textId="77777777" w:rsidR="009921F4" w:rsidRPr="00856619" w:rsidRDefault="009921F4" w:rsidP="003C5D4C">
      <w:pPr>
        <w:rPr>
          <w:rFonts w:ascii="Arial" w:eastAsia="Arial" w:hAnsi="Arial" w:cs="Arial"/>
          <w:sz w:val="22"/>
          <w:szCs w:val="22"/>
        </w:rPr>
      </w:pPr>
    </w:p>
    <w:p w14:paraId="2CEF4E73" w14:textId="7A5E6D18" w:rsidR="009921F4" w:rsidRPr="00856619" w:rsidRDefault="009921F4" w:rsidP="003C5D4C">
      <w:pPr>
        <w:rPr>
          <w:rFonts w:ascii="Arial" w:eastAsia="Arial" w:hAnsi="Arial" w:cs="Arial"/>
          <w:sz w:val="22"/>
          <w:szCs w:val="22"/>
        </w:rPr>
      </w:pPr>
      <w:r w:rsidRPr="00856619">
        <w:rPr>
          <w:rFonts w:ascii="Arial" w:eastAsia="Arial" w:hAnsi="Arial" w:cs="Arial"/>
          <w:sz w:val="22"/>
          <w:szCs w:val="22"/>
        </w:rPr>
        <w:t xml:space="preserve">Pointon-Haas, J., Waqar, L., Upsher, R., Foster, J., Byrom, N., </w:t>
      </w:r>
      <w:r w:rsidR="00B447EB" w:rsidRPr="00856619">
        <w:rPr>
          <w:rFonts w:ascii="Arial" w:eastAsia="Arial" w:hAnsi="Arial" w:cs="Arial"/>
          <w:sz w:val="22"/>
          <w:szCs w:val="22"/>
        </w:rPr>
        <w:t>and</w:t>
      </w:r>
      <w:r w:rsidRPr="00856619">
        <w:rPr>
          <w:rFonts w:ascii="Arial" w:eastAsia="Arial" w:hAnsi="Arial" w:cs="Arial"/>
          <w:sz w:val="22"/>
          <w:szCs w:val="22"/>
        </w:rPr>
        <w:t xml:space="preserve"> Oates, J. (2023) </w:t>
      </w:r>
      <w:r w:rsidR="00B447EB" w:rsidRPr="00856619">
        <w:rPr>
          <w:rFonts w:ascii="Arial" w:eastAsia="Arial" w:hAnsi="Arial" w:cs="Arial"/>
          <w:sz w:val="22"/>
          <w:szCs w:val="22"/>
        </w:rPr>
        <w:t>‘</w:t>
      </w:r>
      <w:r w:rsidRPr="00856619">
        <w:rPr>
          <w:rFonts w:ascii="Arial" w:eastAsia="Arial" w:hAnsi="Arial" w:cs="Arial"/>
          <w:sz w:val="22"/>
          <w:szCs w:val="22"/>
        </w:rPr>
        <w:t>A systematic review of peer support interventions for student mental health and well-being in higher education</w:t>
      </w:r>
      <w:r w:rsidR="00B447EB" w:rsidRPr="00856619">
        <w:rPr>
          <w:rFonts w:ascii="Arial" w:eastAsia="Arial" w:hAnsi="Arial" w:cs="Arial"/>
          <w:sz w:val="22"/>
          <w:szCs w:val="22"/>
        </w:rPr>
        <w:t>’</w:t>
      </w:r>
      <w:r w:rsidR="0040246F" w:rsidRPr="00856619">
        <w:rPr>
          <w:rFonts w:ascii="Arial" w:eastAsia="Arial" w:hAnsi="Arial" w:cs="Arial"/>
          <w:sz w:val="22"/>
          <w:szCs w:val="22"/>
        </w:rPr>
        <w:t>,</w:t>
      </w:r>
      <w:r w:rsidRPr="00856619">
        <w:rPr>
          <w:rFonts w:ascii="Arial" w:eastAsia="Arial" w:hAnsi="Arial" w:cs="Arial"/>
          <w:sz w:val="22"/>
          <w:szCs w:val="22"/>
        </w:rPr>
        <w:t> </w:t>
      </w:r>
      <w:proofErr w:type="spellStart"/>
      <w:r w:rsidRPr="00856619">
        <w:rPr>
          <w:rFonts w:ascii="Arial" w:eastAsia="Arial" w:hAnsi="Arial" w:cs="Arial"/>
          <w:i/>
          <w:iCs/>
          <w:sz w:val="22"/>
          <w:szCs w:val="22"/>
        </w:rPr>
        <w:t>BJPsych</w:t>
      </w:r>
      <w:proofErr w:type="spellEnd"/>
      <w:r w:rsidRPr="00856619">
        <w:rPr>
          <w:rFonts w:ascii="Arial" w:eastAsia="Arial" w:hAnsi="Arial" w:cs="Arial"/>
          <w:i/>
          <w:iCs/>
          <w:sz w:val="22"/>
          <w:szCs w:val="22"/>
        </w:rPr>
        <w:t xml:space="preserve"> open</w:t>
      </w:r>
      <w:r w:rsidRPr="00856619">
        <w:rPr>
          <w:rFonts w:ascii="Arial" w:eastAsia="Arial" w:hAnsi="Arial" w:cs="Arial"/>
          <w:sz w:val="22"/>
          <w:szCs w:val="22"/>
        </w:rPr>
        <w:t>, </w:t>
      </w:r>
      <w:r w:rsidRPr="00856619">
        <w:rPr>
          <w:rFonts w:ascii="Arial" w:eastAsia="Arial" w:hAnsi="Arial" w:cs="Arial"/>
          <w:i/>
          <w:iCs/>
          <w:sz w:val="22"/>
          <w:szCs w:val="22"/>
        </w:rPr>
        <w:t>10</w:t>
      </w:r>
      <w:r w:rsidRPr="00856619">
        <w:rPr>
          <w:rFonts w:ascii="Arial" w:eastAsia="Arial" w:hAnsi="Arial" w:cs="Arial"/>
          <w:sz w:val="22"/>
          <w:szCs w:val="22"/>
        </w:rPr>
        <w:t xml:space="preserve">(1). </w:t>
      </w:r>
      <w:hyperlink r:id="rId60" w:history="1">
        <w:r w:rsidR="00B447EB" w:rsidRPr="00856619">
          <w:rPr>
            <w:rStyle w:val="Hyperlink"/>
            <w:rFonts w:ascii="Arial" w:eastAsia="Arial" w:hAnsi="Arial" w:cs="Arial"/>
            <w:color w:val="auto"/>
            <w:sz w:val="22"/>
            <w:szCs w:val="22"/>
          </w:rPr>
          <w:t>https://doi.org/10.1192/bjo.2023.603</w:t>
        </w:r>
      </w:hyperlink>
      <w:r w:rsidR="00B447EB" w:rsidRPr="00856619">
        <w:rPr>
          <w:rFonts w:ascii="Arial" w:eastAsia="Arial" w:hAnsi="Arial" w:cs="Arial"/>
          <w:sz w:val="22"/>
          <w:szCs w:val="22"/>
        </w:rPr>
        <w:t xml:space="preserve"> (Accessed:</w:t>
      </w:r>
      <w:r w:rsidR="00BD66ED" w:rsidRPr="00856619">
        <w:rPr>
          <w:rFonts w:ascii="Arial" w:eastAsia="Arial" w:hAnsi="Arial" w:cs="Arial"/>
          <w:sz w:val="22"/>
          <w:szCs w:val="22"/>
        </w:rPr>
        <w:t xml:space="preserve"> </w:t>
      </w:r>
      <w:r w:rsidR="008E542E">
        <w:rPr>
          <w:rFonts w:ascii="Arial" w:eastAsia="Arial" w:hAnsi="Arial" w:cs="Arial"/>
          <w:sz w:val="22"/>
          <w:szCs w:val="22"/>
        </w:rPr>
        <w:t>0</w:t>
      </w:r>
      <w:r w:rsidR="00BD66ED" w:rsidRPr="00856619">
        <w:rPr>
          <w:rFonts w:ascii="Arial" w:eastAsia="Arial" w:hAnsi="Arial" w:cs="Arial"/>
          <w:sz w:val="22"/>
          <w:szCs w:val="22"/>
        </w:rPr>
        <w:t>9 January 2026).</w:t>
      </w:r>
    </w:p>
    <w:p w14:paraId="02B7D62E" w14:textId="5F4D31E9" w:rsidR="3A7CED5F" w:rsidRPr="00856619" w:rsidRDefault="3A7CED5F" w:rsidP="003C5D4C">
      <w:pPr>
        <w:rPr>
          <w:rFonts w:ascii="Arial" w:eastAsia="Arial" w:hAnsi="Arial" w:cs="Arial"/>
          <w:sz w:val="22"/>
          <w:szCs w:val="22"/>
        </w:rPr>
      </w:pPr>
    </w:p>
    <w:p w14:paraId="3E92FBC9" w14:textId="15FBA381"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Public Health England</w:t>
      </w:r>
      <w:r w:rsidR="000A3FB5" w:rsidRPr="00856619">
        <w:rPr>
          <w:rFonts w:ascii="Arial" w:eastAsia="Arial" w:hAnsi="Arial" w:cs="Arial"/>
          <w:sz w:val="22"/>
          <w:szCs w:val="22"/>
        </w:rPr>
        <w:t xml:space="preserve">. </w:t>
      </w:r>
      <w:r w:rsidRPr="00856619">
        <w:rPr>
          <w:rFonts w:ascii="Arial" w:eastAsia="Arial" w:hAnsi="Arial" w:cs="Arial"/>
          <w:sz w:val="22"/>
          <w:szCs w:val="22"/>
        </w:rPr>
        <w:t xml:space="preserve">(2021) </w:t>
      </w:r>
      <w:r w:rsidRPr="00856619">
        <w:rPr>
          <w:rFonts w:ascii="Arial" w:eastAsia="Arial" w:hAnsi="Arial" w:cs="Arial"/>
          <w:i/>
          <w:iCs/>
          <w:sz w:val="22"/>
          <w:szCs w:val="22"/>
        </w:rPr>
        <w:t xml:space="preserve">Promoting </w:t>
      </w:r>
      <w:r w:rsidR="000A3FB5" w:rsidRPr="00856619">
        <w:rPr>
          <w:rFonts w:ascii="Arial" w:eastAsia="Arial" w:hAnsi="Arial" w:cs="Arial"/>
          <w:i/>
          <w:iCs/>
          <w:sz w:val="22"/>
          <w:szCs w:val="22"/>
        </w:rPr>
        <w:t>c</w:t>
      </w:r>
      <w:r w:rsidRPr="00856619">
        <w:rPr>
          <w:rFonts w:ascii="Arial" w:eastAsia="Arial" w:hAnsi="Arial" w:cs="Arial"/>
          <w:i/>
          <w:iCs/>
          <w:sz w:val="22"/>
          <w:szCs w:val="22"/>
        </w:rPr>
        <w:t xml:space="preserve">hildren and </w:t>
      </w:r>
      <w:r w:rsidR="000A3FB5" w:rsidRPr="00856619">
        <w:rPr>
          <w:rFonts w:ascii="Arial" w:eastAsia="Arial" w:hAnsi="Arial" w:cs="Arial"/>
          <w:i/>
          <w:iCs/>
          <w:sz w:val="22"/>
          <w:szCs w:val="22"/>
        </w:rPr>
        <w:t>y</w:t>
      </w:r>
      <w:r w:rsidRPr="00856619">
        <w:rPr>
          <w:rFonts w:ascii="Arial" w:eastAsia="Arial" w:hAnsi="Arial" w:cs="Arial"/>
          <w:i/>
          <w:iCs/>
          <w:sz w:val="22"/>
          <w:szCs w:val="22"/>
        </w:rPr>
        <w:t xml:space="preserve">oung </w:t>
      </w:r>
      <w:r w:rsidR="000A3FB5" w:rsidRPr="00856619">
        <w:rPr>
          <w:rFonts w:ascii="Arial" w:eastAsia="Arial" w:hAnsi="Arial" w:cs="Arial"/>
          <w:i/>
          <w:iCs/>
          <w:sz w:val="22"/>
          <w:szCs w:val="22"/>
        </w:rPr>
        <w:t>p</w:t>
      </w:r>
      <w:r w:rsidRPr="00856619">
        <w:rPr>
          <w:rFonts w:ascii="Arial" w:eastAsia="Arial" w:hAnsi="Arial" w:cs="Arial"/>
          <w:i/>
          <w:iCs/>
          <w:sz w:val="22"/>
          <w:szCs w:val="22"/>
        </w:rPr>
        <w:t xml:space="preserve">eople’s </w:t>
      </w:r>
      <w:r w:rsidR="000A3FB5" w:rsidRPr="00856619">
        <w:rPr>
          <w:rFonts w:ascii="Arial" w:eastAsia="Arial" w:hAnsi="Arial" w:cs="Arial"/>
          <w:i/>
          <w:iCs/>
          <w:sz w:val="22"/>
          <w:szCs w:val="22"/>
        </w:rPr>
        <w:t>e</w:t>
      </w:r>
      <w:r w:rsidRPr="00856619">
        <w:rPr>
          <w:rFonts w:ascii="Arial" w:eastAsia="Arial" w:hAnsi="Arial" w:cs="Arial"/>
          <w:i/>
          <w:iCs/>
          <w:sz w:val="22"/>
          <w:szCs w:val="22"/>
        </w:rPr>
        <w:t xml:space="preserve">motional </w:t>
      </w:r>
      <w:r w:rsidR="000A3FB5" w:rsidRPr="00856619">
        <w:rPr>
          <w:rFonts w:ascii="Arial" w:eastAsia="Arial" w:hAnsi="Arial" w:cs="Arial"/>
          <w:i/>
          <w:iCs/>
          <w:sz w:val="22"/>
          <w:szCs w:val="22"/>
        </w:rPr>
        <w:t>h</w:t>
      </w:r>
      <w:r w:rsidRPr="00856619">
        <w:rPr>
          <w:rFonts w:ascii="Arial" w:eastAsia="Arial" w:hAnsi="Arial" w:cs="Arial"/>
          <w:i/>
          <w:iCs/>
          <w:sz w:val="22"/>
          <w:szCs w:val="22"/>
        </w:rPr>
        <w:t xml:space="preserve">ealth and </w:t>
      </w:r>
      <w:r w:rsidR="000A3FB5" w:rsidRPr="00856619">
        <w:rPr>
          <w:rFonts w:ascii="Arial" w:eastAsia="Arial" w:hAnsi="Arial" w:cs="Arial"/>
          <w:i/>
          <w:iCs/>
          <w:sz w:val="22"/>
          <w:szCs w:val="22"/>
        </w:rPr>
        <w:t>w</w:t>
      </w:r>
      <w:r w:rsidRPr="00856619">
        <w:rPr>
          <w:rFonts w:ascii="Arial" w:eastAsia="Arial" w:hAnsi="Arial" w:cs="Arial"/>
          <w:i/>
          <w:iCs/>
          <w:sz w:val="22"/>
          <w:szCs w:val="22"/>
        </w:rPr>
        <w:t>ellbeing</w:t>
      </w:r>
      <w:r w:rsidRPr="00856619">
        <w:rPr>
          <w:rFonts w:ascii="Arial" w:eastAsia="Arial" w:hAnsi="Arial" w:cs="Arial"/>
          <w:sz w:val="22"/>
          <w:szCs w:val="22"/>
        </w:rPr>
        <w:t xml:space="preserve">. Available at: </w:t>
      </w:r>
      <w:hyperlink r:id="rId61">
        <w:r w:rsidRPr="00856619">
          <w:rPr>
            <w:rStyle w:val="Hyperlink"/>
            <w:rFonts w:ascii="Arial" w:eastAsia="Arial" w:hAnsi="Arial" w:cs="Arial"/>
            <w:color w:val="auto"/>
            <w:sz w:val="22"/>
            <w:szCs w:val="22"/>
          </w:rPr>
          <w:t>https://www.gov.uk/government/publications/promoting-children-and-young-peoples-emotional-health-and-wellbeing</w:t>
        </w:r>
      </w:hyperlink>
      <w:r w:rsidRPr="00856619">
        <w:rPr>
          <w:rFonts w:ascii="Arial" w:eastAsia="Arial" w:hAnsi="Arial" w:cs="Arial"/>
          <w:sz w:val="22"/>
          <w:szCs w:val="22"/>
        </w:rPr>
        <w:t xml:space="preserve"> (Accessed: 2</w:t>
      </w:r>
      <w:r w:rsidR="000A3FB5" w:rsidRPr="00856619">
        <w:rPr>
          <w:rFonts w:ascii="Arial" w:eastAsia="Arial" w:hAnsi="Arial" w:cs="Arial"/>
          <w:sz w:val="22"/>
          <w:szCs w:val="22"/>
        </w:rPr>
        <w:t>2 January</w:t>
      </w:r>
      <w:r w:rsidRPr="00856619">
        <w:rPr>
          <w:rFonts w:ascii="Arial" w:eastAsia="Arial" w:hAnsi="Arial" w:cs="Arial"/>
          <w:sz w:val="22"/>
          <w:szCs w:val="22"/>
        </w:rPr>
        <w:t xml:space="preserve"> 2026).</w:t>
      </w:r>
    </w:p>
    <w:p w14:paraId="43D8878F" w14:textId="06AD605E" w:rsidR="3A7CED5F" w:rsidRPr="00856619" w:rsidRDefault="3A7CED5F" w:rsidP="003C5D4C">
      <w:pPr>
        <w:rPr>
          <w:rFonts w:ascii="Arial" w:eastAsia="Arial" w:hAnsi="Arial" w:cs="Arial"/>
          <w:sz w:val="22"/>
          <w:szCs w:val="22"/>
        </w:rPr>
      </w:pPr>
    </w:p>
    <w:p w14:paraId="3B768645" w14:textId="1D3AED7A"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Public Health England</w:t>
      </w:r>
      <w:r w:rsidR="000A3FB5" w:rsidRPr="00856619">
        <w:rPr>
          <w:rFonts w:ascii="Arial" w:eastAsia="Arial" w:hAnsi="Arial" w:cs="Arial"/>
          <w:sz w:val="22"/>
          <w:szCs w:val="22"/>
        </w:rPr>
        <w:t>.</w:t>
      </w:r>
      <w:r w:rsidRPr="00856619">
        <w:rPr>
          <w:rFonts w:ascii="Arial" w:eastAsia="Arial" w:hAnsi="Arial" w:cs="Arial"/>
          <w:sz w:val="22"/>
          <w:szCs w:val="22"/>
        </w:rPr>
        <w:t xml:space="preserve"> (2022</w:t>
      </w:r>
      <w:r w:rsidRPr="00856619">
        <w:rPr>
          <w:rFonts w:ascii="Arial" w:eastAsia="Arial" w:hAnsi="Arial" w:cs="Arial"/>
          <w:i/>
          <w:iCs/>
          <w:sz w:val="22"/>
          <w:szCs w:val="22"/>
        </w:rPr>
        <w:t>) Mental health of children and young people</w:t>
      </w:r>
      <w:r w:rsidRPr="00856619">
        <w:rPr>
          <w:rFonts w:ascii="Arial" w:eastAsia="Arial" w:hAnsi="Arial" w:cs="Arial"/>
          <w:sz w:val="22"/>
          <w:szCs w:val="22"/>
        </w:rPr>
        <w:t>.</w:t>
      </w:r>
      <w:r w:rsidR="00487DC5" w:rsidRPr="00856619">
        <w:rPr>
          <w:rFonts w:ascii="Arial" w:eastAsia="Arial" w:hAnsi="Arial" w:cs="Arial"/>
          <w:sz w:val="22"/>
          <w:szCs w:val="22"/>
        </w:rPr>
        <w:t xml:space="preserve"> </w:t>
      </w:r>
      <w:r w:rsidR="00D13D6B" w:rsidRPr="00856619">
        <w:rPr>
          <w:rFonts w:ascii="Arial" w:eastAsia="Arial" w:hAnsi="Arial" w:cs="Arial"/>
          <w:sz w:val="22"/>
          <w:szCs w:val="22"/>
        </w:rPr>
        <w:t xml:space="preserve">Available at: </w:t>
      </w:r>
      <w:hyperlink r:id="rId62" w:history="1">
        <w:r w:rsidR="00377DAD" w:rsidRPr="00856619">
          <w:rPr>
            <w:rStyle w:val="Hyperlink"/>
            <w:rFonts w:ascii="Arial" w:eastAsia="Arial" w:hAnsi="Arial" w:cs="Arial"/>
            <w:color w:val="auto"/>
            <w:sz w:val="22"/>
            <w:szCs w:val="22"/>
          </w:rPr>
          <w:t>https://digital.nhs.uk/data-and-information/publications/statistical/mental-health-of-children-and-young-people-in-england/2022-follow-up-to-the-2017-survey</w:t>
        </w:r>
      </w:hyperlink>
      <w:r w:rsidR="00377DAD" w:rsidRPr="00856619">
        <w:rPr>
          <w:rFonts w:ascii="Arial" w:eastAsia="Arial" w:hAnsi="Arial" w:cs="Arial"/>
          <w:sz w:val="22"/>
          <w:szCs w:val="22"/>
        </w:rPr>
        <w:t xml:space="preserve"> </w:t>
      </w:r>
      <w:r w:rsidRPr="00856619">
        <w:rPr>
          <w:rFonts w:ascii="Arial" w:eastAsia="Arial" w:hAnsi="Arial" w:cs="Arial"/>
          <w:sz w:val="22"/>
          <w:szCs w:val="22"/>
        </w:rPr>
        <w:t xml:space="preserve">(Accessed: </w:t>
      </w:r>
      <w:r w:rsidR="002938C0" w:rsidRPr="00856619">
        <w:rPr>
          <w:rFonts w:ascii="Arial" w:eastAsia="Arial" w:hAnsi="Arial" w:cs="Arial"/>
          <w:sz w:val="22"/>
          <w:szCs w:val="22"/>
        </w:rPr>
        <w:t>22 December 2025</w:t>
      </w:r>
      <w:r w:rsidRPr="00856619">
        <w:rPr>
          <w:rFonts w:ascii="Arial" w:eastAsia="Arial" w:hAnsi="Arial" w:cs="Arial"/>
          <w:sz w:val="22"/>
          <w:szCs w:val="22"/>
        </w:rPr>
        <w:t>).</w:t>
      </w:r>
    </w:p>
    <w:p w14:paraId="5FB91414" w14:textId="47C8E756" w:rsidR="3A7CED5F" w:rsidRPr="00856619" w:rsidRDefault="3A7CED5F" w:rsidP="003C5D4C">
      <w:pPr>
        <w:rPr>
          <w:rFonts w:ascii="Arial" w:eastAsia="Arial" w:hAnsi="Arial" w:cs="Arial"/>
          <w:sz w:val="22"/>
          <w:szCs w:val="22"/>
        </w:rPr>
      </w:pPr>
    </w:p>
    <w:p w14:paraId="62652246" w14:textId="27DBC6E9" w:rsidR="002F77CC" w:rsidRPr="00856619" w:rsidRDefault="71DBE16D" w:rsidP="003C5D4C">
      <w:pPr>
        <w:rPr>
          <w:rFonts w:ascii="Arial" w:eastAsia="Arial" w:hAnsi="Arial" w:cs="Arial"/>
          <w:sz w:val="22"/>
          <w:szCs w:val="22"/>
        </w:rPr>
      </w:pPr>
      <w:r w:rsidRPr="00856619">
        <w:rPr>
          <w:rFonts w:ascii="Arial" w:eastAsia="Arial" w:hAnsi="Arial" w:cs="Arial"/>
          <w:sz w:val="22"/>
          <w:szCs w:val="22"/>
        </w:rPr>
        <w:lastRenderedPageBreak/>
        <w:t>Reiss, F. (2013) ‘Socioeconomic inequalities and mental health problems’</w:t>
      </w:r>
      <w:r w:rsidR="00487DC5" w:rsidRPr="00856619">
        <w:rPr>
          <w:rFonts w:ascii="Arial" w:eastAsia="Arial" w:hAnsi="Arial" w:cs="Arial"/>
          <w:sz w:val="22"/>
          <w:szCs w:val="22"/>
        </w:rPr>
        <w:t>,</w:t>
      </w:r>
      <w:r w:rsidR="002938C0" w:rsidRPr="00856619">
        <w:rPr>
          <w:rFonts w:ascii="Arial" w:eastAsia="Arial" w:hAnsi="Arial" w:cs="Arial"/>
          <w:sz w:val="22"/>
          <w:szCs w:val="22"/>
        </w:rPr>
        <w:t xml:space="preserve"> </w:t>
      </w:r>
      <w:r w:rsidRPr="00856619">
        <w:rPr>
          <w:rFonts w:ascii="Arial" w:eastAsia="Arial" w:hAnsi="Arial" w:cs="Arial"/>
          <w:i/>
          <w:iCs/>
          <w:sz w:val="22"/>
          <w:szCs w:val="22"/>
        </w:rPr>
        <w:t>Social Science &amp; Medicine</w:t>
      </w:r>
      <w:r w:rsidRPr="00856619">
        <w:rPr>
          <w:rFonts w:ascii="Arial" w:eastAsia="Arial" w:hAnsi="Arial" w:cs="Arial"/>
          <w:sz w:val="22"/>
          <w:szCs w:val="22"/>
        </w:rPr>
        <w:t>, 90, pp. 24–31. Available</w:t>
      </w:r>
      <w:r w:rsidR="00F20BB8" w:rsidRPr="00856619">
        <w:rPr>
          <w:rFonts w:ascii="Arial" w:eastAsia="Arial" w:hAnsi="Arial" w:cs="Arial"/>
          <w:sz w:val="22"/>
          <w:szCs w:val="22"/>
        </w:rPr>
        <w:t xml:space="preserve"> at: </w:t>
      </w:r>
      <w:hyperlink r:id="rId63" w:history="1">
        <w:r w:rsidR="001E4889" w:rsidRPr="00856619">
          <w:rPr>
            <w:rStyle w:val="Hyperlink"/>
            <w:rFonts w:ascii="Arial" w:eastAsia="Arial" w:hAnsi="Arial" w:cs="Arial"/>
            <w:color w:val="auto"/>
            <w:sz w:val="22"/>
            <w:szCs w:val="22"/>
          </w:rPr>
          <w:t>https://doi.org/10.1016/j.socscimed.2013.04.026</w:t>
        </w:r>
      </w:hyperlink>
      <w:r w:rsidR="001E4889" w:rsidRPr="00856619">
        <w:rPr>
          <w:rFonts w:ascii="Arial" w:eastAsia="Arial" w:hAnsi="Arial" w:cs="Arial"/>
          <w:sz w:val="22"/>
          <w:szCs w:val="22"/>
        </w:rPr>
        <w:t xml:space="preserve"> (Accessed: 20 December 2025).</w:t>
      </w:r>
    </w:p>
    <w:p w14:paraId="570F2A95" w14:textId="77777777" w:rsidR="001E4889" w:rsidRPr="00856619" w:rsidRDefault="001E4889" w:rsidP="003C5D4C">
      <w:pPr>
        <w:rPr>
          <w:rFonts w:ascii="Arial" w:eastAsia="Arial" w:hAnsi="Arial" w:cs="Arial"/>
          <w:sz w:val="22"/>
          <w:szCs w:val="22"/>
        </w:rPr>
      </w:pPr>
    </w:p>
    <w:p w14:paraId="70317EB0" w14:textId="74B45398" w:rsidR="71DBE16D" w:rsidRPr="00856619" w:rsidRDefault="00211B52" w:rsidP="003C5D4C">
      <w:pPr>
        <w:rPr>
          <w:rFonts w:ascii="Arial" w:eastAsia="Arial" w:hAnsi="Arial" w:cs="Arial"/>
          <w:sz w:val="22"/>
          <w:szCs w:val="22"/>
        </w:rPr>
      </w:pPr>
      <w:r w:rsidRPr="00856619">
        <w:rPr>
          <w:rFonts w:ascii="Arial" w:eastAsia="Arial" w:hAnsi="Arial" w:cs="Arial"/>
          <w:sz w:val="22"/>
          <w:szCs w:val="22"/>
        </w:rPr>
        <w:t xml:space="preserve">Reupert, A. E., J Maybery, D., </w:t>
      </w:r>
      <w:r w:rsidR="00ED56FC" w:rsidRPr="00856619">
        <w:rPr>
          <w:rFonts w:ascii="Arial" w:eastAsia="Arial" w:hAnsi="Arial" w:cs="Arial"/>
          <w:sz w:val="22"/>
          <w:szCs w:val="22"/>
        </w:rPr>
        <w:t>and</w:t>
      </w:r>
      <w:r w:rsidRPr="00856619">
        <w:rPr>
          <w:rFonts w:ascii="Arial" w:eastAsia="Arial" w:hAnsi="Arial" w:cs="Arial"/>
          <w:sz w:val="22"/>
          <w:szCs w:val="22"/>
        </w:rPr>
        <w:t xml:space="preserve"> Kowalenko, N. M. (2013) </w:t>
      </w:r>
      <w:r w:rsidR="00ED56FC" w:rsidRPr="00856619">
        <w:rPr>
          <w:rFonts w:ascii="Arial" w:eastAsia="Arial" w:hAnsi="Arial" w:cs="Arial"/>
          <w:sz w:val="22"/>
          <w:szCs w:val="22"/>
        </w:rPr>
        <w:t>‘</w:t>
      </w:r>
      <w:r w:rsidRPr="00856619">
        <w:rPr>
          <w:rFonts w:ascii="Arial" w:eastAsia="Arial" w:hAnsi="Arial" w:cs="Arial"/>
          <w:sz w:val="22"/>
          <w:szCs w:val="22"/>
        </w:rPr>
        <w:t>Children whose parents have a mental illness: prevalence, need and treatment</w:t>
      </w:r>
      <w:r w:rsidR="00ED56FC" w:rsidRPr="00856619">
        <w:rPr>
          <w:rFonts w:ascii="Arial" w:eastAsia="Arial" w:hAnsi="Arial" w:cs="Arial"/>
          <w:sz w:val="22"/>
          <w:szCs w:val="22"/>
        </w:rPr>
        <w:t>’</w:t>
      </w:r>
      <w:r w:rsidR="00487DC5" w:rsidRPr="00856619">
        <w:rPr>
          <w:rFonts w:ascii="Arial" w:eastAsia="Arial" w:hAnsi="Arial" w:cs="Arial"/>
          <w:sz w:val="22"/>
          <w:szCs w:val="22"/>
        </w:rPr>
        <w:t xml:space="preserve">, </w:t>
      </w:r>
      <w:r w:rsidRPr="00856619">
        <w:rPr>
          <w:rFonts w:ascii="Arial" w:eastAsia="Arial" w:hAnsi="Arial" w:cs="Arial"/>
          <w:i/>
          <w:iCs/>
          <w:sz w:val="22"/>
          <w:szCs w:val="22"/>
        </w:rPr>
        <w:t>The Medical journal of Australia</w:t>
      </w:r>
      <w:r w:rsidR="00487DC5" w:rsidRPr="00856619">
        <w:rPr>
          <w:rFonts w:ascii="Arial" w:eastAsia="Arial" w:hAnsi="Arial" w:cs="Arial"/>
          <w:sz w:val="22"/>
          <w:szCs w:val="22"/>
        </w:rPr>
        <w:t xml:space="preserve">. </w:t>
      </w:r>
      <w:r w:rsidR="00DD5170" w:rsidRPr="00856619">
        <w:rPr>
          <w:rFonts w:ascii="Arial" w:eastAsia="Arial" w:hAnsi="Arial" w:cs="Arial"/>
          <w:sz w:val="22"/>
          <w:szCs w:val="22"/>
        </w:rPr>
        <w:t>Available at:</w:t>
      </w:r>
      <w:r w:rsidRPr="00856619">
        <w:rPr>
          <w:rFonts w:ascii="Arial" w:eastAsia="Arial" w:hAnsi="Arial" w:cs="Arial"/>
          <w:sz w:val="22"/>
          <w:szCs w:val="22"/>
        </w:rPr>
        <w:t xml:space="preserve"> </w:t>
      </w:r>
      <w:hyperlink r:id="rId64" w:history="1">
        <w:r w:rsidR="00DD5170" w:rsidRPr="00856619">
          <w:rPr>
            <w:rStyle w:val="Hyperlink"/>
            <w:rFonts w:ascii="Arial" w:eastAsia="Arial" w:hAnsi="Arial" w:cs="Arial"/>
            <w:color w:val="auto"/>
            <w:sz w:val="22"/>
            <w:szCs w:val="22"/>
          </w:rPr>
          <w:t>https://doi.org/10.5694/mja11.11200</w:t>
        </w:r>
      </w:hyperlink>
      <w:r w:rsidR="00DD5170" w:rsidRPr="00856619">
        <w:rPr>
          <w:rFonts w:ascii="Arial" w:eastAsia="Arial" w:hAnsi="Arial" w:cs="Arial"/>
          <w:sz w:val="22"/>
          <w:szCs w:val="22"/>
        </w:rPr>
        <w:t xml:space="preserve"> </w:t>
      </w:r>
      <w:r w:rsidRPr="00856619">
        <w:rPr>
          <w:rFonts w:ascii="Arial" w:eastAsia="Arial" w:hAnsi="Arial" w:cs="Arial"/>
          <w:sz w:val="22"/>
          <w:szCs w:val="22"/>
        </w:rPr>
        <w:t xml:space="preserve"> </w:t>
      </w:r>
      <w:r w:rsidR="71DBE16D" w:rsidRPr="00856619">
        <w:rPr>
          <w:rFonts w:ascii="Arial" w:eastAsia="Arial" w:hAnsi="Arial" w:cs="Arial"/>
          <w:sz w:val="22"/>
          <w:szCs w:val="22"/>
        </w:rPr>
        <w:t xml:space="preserve">(Accessed: </w:t>
      </w:r>
      <w:r w:rsidR="002938C0" w:rsidRPr="00856619">
        <w:rPr>
          <w:rFonts w:ascii="Arial" w:eastAsia="Arial" w:hAnsi="Arial" w:cs="Arial"/>
          <w:sz w:val="22"/>
          <w:szCs w:val="22"/>
        </w:rPr>
        <w:t>28 February</w:t>
      </w:r>
      <w:r w:rsidR="71DBE16D" w:rsidRPr="00856619">
        <w:rPr>
          <w:rFonts w:ascii="Arial" w:eastAsia="Arial" w:hAnsi="Arial" w:cs="Arial"/>
          <w:sz w:val="22"/>
          <w:szCs w:val="22"/>
        </w:rPr>
        <w:t xml:space="preserve"> 2026).</w:t>
      </w:r>
    </w:p>
    <w:p w14:paraId="6DEFB218" w14:textId="1BD48A67" w:rsidR="3A7CED5F" w:rsidRPr="00856619" w:rsidRDefault="3A7CED5F" w:rsidP="003C5D4C">
      <w:pPr>
        <w:rPr>
          <w:rFonts w:ascii="Arial" w:eastAsia="Arial" w:hAnsi="Arial" w:cs="Arial"/>
          <w:sz w:val="22"/>
          <w:szCs w:val="22"/>
        </w:rPr>
      </w:pPr>
    </w:p>
    <w:p w14:paraId="7CF11C4F" w14:textId="450F1332" w:rsidR="3A7CED5F" w:rsidRPr="00856619" w:rsidRDefault="00C33D4E" w:rsidP="003C5D4C">
      <w:pPr>
        <w:rPr>
          <w:rFonts w:ascii="Arial" w:eastAsia="Arial" w:hAnsi="Arial" w:cs="Arial"/>
          <w:sz w:val="22"/>
          <w:szCs w:val="22"/>
        </w:rPr>
      </w:pPr>
      <w:r w:rsidRPr="00856619">
        <w:rPr>
          <w:rFonts w:ascii="Arial" w:eastAsia="Arial" w:hAnsi="Arial" w:cs="Arial"/>
          <w:sz w:val="22"/>
          <w:szCs w:val="22"/>
        </w:rPr>
        <w:t>Rueger, S. Y., Malecki, C. K., and Demaray, M. K. (2010). ‘Relationship between multiple sources of perceived social support and psychological and academic adjustment in early adolescence: comparisons across gender’</w:t>
      </w:r>
      <w:r w:rsidR="00487DC5" w:rsidRPr="00856619">
        <w:rPr>
          <w:rFonts w:ascii="Arial" w:eastAsia="Arial" w:hAnsi="Arial" w:cs="Arial"/>
          <w:sz w:val="22"/>
          <w:szCs w:val="22"/>
        </w:rPr>
        <w:t xml:space="preserve">, </w:t>
      </w:r>
      <w:r w:rsidRPr="00856619">
        <w:rPr>
          <w:rFonts w:ascii="Arial" w:eastAsia="Arial" w:hAnsi="Arial" w:cs="Arial"/>
          <w:i/>
          <w:iCs/>
          <w:sz w:val="22"/>
          <w:szCs w:val="22"/>
        </w:rPr>
        <w:t>Journal of youth and adolescence</w:t>
      </w:r>
      <w:r w:rsidRPr="00856619">
        <w:rPr>
          <w:rFonts w:ascii="Arial" w:eastAsia="Arial" w:hAnsi="Arial" w:cs="Arial"/>
          <w:sz w:val="22"/>
          <w:szCs w:val="22"/>
        </w:rPr>
        <w:t>, </w:t>
      </w:r>
      <w:r w:rsidRPr="00856619">
        <w:rPr>
          <w:rFonts w:ascii="Arial" w:eastAsia="Arial" w:hAnsi="Arial" w:cs="Arial"/>
          <w:i/>
          <w:iCs/>
          <w:sz w:val="22"/>
          <w:szCs w:val="22"/>
        </w:rPr>
        <w:t>39</w:t>
      </w:r>
      <w:r w:rsidRPr="00856619">
        <w:rPr>
          <w:rFonts w:ascii="Arial" w:eastAsia="Arial" w:hAnsi="Arial" w:cs="Arial"/>
          <w:sz w:val="22"/>
          <w:szCs w:val="22"/>
        </w:rPr>
        <w:t xml:space="preserve">(1), pp 47–61. Available at: </w:t>
      </w:r>
      <w:hyperlink r:id="rId65" w:history="1">
        <w:r w:rsidRPr="00856619">
          <w:rPr>
            <w:rStyle w:val="Hyperlink"/>
            <w:rFonts w:ascii="Arial" w:eastAsia="Arial" w:hAnsi="Arial" w:cs="Arial"/>
            <w:color w:val="auto"/>
            <w:sz w:val="22"/>
            <w:szCs w:val="22"/>
          </w:rPr>
          <w:t>https://doi.org/10.1007/s10964-008-9368-6</w:t>
        </w:r>
      </w:hyperlink>
      <w:r w:rsidRPr="00856619">
        <w:rPr>
          <w:rFonts w:ascii="Arial" w:eastAsia="Arial" w:hAnsi="Arial" w:cs="Arial"/>
          <w:sz w:val="22"/>
          <w:szCs w:val="22"/>
        </w:rPr>
        <w:t xml:space="preserve"> (Accessed:19 February 2026).</w:t>
      </w:r>
    </w:p>
    <w:p w14:paraId="79999621" w14:textId="77777777" w:rsidR="00027496" w:rsidRPr="00856619" w:rsidRDefault="00027496" w:rsidP="003C5D4C">
      <w:pPr>
        <w:rPr>
          <w:rFonts w:ascii="Arial" w:eastAsia="Arial" w:hAnsi="Arial" w:cs="Arial"/>
          <w:sz w:val="22"/>
          <w:szCs w:val="22"/>
        </w:rPr>
      </w:pPr>
    </w:p>
    <w:p w14:paraId="3237F206" w14:textId="7592496A"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Santini, Z.I., Koyanagi, A., Tyrovolas, S. and Haro, J.M. (2015) ‘The association between social relationships and depression’</w:t>
      </w:r>
      <w:r w:rsidR="00487DC5" w:rsidRPr="00856619">
        <w:rPr>
          <w:rFonts w:ascii="Arial" w:eastAsia="Arial" w:hAnsi="Arial" w:cs="Arial"/>
          <w:i/>
          <w:iCs/>
          <w:sz w:val="22"/>
          <w:szCs w:val="22"/>
        </w:rPr>
        <w:t>,</w:t>
      </w:r>
      <w:r w:rsidR="005F18A1" w:rsidRPr="00856619">
        <w:rPr>
          <w:rFonts w:ascii="Arial" w:eastAsia="Arial" w:hAnsi="Arial" w:cs="Arial"/>
          <w:i/>
          <w:iCs/>
          <w:sz w:val="22"/>
          <w:szCs w:val="22"/>
        </w:rPr>
        <w:t xml:space="preserve"> </w:t>
      </w:r>
      <w:r w:rsidRPr="00856619">
        <w:rPr>
          <w:rFonts w:ascii="Arial" w:eastAsia="Arial" w:hAnsi="Arial" w:cs="Arial"/>
          <w:i/>
          <w:iCs/>
          <w:sz w:val="22"/>
          <w:szCs w:val="22"/>
        </w:rPr>
        <w:t>Journal of Affective Disorders</w:t>
      </w:r>
      <w:r w:rsidRPr="00856619">
        <w:rPr>
          <w:rFonts w:ascii="Arial" w:eastAsia="Arial" w:hAnsi="Arial" w:cs="Arial"/>
          <w:sz w:val="22"/>
          <w:szCs w:val="22"/>
        </w:rPr>
        <w:t xml:space="preserve">, 175, pp. 53–65. Available at: </w:t>
      </w:r>
      <w:hyperlink r:id="rId66">
        <w:r w:rsidRPr="00856619">
          <w:rPr>
            <w:rStyle w:val="Hyperlink"/>
            <w:rFonts w:ascii="Arial" w:eastAsia="Arial" w:hAnsi="Arial" w:cs="Arial"/>
            <w:color w:val="auto"/>
            <w:sz w:val="22"/>
            <w:szCs w:val="22"/>
          </w:rPr>
          <w:t>https://doi.org/10.1016/j.jad.2014.12.049</w:t>
        </w:r>
      </w:hyperlink>
      <w:r w:rsidRPr="00856619">
        <w:rPr>
          <w:rFonts w:ascii="Arial" w:eastAsia="Arial" w:hAnsi="Arial" w:cs="Arial"/>
          <w:sz w:val="22"/>
          <w:szCs w:val="22"/>
        </w:rPr>
        <w:t xml:space="preserve"> (Accessed:</w:t>
      </w:r>
      <w:r w:rsidR="005F18A1" w:rsidRPr="00856619">
        <w:rPr>
          <w:rFonts w:ascii="Arial" w:eastAsia="Arial" w:hAnsi="Arial" w:cs="Arial"/>
          <w:sz w:val="22"/>
          <w:szCs w:val="22"/>
        </w:rPr>
        <w:t>01 December 2025</w:t>
      </w:r>
      <w:r w:rsidRPr="00856619">
        <w:rPr>
          <w:rFonts w:ascii="Arial" w:eastAsia="Arial" w:hAnsi="Arial" w:cs="Arial"/>
          <w:sz w:val="22"/>
          <w:szCs w:val="22"/>
        </w:rPr>
        <w:t>).</w:t>
      </w:r>
    </w:p>
    <w:p w14:paraId="4C781DEB" w14:textId="105E2925" w:rsidR="3A7CED5F" w:rsidRPr="00856619" w:rsidRDefault="3A7CED5F" w:rsidP="003C5D4C">
      <w:pPr>
        <w:rPr>
          <w:rFonts w:ascii="Arial" w:eastAsia="Arial" w:hAnsi="Arial" w:cs="Arial"/>
          <w:sz w:val="22"/>
          <w:szCs w:val="22"/>
        </w:rPr>
      </w:pPr>
    </w:p>
    <w:p w14:paraId="1A96317D" w14:textId="6F2187C4" w:rsidR="71DBE16D" w:rsidRPr="00856619" w:rsidRDefault="71DBE16D" w:rsidP="003C5D4C">
      <w:pPr>
        <w:rPr>
          <w:rFonts w:ascii="Arial" w:eastAsia="Arial" w:hAnsi="Arial" w:cs="Arial"/>
          <w:sz w:val="22"/>
          <w:szCs w:val="22"/>
        </w:rPr>
      </w:pPr>
      <w:proofErr w:type="spellStart"/>
      <w:r w:rsidRPr="00856619">
        <w:rPr>
          <w:rFonts w:ascii="Arial" w:eastAsia="Arial" w:hAnsi="Arial" w:cs="Arial"/>
          <w:sz w:val="22"/>
          <w:szCs w:val="22"/>
        </w:rPr>
        <w:t>Scardera</w:t>
      </w:r>
      <w:proofErr w:type="spellEnd"/>
      <w:r w:rsidRPr="00856619">
        <w:rPr>
          <w:rFonts w:ascii="Arial" w:eastAsia="Arial" w:hAnsi="Arial" w:cs="Arial"/>
          <w:sz w:val="22"/>
          <w:szCs w:val="22"/>
        </w:rPr>
        <w:t>, S., Perret, L.C., Ouellet-Morin, I. and Geoffroy, M.C. (2020) ‘Association of social support during adolescence with mental health outcomes’</w:t>
      </w:r>
      <w:r w:rsidR="00487DC5" w:rsidRPr="00856619">
        <w:rPr>
          <w:rFonts w:ascii="Arial" w:eastAsia="Arial" w:hAnsi="Arial" w:cs="Arial"/>
          <w:sz w:val="22"/>
          <w:szCs w:val="22"/>
        </w:rPr>
        <w:t xml:space="preserve">, </w:t>
      </w:r>
      <w:r w:rsidRPr="00856619">
        <w:rPr>
          <w:rFonts w:ascii="Arial" w:eastAsia="Arial" w:hAnsi="Arial" w:cs="Arial"/>
          <w:i/>
          <w:iCs/>
          <w:sz w:val="22"/>
          <w:szCs w:val="22"/>
        </w:rPr>
        <w:t>JAMA Network Open</w:t>
      </w:r>
      <w:r w:rsidRPr="00856619">
        <w:rPr>
          <w:rFonts w:ascii="Arial" w:eastAsia="Arial" w:hAnsi="Arial" w:cs="Arial"/>
          <w:sz w:val="22"/>
          <w:szCs w:val="22"/>
        </w:rPr>
        <w:t xml:space="preserve">, 3(12). Available at: </w:t>
      </w:r>
      <w:hyperlink r:id="rId67">
        <w:r w:rsidRPr="00856619">
          <w:rPr>
            <w:rStyle w:val="Hyperlink"/>
            <w:rFonts w:ascii="Arial" w:eastAsia="Arial" w:hAnsi="Arial" w:cs="Arial"/>
            <w:color w:val="auto"/>
            <w:sz w:val="22"/>
            <w:szCs w:val="22"/>
          </w:rPr>
          <w:t>https://jamanetwork.com/journals/jamanetworkopen/fullarticle/2773539</w:t>
        </w:r>
      </w:hyperlink>
      <w:r w:rsidRPr="00856619">
        <w:rPr>
          <w:rFonts w:ascii="Arial" w:eastAsia="Arial" w:hAnsi="Arial" w:cs="Arial"/>
          <w:sz w:val="22"/>
          <w:szCs w:val="22"/>
        </w:rPr>
        <w:t xml:space="preserve"> (Accessed: </w:t>
      </w:r>
      <w:r w:rsidR="00411075" w:rsidRPr="00856619">
        <w:rPr>
          <w:rFonts w:ascii="Arial" w:eastAsia="Arial" w:hAnsi="Arial" w:cs="Arial"/>
          <w:sz w:val="22"/>
          <w:szCs w:val="22"/>
        </w:rPr>
        <w:t>23 November 2025</w:t>
      </w:r>
      <w:r w:rsidRPr="00856619">
        <w:rPr>
          <w:rFonts w:ascii="Arial" w:eastAsia="Arial" w:hAnsi="Arial" w:cs="Arial"/>
          <w:sz w:val="22"/>
          <w:szCs w:val="22"/>
        </w:rPr>
        <w:t>).</w:t>
      </w:r>
    </w:p>
    <w:p w14:paraId="207872A4" w14:textId="400DBB72" w:rsidR="3A7CED5F" w:rsidRPr="00856619" w:rsidRDefault="3A7CED5F" w:rsidP="003C5D4C">
      <w:pPr>
        <w:rPr>
          <w:rFonts w:ascii="Arial" w:eastAsia="Arial" w:hAnsi="Arial" w:cs="Arial"/>
          <w:sz w:val="22"/>
          <w:szCs w:val="22"/>
        </w:rPr>
      </w:pPr>
    </w:p>
    <w:p w14:paraId="6066FC24" w14:textId="5FAC1BFB" w:rsidR="71DBE16D" w:rsidRPr="00856619" w:rsidRDefault="71DBE16D" w:rsidP="003C5D4C">
      <w:pPr>
        <w:rPr>
          <w:rFonts w:ascii="Arial" w:eastAsia="Arial" w:hAnsi="Arial" w:cs="Arial"/>
          <w:i/>
          <w:iCs/>
          <w:sz w:val="22"/>
          <w:szCs w:val="22"/>
        </w:rPr>
      </w:pPr>
      <w:r w:rsidRPr="00856619">
        <w:rPr>
          <w:rFonts w:ascii="Arial" w:eastAsia="Arial" w:hAnsi="Arial" w:cs="Arial"/>
          <w:sz w:val="22"/>
          <w:szCs w:val="22"/>
        </w:rPr>
        <w:t>Smith, P.K., López-Castro, L. and Robinson, S</w:t>
      </w:r>
      <w:r w:rsidR="002A0292" w:rsidRPr="00856619">
        <w:rPr>
          <w:rFonts w:ascii="Arial" w:eastAsia="Arial" w:hAnsi="Arial" w:cs="Arial"/>
          <w:sz w:val="22"/>
          <w:szCs w:val="22"/>
        </w:rPr>
        <w:t xml:space="preserve">., </w:t>
      </w:r>
      <w:proofErr w:type="spellStart"/>
      <w:r w:rsidR="002A0292" w:rsidRPr="00856619">
        <w:rPr>
          <w:rFonts w:ascii="Arial" w:eastAsia="Arial" w:hAnsi="Arial" w:cs="Arial"/>
          <w:sz w:val="22"/>
          <w:szCs w:val="22"/>
        </w:rPr>
        <w:t>Gorzig</w:t>
      </w:r>
      <w:proofErr w:type="spellEnd"/>
      <w:r w:rsidR="002A0292" w:rsidRPr="00856619">
        <w:rPr>
          <w:rFonts w:ascii="Arial" w:eastAsia="Arial" w:hAnsi="Arial" w:cs="Arial"/>
          <w:sz w:val="22"/>
          <w:szCs w:val="22"/>
        </w:rPr>
        <w:t>, A</w:t>
      </w:r>
      <w:r w:rsidR="00056ECD" w:rsidRPr="00856619">
        <w:rPr>
          <w:rFonts w:ascii="Arial" w:eastAsia="Arial" w:hAnsi="Arial" w:cs="Arial"/>
          <w:sz w:val="22"/>
          <w:szCs w:val="22"/>
        </w:rPr>
        <w:t>.</w:t>
      </w:r>
      <w:r w:rsidRPr="00856619">
        <w:rPr>
          <w:rFonts w:ascii="Arial" w:eastAsia="Arial" w:hAnsi="Arial" w:cs="Arial"/>
          <w:sz w:val="22"/>
          <w:szCs w:val="22"/>
        </w:rPr>
        <w:t xml:space="preserve"> (20</w:t>
      </w:r>
      <w:r w:rsidR="00056ECD" w:rsidRPr="00856619">
        <w:rPr>
          <w:rFonts w:ascii="Arial" w:eastAsia="Arial" w:hAnsi="Arial" w:cs="Arial"/>
          <w:sz w:val="22"/>
          <w:szCs w:val="22"/>
        </w:rPr>
        <w:t>19</w:t>
      </w:r>
      <w:r w:rsidR="00014FD3" w:rsidRPr="00856619">
        <w:rPr>
          <w:rFonts w:ascii="Arial" w:eastAsia="Arial" w:hAnsi="Arial" w:cs="Arial"/>
          <w:sz w:val="22"/>
          <w:szCs w:val="22"/>
        </w:rPr>
        <w:t xml:space="preserve">) </w:t>
      </w:r>
      <w:r w:rsidR="00014FD3" w:rsidRPr="00856619">
        <w:rPr>
          <w:rFonts w:ascii="Arial" w:eastAsia="Arial" w:hAnsi="Arial" w:cs="Arial"/>
          <w:i/>
          <w:iCs/>
          <w:sz w:val="22"/>
          <w:szCs w:val="22"/>
        </w:rPr>
        <w:t xml:space="preserve">Consistency of Gender Differences in Bullying in Cross-Cultural Surveys. </w:t>
      </w:r>
      <w:r w:rsidRPr="00856619">
        <w:rPr>
          <w:rFonts w:ascii="Arial" w:eastAsia="Arial" w:hAnsi="Arial" w:cs="Arial"/>
          <w:sz w:val="22"/>
          <w:szCs w:val="22"/>
        </w:rPr>
        <w:t xml:space="preserve">Available at: </w:t>
      </w:r>
      <w:r w:rsidR="002C4DD1" w:rsidRPr="00856619">
        <w:rPr>
          <w:rFonts w:ascii="Arial" w:eastAsia="Arial" w:hAnsi="Arial" w:cs="Arial"/>
          <w:sz w:val="22"/>
          <w:szCs w:val="22"/>
        </w:rPr>
        <w:t>h</w:t>
      </w:r>
      <w:r w:rsidR="00CB451A" w:rsidRPr="00856619">
        <w:rPr>
          <w:rFonts w:ascii="Arial" w:eastAsia="Arial" w:hAnsi="Arial" w:cs="Arial"/>
          <w:sz w:val="22"/>
          <w:szCs w:val="22"/>
        </w:rPr>
        <w:t xml:space="preserve">ttps://www.sciencedirect.com/science/article/abs/pii/S1359178917304020 </w:t>
      </w:r>
      <w:r w:rsidRPr="00856619">
        <w:rPr>
          <w:rFonts w:ascii="Arial" w:eastAsia="Arial" w:hAnsi="Arial" w:cs="Arial"/>
          <w:sz w:val="22"/>
          <w:szCs w:val="22"/>
        </w:rPr>
        <w:t>(Accessed:</w:t>
      </w:r>
      <w:r w:rsidR="00411075" w:rsidRPr="00856619">
        <w:rPr>
          <w:rFonts w:ascii="Arial" w:eastAsia="Arial" w:hAnsi="Arial" w:cs="Arial"/>
          <w:sz w:val="22"/>
          <w:szCs w:val="22"/>
        </w:rPr>
        <w:t xml:space="preserve"> 21 November 2025</w:t>
      </w:r>
      <w:r w:rsidRPr="00856619">
        <w:rPr>
          <w:rFonts w:ascii="Arial" w:eastAsia="Arial" w:hAnsi="Arial" w:cs="Arial"/>
          <w:sz w:val="22"/>
          <w:szCs w:val="22"/>
        </w:rPr>
        <w:t>).</w:t>
      </w:r>
    </w:p>
    <w:p w14:paraId="619C823A" w14:textId="29F31043" w:rsidR="3A7CED5F" w:rsidRPr="00856619" w:rsidRDefault="3A7CED5F" w:rsidP="003C5D4C">
      <w:pPr>
        <w:rPr>
          <w:rFonts w:ascii="Arial" w:eastAsia="Arial" w:hAnsi="Arial" w:cs="Arial"/>
          <w:sz w:val="22"/>
          <w:szCs w:val="22"/>
        </w:rPr>
      </w:pPr>
    </w:p>
    <w:p w14:paraId="29CB8CA9" w14:textId="6E603915"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 xml:space="preserve">Spence, S.H. (2019) </w:t>
      </w:r>
      <w:r w:rsidRPr="00856619">
        <w:rPr>
          <w:rFonts w:ascii="Arial" w:eastAsia="Arial" w:hAnsi="Arial" w:cs="Arial"/>
          <w:i/>
          <w:iCs/>
          <w:sz w:val="22"/>
          <w:szCs w:val="22"/>
        </w:rPr>
        <w:t>Social support and treatment outcomes in youth anxiety</w:t>
      </w:r>
      <w:r w:rsidR="00044143" w:rsidRPr="00856619">
        <w:rPr>
          <w:rFonts w:ascii="Arial" w:eastAsia="Arial" w:hAnsi="Arial" w:cs="Arial"/>
          <w:sz w:val="22"/>
          <w:szCs w:val="22"/>
        </w:rPr>
        <w:t>.</w:t>
      </w:r>
      <w:r w:rsidRPr="00856619">
        <w:rPr>
          <w:rFonts w:ascii="Arial" w:eastAsia="Arial" w:hAnsi="Arial" w:cs="Arial"/>
          <w:sz w:val="22"/>
          <w:szCs w:val="22"/>
        </w:rPr>
        <w:t xml:space="preserve"> Available at: </w:t>
      </w:r>
      <w:hyperlink r:id="rId68">
        <w:r w:rsidRPr="00856619">
          <w:rPr>
            <w:rStyle w:val="Hyperlink"/>
            <w:rFonts w:ascii="Arial" w:eastAsia="Arial" w:hAnsi="Arial" w:cs="Arial"/>
            <w:color w:val="auto"/>
            <w:sz w:val="22"/>
            <w:szCs w:val="22"/>
          </w:rPr>
          <w:t>https://www.sciencedirect.com/science/article/pii/S2214782919300521</w:t>
        </w:r>
      </w:hyperlink>
      <w:r w:rsidR="00044143" w:rsidRPr="00856619">
        <w:rPr>
          <w:rFonts w:ascii="Arial" w:hAnsi="Arial" w:cs="Arial"/>
          <w:sz w:val="22"/>
          <w:szCs w:val="22"/>
        </w:rPr>
        <w:t xml:space="preserve"> (Accessed:</w:t>
      </w:r>
      <w:r w:rsidR="004E4103" w:rsidRPr="00856619">
        <w:rPr>
          <w:rFonts w:ascii="Arial" w:hAnsi="Arial" w:cs="Arial"/>
          <w:sz w:val="22"/>
          <w:szCs w:val="22"/>
        </w:rPr>
        <w:t>18 January 2026).</w:t>
      </w:r>
    </w:p>
    <w:p w14:paraId="0CEE1460" w14:textId="77777777" w:rsidR="005E2889" w:rsidRPr="00856619" w:rsidRDefault="005E2889" w:rsidP="003C5D4C">
      <w:pPr>
        <w:rPr>
          <w:rFonts w:ascii="Arial" w:eastAsia="Arial" w:hAnsi="Arial" w:cs="Arial"/>
          <w:sz w:val="22"/>
          <w:szCs w:val="22"/>
        </w:rPr>
      </w:pPr>
    </w:p>
    <w:p w14:paraId="62EE67EB" w14:textId="24905E8C" w:rsidR="3A7CED5F" w:rsidRPr="00856619" w:rsidRDefault="00B933B9" w:rsidP="003C5D4C">
      <w:pPr>
        <w:rPr>
          <w:rFonts w:ascii="Arial" w:eastAsia="Arial" w:hAnsi="Arial" w:cs="Arial"/>
          <w:sz w:val="22"/>
          <w:szCs w:val="22"/>
        </w:rPr>
      </w:pPr>
      <w:proofErr w:type="spellStart"/>
      <w:r w:rsidRPr="00856619">
        <w:rPr>
          <w:rFonts w:ascii="Arial" w:eastAsia="Arial" w:hAnsi="Arial" w:cs="Arial"/>
          <w:sz w:val="22"/>
          <w:szCs w:val="22"/>
        </w:rPr>
        <w:t>Stiede</w:t>
      </w:r>
      <w:proofErr w:type="spellEnd"/>
      <w:r w:rsidRPr="00856619">
        <w:rPr>
          <w:rFonts w:ascii="Arial" w:eastAsia="Arial" w:hAnsi="Arial" w:cs="Arial"/>
          <w:sz w:val="22"/>
          <w:szCs w:val="22"/>
        </w:rPr>
        <w:t xml:space="preserve">, J. T., Trent, E. S., Viana, A. G., Guzick, A. G., Storch, E. A., &amp; Hershfield, J. (2023) ‘Cognitive </w:t>
      </w:r>
      <w:proofErr w:type="spellStart"/>
      <w:r w:rsidRPr="00856619">
        <w:rPr>
          <w:rFonts w:ascii="Arial" w:eastAsia="Arial" w:hAnsi="Arial" w:cs="Arial"/>
          <w:sz w:val="22"/>
          <w:szCs w:val="22"/>
        </w:rPr>
        <w:t>Behavioral</w:t>
      </w:r>
      <w:proofErr w:type="spellEnd"/>
      <w:r w:rsidRPr="00856619">
        <w:rPr>
          <w:rFonts w:ascii="Arial" w:eastAsia="Arial" w:hAnsi="Arial" w:cs="Arial"/>
          <w:sz w:val="22"/>
          <w:szCs w:val="22"/>
        </w:rPr>
        <w:t xml:space="preserve"> Therapy for Children and Adolescents with Anxiety Disorders’</w:t>
      </w:r>
      <w:r w:rsidR="00E72999" w:rsidRPr="00856619">
        <w:rPr>
          <w:rFonts w:ascii="Arial" w:eastAsia="Arial" w:hAnsi="Arial" w:cs="Arial"/>
          <w:sz w:val="22"/>
          <w:szCs w:val="22"/>
        </w:rPr>
        <w:t xml:space="preserve">, </w:t>
      </w:r>
      <w:r w:rsidRPr="00856619">
        <w:rPr>
          <w:rFonts w:ascii="Arial" w:eastAsia="Arial" w:hAnsi="Arial" w:cs="Arial"/>
          <w:i/>
          <w:iCs/>
          <w:sz w:val="22"/>
          <w:szCs w:val="22"/>
        </w:rPr>
        <w:t>Child and adolescent psychiatric clinics of North America</w:t>
      </w:r>
      <w:r w:rsidRPr="00856619">
        <w:rPr>
          <w:rFonts w:ascii="Arial" w:eastAsia="Arial" w:hAnsi="Arial" w:cs="Arial"/>
          <w:sz w:val="22"/>
          <w:szCs w:val="22"/>
        </w:rPr>
        <w:t>, </w:t>
      </w:r>
      <w:r w:rsidRPr="00856619">
        <w:rPr>
          <w:rFonts w:ascii="Arial" w:eastAsia="Arial" w:hAnsi="Arial" w:cs="Arial"/>
          <w:i/>
          <w:iCs/>
          <w:sz w:val="22"/>
          <w:szCs w:val="22"/>
        </w:rPr>
        <w:t>32</w:t>
      </w:r>
      <w:r w:rsidRPr="00856619">
        <w:rPr>
          <w:rFonts w:ascii="Arial" w:eastAsia="Arial" w:hAnsi="Arial" w:cs="Arial"/>
          <w:sz w:val="22"/>
          <w:szCs w:val="22"/>
        </w:rPr>
        <w:t>(3), pp</w:t>
      </w:r>
      <w:r w:rsidR="00E72999" w:rsidRPr="00856619">
        <w:rPr>
          <w:rFonts w:ascii="Arial" w:eastAsia="Arial" w:hAnsi="Arial" w:cs="Arial"/>
          <w:sz w:val="22"/>
          <w:szCs w:val="22"/>
        </w:rPr>
        <w:t xml:space="preserve">. </w:t>
      </w:r>
      <w:r w:rsidRPr="00856619">
        <w:rPr>
          <w:rFonts w:ascii="Arial" w:eastAsia="Arial" w:hAnsi="Arial" w:cs="Arial"/>
          <w:sz w:val="22"/>
          <w:szCs w:val="22"/>
        </w:rPr>
        <w:t>543–558. Available at</w:t>
      </w:r>
      <w:r w:rsidR="00B948B0" w:rsidRPr="00856619">
        <w:rPr>
          <w:rFonts w:ascii="Arial" w:eastAsia="Arial" w:hAnsi="Arial" w:cs="Arial"/>
          <w:sz w:val="22"/>
          <w:szCs w:val="22"/>
        </w:rPr>
        <w:t xml:space="preserve">: </w:t>
      </w:r>
      <w:hyperlink r:id="rId69" w:history="1">
        <w:r w:rsidR="00B948B0" w:rsidRPr="00856619">
          <w:rPr>
            <w:rStyle w:val="Hyperlink"/>
            <w:rFonts w:ascii="Arial" w:eastAsia="Arial" w:hAnsi="Arial" w:cs="Arial"/>
            <w:color w:val="auto"/>
            <w:sz w:val="22"/>
            <w:szCs w:val="22"/>
          </w:rPr>
          <w:t>https://doi.org/10.1016/j.chc.2022.12.001</w:t>
        </w:r>
      </w:hyperlink>
      <w:r w:rsidR="00B948B0" w:rsidRPr="00856619">
        <w:rPr>
          <w:rFonts w:ascii="Arial" w:eastAsia="Arial" w:hAnsi="Arial" w:cs="Arial"/>
          <w:sz w:val="22"/>
          <w:szCs w:val="22"/>
        </w:rPr>
        <w:t xml:space="preserve"> (Accessed:18 January 2026).</w:t>
      </w:r>
    </w:p>
    <w:p w14:paraId="3E299919" w14:textId="77777777" w:rsidR="009100A5" w:rsidRDefault="009100A5" w:rsidP="003C5D4C">
      <w:pPr>
        <w:rPr>
          <w:rFonts w:ascii="Arial" w:eastAsia="Arial" w:hAnsi="Arial" w:cs="Arial"/>
          <w:sz w:val="22"/>
          <w:szCs w:val="22"/>
        </w:rPr>
      </w:pPr>
    </w:p>
    <w:p w14:paraId="4D19AE79" w14:textId="77777777" w:rsidR="009C326E" w:rsidRDefault="009C326E" w:rsidP="003C5D4C">
      <w:pPr>
        <w:rPr>
          <w:rFonts w:ascii="Arial" w:eastAsia="Arial" w:hAnsi="Arial" w:cs="Arial"/>
          <w:sz w:val="22"/>
          <w:szCs w:val="22"/>
        </w:rPr>
      </w:pPr>
    </w:p>
    <w:p w14:paraId="5D6866A3" w14:textId="77777777" w:rsidR="009C326E" w:rsidRPr="00856619" w:rsidRDefault="009C326E" w:rsidP="003C5D4C">
      <w:pPr>
        <w:rPr>
          <w:rFonts w:ascii="Arial" w:eastAsia="Arial" w:hAnsi="Arial" w:cs="Arial"/>
          <w:sz w:val="22"/>
          <w:szCs w:val="22"/>
        </w:rPr>
      </w:pPr>
    </w:p>
    <w:p w14:paraId="2630A524" w14:textId="2F97BE3D"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lastRenderedPageBreak/>
        <w:t>Taylor, S., Oberle, E., Durlak, J.A. and Weissberg, R.P. (2017) ‘Promoting positive youth development through school-based social and emotional learning interventions’</w:t>
      </w:r>
      <w:r w:rsidRPr="00856619">
        <w:rPr>
          <w:rFonts w:ascii="Arial" w:eastAsia="Arial" w:hAnsi="Arial" w:cs="Arial"/>
          <w:i/>
          <w:iCs/>
          <w:sz w:val="22"/>
          <w:szCs w:val="22"/>
        </w:rPr>
        <w:t>, Child Development</w:t>
      </w:r>
      <w:r w:rsidRPr="00856619">
        <w:rPr>
          <w:rFonts w:ascii="Arial" w:eastAsia="Arial" w:hAnsi="Arial" w:cs="Arial"/>
          <w:sz w:val="22"/>
          <w:szCs w:val="22"/>
        </w:rPr>
        <w:t xml:space="preserve">, 88(4), pp. 1156–1171. Available at: </w:t>
      </w:r>
      <w:hyperlink r:id="rId70">
        <w:r w:rsidRPr="00856619">
          <w:rPr>
            <w:rStyle w:val="Hyperlink"/>
            <w:rFonts w:ascii="Arial" w:eastAsia="Arial" w:hAnsi="Arial" w:cs="Arial"/>
            <w:color w:val="auto"/>
            <w:sz w:val="22"/>
            <w:szCs w:val="22"/>
          </w:rPr>
          <w:t>https://doi.org/10.1111/cdev.12864</w:t>
        </w:r>
      </w:hyperlink>
      <w:r w:rsidRPr="00856619">
        <w:rPr>
          <w:rFonts w:ascii="Arial" w:eastAsia="Arial" w:hAnsi="Arial" w:cs="Arial"/>
          <w:sz w:val="22"/>
          <w:szCs w:val="22"/>
        </w:rPr>
        <w:t xml:space="preserve"> (Accessed:</w:t>
      </w:r>
      <w:r w:rsidR="007F10A7" w:rsidRPr="00856619">
        <w:rPr>
          <w:rFonts w:ascii="Arial" w:eastAsia="Arial" w:hAnsi="Arial" w:cs="Arial"/>
          <w:sz w:val="22"/>
          <w:szCs w:val="22"/>
        </w:rPr>
        <w:t>16 November 2026</w:t>
      </w:r>
      <w:r w:rsidRPr="00856619">
        <w:rPr>
          <w:rFonts w:ascii="Arial" w:eastAsia="Arial" w:hAnsi="Arial" w:cs="Arial"/>
          <w:sz w:val="22"/>
          <w:szCs w:val="22"/>
        </w:rPr>
        <w:t>).</w:t>
      </w:r>
    </w:p>
    <w:p w14:paraId="64BB0231" w14:textId="529FFBB5" w:rsidR="3A7CED5F" w:rsidRPr="00856619" w:rsidRDefault="3A7CED5F" w:rsidP="003C5D4C">
      <w:pPr>
        <w:rPr>
          <w:rFonts w:ascii="Arial" w:eastAsia="Arial" w:hAnsi="Arial" w:cs="Arial"/>
          <w:sz w:val="22"/>
          <w:szCs w:val="22"/>
        </w:rPr>
      </w:pPr>
    </w:p>
    <w:p w14:paraId="153AF99A" w14:textId="2E782938"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 xml:space="preserve">Taylor, S.E. (2011) </w:t>
      </w:r>
      <w:r w:rsidRPr="00856619">
        <w:rPr>
          <w:rFonts w:ascii="Arial" w:eastAsia="Arial" w:hAnsi="Arial" w:cs="Arial"/>
          <w:i/>
          <w:iCs/>
          <w:sz w:val="22"/>
          <w:szCs w:val="22"/>
        </w:rPr>
        <w:t>Social support: A review in Friedman</w:t>
      </w:r>
      <w:r w:rsidR="00F15706" w:rsidRPr="00856619">
        <w:rPr>
          <w:rFonts w:ascii="Arial" w:eastAsia="Arial" w:hAnsi="Arial" w:cs="Arial"/>
          <w:sz w:val="22"/>
          <w:szCs w:val="22"/>
        </w:rPr>
        <w:t>.</w:t>
      </w:r>
      <w:r w:rsidRPr="00856619">
        <w:rPr>
          <w:rFonts w:ascii="Arial" w:eastAsia="Arial" w:hAnsi="Arial" w:cs="Arial"/>
          <w:sz w:val="22"/>
          <w:szCs w:val="22"/>
        </w:rPr>
        <w:t xml:space="preserve"> H.S. (ed.) The Oxford Handbook of Health Psychology. Oxford: Oxford University Press.</w:t>
      </w:r>
    </w:p>
    <w:p w14:paraId="3CC8D617" w14:textId="3DA9EB4E" w:rsidR="3A7CED5F" w:rsidRPr="00856619" w:rsidRDefault="3A7CED5F" w:rsidP="003C5D4C">
      <w:pPr>
        <w:rPr>
          <w:rFonts w:ascii="Arial" w:eastAsia="Arial" w:hAnsi="Arial" w:cs="Arial"/>
          <w:sz w:val="22"/>
          <w:szCs w:val="22"/>
        </w:rPr>
      </w:pPr>
    </w:p>
    <w:p w14:paraId="4F5CEEA9" w14:textId="00669108"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Thoits, P.A. (2011) ‘Mechanisms linking social ties and support to physical and mental health’</w:t>
      </w:r>
      <w:r w:rsidR="006A7661" w:rsidRPr="00856619">
        <w:rPr>
          <w:rFonts w:ascii="Arial" w:eastAsia="Arial" w:hAnsi="Arial" w:cs="Arial"/>
          <w:sz w:val="22"/>
          <w:szCs w:val="22"/>
        </w:rPr>
        <w:t xml:space="preserve">, </w:t>
      </w:r>
      <w:r w:rsidRPr="00856619">
        <w:rPr>
          <w:rFonts w:ascii="Arial" w:eastAsia="Arial" w:hAnsi="Arial" w:cs="Arial"/>
          <w:i/>
          <w:iCs/>
          <w:sz w:val="22"/>
          <w:szCs w:val="22"/>
        </w:rPr>
        <w:t xml:space="preserve">Journal of Health and Social </w:t>
      </w:r>
      <w:proofErr w:type="spellStart"/>
      <w:r w:rsidRPr="00856619">
        <w:rPr>
          <w:rFonts w:ascii="Arial" w:eastAsia="Arial" w:hAnsi="Arial" w:cs="Arial"/>
          <w:i/>
          <w:iCs/>
          <w:sz w:val="22"/>
          <w:szCs w:val="22"/>
        </w:rPr>
        <w:t>Behavior</w:t>
      </w:r>
      <w:proofErr w:type="spellEnd"/>
      <w:r w:rsidRPr="00856619">
        <w:rPr>
          <w:rFonts w:ascii="Arial" w:eastAsia="Arial" w:hAnsi="Arial" w:cs="Arial"/>
          <w:sz w:val="22"/>
          <w:szCs w:val="22"/>
        </w:rPr>
        <w:t xml:space="preserve">, 52(2), pp. 145–161. Available at: </w:t>
      </w:r>
      <w:hyperlink r:id="rId71">
        <w:r w:rsidRPr="00856619">
          <w:rPr>
            <w:rStyle w:val="Hyperlink"/>
            <w:rFonts w:ascii="Arial" w:eastAsia="Arial" w:hAnsi="Arial" w:cs="Arial"/>
            <w:color w:val="auto"/>
            <w:sz w:val="22"/>
            <w:szCs w:val="22"/>
          </w:rPr>
          <w:t>https://doi.org/10.1177/0022146510395592</w:t>
        </w:r>
      </w:hyperlink>
      <w:r w:rsidR="00F15706" w:rsidRPr="00856619">
        <w:rPr>
          <w:rFonts w:ascii="Arial" w:hAnsi="Arial" w:cs="Arial"/>
          <w:sz w:val="22"/>
          <w:szCs w:val="22"/>
        </w:rPr>
        <w:t xml:space="preserve"> (Accessed:19 November 2025).</w:t>
      </w:r>
    </w:p>
    <w:p w14:paraId="24F887D8" w14:textId="3EC6801E" w:rsidR="3A7CED5F" w:rsidRPr="00856619" w:rsidRDefault="3A7CED5F" w:rsidP="003C5D4C">
      <w:pPr>
        <w:rPr>
          <w:rFonts w:ascii="Arial" w:eastAsia="Arial" w:hAnsi="Arial" w:cs="Arial"/>
          <w:sz w:val="22"/>
          <w:szCs w:val="22"/>
        </w:rPr>
      </w:pPr>
    </w:p>
    <w:p w14:paraId="0781EABC" w14:textId="7B1E330D" w:rsidR="71DBE16D" w:rsidRPr="00856619" w:rsidRDefault="00FE70EC" w:rsidP="003C5D4C">
      <w:pPr>
        <w:rPr>
          <w:rFonts w:ascii="Arial" w:eastAsia="Arial" w:hAnsi="Arial" w:cs="Arial"/>
          <w:sz w:val="22"/>
          <w:szCs w:val="22"/>
        </w:rPr>
      </w:pPr>
      <w:r w:rsidRPr="00856619">
        <w:rPr>
          <w:rFonts w:ascii="Arial" w:eastAsia="Arial" w:hAnsi="Arial" w:cs="Arial"/>
          <w:sz w:val="22"/>
          <w:szCs w:val="22"/>
        </w:rPr>
        <w:t xml:space="preserve">Vannucci, A., &amp; McCauley Ohannessian, C. (2019) </w:t>
      </w:r>
      <w:r w:rsidR="00932D84" w:rsidRPr="00856619">
        <w:rPr>
          <w:rFonts w:ascii="Arial" w:eastAsia="Arial" w:hAnsi="Arial" w:cs="Arial"/>
          <w:sz w:val="22"/>
          <w:szCs w:val="22"/>
        </w:rPr>
        <w:t>‘</w:t>
      </w:r>
      <w:r w:rsidRPr="00856619">
        <w:rPr>
          <w:rFonts w:ascii="Arial" w:eastAsia="Arial" w:hAnsi="Arial" w:cs="Arial"/>
          <w:sz w:val="22"/>
          <w:szCs w:val="22"/>
        </w:rPr>
        <w:t>Social Media Use Subgroups Differentially Predict Psychosocial Well-Being During Early Adolescence</w:t>
      </w:r>
      <w:r w:rsidR="00932D84" w:rsidRPr="00856619">
        <w:rPr>
          <w:rFonts w:ascii="Arial" w:eastAsia="Arial" w:hAnsi="Arial" w:cs="Arial"/>
          <w:sz w:val="22"/>
          <w:szCs w:val="22"/>
        </w:rPr>
        <w:t>’</w:t>
      </w:r>
      <w:r w:rsidR="006A7661" w:rsidRPr="00856619">
        <w:rPr>
          <w:rFonts w:ascii="Arial" w:eastAsia="Arial" w:hAnsi="Arial" w:cs="Arial"/>
          <w:sz w:val="22"/>
          <w:szCs w:val="22"/>
        </w:rPr>
        <w:t>,</w:t>
      </w:r>
      <w:r w:rsidRPr="00856619">
        <w:rPr>
          <w:rFonts w:ascii="Arial" w:eastAsia="Arial" w:hAnsi="Arial" w:cs="Arial"/>
          <w:sz w:val="22"/>
          <w:szCs w:val="22"/>
        </w:rPr>
        <w:t> </w:t>
      </w:r>
      <w:r w:rsidRPr="00856619">
        <w:rPr>
          <w:rFonts w:ascii="Arial" w:eastAsia="Arial" w:hAnsi="Arial" w:cs="Arial"/>
          <w:i/>
          <w:iCs/>
          <w:sz w:val="22"/>
          <w:szCs w:val="22"/>
        </w:rPr>
        <w:t>Journal of youth and adolescence</w:t>
      </w:r>
      <w:r w:rsidRPr="00856619">
        <w:rPr>
          <w:rFonts w:ascii="Arial" w:eastAsia="Arial" w:hAnsi="Arial" w:cs="Arial"/>
          <w:sz w:val="22"/>
          <w:szCs w:val="22"/>
        </w:rPr>
        <w:t>, </w:t>
      </w:r>
      <w:r w:rsidRPr="00856619">
        <w:rPr>
          <w:rFonts w:ascii="Arial" w:eastAsia="Arial" w:hAnsi="Arial" w:cs="Arial"/>
          <w:i/>
          <w:iCs/>
          <w:sz w:val="22"/>
          <w:szCs w:val="22"/>
        </w:rPr>
        <w:t>48</w:t>
      </w:r>
      <w:r w:rsidRPr="00856619">
        <w:rPr>
          <w:rFonts w:ascii="Arial" w:eastAsia="Arial" w:hAnsi="Arial" w:cs="Arial"/>
          <w:sz w:val="22"/>
          <w:szCs w:val="22"/>
        </w:rPr>
        <w:t xml:space="preserve">(8), </w:t>
      </w:r>
      <w:r w:rsidR="00932D84" w:rsidRPr="00856619">
        <w:rPr>
          <w:rFonts w:ascii="Arial" w:eastAsia="Arial" w:hAnsi="Arial" w:cs="Arial"/>
          <w:sz w:val="22"/>
          <w:szCs w:val="22"/>
        </w:rPr>
        <w:t>pp</w:t>
      </w:r>
      <w:r w:rsidR="006A7661" w:rsidRPr="00856619">
        <w:rPr>
          <w:rFonts w:ascii="Arial" w:eastAsia="Arial" w:hAnsi="Arial" w:cs="Arial"/>
          <w:sz w:val="22"/>
          <w:szCs w:val="22"/>
        </w:rPr>
        <w:t xml:space="preserve">. </w:t>
      </w:r>
      <w:r w:rsidRPr="00856619">
        <w:rPr>
          <w:rFonts w:ascii="Arial" w:eastAsia="Arial" w:hAnsi="Arial" w:cs="Arial"/>
          <w:sz w:val="22"/>
          <w:szCs w:val="22"/>
        </w:rPr>
        <w:t>1469–1493.</w:t>
      </w:r>
      <w:r w:rsidR="00932D84" w:rsidRPr="00856619">
        <w:rPr>
          <w:rFonts w:ascii="Arial" w:eastAsia="Arial" w:hAnsi="Arial" w:cs="Arial"/>
          <w:sz w:val="22"/>
          <w:szCs w:val="22"/>
        </w:rPr>
        <w:t xml:space="preserve"> Available</w:t>
      </w:r>
      <w:r w:rsidR="00BD6167" w:rsidRPr="00856619">
        <w:rPr>
          <w:rFonts w:ascii="Arial" w:eastAsia="Arial" w:hAnsi="Arial" w:cs="Arial"/>
          <w:sz w:val="22"/>
          <w:szCs w:val="22"/>
        </w:rPr>
        <w:t xml:space="preserve"> at</w:t>
      </w:r>
      <w:r w:rsidR="00932D84" w:rsidRPr="00856619">
        <w:rPr>
          <w:rFonts w:ascii="Arial" w:eastAsia="Arial" w:hAnsi="Arial" w:cs="Arial"/>
          <w:sz w:val="22"/>
          <w:szCs w:val="22"/>
        </w:rPr>
        <w:t>:</w:t>
      </w:r>
      <w:r w:rsidRPr="00856619">
        <w:rPr>
          <w:rFonts w:ascii="Arial" w:eastAsia="Arial" w:hAnsi="Arial" w:cs="Arial"/>
          <w:sz w:val="22"/>
          <w:szCs w:val="22"/>
        </w:rPr>
        <w:t xml:space="preserve"> </w:t>
      </w:r>
      <w:hyperlink r:id="rId72" w:history="1">
        <w:r w:rsidR="00932D84" w:rsidRPr="00856619">
          <w:rPr>
            <w:rStyle w:val="Hyperlink"/>
            <w:rFonts w:ascii="Arial" w:eastAsia="Arial" w:hAnsi="Arial" w:cs="Arial"/>
            <w:color w:val="auto"/>
            <w:sz w:val="22"/>
            <w:szCs w:val="22"/>
          </w:rPr>
          <w:t>https://doi.org/10.1007/s10964-019-01060-9</w:t>
        </w:r>
      </w:hyperlink>
      <w:r w:rsidR="00932D84" w:rsidRPr="00856619">
        <w:rPr>
          <w:rFonts w:ascii="Arial" w:eastAsia="Arial" w:hAnsi="Arial" w:cs="Arial"/>
          <w:sz w:val="22"/>
          <w:szCs w:val="22"/>
        </w:rPr>
        <w:t xml:space="preserve"> </w:t>
      </w:r>
      <w:r w:rsidR="71DBE16D" w:rsidRPr="00856619">
        <w:rPr>
          <w:rFonts w:ascii="Arial" w:eastAsia="Arial" w:hAnsi="Arial" w:cs="Arial"/>
          <w:sz w:val="22"/>
          <w:szCs w:val="22"/>
        </w:rPr>
        <w:t xml:space="preserve"> (Accessed</w:t>
      </w:r>
      <w:r w:rsidR="0005655A" w:rsidRPr="00856619">
        <w:rPr>
          <w:rFonts w:ascii="Arial" w:eastAsia="Arial" w:hAnsi="Arial" w:cs="Arial"/>
          <w:sz w:val="22"/>
          <w:szCs w:val="22"/>
        </w:rPr>
        <w:t>:</w:t>
      </w:r>
      <w:r w:rsidR="00F15706" w:rsidRPr="00856619">
        <w:rPr>
          <w:rFonts w:ascii="Arial" w:eastAsia="Arial" w:hAnsi="Arial" w:cs="Arial"/>
          <w:sz w:val="22"/>
          <w:szCs w:val="22"/>
        </w:rPr>
        <w:t>16 January</w:t>
      </w:r>
      <w:r w:rsidR="71DBE16D" w:rsidRPr="00856619">
        <w:rPr>
          <w:rFonts w:ascii="Arial" w:eastAsia="Arial" w:hAnsi="Arial" w:cs="Arial"/>
          <w:sz w:val="22"/>
          <w:szCs w:val="22"/>
        </w:rPr>
        <w:t xml:space="preserve"> 2026).</w:t>
      </w:r>
    </w:p>
    <w:p w14:paraId="228DF02F" w14:textId="12FFB458" w:rsidR="3A7CED5F" w:rsidRPr="00856619" w:rsidRDefault="3A7CED5F" w:rsidP="003C5D4C">
      <w:pPr>
        <w:rPr>
          <w:rFonts w:ascii="Arial" w:eastAsia="Arial" w:hAnsi="Arial" w:cs="Arial"/>
          <w:sz w:val="22"/>
          <w:szCs w:val="22"/>
        </w:rPr>
      </w:pPr>
    </w:p>
    <w:p w14:paraId="4DCD28B7" w14:textId="50996911"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Vélez, C.E., Gresham, F.M. and Elliott, S.N. (2015) ‘Peer influences and anxiety’</w:t>
      </w:r>
      <w:r w:rsidR="00C05769" w:rsidRPr="00856619">
        <w:rPr>
          <w:rFonts w:ascii="Arial" w:eastAsia="Arial" w:hAnsi="Arial" w:cs="Arial"/>
          <w:i/>
          <w:iCs/>
          <w:sz w:val="22"/>
          <w:szCs w:val="22"/>
        </w:rPr>
        <w:t xml:space="preserve">. </w:t>
      </w:r>
      <w:r w:rsidRPr="00856619">
        <w:rPr>
          <w:rFonts w:ascii="Arial" w:eastAsia="Arial" w:hAnsi="Arial" w:cs="Arial"/>
          <w:i/>
          <w:iCs/>
          <w:sz w:val="22"/>
          <w:szCs w:val="22"/>
        </w:rPr>
        <w:t>School Psychology Quarterly.</w:t>
      </w:r>
      <w:r w:rsidRPr="00856619">
        <w:rPr>
          <w:rFonts w:ascii="Arial" w:eastAsia="Arial" w:hAnsi="Arial" w:cs="Arial"/>
          <w:sz w:val="22"/>
          <w:szCs w:val="22"/>
        </w:rPr>
        <w:t xml:space="preserve"> Available at: </w:t>
      </w:r>
      <w:hyperlink r:id="rId73">
        <w:r w:rsidRPr="00856619">
          <w:rPr>
            <w:rStyle w:val="Hyperlink"/>
            <w:rFonts w:ascii="Arial" w:eastAsia="Arial" w:hAnsi="Arial" w:cs="Arial"/>
            <w:color w:val="auto"/>
            <w:sz w:val="22"/>
            <w:szCs w:val="22"/>
          </w:rPr>
          <w:t>https://doi.org/10.1037/spq0000102</w:t>
        </w:r>
      </w:hyperlink>
      <w:r w:rsidRPr="00856619">
        <w:rPr>
          <w:rFonts w:ascii="Arial" w:eastAsia="Arial" w:hAnsi="Arial" w:cs="Arial"/>
          <w:sz w:val="22"/>
          <w:szCs w:val="22"/>
        </w:rPr>
        <w:t xml:space="preserve"> (Accessed:23</w:t>
      </w:r>
      <w:r w:rsidR="00C05769" w:rsidRPr="00856619">
        <w:rPr>
          <w:rFonts w:ascii="Arial" w:eastAsia="Arial" w:hAnsi="Arial" w:cs="Arial"/>
          <w:sz w:val="22"/>
          <w:szCs w:val="22"/>
        </w:rPr>
        <w:t xml:space="preserve"> November</w:t>
      </w:r>
      <w:r w:rsidRPr="00856619">
        <w:rPr>
          <w:rFonts w:ascii="Arial" w:eastAsia="Arial" w:hAnsi="Arial" w:cs="Arial"/>
          <w:sz w:val="22"/>
          <w:szCs w:val="22"/>
        </w:rPr>
        <w:t xml:space="preserve"> 2026).</w:t>
      </w:r>
    </w:p>
    <w:p w14:paraId="62D28648" w14:textId="31C1B154" w:rsidR="3A7CED5F" w:rsidRPr="00856619" w:rsidRDefault="3A7CED5F" w:rsidP="003C5D4C">
      <w:pPr>
        <w:rPr>
          <w:rFonts w:ascii="Arial" w:eastAsia="Arial" w:hAnsi="Arial" w:cs="Arial"/>
          <w:sz w:val="22"/>
          <w:szCs w:val="22"/>
        </w:rPr>
      </w:pPr>
    </w:p>
    <w:p w14:paraId="2C273560" w14:textId="28608805"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Watson, D. and Clark, L.A. (1991) ‘The tripartite model of anxiety and depression’</w:t>
      </w:r>
      <w:r w:rsidR="007C759A" w:rsidRPr="00856619">
        <w:rPr>
          <w:rFonts w:ascii="Arial" w:eastAsia="Arial" w:hAnsi="Arial" w:cs="Arial"/>
          <w:i/>
          <w:iCs/>
          <w:sz w:val="22"/>
          <w:szCs w:val="22"/>
        </w:rPr>
        <w:t>.</w:t>
      </w:r>
      <w:r w:rsidRPr="00856619">
        <w:rPr>
          <w:rFonts w:ascii="Arial" w:eastAsia="Arial" w:hAnsi="Arial" w:cs="Arial"/>
          <w:i/>
          <w:iCs/>
          <w:sz w:val="22"/>
          <w:szCs w:val="22"/>
        </w:rPr>
        <w:t xml:space="preserve"> Journal of Abnormal Psychology</w:t>
      </w:r>
      <w:r w:rsidRPr="00856619">
        <w:rPr>
          <w:rFonts w:ascii="Arial" w:eastAsia="Arial" w:hAnsi="Arial" w:cs="Arial"/>
          <w:sz w:val="22"/>
          <w:szCs w:val="22"/>
        </w:rPr>
        <w:t>, 100(3), pp. 316–336.</w:t>
      </w:r>
      <w:r w:rsidR="00EE3A11" w:rsidRPr="00856619">
        <w:rPr>
          <w:rFonts w:ascii="Arial" w:eastAsia="Arial" w:hAnsi="Arial" w:cs="Arial"/>
          <w:sz w:val="22"/>
          <w:szCs w:val="22"/>
        </w:rPr>
        <w:t xml:space="preserve"> </w:t>
      </w:r>
      <w:r w:rsidR="00146E99" w:rsidRPr="00856619">
        <w:rPr>
          <w:rFonts w:ascii="Arial" w:eastAsia="Arial" w:hAnsi="Arial" w:cs="Arial"/>
          <w:sz w:val="22"/>
          <w:szCs w:val="22"/>
        </w:rPr>
        <w:t xml:space="preserve">Available at: </w:t>
      </w:r>
      <w:hyperlink r:id="rId74" w:history="1">
        <w:r w:rsidR="00146E99" w:rsidRPr="00856619">
          <w:rPr>
            <w:rStyle w:val="Hyperlink"/>
            <w:rFonts w:ascii="Arial" w:eastAsia="Arial" w:hAnsi="Arial" w:cs="Arial"/>
            <w:color w:val="auto"/>
            <w:sz w:val="22"/>
            <w:szCs w:val="22"/>
          </w:rPr>
          <w:t>https://psycnet.apa.org/record/1991-32000-001</w:t>
        </w:r>
      </w:hyperlink>
      <w:r w:rsidR="00146E99" w:rsidRPr="00856619">
        <w:rPr>
          <w:rFonts w:ascii="Arial" w:eastAsia="Arial" w:hAnsi="Arial" w:cs="Arial"/>
          <w:sz w:val="22"/>
          <w:szCs w:val="22"/>
        </w:rPr>
        <w:t xml:space="preserve"> </w:t>
      </w:r>
      <w:r w:rsidR="00670BFD" w:rsidRPr="00856619">
        <w:rPr>
          <w:rFonts w:ascii="Arial" w:eastAsia="Arial" w:hAnsi="Arial" w:cs="Arial"/>
          <w:sz w:val="22"/>
          <w:szCs w:val="22"/>
        </w:rPr>
        <w:t>(</w:t>
      </w:r>
      <w:r w:rsidR="00146E99" w:rsidRPr="00856619">
        <w:rPr>
          <w:rFonts w:ascii="Arial" w:eastAsia="Arial" w:hAnsi="Arial" w:cs="Arial"/>
          <w:sz w:val="22"/>
          <w:szCs w:val="22"/>
        </w:rPr>
        <w:t>Accessed:</w:t>
      </w:r>
      <w:r w:rsidR="00670BFD" w:rsidRPr="00856619">
        <w:rPr>
          <w:rFonts w:ascii="Arial" w:eastAsia="Arial" w:hAnsi="Arial" w:cs="Arial"/>
          <w:sz w:val="22"/>
          <w:szCs w:val="22"/>
        </w:rPr>
        <w:t>18 December 2025).</w:t>
      </w:r>
    </w:p>
    <w:p w14:paraId="7D886F58" w14:textId="609C2741" w:rsidR="3A7CED5F" w:rsidRPr="00856619" w:rsidRDefault="3A7CED5F" w:rsidP="003C5D4C">
      <w:pPr>
        <w:rPr>
          <w:rFonts w:ascii="Arial" w:eastAsia="Arial" w:hAnsi="Arial" w:cs="Arial"/>
          <w:sz w:val="22"/>
          <w:szCs w:val="22"/>
        </w:rPr>
      </w:pPr>
    </w:p>
    <w:p w14:paraId="73C82DF5" w14:textId="01B58D29"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 xml:space="preserve">Werner, E.E. and Smith, R.S. (2001) </w:t>
      </w:r>
      <w:r w:rsidRPr="00856619">
        <w:rPr>
          <w:rFonts w:ascii="Arial" w:eastAsia="Arial" w:hAnsi="Arial" w:cs="Arial"/>
          <w:i/>
          <w:iCs/>
          <w:sz w:val="22"/>
          <w:szCs w:val="22"/>
        </w:rPr>
        <w:t>Journeys from Childhood to Midlife</w:t>
      </w:r>
      <w:r w:rsidRPr="00856619">
        <w:rPr>
          <w:rFonts w:ascii="Arial" w:eastAsia="Arial" w:hAnsi="Arial" w:cs="Arial"/>
          <w:sz w:val="22"/>
          <w:szCs w:val="22"/>
        </w:rPr>
        <w:t>. Ithaca: Cornell University Press.</w:t>
      </w:r>
    </w:p>
    <w:p w14:paraId="4DB8F63E" w14:textId="5CD51676" w:rsidR="3A7CED5F" w:rsidRPr="00856619" w:rsidRDefault="3A7CED5F" w:rsidP="003C5D4C">
      <w:pPr>
        <w:rPr>
          <w:rFonts w:ascii="Arial" w:eastAsia="Arial" w:hAnsi="Arial" w:cs="Arial"/>
          <w:sz w:val="22"/>
          <w:szCs w:val="22"/>
        </w:rPr>
      </w:pPr>
    </w:p>
    <w:p w14:paraId="6AABFC90" w14:textId="4BF6E8EE" w:rsidR="71DBE16D" w:rsidRPr="00856619" w:rsidRDefault="00D62AF1" w:rsidP="003C5D4C">
      <w:pPr>
        <w:rPr>
          <w:rFonts w:ascii="Arial" w:eastAsia="Arial" w:hAnsi="Arial" w:cs="Arial"/>
          <w:sz w:val="22"/>
          <w:szCs w:val="22"/>
        </w:rPr>
      </w:pPr>
      <w:r w:rsidRPr="00856619">
        <w:rPr>
          <w:rFonts w:ascii="Arial" w:eastAsia="Arial" w:hAnsi="Arial" w:cs="Arial"/>
          <w:sz w:val="22"/>
          <w:szCs w:val="22"/>
        </w:rPr>
        <w:t>Woods, H.C. and Scott, H. (2016)</w:t>
      </w:r>
      <w:r w:rsidR="005A6ABC" w:rsidRPr="00856619">
        <w:rPr>
          <w:rFonts w:ascii="Arial" w:eastAsia="Arial" w:hAnsi="Arial" w:cs="Arial"/>
          <w:sz w:val="22"/>
          <w:szCs w:val="22"/>
        </w:rPr>
        <w:t xml:space="preserve"> ‘</w:t>
      </w:r>
      <w:r w:rsidRPr="00856619">
        <w:rPr>
          <w:rFonts w:ascii="Arial" w:eastAsia="Arial" w:hAnsi="Arial" w:cs="Arial"/>
          <w:sz w:val="22"/>
          <w:szCs w:val="22"/>
        </w:rPr>
        <w:t>Sleepy</w:t>
      </w:r>
      <w:r w:rsidR="003C5D4C" w:rsidRPr="00856619">
        <w:rPr>
          <w:rFonts w:ascii="Arial" w:eastAsia="Arial" w:hAnsi="Arial" w:cs="Arial"/>
          <w:sz w:val="22"/>
          <w:szCs w:val="22"/>
        </w:rPr>
        <w:t xml:space="preserve"> </w:t>
      </w:r>
      <w:r w:rsidRPr="00856619">
        <w:rPr>
          <w:rFonts w:ascii="Arial" w:eastAsia="Arial" w:hAnsi="Arial" w:cs="Arial"/>
          <w:sz w:val="22"/>
          <w:szCs w:val="22"/>
        </w:rPr>
        <w:t>teens: Social media use in adolescence is associated with poor sleep quality, anxiety, depression and low self-esteem</w:t>
      </w:r>
      <w:r w:rsidR="005A6ABC" w:rsidRPr="00856619">
        <w:rPr>
          <w:rFonts w:ascii="Arial" w:eastAsia="Arial" w:hAnsi="Arial" w:cs="Arial"/>
          <w:sz w:val="22"/>
          <w:szCs w:val="22"/>
        </w:rPr>
        <w:t>’</w:t>
      </w:r>
      <w:r w:rsidR="00692324" w:rsidRPr="00856619">
        <w:rPr>
          <w:rFonts w:ascii="Arial" w:eastAsia="Arial" w:hAnsi="Arial" w:cs="Arial"/>
          <w:sz w:val="22"/>
          <w:szCs w:val="22"/>
        </w:rPr>
        <w:t>,</w:t>
      </w:r>
      <w:r w:rsidRPr="00856619">
        <w:rPr>
          <w:rFonts w:ascii="Arial" w:eastAsia="Arial" w:hAnsi="Arial" w:cs="Arial"/>
          <w:sz w:val="22"/>
          <w:szCs w:val="22"/>
        </w:rPr>
        <w:t xml:space="preserve"> </w:t>
      </w:r>
      <w:r w:rsidRPr="00856619">
        <w:rPr>
          <w:rFonts w:ascii="Arial" w:eastAsia="Arial" w:hAnsi="Arial" w:cs="Arial"/>
          <w:i/>
          <w:iCs/>
          <w:sz w:val="22"/>
          <w:szCs w:val="22"/>
        </w:rPr>
        <w:t>Journal of Adolescence</w:t>
      </w:r>
      <w:r w:rsidRPr="00856619">
        <w:rPr>
          <w:rFonts w:ascii="Arial" w:eastAsia="Arial" w:hAnsi="Arial" w:cs="Arial"/>
          <w:sz w:val="22"/>
          <w:szCs w:val="22"/>
        </w:rPr>
        <w:t>, 51</w:t>
      </w:r>
      <w:r w:rsidR="005A6ABC" w:rsidRPr="00856619">
        <w:rPr>
          <w:rFonts w:ascii="Arial" w:eastAsia="Arial" w:hAnsi="Arial" w:cs="Arial"/>
          <w:sz w:val="22"/>
          <w:szCs w:val="22"/>
        </w:rPr>
        <w:t>, pp</w:t>
      </w:r>
      <w:r w:rsidR="00692324" w:rsidRPr="00856619">
        <w:rPr>
          <w:rFonts w:ascii="Arial" w:eastAsia="Arial" w:hAnsi="Arial" w:cs="Arial"/>
          <w:sz w:val="22"/>
          <w:szCs w:val="22"/>
        </w:rPr>
        <w:t>.</w:t>
      </w:r>
      <w:r w:rsidR="005A6ABC" w:rsidRPr="00856619">
        <w:rPr>
          <w:rFonts w:ascii="Arial" w:eastAsia="Arial" w:hAnsi="Arial" w:cs="Arial"/>
          <w:sz w:val="22"/>
          <w:szCs w:val="22"/>
        </w:rPr>
        <w:t xml:space="preserve"> </w:t>
      </w:r>
      <w:r w:rsidRPr="00856619">
        <w:rPr>
          <w:rFonts w:ascii="Arial" w:eastAsia="Arial" w:hAnsi="Arial" w:cs="Arial"/>
          <w:sz w:val="22"/>
          <w:szCs w:val="22"/>
        </w:rPr>
        <w:t>41-49.</w:t>
      </w:r>
      <w:r w:rsidR="005A6ABC" w:rsidRPr="00856619">
        <w:rPr>
          <w:rFonts w:ascii="Arial" w:eastAsia="Arial" w:hAnsi="Arial" w:cs="Arial"/>
          <w:sz w:val="22"/>
          <w:szCs w:val="22"/>
        </w:rPr>
        <w:t xml:space="preserve"> Available at:</w:t>
      </w:r>
      <w:r w:rsidRPr="00856619">
        <w:rPr>
          <w:rFonts w:ascii="Arial" w:eastAsia="Arial" w:hAnsi="Arial" w:cs="Arial"/>
          <w:sz w:val="22"/>
          <w:szCs w:val="22"/>
        </w:rPr>
        <w:t> </w:t>
      </w:r>
      <w:hyperlink r:id="rId75" w:history="1">
        <w:r w:rsidRPr="00856619">
          <w:rPr>
            <w:rStyle w:val="Hyperlink"/>
            <w:rFonts w:ascii="Arial" w:eastAsia="Arial" w:hAnsi="Arial" w:cs="Arial"/>
            <w:color w:val="auto"/>
            <w:sz w:val="22"/>
            <w:szCs w:val="22"/>
          </w:rPr>
          <w:t>https://doi.org/10.1016/j.adolescence.2016.05.008</w:t>
        </w:r>
      </w:hyperlink>
      <w:r w:rsidR="005A6ABC" w:rsidRPr="00856619">
        <w:rPr>
          <w:rFonts w:ascii="Arial" w:eastAsia="Arial" w:hAnsi="Arial" w:cs="Arial"/>
          <w:sz w:val="22"/>
          <w:szCs w:val="22"/>
        </w:rPr>
        <w:t xml:space="preserve"> (Accessed:</w:t>
      </w:r>
      <w:r w:rsidR="003643C8" w:rsidRPr="00856619">
        <w:rPr>
          <w:rFonts w:ascii="Arial" w:eastAsia="Arial" w:hAnsi="Arial" w:cs="Arial"/>
          <w:sz w:val="22"/>
          <w:szCs w:val="22"/>
        </w:rPr>
        <w:t>16 February 2026).</w:t>
      </w:r>
    </w:p>
    <w:p w14:paraId="32A2F797" w14:textId="7852597D" w:rsidR="3A7CED5F" w:rsidRPr="00856619" w:rsidRDefault="3A7CED5F" w:rsidP="003C5D4C">
      <w:pPr>
        <w:rPr>
          <w:rFonts w:ascii="Arial" w:eastAsia="Arial" w:hAnsi="Arial" w:cs="Arial"/>
          <w:sz w:val="22"/>
          <w:szCs w:val="22"/>
        </w:rPr>
      </w:pPr>
    </w:p>
    <w:p w14:paraId="2A8D9D72" w14:textId="334D0C49"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Young</w:t>
      </w:r>
      <w:r w:rsidR="00345CAF" w:rsidRPr="00856619">
        <w:rPr>
          <w:rFonts w:ascii="Arial" w:eastAsia="Arial" w:hAnsi="Arial" w:cs="Arial"/>
          <w:sz w:val="22"/>
          <w:szCs w:val="22"/>
        </w:rPr>
        <w:t xml:space="preserve"> </w:t>
      </w:r>
      <w:r w:rsidRPr="00856619">
        <w:rPr>
          <w:rFonts w:ascii="Arial" w:eastAsia="Arial" w:hAnsi="Arial" w:cs="Arial"/>
          <w:sz w:val="22"/>
          <w:szCs w:val="22"/>
        </w:rPr>
        <w:t>Minds</w:t>
      </w:r>
      <w:r w:rsidR="00345CAF" w:rsidRPr="00856619">
        <w:rPr>
          <w:rFonts w:ascii="Arial" w:eastAsia="Arial" w:hAnsi="Arial" w:cs="Arial"/>
          <w:sz w:val="22"/>
          <w:szCs w:val="22"/>
        </w:rPr>
        <w:t>.</w:t>
      </w:r>
      <w:r w:rsidRPr="00856619">
        <w:rPr>
          <w:rFonts w:ascii="Arial" w:eastAsia="Arial" w:hAnsi="Arial" w:cs="Arial"/>
          <w:sz w:val="22"/>
          <w:szCs w:val="22"/>
        </w:rPr>
        <w:t xml:space="preserve"> (2022) </w:t>
      </w:r>
      <w:r w:rsidRPr="00856619">
        <w:rPr>
          <w:rFonts w:ascii="Arial" w:eastAsia="Arial" w:hAnsi="Arial" w:cs="Arial"/>
          <w:i/>
          <w:iCs/>
          <w:sz w:val="22"/>
          <w:szCs w:val="22"/>
        </w:rPr>
        <w:t xml:space="preserve">Young </w:t>
      </w:r>
      <w:r w:rsidR="00345CAF" w:rsidRPr="00856619">
        <w:rPr>
          <w:rFonts w:ascii="Arial" w:eastAsia="Arial" w:hAnsi="Arial" w:cs="Arial"/>
          <w:i/>
          <w:iCs/>
          <w:sz w:val="22"/>
          <w:szCs w:val="22"/>
        </w:rPr>
        <w:t>p</w:t>
      </w:r>
      <w:r w:rsidRPr="00856619">
        <w:rPr>
          <w:rFonts w:ascii="Arial" w:eastAsia="Arial" w:hAnsi="Arial" w:cs="Arial"/>
          <w:i/>
          <w:iCs/>
          <w:sz w:val="22"/>
          <w:szCs w:val="22"/>
        </w:rPr>
        <w:t xml:space="preserve">eople’s </w:t>
      </w:r>
      <w:r w:rsidR="00345CAF" w:rsidRPr="00856619">
        <w:rPr>
          <w:rFonts w:ascii="Arial" w:eastAsia="Arial" w:hAnsi="Arial" w:cs="Arial"/>
          <w:i/>
          <w:iCs/>
          <w:sz w:val="22"/>
          <w:szCs w:val="22"/>
        </w:rPr>
        <w:t>m</w:t>
      </w:r>
      <w:r w:rsidRPr="00856619">
        <w:rPr>
          <w:rFonts w:ascii="Arial" w:eastAsia="Arial" w:hAnsi="Arial" w:cs="Arial"/>
          <w:i/>
          <w:iCs/>
          <w:sz w:val="22"/>
          <w:szCs w:val="22"/>
        </w:rPr>
        <w:t xml:space="preserve">ental </w:t>
      </w:r>
      <w:r w:rsidR="00345CAF" w:rsidRPr="00856619">
        <w:rPr>
          <w:rFonts w:ascii="Arial" w:eastAsia="Arial" w:hAnsi="Arial" w:cs="Arial"/>
          <w:i/>
          <w:iCs/>
          <w:sz w:val="22"/>
          <w:szCs w:val="22"/>
        </w:rPr>
        <w:t>h</w:t>
      </w:r>
      <w:r w:rsidRPr="00856619">
        <w:rPr>
          <w:rFonts w:ascii="Arial" w:eastAsia="Arial" w:hAnsi="Arial" w:cs="Arial"/>
          <w:i/>
          <w:iCs/>
          <w:sz w:val="22"/>
          <w:szCs w:val="22"/>
        </w:rPr>
        <w:t xml:space="preserve">ealth </w:t>
      </w:r>
      <w:r w:rsidR="00345CAF" w:rsidRPr="00856619">
        <w:rPr>
          <w:rFonts w:ascii="Arial" w:eastAsia="Arial" w:hAnsi="Arial" w:cs="Arial"/>
          <w:i/>
          <w:iCs/>
          <w:sz w:val="22"/>
          <w:szCs w:val="22"/>
        </w:rPr>
        <w:t>s</w:t>
      </w:r>
      <w:r w:rsidRPr="00856619">
        <w:rPr>
          <w:rFonts w:ascii="Arial" w:eastAsia="Arial" w:hAnsi="Arial" w:cs="Arial"/>
          <w:i/>
          <w:iCs/>
          <w:sz w:val="22"/>
          <w:szCs w:val="22"/>
        </w:rPr>
        <w:t>tatistics</w:t>
      </w:r>
      <w:r w:rsidRPr="00856619">
        <w:rPr>
          <w:rFonts w:ascii="Arial" w:eastAsia="Arial" w:hAnsi="Arial" w:cs="Arial"/>
          <w:sz w:val="22"/>
          <w:szCs w:val="22"/>
        </w:rPr>
        <w:t xml:space="preserve">. Available at: </w:t>
      </w:r>
      <w:hyperlink r:id="rId76">
        <w:r w:rsidRPr="00856619">
          <w:rPr>
            <w:rStyle w:val="Hyperlink"/>
            <w:rFonts w:ascii="Arial" w:eastAsia="Arial" w:hAnsi="Arial" w:cs="Arial"/>
            <w:color w:val="auto"/>
            <w:sz w:val="22"/>
            <w:szCs w:val="22"/>
          </w:rPr>
          <w:t>https://www.youngminds.org.uk</w:t>
        </w:r>
      </w:hyperlink>
      <w:r w:rsidRPr="00856619">
        <w:rPr>
          <w:rFonts w:ascii="Arial" w:eastAsia="Arial" w:hAnsi="Arial" w:cs="Arial"/>
          <w:sz w:val="22"/>
          <w:szCs w:val="22"/>
        </w:rPr>
        <w:t xml:space="preserve"> (Accessed: </w:t>
      </w:r>
      <w:r w:rsidR="00345CAF" w:rsidRPr="00856619">
        <w:rPr>
          <w:rFonts w:ascii="Arial" w:eastAsia="Arial" w:hAnsi="Arial" w:cs="Arial"/>
          <w:sz w:val="22"/>
          <w:szCs w:val="22"/>
        </w:rPr>
        <w:t xml:space="preserve">24 January </w:t>
      </w:r>
      <w:r w:rsidRPr="00856619">
        <w:rPr>
          <w:rFonts w:ascii="Arial" w:eastAsia="Arial" w:hAnsi="Arial" w:cs="Arial"/>
          <w:sz w:val="22"/>
          <w:szCs w:val="22"/>
        </w:rPr>
        <w:t>2026).</w:t>
      </w:r>
    </w:p>
    <w:p w14:paraId="0C3EE34B" w14:textId="5F7F511D" w:rsidR="3A7CED5F" w:rsidRPr="00856619" w:rsidRDefault="3A7CED5F" w:rsidP="003C5D4C">
      <w:pPr>
        <w:rPr>
          <w:rFonts w:ascii="Arial" w:eastAsia="Arial" w:hAnsi="Arial" w:cs="Arial"/>
          <w:sz w:val="22"/>
          <w:szCs w:val="22"/>
        </w:rPr>
      </w:pPr>
    </w:p>
    <w:p w14:paraId="0D5381A1" w14:textId="37253769" w:rsidR="00BD6167" w:rsidRPr="00856619" w:rsidRDefault="00F40BB8" w:rsidP="003C5D4C">
      <w:pPr>
        <w:rPr>
          <w:rFonts w:ascii="Arial" w:eastAsia="Arial" w:hAnsi="Arial" w:cs="Arial"/>
          <w:sz w:val="22"/>
          <w:szCs w:val="22"/>
        </w:rPr>
      </w:pPr>
      <w:r w:rsidRPr="00856619">
        <w:rPr>
          <w:rFonts w:ascii="Arial" w:eastAsia="Arial" w:hAnsi="Arial" w:cs="Arial"/>
          <w:sz w:val="22"/>
          <w:szCs w:val="22"/>
        </w:rPr>
        <w:lastRenderedPageBreak/>
        <w:t>Yu, X., Kong, X., Cao, Z., Chen, Z., Zhang, L., and Yu, B. (2022)</w:t>
      </w:r>
      <w:r w:rsidR="71DBE16D" w:rsidRPr="00856619">
        <w:rPr>
          <w:rFonts w:ascii="Arial" w:eastAsia="Arial" w:hAnsi="Arial" w:cs="Arial"/>
          <w:sz w:val="22"/>
          <w:szCs w:val="22"/>
        </w:rPr>
        <w:t xml:space="preserve"> ‘Social support and family functioning </w:t>
      </w:r>
      <w:r w:rsidR="00B67303" w:rsidRPr="00856619">
        <w:rPr>
          <w:rFonts w:ascii="Arial" w:eastAsia="Arial" w:hAnsi="Arial" w:cs="Arial"/>
          <w:sz w:val="22"/>
          <w:szCs w:val="22"/>
        </w:rPr>
        <w:t xml:space="preserve">during adolescence’, </w:t>
      </w:r>
      <w:r w:rsidR="00B67303" w:rsidRPr="00856619">
        <w:rPr>
          <w:rFonts w:ascii="Arial" w:eastAsia="Arial" w:hAnsi="Arial" w:cs="Arial"/>
          <w:i/>
          <w:iCs/>
          <w:sz w:val="22"/>
          <w:szCs w:val="22"/>
        </w:rPr>
        <w:t xml:space="preserve">Frontiers in </w:t>
      </w:r>
      <w:r w:rsidR="00A0672B" w:rsidRPr="00856619">
        <w:rPr>
          <w:rFonts w:ascii="Arial" w:eastAsia="Arial" w:hAnsi="Arial" w:cs="Arial"/>
          <w:i/>
          <w:iCs/>
          <w:sz w:val="22"/>
          <w:szCs w:val="22"/>
        </w:rPr>
        <w:t>Psychology</w:t>
      </w:r>
      <w:r w:rsidR="00A0672B" w:rsidRPr="00856619">
        <w:rPr>
          <w:rFonts w:ascii="Arial" w:eastAsia="Arial" w:hAnsi="Arial" w:cs="Arial"/>
          <w:sz w:val="22"/>
          <w:szCs w:val="22"/>
        </w:rPr>
        <w:t>. Available at:</w:t>
      </w:r>
    </w:p>
    <w:p w14:paraId="0B2CA131" w14:textId="6C741044" w:rsidR="00BD6167" w:rsidRPr="00856619" w:rsidRDefault="00BD6167" w:rsidP="003C5D4C">
      <w:pPr>
        <w:rPr>
          <w:rFonts w:ascii="Arial" w:eastAsia="Arial" w:hAnsi="Arial" w:cs="Arial"/>
          <w:sz w:val="22"/>
          <w:szCs w:val="22"/>
        </w:rPr>
      </w:pPr>
      <w:hyperlink r:id="rId77" w:history="1">
        <w:r w:rsidRPr="00856619">
          <w:rPr>
            <w:rStyle w:val="Hyperlink"/>
            <w:rFonts w:ascii="Arial" w:eastAsia="Arial" w:hAnsi="Arial" w:cs="Arial"/>
            <w:color w:val="auto"/>
            <w:sz w:val="22"/>
            <w:szCs w:val="22"/>
          </w:rPr>
          <w:t>https://pmc.ncbi.nlm.nih.gov/articles/PMC9140348/</w:t>
        </w:r>
      </w:hyperlink>
      <w:r w:rsidRPr="00856619">
        <w:rPr>
          <w:rFonts w:ascii="Arial" w:eastAsia="Arial" w:hAnsi="Arial" w:cs="Arial"/>
          <w:sz w:val="22"/>
          <w:szCs w:val="22"/>
        </w:rPr>
        <w:t xml:space="preserve"> (Accessed: 20 March 2026).</w:t>
      </w:r>
    </w:p>
    <w:p w14:paraId="03AC9E17" w14:textId="4F08CEF3" w:rsidR="3A7CED5F" w:rsidRPr="00856619" w:rsidRDefault="3A7CED5F" w:rsidP="003C5D4C">
      <w:pPr>
        <w:rPr>
          <w:rFonts w:ascii="Arial" w:eastAsia="Arial" w:hAnsi="Arial" w:cs="Arial"/>
          <w:sz w:val="22"/>
          <w:szCs w:val="22"/>
        </w:rPr>
      </w:pPr>
    </w:p>
    <w:p w14:paraId="19F7BA1E" w14:textId="5A52D477" w:rsidR="71DBE16D" w:rsidRPr="00856619" w:rsidRDefault="71DBE16D" w:rsidP="003C5D4C">
      <w:pPr>
        <w:rPr>
          <w:rFonts w:ascii="Arial" w:eastAsia="Arial" w:hAnsi="Arial" w:cs="Arial"/>
          <w:sz w:val="22"/>
          <w:szCs w:val="22"/>
        </w:rPr>
      </w:pPr>
      <w:r w:rsidRPr="00856619">
        <w:rPr>
          <w:rFonts w:ascii="Arial" w:eastAsia="Arial" w:hAnsi="Arial" w:cs="Arial"/>
          <w:sz w:val="22"/>
          <w:szCs w:val="22"/>
        </w:rPr>
        <w:t>Zimmer-</w:t>
      </w:r>
      <w:proofErr w:type="spellStart"/>
      <w:r w:rsidRPr="00856619">
        <w:rPr>
          <w:rFonts w:ascii="Arial" w:eastAsia="Arial" w:hAnsi="Arial" w:cs="Arial"/>
          <w:sz w:val="22"/>
          <w:szCs w:val="22"/>
        </w:rPr>
        <w:t>Gembeck</w:t>
      </w:r>
      <w:proofErr w:type="spellEnd"/>
      <w:r w:rsidRPr="00856619">
        <w:rPr>
          <w:rFonts w:ascii="Arial" w:eastAsia="Arial" w:hAnsi="Arial" w:cs="Arial"/>
          <w:sz w:val="22"/>
          <w:szCs w:val="22"/>
        </w:rPr>
        <w:t>, M.J. and Skinner, E.A. (2011) ‘Review of coping research’</w:t>
      </w:r>
      <w:r w:rsidR="00001B71" w:rsidRPr="00856619">
        <w:rPr>
          <w:rFonts w:ascii="Arial" w:eastAsia="Arial" w:hAnsi="Arial" w:cs="Arial"/>
          <w:sz w:val="22"/>
          <w:szCs w:val="22"/>
        </w:rPr>
        <w:t xml:space="preserve">, </w:t>
      </w:r>
      <w:r w:rsidRPr="00856619">
        <w:rPr>
          <w:rFonts w:ascii="Arial" w:eastAsia="Arial" w:hAnsi="Arial" w:cs="Arial"/>
          <w:i/>
          <w:iCs/>
          <w:sz w:val="22"/>
          <w:szCs w:val="22"/>
        </w:rPr>
        <w:t>Psychological Bulletin</w:t>
      </w:r>
      <w:r w:rsidRPr="00856619">
        <w:rPr>
          <w:rFonts w:ascii="Arial" w:eastAsia="Arial" w:hAnsi="Arial" w:cs="Arial"/>
          <w:sz w:val="22"/>
          <w:szCs w:val="22"/>
        </w:rPr>
        <w:t>, 137(1), pp. 1–29. Available at:</w:t>
      </w:r>
      <w:r w:rsidR="004F2299" w:rsidRPr="00856619">
        <w:rPr>
          <w:rFonts w:ascii="Arial" w:eastAsia="Arial" w:hAnsi="Arial" w:cs="Arial"/>
          <w:sz w:val="22"/>
          <w:szCs w:val="22"/>
        </w:rPr>
        <w:t xml:space="preserve"> </w:t>
      </w:r>
      <w:hyperlink r:id="rId78" w:history="1">
        <w:r w:rsidR="004F2299" w:rsidRPr="00856619">
          <w:rPr>
            <w:rStyle w:val="Hyperlink"/>
            <w:rFonts w:ascii="Arial" w:eastAsia="Arial" w:hAnsi="Arial" w:cs="Arial"/>
            <w:color w:val="auto"/>
            <w:sz w:val="22"/>
            <w:szCs w:val="22"/>
          </w:rPr>
          <w:t>https://psycnet.apa.org/record/2010-26448-001</w:t>
        </w:r>
      </w:hyperlink>
      <w:proofErr w:type="gramStart"/>
      <w:r w:rsidR="004F2299" w:rsidRPr="00856619">
        <w:rPr>
          <w:rFonts w:ascii="Arial" w:eastAsia="Arial" w:hAnsi="Arial" w:cs="Arial"/>
          <w:sz w:val="22"/>
          <w:szCs w:val="22"/>
        </w:rPr>
        <w:t xml:space="preserve">  </w:t>
      </w:r>
      <w:r w:rsidRPr="00856619">
        <w:rPr>
          <w:rFonts w:ascii="Arial" w:eastAsia="Arial" w:hAnsi="Arial" w:cs="Arial"/>
          <w:sz w:val="22"/>
          <w:szCs w:val="22"/>
        </w:rPr>
        <w:t xml:space="preserve"> (</w:t>
      </w:r>
      <w:proofErr w:type="gramEnd"/>
      <w:r w:rsidRPr="00856619">
        <w:rPr>
          <w:rFonts w:ascii="Arial" w:eastAsia="Arial" w:hAnsi="Arial" w:cs="Arial"/>
          <w:sz w:val="22"/>
          <w:szCs w:val="22"/>
        </w:rPr>
        <w:t>Accessed:</w:t>
      </w:r>
      <w:r w:rsidR="00C24976" w:rsidRPr="00856619">
        <w:rPr>
          <w:rFonts w:ascii="Arial" w:eastAsia="Arial" w:hAnsi="Arial" w:cs="Arial"/>
          <w:sz w:val="22"/>
          <w:szCs w:val="22"/>
        </w:rPr>
        <w:t xml:space="preserve">14 November </w:t>
      </w:r>
      <w:r w:rsidRPr="00856619">
        <w:rPr>
          <w:rFonts w:ascii="Arial" w:eastAsia="Arial" w:hAnsi="Arial" w:cs="Arial"/>
          <w:sz w:val="22"/>
          <w:szCs w:val="22"/>
        </w:rPr>
        <w:t>202</w:t>
      </w:r>
      <w:r w:rsidR="00C24976" w:rsidRPr="00856619">
        <w:rPr>
          <w:rFonts w:ascii="Arial" w:eastAsia="Arial" w:hAnsi="Arial" w:cs="Arial"/>
          <w:sz w:val="22"/>
          <w:szCs w:val="22"/>
        </w:rPr>
        <w:t>5</w:t>
      </w:r>
      <w:r w:rsidRPr="00856619">
        <w:rPr>
          <w:rFonts w:ascii="Arial" w:eastAsia="Arial" w:hAnsi="Arial" w:cs="Arial"/>
          <w:sz w:val="22"/>
          <w:szCs w:val="22"/>
        </w:rPr>
        <w:t>).</w:t>
      </w:r>
    </w:p>
    <w:p w14:paraId="2D38E669" w14:textId="37534E67" w:rsidR="3A7CED5F" w:rsidRPr="00EA4A56" w:rsidRDefault="3A7CED5F" w:rsidP="00E0191D">
      <w:pPr>
        <w:jc w:val="both"/>
        <w:rPr>
          <w:rFonts w:ascii="Arial" w:hAnsi="Arial" w:cs="Arial"/>
          <w:sz w:val="22"/>
          <w:szCs w:val="22"/>
        </w:rPr>
      </w:pPr>
    </w:p>
    <w:p w14:paraId="7DC55537" w14:textId="77777777" w:rsidR="00356035" w:rsidRPr="00EA4A56" w:rsidRDefault="00356035" w:rsidP="00E0191D">
      <w:pPr>
        <w:jc w:val="both"/>
        <w:rPr>
          <w:rFonts w:ascii="Arial" w:hAnsi="Arial" w:cs="Arial"/>
          <w:sz w:val="22"/>
          <w:szCs w:val="22"/>
        </w:rPr>
      </w:pPr>
    </w:p>
    <w:p w14:paraId="75CF674D" w14:textId="77777777" w:rsidR="00356035" w:rsidRPr="00EA4A56" w:rsidRDefault="00356035" w:rsidP="00E0191D">
      <w:pPr>
        <w:jc w:val="both"/>
        <w:rPr>
          <w:rFonts w:ascii="Arial" w:hAnsi="Arial" w:cs="Arial"/>
          <w:sz w:val="22"/>
          <w:szCs w:val="22"/>
        </w:rPr>
      </w:pPr>
    </w:p>
    <w:p w14:paraId="0D8DC5FF" w14:textId="77777777" w:rsidR="00356035" w:rsidRPr="00EA4A56" w:rsidRDefault="00356035" w:rsidP="00E0191D">
      <w:pPr>
        <w:jc w:val="both"/>
        <w:rPr>
          <w:rFonts w:ascii="Arial" w:hAnsi="Arial" w:cs="Arial"/>
          <w:sz w:val="22"/>
          <w:szCs w:val="22"/>
        </w:rPr>
      </w:pPr>
    </w:p>
    <w:p w14:paraId="5304909D" w14:textId="77777777" w:rsidR="00356035" w:rsidRPr="00EA4A56" w:rsidRDefault="00356035" w:rsidP="00E0191D">
      <w:pPr>
        <w:jc w:val="both"/>
        <w:rPr>
          <w:rFonts w:ascii="Arial" w:hAnsi="Arial" w:cs="Arial"/>
          <w:sz w:val="22"/>
          <w:szCs w:val="22"/>
        </w:rPr>
      </w:pPr>
    </w:p>
    <w:p w14:paraId="5D059677" w14:textId="77777777" w:rsidR="00356035" w:rsidRPr="00EA4A56" w:rsidRDefault="00356035" w:rsidP="00E0191D">
      <w:pPr>
        <w:jc w:val="both"/>
        <w:rPr>
          <w:rFonts w:ascii="Arial" w:hAnsi="Arial" w:cs="Arial"/>
          <w:sz w:val="22"/>
          <w:szCs w:val="22"/>
        </w:rPr>
      </w:pPr>
    </w:p>
    <w:p w14:paraId="2D36A515" w14:textId="77777777" w:rsidR="00356035" w:rsidRPr="00EA4A56" w:rsidRDefault="00356035" w:rsidP="00E0191D">
      <w:pPr>
        <w:jc w:val="both"/>
        <w:rPr>
          <w:rFonts w:ascii="Arial" w:hAnsi="Arial" w:cs="Arial"/>
          <w:sz w:val="22"/>
          <w:szCs w:val="22"/>
        </w:rPr>
      </w:pPr>
    </w:p>
    <w:p w14:paraId="423640A1" w14:textId="77777777" w:rsidR="00356035" w:rsidRPr="00EA4A56" w:rsidRDefault="00356035" w:rsidP="00E0191D">
      <w:pPr>
        <w:jc w:val="both"/>
        <w:rPr>
          <w:rFonts w:ascii="Arial" w:hAnsi="Arial" w:cs="Arial"/>
          <w:sz w:val="22"/>
          <w:szCs w:val="22"/>
        </w:rPr>
      </w:pPr>
    </w:p>
    <w:p w14:paraId="3D3A88AC" w14:textId="77777777" w:rsidR="00356035" w:rsidRPr="00EA4A56" w:rsidRDefault="00356035" w:rsidP="00E0191D">
      <w:pPr>
        <w:jc w:val="both"/>
        <w:rPr>
          <w:rFonts w:ascii="Arial" w:hAnsi="Arial" w:cs="Arial"/>
          <w:sz w:val="22"/>
          <w:szCs w:val="22"/>
        </w:rPr>
      </w:pPr>
    </w:p>
    <w:p w14:paraId="755AE887" w14:textId="77777777" w:rsidR="00356035" w:rsidRPr="00EA4A56" w:rsidRDefault="00356035" w:rsidP="00E0191D">
      <w:pPr>
        <w:jc w:val="both"/>
        <w:rPr>
          <w:rFonts w:ascii="Arial" w:hAnsi="Arial" w:cs="Arial"/>
          <w:sz w:val="22"/>
          <w:szCs w:val="22"/>
        </w:rPr>
      </w:pPr>
    </w:p>
    <w:p w14:paraId="3E145F53" w14:textId="77777777" w:rsidR="00356035" w:rsidRPr="00EA4A56" w:rsidRDefault="00356035" w:rsidP="00E0191D">
      <w:pPr>
        <w:jc w:val="both"/>
        <w:rPr>
          <w:rFonts w:ascii="Arial" w:hAnsi="Arial" w:cs="Arial"/>
          <w:sz w:val="22"/>
          <w:szCs w:val="22"/>
        </w:rPr>
      </w:pPr>
    </w:p>
    <w:p w14:paraId="5CC1A4CC" w14:textId="77777777" w:rsidR="00356035" w:rsidRPr="00EA4A56" w:rsidRDefault="00356035" w:rsidP="00E0191D">
      <w:pPr>
        <w:jc w:val="both"/>
        <w:rPr>
          <w:rFonts w:ascii="Arial" w:hAnsi="Arial" w:cs="Arial"/>
          <w:sz w:val="22"/>
          <w:szCs w:val="22"/>
        </w:rPr>
      </w:pPr>
    </w:p>
    <w:p w14:paraId="15E211D1" w14:textId="77777777" w:rsidR="00356035" w:rsidRPr="00A252BE" w:rsidRDefault="00356035" w:rsidP="00E0191D">
      <w:pPr>
        <w:jc w:val="both"/>
      </w:pPr>
    </w:p>
    <w:p w14:paraId="49C16A1D" w14:textId="77777777" w:rsidR="00356035" w:rsidRPr="00A252BE" w:rsidRDefault="00356035" w:rsidP="00E0191D">
      <w:pPr>
        <w:jc w:val="both"/>
      </w:pPr>
    </w:p>
    <w:p w14:paraId="4CF970B1" w14:textId="77777777" w:rsidR="00027496" w:rsidRPr="00A252BE" w:rsidRDefault="00027496" w:rsidP="00E0191D">
      <w:pPr>
        <w:jc w:val="both"/>
      </w:pPr>
    </w:p>
    <w:p w14:paraId="76C496C9" w14:textId="77777777" w:rsidR="00027496" w:rsidRPr="00A252BE" w:rsidRDefault="00027496" w:rsidP="00E0191D">
      <w:pPr>
        <w:jc w:val="both"/>
      </w:pPr>
    </w:p>
    <w:p w14:paraId="27FC1A5C" w14:textId="77777777" w:rsidR="009709D0" w:rsidRDefault="009709D0" w:rsidP="00E0191D">
      <w:pPr>
        <w:spacing w:line="360" w:lineRule="auto"/>
        <w:jc w:val="both"/>
        <w:rPr>
          <w:rFonts w:ascii="Arial" w:eastAsia="Arial" w:hAnsi="Arial" w:cs="Arial"/>
        </w:rPr>
      </w:pPr>
    </w:p>
    <w:p w14:paraId="530198E6" w14:textId="77777777" w:rsidR="002D0D67" w:rsidRDefault="002D0D67" w:rsidP="00E0191D">
      <w:pPr>
        <w:spacing w:line="360" w:lineRule="auto"/>
        <w:jc w:val="both"/>
        <w:rPr>
          <w:rFonts w:ascii="Arial" w:eastAsia="Arial" w:hAnsi="Arial" w:cs="Arial"/>
        </w:rPr>
      </w:pPr>
    </w:p>
    <w:p w14:paraId="44884551" w14:textId="77777777" w:rsidR="002D0D67" w:rsidRDefault="002D0D67" w:rsidP="00E0191D">
      <w:pPr>
        <w:spacing w:line="360" w:lineRule="auto"/>
        <w:jc w:val="both"/>
        <w:rPr>
          <w:rFonts w:ascii="Arial" w:eastAsia="Arial" w:hAnsi="Arial" w:cs="Arial"/>
        </w:rPr>
      </w:pPr>
    </w:p>
    <w:p w14:paraId="0F9C41E0" w14:textId="77777777" w:rsidR="002D0D67" w:rsidRDefault="002D0D67" w:rsidP="00E0191D">
      <w:pPr>
        <w:spacing w:line="360" w:lineRule="auto"/>
        <w:jc w:val="both"/>
        <w:rPr>
          <w:rFonts w:ascii="Arial" w:eastAsia="Arial" w:hAnsi="Arial" w:cs="Arial"/>
        </w:rPr>
      </w:pPr>
    </w:p>
    <w:p w14:paraId="157160BB" w14:textId="77777777" w:rsidR="007577FE" w:rsidRDefault="007577FE" w:rsidP="00E0191D">
      <w:pPr>
        <w:spacing w:line="360" w:lineRule="auto"/>
        <w:jc w:val="both"/>
        <w:rPr>
          <w:rFonts w:ascii="Arial" w:eastAsia="Arial" w:hAnsi="Arial" w:cs="Arial"/>
        </w:rPr>
      </w:pPr>
    </w:p>
    <w:p w14:paraId="24D77A96" w14:textId="77777777" w:rsidR="002F08F5" w:rsidRDefault="002F08F5" w:rsidP="00E0191D">
      <w:pPr>
        <w:spacing w:line="360" w:lineRule="auto"/>
        <w:jc w:val="both"/>
        <w:rPr>
          <w:rFonts w:ascii="Arial" w:eastAsia="Arial" w:hAnsi="Arial" w:cs="Arial"/>
        </w:rPr>
      </w:pPr>
    </w:p>
    <w:p w14:paraId="053E8231" w14:textId="77777777" w:rsidR="009C326E" w:rsidRDefault="009C326E" w:rsidP="00E0191D">
      <w:pPr>
        <w:spacing w:line="360" w:lineRule="auto"/>
        <w:jc w:val="both"/>
        <w:rPr>
          <w:rFonts w:ascii="Arial" w:eastAsia="Arial" w:hAnsi="Arial" w:cs="Arial"/>
        </w:rPr>
      </w:pPr>
    </w:p>
    <w:p w14:paraId="2D4903E1" w14:textId="77777777" w:rsidR="009C326E" w:rsidRPr="00A252BE" w:rsidRDefault="009C326E" w:rsidP="00E0191D">
      <w:pPr>
        <w:spacing w:line="360" w:lineRule="auto"/>
        <w:jc w:val="both"/>
        <w:rPr>
          <w:rFonts w:ascii="Arial" w:eastAsia="Arial" w:hAnsi="Arial" w:cs="Arial"/>
        </w:rPr>
      </w:pPr>
    </w:p>
    <w:p w14:paraId="28206356" w14:textId="283A4167" w:rsidR="71DBE16D" w:rsidRPr="00FB00D4" w:rsidRDefault="71DBE16D" w:rsidP="00FB00D4">
      <w:pPr>
        <w:pStyle w:val="Heading2"/>
        <w:rPr>
          <w:rFonts w:ascii="Arial" w:eastAsia="Arial" w:hAnsi="Arial" w:cs="Arial"/>
          <w:sz w:val="28"/>
          <w:szCs w:val="28"/>
        </w:rPr>
      </w:pPr>
      <w:bookmarkStart w:id="77" w:name="_Toc225143120"/>
      <w:bookmarkStart w:id="78" w:name="_Toc226479939"/>
      <w:r w:rsidRPr="00FB00D4">
        <w:rPr>
          <w:rFonts w:ascii="Arial" w:eastAsia="Arial" w:hAnsi="Arial" w:cs="Arial"/>
          <w:sz w:val="28"/>
          <w:szCs w:val="28"/>
        </w:rPr>
        <w:t>6.2 – Appendices</w:t>
      </w:r>
      <w:bookmarkEnd w:id="77"/>
      <w:bookmarkEnd w:id="78"/>
      <w:r w:rsidRPr="00FB00D4">
        <w:rPr>
          <w:rFonts w:ascii="Arial" w:eastAsia="Arial" w:hAnsi="Arial" w:cs="Arial"/>
          <w:sz w:val="28"/>
          <w:szCs w:val="28"/>
        </w:rPr>
        <w:t xml:space="preserve"> </w:t>
      </w:r>
    </w:p>
    <w:p w14:paraId="541027C9" w14:textId="77777777" w:rsidR="00F911DD" w:rsidRPr="00A252BE" w:rsidRDefault="00F911DD" w:rsidP="00E0191D">
      <w:pPr>
        <w:jc w:val="both"/>
      </w:pPr>
    </w:p>
    <w:p w14:paraId="13BDC05C" w14:textId="6E9E903B" w:rsidR="3A7CED5F" w:rsidRPr="00A252BE" w:rsidRDefault="00B059A9" w:rsidP="00E0191D">
      <w:pPr>
        <w:jc w:val="both"/>
        <w:rPr>
          <w:rFonts w:ascii="Arial" w:hAnsi="Arial" w:cs="Arial"/>
          <w:sz w:val="22"/>
          <w:szCs w:val="22"/>
        </w:rPr>
      </w:pPr>
      <w:r w:rsidRPr="00A252BE">
        <w:rPr>
          <w:rFonts w:ascii="Arial" w:hAnsi="Arial" w:cs="Arial"/>
          <w:sz w:val="22"/>
          <w:szCs w:val="22"/>
        </w:rPr>
        <w:t>This appendix provides supporting materials demonstrating the systematic search, selection, and analysis of literature.</w:t>
      </w:r>
    </w:p>
    <w:p w14:paraId="5291B46D" w14:textId="736FAE94" w:rsidR="71DBE16D" w:rsidRPr="00A252BE" w:rsidRDefault="71DBE16D" w:rsidP="00E0191D">
      <w:pPr>
        <w:shd w:val="clear" w:color="auto" w:fill="FFFFFF" w:themeFill="background1"/>
        <w:spacing w:after="242"/>
        <w:jc w:val="both"/>
        <w:rPr>
          <w:rFonts w:ascii="Arial" w:eastAsia="Arial" w:hAnsi="Arial" w:cs="Arial"/>
          <w:b/>
          <w:bCs/>
          <w:sz w:val="22"/>
          <w:szCs w:val="22"/>
        </w:rPr>
      </w:pPr>
      <w:r w:rsidRPr="00A252BE">
        <w:rPr>
          <w:rFonts w:ascii="Arial" w:eastAsia="Arial" w:hAnsi="Arial" w:cs="Arial"/>
          <w:b/>
          <w:bCs/>
          <w:sz w:val="22"/>
          <w:szCs w:val="22"/>
        </w:rPr>
        <w:t>APPENDIX A: METHODOLOGY DOCUMENTATION</w:t>
      </w:r>
    </w:p>
    <w:p w14:paraId="3E4AAA7C" w14:textId="738BD14D" w:rsidR="71DBE16D" w:rsidRPr="00A252BE" w:rsidRDefault="71DBE16D" w:rsidP="00E0191D">
      <w:pPr>
        <w:shd w:val="clear" w:color="auto" w:fill="FFFFFF" w:themeFill="background1"/>
        <w:spacing w:after="224"/>
        <w:jc w:val="both"/>
        <w:rPr>
          <w:rFonts w:ascii="Arial" w:eastAsia="Arial" w:hAnsi="Arial" w:cs="Arial"/>
          <w:b/>
          <w:bCs/>
          <w:sz w:val="22"/>
          <w:szCs w:val="22"/>
        </w:rPr>
      </w:pPr>
      <w:r w:rsidRPr="00A252BE">
        <w:rPr>
          <w:rFonts w:ascii="Arial" w:eastAsia="Arial" w:hAnsi="Arial" w:cs="Arial"/>
          <w:b/>
          <w:bCs/>
          <w:sz w:val="22"/>
          <w:szCs w:val="22"/>
        </w:rPr>
        <w:t>A1. Search Strategy Log</w:t>
      </w:r>
    </w:p>
    <w:p w14:paraId="659F8DD6" w14:textId="369AD888" w:rsidR="71DBE16D"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A structured search log was maintained to ensure transparency, consistency, and replicability of the literature search process.</w:t>
      </w:r>
    </w:p>
    <w:tbl>
      <w:tblPr>
        <w:tblStyle w:val="TableGrid"/>
        <w:tblW w:w="0" w:type="auto"/>
        <w:tblLook w:val="04A0" w:firstRow="1" w:lastRow="0" w:firstColumn="1" w:lastColumn="0" w:noHBand="0" w:noVBand="1"/>
      </w:tblPr>
      <w:tblGrid>
        <w:gridCol w:w="1803"/>
        <w:gridCol w:w="1803"/>
        <w:gridCol w:w="1803"/>
        <w:gridCol w:w="1803"/>
        <w:gridCol w:w="1804"/>
      </w:tblGrid>
      <w:tr w:rsidR="008856EA" w:rsidRPr="00A252BE" w14:paraId="66CDE4FD" w14:textId="77777777" w:rsidTr="008856EA">
        <w:tc>
          <w:tcPr>
            <w:tcW w:w="1803" w:type="dxa"/>
          </w:tcPr>
          <w:p w14:paraId="090DC102" w14:textId="0331FA04"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b/>
                <w:bCs/>
                <w:sz w:val="22"/>
                <w:szCs w:val="22"/>
              </w:rPr>
              <w:t>Search Terms Used</w:t>
            </w:r>
          </w:p>
        </w:tc>
        <w:tc>
          <w:tcPr>
            <w:tcW w:w="1803" w:type="dxa"/>
          </w:tcPr>
          <w:p w14:paraId="6FB20FCA" w14:textId="15BAC9C4"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b/>
                <w:bCs/>
                <w:sz w:val="22"/>
                <w:szCs w:val="22"/>
              </w:rPr>
              <w:t>Database</w:t>
            </w:r>
          </w:p>
        </w:tc>
        <w:tc>
          <w:tcPr>
            <w:tcW w:w="1803" w:type="dxa"/>
          </w:tcPr>
          <w:p w14:paraId="1D149CB7" w14:textId="6503925C"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b/>
                <w:bCs/>
                <w:sz w:val="22"/>
                <w:szCs w:val="22"/>
              </w:rPr>
              <w:t>Filters Applied</w:t>
            </w:r>
          </w:p>
        </w:tc>
        <w:tc>
          <w:tcPr>
            <w:tcW w:w="1803" w:type="dxa"/>
          </w:tcPr>
          <w:p w14:paraId="3ACCD459" w14:textId="64DF6821"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b/>
                <w:bCs/>
                <w:sz w:val="22"/>
                <w:szCs w:val="22"/>
              </w:rPr>
              <w:t>Results Found</w:t>
            </w:r>
          </w:p>
        </w:tc>
        <w:tc>
          <w:tcPr>
            <w:tcW w:w="1804" w:type="dxa"/>
          </w:tcPr>
          <w:p w14:paraId="5EFB3931" w14:textId="21E5E5AA"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b/>
                <w:bCs/>
                <w:sz w:val="22"/>
                <w:szCs w:val="22"/>
              </w:rPr>
              <w:t>Relevant Sources</w:t>
            </w:r>
          </w:p>
        </w:tc>
      </w:tr>
      <w:tr w:rsidR="008856EA" w:rsidRPr="00A252BE" w14:paraId="70BF4ADC" w14:textId="77777777" w:rsidTr="008856EA">
        <w:tc>
          <w:tcPr>
            <w:tcW w:w="1803" w:type="dxa"/>
          </w:tcPr>
          <w:p w14:paraId="03D6B619" w14:textId="32ABAB9C"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social support AND anxiety adolescents</w:t>
            </w:r>
          </w:p>
        </w:tc>
        <w:tc>
          <w:tcPr>
            <w:tcW w:w="1803" w:type="dxa"/>
          </w:tcPr>
          <w:p w14:paraId="5F149E0B" w14:textId="7324DC5B"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Google Scholar</w:t>
            </w:r>
          </w:p>
        </w:tc>
        <w:tc>
          <w:tcPr>
            <w:tcW w:w="1803" w:type="dxa"/>
          </w:tcPr>
          <w:p w14:paraId="34FFF858" w14:textId="5D041C1D"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2014-2026, peer-reviewed</w:t>
            </w:r>
          </w:p>
        </w:tc>
        <w:tc>
          <w:tcPr>
            <w:tcW w:w="1803" w:type="dxa"/>
          </w:tcPr>
          <w:p w14:paraId="5AE71478" w14:textId="0D71DF36"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12,500</w:t>
            </w:r>
          </w:p>
        </w:tc>
        <w:tc>
          <w:tcPr>
            <w:tcW w:w="1804" w:type="dxa"/>
          </w:tcPr>
          <w:p w14:paraId="6E092AE3" w14:textId="797B37F4"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15</w:t>
            </w:r>
          </w:p>
        </w:tc>
      </w:tr>
      <w:tr w:rsidR="008856EA" w:rsidRPr="00A252BE" w14:paraId="51A05212" w14:textId="77777777" w:rsidTr="00B36D8A">
        <w:tc>
          <w:tcPr>
            <w:tcW w:w="1803" w:type="dxa"/>
            <w:vAlign w:val="center"/>
          </w:tcPr>
          <w:p w14:paraId="75A7D89F" w14:textId="66B5B0D3"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Youth anxiety AND peer support</w:t>
            </w:r>
          </w:p>
        </w:tc>
        <w:tc>
          <w:tcPr>
            <w:tcW w:w="1803" w:type="dxa"/>
            <w:vAlign w:val="center"/>
          </w:tcPr>
          <w:p w14:paraId="432E51F5" w14:textId="3B05D98F"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PubMed</w:t>
            </w:r>
          </w:p>
        </w:tc>
        <w:tc>
          <w:tcPr>
            <w:tcW w:w="1803" w:type="dxa"/>
          </w:tcPr>
          <w:p w14:paraId="630B0A21" w14:textId="3BA36333"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Last 10 years</w:t>
            </w:r>
          </w:p>
        </w:tc>
        <w:tc>
          <w:tcPr>
            <w:tcW w:w="1803" w:type="dxa"/>
          </w:tcPr>
          <w:p w14:paraId="399083EF" w14:textId="6795D24F" w:rsidR="008856EA"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3,200</w:t>
            </w:r>
          </w:p>
        </w:tc>
        <w:tc>
          <w:tcPr>
            <w:tcW w:w="1804" w:type="dxa"/>
            <w:vAlign w:val="center"/>
          </w:tcPr>
          <w:p w14:paraId="78222989" w14:textId="089A2BFB"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10</w:t>
            </w:r>
          </w:p>
        </w:tc>
      </w:tr>
      <w:tr w:rsidR="008856EA" w:rsidRPr="00A252BE" w14:paraId="6C4B852F" w14:textId="77777777" w:rsidTr="008856EA">
        <w:tc>
          <w:tcPr>
            <w:tcW w:w="1803" w:type="dxa"/>
          </w:tcPr>
          <w:p w14:paraId="0E796C8F" w14:textId="224D689C"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Mental health adolescents UK support</w:t>
            </w:r>
          </w:p>
        </w:tc>
        <w:tc>
          <w:tcPr>
            <w:tcW w:w="1803" w:type="dxa"/>
          </w:tcPr>
          <w:p w14:paraId="634672A1" w14:textId="4C79E6F6"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UWTSD Library</w:t>
            </w:r>
          </w:p>
        </w:tc>
        <w:tc>
          <w:tcPr>
            <w:tcW w:w="1803" w:type="dxa"/>
          </w:tcPr>
          <w:p w14:paraId="20A86BAC" w14:textId="1556FA6D"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Peer-reviewed</w:t>
            </w:r>
          </w:p>
        </w:tc>
        <w:tc>
          <w:tcPr>
            <w:tcW w:w="1803" w:type="dxa"/>
          </w:tcPr>
          <w:p w14:paraId="78376F83" w14:textId="27E45220"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1,800</w:t>
            </w:r>
          </w:p>
        </w:tc>
        <w:tc>
          <w:tcPr>
            <w:tcW w:w="1804" w:type="dxa"/>
          </w:tcPr>
          <w:p w14:paraId="01BDE01E" w14:textId="1F0DCCE3"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8</w:t>
            </w:r>
          </w:p>
        </w:tc>
      </w:tr>
      <w:tr w:rsidR="008856EA" w:rsidRPr="00A252BE" w14:paraId="0D415617" w14:textId="77777777" w:rsidTr="008856EA">
        <w:tc>
          <w:tcPr>
            <w:tcW w:w="1803" w:type="dxa"/>
          </w:tcPr>
          <w:p w14:paraId="28415550" w14:textId="1B535AC2"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Attachment AND adolescent anxiety</w:t>
            </w:r>
          </w:p>
        </w:tc>
        <w:tc>
          <w:tcPr>
            <w:tcW w:w="1803" w:type="dxa"/>
          </w:tcPr>
          <w:p w14:paraId="6D72A491" w14:textId="711872D9"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Google Scholar</w:t>
            </w:r>
          </w:p>
        </w:tc>
        <w:tc>
          <w:tcPr>
            <w:tcW w:w="1803" w:type="dxa"/>
          </w:tcPr>
          <w:p w14:paraId="62204BF4" w14:textId="79D5E35A"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 xml:space="preserve">2016 </w:t>
            </w:r>
            <w:r w:rsidR="000D1818" w:rsidRPr="00A252BE">
              <w:rPr>
                <w:rFonts w:ascii="Arial" w:eastAsia="Arial" w:hAnsi="Arial" w:cs="Arial"/>
                <w:sz w:val="22"/>
                <w:szCs w:val="22"/>
              </w:rPr>
              <w:t>–</w:t>
            </w:r>
            <w:r w:rsidRPr="00A252BE">
              <w:rPr>
                <w:rFonts w:ascii="Arial" w:eastAsia="Arial" w:hAnsi="Arial" w:cs="Arial"/>
                <w:sz w:val="22"/>
                <w:szCs w:val="22"/>
              </w:rPr>
              <w:t xml:space="preserve"> 2026</w:t>
            </w:r>
          </w:p>
        </w:tc>
        <w:tc>
          <w:tcPr>
            <w:tcW w:w="1803" w:type="dxa"/>
          </w:tcPr>
          <w:p w14:paraId="0C0EC475" w14:textId="106F813E"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9,400</w:t>
            </w:r>
          </w:p>
        </w:tc>
        <w:tc>
          <w:tcPr>
            <w:tcW w:w="1804" w:type="dxa"/>
          </w:tcPr>
          <w:p w14:paraId="2D9376CD" w14:textId="0D6033C8"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12</w:t>
            </w:r>
          </w:p>
        </w:tc>
      </w:tr>
      <w:tr w:rsidR="008856EA" w:rsidRPr="00A252BE" w14:paraId="75A949FF" w14:textId="77777777" w:rsidTr="008856EA">
        <w:tc>
          <w:tcPr>
            <w:tcW w:w="1803" w:type="dxa"/>
          </w:tcPr>
          <w:p w14:paraId="1E906C00" w14:textId="3B2AB5B5"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CBT AND adolescent anxiety outcomes</w:t>
            </w:r>
          </w:p>
        </w:tc>
        <w:tc>
          <w:tcPr>
            <w:tcW w:w="1803" w:type="dxa"/>
          </w:tcPr>
          <w:p w14:paraId="258C05F5" w14:textId="49E53746"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PubMed</w:t>
            </w:r>
          </w:p>
        </w:tc>
        <w:tc>
          <w:tcPr>
            <w:tcW w:w="1803" w:type="dxa"/>
          </w:tcPr>
          <w:p w14:paraId="07CD4633" w14:textId="3CC3F56B"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Last 10 years</w:t>
            </w:r>
          </w:p>
        </w:tc>
        <w:tc>
          <w:tcPr>
            <w:tcW w:w="1803" w:type="dxa"/>
          </w:tcPr>
          <w:p w14:paraId="690ABCDC" w14:textId="5DC81CFD"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2,700</w:t>
            </w:r>
          </w:p>
        </w:tc>
        <w:tc>
          <w:tcPr>
            <w:tcW w:w="1804" w:type="dxa"/>
          </w:tcPr>
          <w:p w14:paraId="5BFC35D0" w14:textId="2A84248B" w:rsidR="008856EA" w:rsidRPr="00A252BE" w:rsidRDefault="00DD2137" w:rsidP="00E0191D">
            <w:pPr>
              <w:spacing w:after="180"/>
              <w:jc w:val="both"/>
              <w:rPr>
                <w:rFonts w:ascii="Arial" w:eastAsia="Arial" w:hAnsi="Arial" w:cs="Arial"/>
                <w:sz w:val="22"/>
                <w:szCs w:val="22"/>
              </w:rPr>
            </w:pPr>
            <w:r w:rsidRPr="00A252BE">
              <w:rPr>
                <w:rFonts w:ascii="Arial" w:eastAsia="Arial" w:hAnsi="Arial" w:cs="Arial"/>
                <w:sz w:val="22"/>
                <w:szCs w:val="22"/>
              </w:rPr>
              <w:t>9</w:t>
            </w:r>
          </w:p>
        </w:tc>
      </w:tr>
    </w:tbl>
    <w:p w14:paraId="0E1E2CD0" w14:textId="1C018226" w:rsidR="3A7CED5F" w:rsidRPr="00A252BE" w:rsidRDefault="3A7CED5F" w:rsidP="00E0191D">
      <w:pPr>
        <w:shd w:val="clear" w:color="auto" w:fill="FFFFFF" w:themeFill="background1"/>
        <w:spacing w:after="0"/>
        <w:jc w:val="both"/>
        <w:rPr>
          <w:rFonts w:ascii="Arial" w:eastAsia="Arial" w:hAnsi="Arial" w:cs="Arial"/>
          <w:sz w:val="22"/>
          <w:szCs w:val="22"/>
        </w:rPr>
      </w:pPr>
    </w:p>
    <w:p w14:paraId="05DC3FD8" w14:textId="0B9B3822" w:rsidR="00674898"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Note: Searches were refined iteratively using Boolean operators (AND, OR, NOT) to improve relevance and reduce duplication.</w:t>
      </w:r>
    </w:p>
    <w:p w14:paraId="5C3192AE" w14:textId="77777777" w:rsidR="003B0073" w:rsidRPr="00A252BE" w:rsidRDefault="003B0073" w:rsidP="00E0191D">
      <w:pPr>
        <w:shd w:val="clear" w:color="auto" w:fill="FFFFFF" w:themeFill="background1"/>
        <w:spacing w:after="180"/>
        <w:jc w:val="both"/>
        <w:rPr>
          <w:rFonts w:ascii="Arial" w:eastAsia="Arial" w:hAnsi="Arial" w:cs="Arial"/>
          <w:sz w:val="22"/>
          <w:szCs w:val="22"/>
        </w:rPr>
      </w:pPr>
    </w:p>
    <w:p w14:paraId="58B2C43F" w14:textId="77777777" w:rsidR="003B0073" w:rsidRPr="00A252BE" w:rsidRDefault="003B0073" w:rsidP="00E0191D">
      <w:pPr>
        <w:shd w:val="clear" w:color="auto" w:fill="FFFFFF" w:themeFill="background1"/>
        <w:spacing w:after="150" w:line="324" w:lineRule="auto"/>
        <w:jc w:val="both"/>
        <w:rPr>
          <w:rFonts w:ascii="Arial" w:eastAsia="Arial" w:hAnsi="Arial" w:cs="Arial"/>
          <w:sz w:val="22"/>
          <w:szCs w:val="22"/>
        </w:rPr>
      </w:pPr>
    </w:p>
    <w:p w14:paraId="2F08156F" w14:textId="77777777" w:rsidR="003B0073" w:rsidRPr="00A252BE" w:rsidRDefault="003B0073" w:rsidP="00E0191D">
      <w:pPr>
        <w:shd w:val="clear" w:color="auto" w:fill="FFFFFF" w:themeFill="background1"/>
        <w:spacing w:after="150" w:line="324" w:lineRule="auto"/>
        <w:jc w:val="both"/>
        <w:rPr>
          <w:rFonts w:ascii="Arial" w:eastAsia="Arial" w:hAnsi="Arial" w:cs="Arial"/>
          <w:sz w:val="22"/>
          <w:szCs w:val="22"/>
        </w:rPr>
      </w:pPr>
    </w:p>
    <w:p w14:paraId="62005765" w14:textId="77777777" w:rsidR="000E01E7" w:rsidRPr="00A252BE" w:rsidRDefault="000E01E7" w:rsidP="00E0191D">
      <w:pPr>
        <w:shd w:val="clear" w:color="auto" w:fill="FFFFFF" w:themeFill="background1"/>
        <w:spacing w:after="150" w:line="324" w:lineRule="auto"/>
        <w:jc w:val="both"/>
        <w:rPr>
          <w:rFonts w:ascii="Arial" w:eastAsia="Arial" w:hAnsi="Arial" w:cs="Arial"/>
          <w:sz w:val="22"/>
          <w:szCs w:val="22"/>
        </w:rPr>
      </w:pPr>
    </w:p>
    <w:p w14:paraId="1FF4EA30" w14:textId="77777777" w:rsidR="00001B71" w:rsidRDefault="00001B71" w:rsidP="00E0191D">
      <w:pPr>
        <w:shd w:val="clear" w:color="auto" w:fill="FFFFFF" w:themeFill="background1"/>
        <w:spacing w:after="150" w:line="324" w:lineRule="auto"/>
        <w:jc w:val="both"/>
        <w:rPr>
          <w:rFonts w:ascii="Arial" w:eastAsia="Arial" w:hAnsi="Arial" w:cs="Arial"/>
          <w:b/>
          <w:bCs/>
          <w:sz w:val="22"/>
          <w:szCs w:val="22"/>
        </w:rPr>
      </w:pPr>
    </w:p>
    <w:p w14:paraId="1548EF79" w14:textId="77777777" w:rsidR="001E4889" w:rsidRDefault="001E4889" w:rsidP="00E0191D">
      <w:pPr>
        <w:shd w:val="clear" w:color="auto" w:fill="FFFFFF" w:themeFill="background1"/>
        <w:spacing w:after="150" w:line="324" w:lineRule="auto"/>
        <w:jc w:val="both"/>
        <w:rPr>
          <w:rFonts w:ascii="Arial" w:eastAsia="Arial" w:hAnsi="Arial" w:cs="Arial"/>
          <w:b/>
          <w:bCs/>
          <w:sz w:val="22"/>
          <w:szCs w:val="22"/>
        </w:rPr>
      </w:pPr>
    </w:p>
    <w:p w14:paraId="6899FC83" w14:textId="77777777" w:rsidR="001E4889" w:rsidRPr="00A252BE" w:rsidRDefault="001E4889" w:rsidP="00E0191D">
      <w:pPr>
        <w:shd w:val="clear" w:color="auto" w:fill="FFFFFF" w:themeFill="background1"/>
        <w:spacing w:after="150" w:line="324" w:lineRule="auto"/>
        <w:jc w:val="both"/>
        <w:rPr>
          <w:rFonts w:ascii="Arial" w:eastAsia="Arial" w:hAnsi="Arial" w:cs="Arial"/>
          <w:b/>
          <w:bCs/>
          <w:sz w:val="22"/>
          <w:szCs w:val="22"/>
        </w:rPr>
      </w:pPr>
    </w:p>
    <w:p w14:paraId="394F75C4" w14:textId="77777777" w:rsidR="000E01E7" w:rsidRPr="00A252BE" w:rsidRDefault="000E01E7" w:rsidP="00E0191D">
      <w:pPr>
        <w:shd w:val="clear" w:color="auto" w:fill="FFFFFF" w:themeFill="background1"/>
        <w:spacing w:after="150" w:line="324" w:lineRule="auto"/>
        <w:jc w:val="both"/>
        <w:rPr>
          <w:rFonts w:ascii="Arial" w:eastAsia="Arial" w:hAnsi="Arial" w:cs="Arial"/>
          <w:b/>
          <w:bCs/>
          <w:sz w:val="22"/>
          <w:szCs w:val="22"/>
        </w:rPr>
      </w:pPr>
    </w:p>
    <w:p w14:paraId="3DEED7B9" w14:textId="4225A59E" w:rsidR="003B0073" w:rsidRPr="00A252BE" w:rsidRDefault="00ED6F5D" w:rsidP="00E0191D">
      <w:pPr>
        <w:shd w:val="clear" w:color="auto" w:fill="FFFFFF" w:themeFill="background1"/>
        <w:spacing w:after="150" w:line="324" w:lineRule="auto"/>
        <w:jc w:val="both"/>
        <w:rPr>
          <w:rFonts w:ascii="Arial" w:eastAsia="Arial" w:hAnsi="Arial" w:cs="Arial"/>
          <w:sz w:val="22"/>
          <w:szCs w:val="22"/>
        </w:rPr>
      </w:pPr>
      <w:r w:rsidRPr="00A252BE">
        <w:rPr>
          <w:rFonts w:ascii="Arial" w:eastAsia="Arial" w:hAnsi="Arial" w:cs="Arial"/>
          <w:b/>
          <w:bCs/>
          <w:sz w:val="22"/>
          <w:szCs w:val="22"/>
        </w:rPr>
        <w:t>A2</w:t>
      </w:r>
      <w:r w:rsidR="000541B0" w:rsidRPr="00A252BE">
        <w:rPr>
          <w:rFonts w:ascii="Arial" w:eastAsia="Arial" w:hAnsi="Arial" w:cs="Arial"/>
          <w:b/>
          <w:bCs/>
          <w:sz w:val="22"/>
          <w:szCs w:val="22"/>
        </w:rPr>
        <w:t>. Source Tracking Table</w:t>
      </w:r>
    </w:p>
    <w:p w14:paraId="2CD1928F" w14:textId="27AA89CD" w:rsidR="009A7DB0" w:rsidRPr="00A252BE" w:rsidRDefault="003B0073" w:rsidP="00E0191D">
      <w:pPr>
        <w:shd w:val="clear" w:color="auto" w:fill="FFFFFF" w:themeFill="background1"/>
        <w:spacing w:after="150" w:line="324" w:lineRule="auto"/>
        <w:jc w:val="both"/>
        <w:rPr>
          <w:rFonts w:ascii="Arial" w:eastAsia="Arial" w:hAnsi="Arial" w:cs="Arial"/>
          <w:sz w:val="22"/>
          <w:szCs w:val="22"/>
        </w:rPr>
      </w:pPr>
      <w:r w:rsidRPr="00A252BE">
        <w:rPr>
          <w:rFonts w:ascii="Arial" w:eastAsia="Arial" w:hAnsi="Arial" w:cs="Arial"/>
          <w:sz w:val="22"/>
          <w:szCs w:val="22"/>
        </w:rPr>
        <w:t xml:space="preserve">This table summarises key scholarly findings and theoretical frameworks across major themes related to adolescent anxiety and social support. </w:t>
      </w:r>
    </w:p>
    <w:tbl>
      <w:tblPr>
        <w:tblStyle w:val="TableGrid"/>
        <w:tblW w:w="0" w:type="auto"/>
        <w:tblLook w:val="04A0" w:firstRow="1" w:lastRow="0" w:firstColumn="1" w:lastColumn="0" w:noHBand="0" w:noVBand="1"/>
      </w:tblPr>
      <w:tblGrid>
        <w:gridCol w:w="1337"/>
        <w:gridCol w:w="1445"/>
        <w:gridCol w:w="1652"/>
        <w:gridCol w:w="1251"/>
        <w:gridCol w:w="1726"/>
        <w:gridCol w:w="1605"/>
      </w:tblGrid>
      <w:tr w:rsidR="003F674D" w:rsidRPr="00A252BE" w14:paraId="2259E76F" w14:textId="77777777" w:rsidTr="0091498D">
        <w:tc>
          <w:tcPr>
            <w:tcW w:w="1337" w:type="dxa"/>
            <w:vAlign w:val="center"/>
          </w:tcPr>
          <w:p w14:paraId="35790C9C" w14:textId="336A5066"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Author &amp; Year</w:t>
            </w:r>
          </w:p>
        </w:tc>
        <w:tc>
          <w:tcPr>
            <w:tcW w:w="1445" w:type="dxa"/>
            <w:vAlign w:val="center"/>
          </w:tcPr>
          <w:p w14:paraId="7FE579F6" w14:textId="109B19CC"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Database</w:t>
            </w:r>
          </w:p>
        </w:tc>
        <w:tc>
          <w:tcPr>
            <w:tcW w:w="1652" w:type="dxa"/>
            <w:vAlign w:val="center"/>
          </w:tcPr>
          <w:p w14:paraId="2184C289" w14:textId="29395830"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Keywords / Topic</w:t>
            </w:r>
          </w:p>
        </w:tc>
        <w:tc>
          <w:tcPr>
            <w:tcW w:w="1251" w:type="dxa"/>
            <w:vAlign w:val="center"/>
          </w:tcPr>
          <w:p w14:paraId="3C37BAA4" w14:textId="15EEABD4" w:rsidR="0091498D" w:rsidRPr="00A252BE" w:rsidRDefault="003F674D" w:rsidP="00E0191D">
            <w:pPr>
              <w:spacing w:line="360" w:lineRule="auto"/>
              <w:jc w:val="both"/>
              <w:rPr>
                <w:rFonts w:ascii="Arial" w:eastAsia="Times New Roman" w:hAnsi="Arial" w:cs="Arial"/>
                <w:b/>
                <w:bCs/>
                <w:sz w:val="22"/>
                <w:szCs w:val="22"/>
              </w:rPr>
            </w:pPr>
            <w:r w:rsidRPr="00A252BE">
              <w:rPr>
                <w:rFonts w:ascii="Arial" w:eastAsia="Times New Roman" w:hAnsi="Arial" w:cs="Arial"/>
                <w:b/>
                <w:bCs/>
                <w:sz w:val="22"/>
                <w:szCs w:val="22"/>
              </w:rPr>
              <w:t>Inclusion/</w:t>
            </w:r>
          </w:p>
          <w:p w14:paraId="7D27D875" w14:textId="78937BED"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Exclusi</w:t>
            </w:r>
            <w:r w:rsidR="0091498D" w:rsidRPr="00A252BE">
              <w:rPr>
                <w:rFonts w:ascii="Arial" w:eastAsia="Times New Roman" w:hAnsi="Arial" w:cs="Arial"/>
                <w:b/>
                <w:bCs/>
                <w:sz w:val="22"/>
                <w:szCs w:val="22"/>
              </w:rPr>
              <w:t>o</w:t>
            </w:r>
            <w:r w:rsidRPr="00A252BE">
              <w:rPr>
                <w:rFonts w:ascii="Arial" w:eastAsia="Times New Roman" w:hAnsi="Arial" w:cs="Arial"/>
                <w:b/>
                <w:bCs/>
                <w:sz w:val="22"/>
                <w:szCs w:val="22"/>
              </w:rPr>
              <w:t>n</w:t>
            </w:r>
          </w:p>
        </w:tc>
        <w:tc>
          <w:tcPr>
            <w:tcW w:w="1726" w:type="dxa"/>
            <w:vAlign w:val="center"/>
          </w:tcPr>
          <w:p w14:paraId="7CA806C6" w14:textId="46DA2E25"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Reason</w:t>
            </w:r>
          </w:p>
        </w:tc>
        <w:tc>
          <w:tcPr>
            <w:tcW w:w="1605" w:type="dxa"/>
            <w:vAlign w:val="center"/>
          </w:tcPr>
          <w:p w14:paraId="5518C6F3" w14:textId="3B292A0B"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Notes</w:t>
            </w:r>
          </w:p>
        </w:tc>
      </w:tr>
      <w:tr w:rsidR="003F674D" w:rsidRPr="00A252BE" w14:paraId="1983D2A8" w14:textId="77777777" w:rsidTr="0091498D">
        <w:tc>
          <w:tcPr>
            <w:tcW w:w="1337" w:type="dxa"/>
            <w:vAlign w:val="center"/>
          </w:tcPr>
          <w:p w14:paraId="6E10443F" w14:textId="353EB15A"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Kessler et al. (2005)</w:t>
            </w:r>
          </w:p>
        </w:tc>
        <w:tc>
          <w:tcPr>
            <w:tcW w:w="1445" w:type="dxa"/>
            <w:vAlign w:val="center"/>
          </w:tcPr>
          <w:p w14:paraId="01170433" w14:textId="41269CDE"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PubMed</w:t>
            </w:r>
          </w:p>
        </w:tc>
        <w:tc>
          <w:tcPr>
            <w:tcW w:w="1652" w:type="dxa"/>
            <w:vAlign w:val="center"/>
          </w:tcPr>
          <w:p w14:paraId="6B08CDCD" w14:textId="015CBBF5"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adolescent anxiety prevalence</w:t>
            </w:r>
          </w:p>
        </w:tc>
        <w:tc>
          <w:tcPr>
            <w:tcW w:w="1251" w:type="dxa"/>
            <w:vAlign w:val="center"/>
          </w:tcPr>
          <w:p w14:paraId="4BCC10EF" w14:textId="5DA3482B"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6EB26F92" w14:textId="5C14933B"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Foundational epidemiological study</w:t>
            </w:r>
          </w:p>
        </w:tc>
        <w:tc>
          <w:tcPr>
            <w:tcW w:w="1605" w:type="dxa"/>
            <w:vAlign w:val="center"/>
          </w:tcPr>
          <w:p w14:paraId="4E6F3092" w14:textId="1C611C2C"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 relevance</w:t>
            </w:r>
          </w:p>
        </w:tc>
      </w:tr>
      <w:tr w:rsidR="003F674D" w:rsidRPr="00A252BE" w14:paraId="348A21EB" w14:textId="77777777" w:rsidTr="0091498D">
        <w:tc>
          <w:tcPr>
            <w:tcW w:w="1337" w:type="dxa"/>
            <w:vAlign w:val="center"/>
          </w:tcPr>
          <w:p w14:paraId="71352AA7" w14:textId="54828060"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NHS Digital (2021)</w:t>
            </w:r>
          </w:p>
        </w:tc>
        <w:tc>
          <w:tcPr>
            <w:tcW w:w="1445" w:type="dxa"/>
            <w:vAlign w:val="center"/>
          </w:tcPr>
          <w:p w14:paraId="1FB24EA4" w14:textId="2D83CC27"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Gov/Reports</w:t>
            </w:r>
          </w:p>
        </w:tc>
        <w:tc>
          <w:tcPr>
            <w:tcW w:w="1652" w:type="dxa"/>
            <w:vAlign w:val="center"/>
          </w:tcPr>
          <w:p w14:paraId="167FBABA" w14:textId="343BAF83"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UK mental health statistics</w:t>
            </w:r>
          </w:p>
        </w:tc>
        <w:tc>
          <w:tcPr>
            <w:tcW w:w="1251" w:type="dxa"/>
            <w:vAlign w:val="center"/>
          </w:tcPr>
          <w:p w14:paraId="3D2B408C" w14:textId="70C90908"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3F57FF92" w14:textId="6B6C6CF1"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Recent, national data</w:t>
            </w:r>
          </w:p>
        </w:tc>
        <w:tc>
          <w:tcPr>
            <w:tcW w:w="1605" w:type="dxa"/>
            <w:vAlign w:val="center"/>
          </w:tcPr>
          <w:p w14:paraId="2DF44D2C" w14:textId="399C4F44"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Strong statistical source</w:t>
            </w:r>
          </w:p>
        </w:tc>
      </w:tr>
      <w:tr w:rsidR="003F674D" w:rsidRPr="00A252BE" w14:paraId="2078AE20" w14:textId="77777777" w:rsidTr="0091498D">
        <w:tc>
          <w:tcPr>
            <w:tcW w:w="1337" w:type="dxa"/>
            <w:vAlign w:val="center"/>
          </w:tcPr>
          <w:p w14:paraId="3243FBC7" w14:textId="3C99A4F7"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Creswell et al. (2021)</w:t>
            </w:r>
          </w:p>
        </w:tc>
        <w:tc>
          <w:tcPr>
            <w:tcW w:w="1445" w:type="dxa"/>
            <w:vAlign w:val="center"/>
          </w:tcPr>
          <w:p w14:paraId="751EDF1A" w14:textId="6D5A7996"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Google Scholar</w:t>
            </w:r>
          </w:p>
        </w:tc>
        <w:tc>
          <w:tcPr>
            <w:tcW w:w="1652" w:type="dxa"/>
            <w:vAlign w:val="center"/>
          </w:tcPr>
          <w:p w14:paraId="3C61D22B" w14:textId="42F751E0"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anxiety diagnosis trends</w:t>
            </w:r>
          </w:p>
        </w:tc>
        <w:tc>
          <w:tcPr>
            <w:tcW w:w="1251" w:type="dxa"/>
            <w:vAlign w:val="center"/>
          </w:tcPr>
          <w:p w14:paraId="0FC8A0DA" w14:textId="250CC4E2"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1ECF8DE2" w14:textId="75E9E904"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Explains rise in reporting</w:t>
            </w:r>
          </w:p>
        </w:tc>
        <w:tc>
          <w:tcPr>
            <w:tcW w:w="1605" w:type="dxa"/>
            <w:vAlign w:val="center"/>
          </w:tcPr>
          <w:p w14:paraId="1B82E3E8" w14:textId="299D3345"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Conceptual insight</w:t>
            </w:r>
          </w:p>
        </w:tc>
      </w:tr>
      <w:tr w:rsidR="003F674D" w:rsidRPr="00A252BE" w14:paraId="213E619E" w14:textId="77777777" w:rsidTr="0091498D">
        <w:tc>
          <w:tcPr>
            <w:tcW w:w="1337" w:type="dxa"/>
            <w:vAlign w:val="center"/>
          </w:tcPr>
          <w:p w14:paraId="50BCB506" w14:textId="0EC49870"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Freud (1926)</w:t>
            </w:r>
          </w:p>
        </w:tc>
        <w:tc>
          <w:tcPr>
            <w:tcW w:w="1445" w:type="dxa"/>
            <w:vAlign w:val="center"/>
          </w:tcPr>
          <w:p w14:paraId="7279983E" w14:textId="2718C746"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Google Scholar</w:t>
            </w:r>
          </w:p>
        </w:tc>
        <w:tc>
          <w:tcPr>
            <w:tcW w:w="1652" w:type="dxa"/>
            <w:vAlign w:val="center"/>
          </w:tcPr>
          <w:p w14:paraId="3DD28666" w14:textId="7CA17FF3"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psychoanalytic anxiety theory</w:t>
            </w:r>
          </w:p>
        </w:tc>
        <w:tc>
          <w:tcPr>
            <w:tcW w:w="1251" w:type="dxa"/>
            <w:vAlign w:val="center"/>
          </w:tcPr>
          <w:p w14:paraId="507AC4E8" w14:textId="5AB67DF8"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10E0C78F" w14:textId="260B7421"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Historical relevance</w:t>
            </w:r>
          </w:p>
        </w:tc>
        <w:tc>
          <w:tcPr>
            <w:tcW w:w="1605" w:type="dxa"/>
            <w:vAlign w:val="center"/>
          </w:tcPr>
          <w:p w14:paraId="1A54732C" w14:textId="2072D215"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Limited empirical support</w:t>
            </w:r>
          </w:p>
        </w:tc>
      </w:tr>
      <w:tr w:rsidR="003F674D" w:rsidRPr="00A252BE" w14:paraId="285AC801" w14:textId="77777777" w:rsidTr="0091498D">
        <w:tc>
          <w:tcPr>
            <w:tcW w:w="1337" w:type="dxa"/>
            <w:vAlign w:val="center"/>
          </w:tcPr>
          <w:p w14:paraId="7133B3FA" w14:textId="6FF23D07"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American Psychiatric Association (1980)</w:t>
            </w:r>
          </w:p>
        </w:tc>
        <w:tc>
          <w:tcPr>
            <w:tcW w:w="1445" w:type="dxa"/>
            <w:vAlign w:val="center"/>
          </w:tcPr>
          <w:p w14:paraId="678C65E5" w14:textId="3B1C27BC"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PubMed</w:t>
            </w:r>
          </w:p>
        </w:tc>
        <w:tc>
          <w:tcPr>
            <w:tcW w:w="1652" w:type="dxa"/>
            <w:vAlign w:val="center"/>
          </w:tcPr>
          <w:p w14:paraId="102DE793" w14:textId="422D2A3E"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DSM classification</w:t>
            </w:r>
          </w:p>
        </w:tc>
        <w:tc>
          <w:tcPr>
            <w:tcW w:w="1251" w:type="dxa"/>
            <w:vAlign w:val="center"/>
          </w:tcPr>
          <w:p w14:paraId="4C199CA9" w14:textId="59BA6949"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0D9BEA52" w14:textId="5F65EA69"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Standardised diagnosis</w:t>
            </w:r>
          </w:p>
        </w:tc>
        <w:tc>
          <w:tcPr>
            <w:tcW w:w="1605" w:type="dxa"/>
            <w:vAlign w:val="center"/>
          </w:tcPr>
          <w:p w14:paraId="317906FC" w14:textId="63DEB6A1" w:rsidR="003F674D" w:rsidRPr="00A252BE" w:rsidRDefault="003F674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Medicalisation critique</w:t>
            </w:r>
          </w:p>
        </w:tc>
      </w:tr>
      <w:tr w:rsidR="0091498D" w:rsidRPr="00A252BE" w14:paraId="4B4DB44D" w14:textId="77777777" w:rsidTr="00CE3803">
        <w:tc>
          <w:tcPr>
            <w:tcW w:w="1337" w:type="dxa"/>
            <w:vAlign w:val="center"/>
          </w:tcPr>
          <w:p w14:paraId="6453E6F6" w14:textId="175E3B5B"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Marmot et al. (2020)</w:t>
            </w:r>
          </w:p>
        </w:tc>
        <w:tc>
          <w:tcPr>
            <w:tcW w:w="1445" w:type="dxa"/>
            <w:vAlign w:val="center"/>
          </w:tcPr>
          <w:p w14:paraId="01D05A57" w14:textId="1517D845"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Scopus</w:t>
            </w:r>
          </w:p>
        </w:tc>
        <w:tc>
          <w:tcPr>
            <w:tcW w:w="1652" w:type="dxa"/>
            <w:vAlign w:val="center"/>
          </w:tcPr>
          <w:p w14:paraId="31266F75" w14:textId="4ED08A1C"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inequality mental health</w:t>
            </w:r>
          </w:p>
        </w:tc>
        <w:tc>
          <w:tcPr>
            <w:tcW w:w="1251" w:type="dxa"/>
            <w:vAlign w:val="center"/>
          </w:tcPr>
          <w:p w14:paraId="2A8EA9A8" w14:textId="314F331B"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3E0F6DD2" w14:textId="466871F8"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Structural factors</w:t>
            </w:r>
          </w:p>
        </w:tc>
        <w:tc>
          <w:tcPr>
            <w:tcW w:w="1605" w:type="dxa"/>
            <w:vAlign w:val="center"/>
          </w:tcPr>
          <w:p w14:paraId="70F4D852" w14:textId="2FE904CC"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Key policy relevance</w:t>
            </w:r>
          </w:p>
        </w:tc>
      </w:tr>
      <w:tr w:rsidR="0091498D" w:rsidRPr="00A252BE" w14:paraId="72F4BC82" w14:textId="77777777" w:rsidTr="00CE3803">
        <w:tc>
          <w:tcPr>
            <w:tcW w:w="1337" w:type="dxa"/>
            <w:vAlign w:val="center"/>
          </w:tcPr>
          <w:p w14:paraId="00CC1CD3" w14:textId="1969C773"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Beck (1976)</w:t>
            </w:r>
          </w:p>
        </w:tc>
        <w:tc>
          <w:tcPr>
            <w:tcW w:w="1445" w:type="dxa"/>
            <w:vAlign w:val="center"/>
          </w:tcPr>
          <w:p w14:paraId="317A6A33" w14:textId="0A15493E"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PubMed</w:t>
            </w:r>
          </w:p>
        </w:tc>
        <w:tc>
          <w:tcPr>
            <w:tcW w:w="1652" w:type="dxa"/>
            <w:vAlign w:val="center"/>
          </w:tcPr>
          <w:p w14:paraId="4048EC10" w14:textId="6DA7876B"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CBT theory</w:t>
            </w:r>
          </w:p>
        </w:tc>
        <w:tc>
          <w:tcPr>
            <w:tcW w:w="1251" w:type="dxa"/>
            <w:vAlign w:val="center"/>
          </w:tcPr>
          <w:p w14:paraId="4894F65E" w14:textId="4F03010B"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15BC607F" w14:textId="414BCF80"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Core theoretical model</w:t>
            </w:r>
          </w:p>
        </w:tc>
        <w:tc>
          <w:tcPr>
            <w:tcW w:w="1605" w:type="dxa"/>
            <w:vAlign w:val="center"/>
          </w:tcPr>
          <w:p w14:paraId="76CEB4A3" w14:textId="14642670"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Widely used</w:t>
            </w:r>
          </w:p>
        </w:tc>
      </w:tr>
      <w:tr w:rsidR="0091498D" w:rsidRPr="00A252BE" w14:paraId="0E2F34A9" w14:textId="77777777" w:rsidTr="00CE3803">
        <w:tc>
          <w:tcPr>
            <w:tcW w:w="1337" w:type="dxa"/>
            <w:vAlign w:val="center"/>
          </w:tcPr>
          <w:p w14:paraId="2E0ECDF3" w14:textId="61234E5C"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Hofmann et al. (2012)</w:t>
            </w:r>
          </w:p>
        </w:tc>
        <w:tc>
          <w:tcPr>
            <w:tcW w:w="1445" w:type="dxa"/>
            <w:vAlign w:val="center"/>
          </w:tcPr>
          <w:p w14:paraId="08FFBE05" w14:textId="2281F7B1"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PubMed</w:t>
            </w:r>
          </w:p>
        </w:tc>
        <w:tc>
          <w:tcPr>
            <w:tcW w:w="1652" w:type="dxa"/>
            <w:vAlign w:val="center"/>
          </w:tcPr>
          <w:p w14:paraId="56297804" w14:textId="6F07F3BA"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CBT effectiveness</w:t>
            </w:r>
          </w:p>
        </w:tc>
        <w:tc>
          <w:tcPr>
            <w:tcW w:w="1251" w:type="dxa"/>
            <w:vAlign w:val="center"/>
          </w:tcPr>
          <w:p w14:paraId="0FEE261F" w14:textId="1F1E09C7"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3E391F9F" w14:textId="5E69DDA6"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Strong empirical support</w:t>
            </w:r>
          </w:p>
        </w:tc>
        <w:tc>
          <w:tcPr>
            <w:tcW w:w="1605" w:type="dxa"/>
            <w:vAlign w:val="center"/>
          </w:tcPr>
          <w:p w14:paraId="307EDE9F" w14:textId="1E6918A7"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Evidence-based</w:t>
            </w:r>
          </w:p>
        </w:tc>
      </w:tr>
      <w:tr w:rsidR="0091498D" w:rsidRPr="00A252BE" w14:paraId="5F854875" w14:textId="77777777" w:rsidTr="00CE3803">
        <w:tc>
          <w:tcPr>
            <w:tcW w:w="1337" w:type="dxa"/>
            <w:vAlign w:val="center"/>
          </w:tcPr>
          <w:p w14:paraId="7D5495CB" w14:textId="40E36EFF"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Bowlby (1969)</w:t>
            </w:r>
          </w:p>
        </w:tc>
        <w:tc>
          <w:tcPr>
            <w:tcW w:w="1445" w:type="dxa"/>
            <w:vAlign w:val="center"/>
          </w:tcPr>
          <w:p w14:paraId="31038DC6" w14:textId="70260C8B"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Google Scholar</w:t>
            </w:r>
          </w:p>
        </w:tc>
        <w:tc>
          <w:tcPr>
            <w:tcW w:w="1652" w:type="dxa"/>
            <w:vAlign w:val="center"/>
          </w:tcPr>
          <w:p w14:paraId="7062B6AC" w14:textId="7EBC1D83"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attachment theory</w:t>
            </w:r>
          </w:p>
        </w:tc>
        <w:tc>
          <w:tcPr>
            <w:tcW w:w="1251" w:type="dxa"/>
            <w:vAlign w:val="center"/>
          </w:tcPr>
          <w:p w14:paraId="1606EB35" w14:textId="11C535E2"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227A1A83" w14:textId="55B0EC5A"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Foundational theory</w:t>
            </w:r>
          </w:p>
        </w:tc>
        <w:tc>
          <w:tcPr>
            <w:tcW w:w="1605" w:type="dxa"/>
            <w:vAlign w:val="center"/>
          </w:tcPr>
          <w:p w14:paraId="4157C74A" w14:textId="7F681CF2"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Relational focus</w:t>
            </w:r>
          </w:p>
        </w:tc>
      </w:tr>
      <w:tr w:rsidR="0091498D" w:rsidRPr="00A252BE" w14:paraId="3D9523E7" w14:textId="77777777" w:rsidTr="00CE3803">
        <w:tc>
          <w:tcPr>
            <w:tcW w:w="1337" w:type="dxa"/>
            <w:vAlign w:val="center"/>
          </w:tcPr>
          <w:p w14:paraId="2334FF83" w14:textId="582B7177"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lastRenderedPageBreak/>
              <w:t>Cohen &amp; Wills (1985)</w:t>
            </w:r>
          </w:p>
        </w:tc>
        <w:tc>
          <w:tcPr>
            <w:tcW w:w="1445" w:type="dxa"/>
            <w:vAlign w:val="center"/>
          </w:tcPr>
          <w:p w14:paraId="433B058E" w14:textId="15ACBE52"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Scopus</w:t>
            </w:r>
          </w:p>
        </w:tc>
        <w:tc>
          <w:tcPr>
            <w:tcW w:w="1652" w:type="dxa"/>
            <w:vAlign w:val="center"/>
          </w:tcPr>
          <w:p w14:paraId="4A50DE92" w14:textId="1F0E0C55"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social support theory</w:t>
            </w:r>
          </w:p>
        </w:tc>
        <w:tc>
          <w:tcPr>
            <w:tcW w:w="1251" w:type="dxa"/>
            <w:vAlign w:val="center"/>
          </w:tcPr>
          <w:p w14:paraId="1B77538B" w14:textId="78FBE9B9"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4BCCC06E" w14:textId="73425E08"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Core framework</w:t>
            </w:r>
          </w:p>
        </w:tc>
        <w:tc>
          <w:tcPr>
            <w:tcW w:w="1605" w:type="dxa"/>
            <w:vAlign w:val="center"/>
          </w:tcPr>
          <w:p w14:paraId="08FF1A00" w14:textId="541E549D"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Central to study</w:t>
            </w:r>
          </w:p>
        </w:tc>
      </w:tr>
      <w:tr w:rsidR="0091498D" w:rsidRPr="00A252BE" w14:paraId="4121C2E2" w14:textId="77777777" w:rsidTr="00CE3803">
        <w:tc>
          <w:tcPr>
            <w:tcW w:w="1337" w:type="dxa"/>
            <w:vAlign w:val="center"/>
          </w:tcPr>
          <w:p w14:paraId="0C73B708" w14:textId="2AA0E0AE"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Best et al. (2014)</w:t>
            </w:r>
          </w:p>
        </w:tc>
        <w:tc>
          <w:tcPr>
            <w:tcW w:w="1445" w:type="dxa"/>
            <w:vAlign w:val="center"/>
          </w:tcPr>
          <w:p w14:paraId="4E416C79" w14:textId="78D83E49"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Scopus</w:t>
            </w:r>
          </w:p>
        </w:tc>
        <w:tc>
          <w:tcPr>
            <w:tcW w:w="1652" w:type="dxa"/>
            <w:vAlign w:val="center"/>
          </w:tcPr>
          <w:p w14:paraId="3EEB2B22" w14:textId="1ADA76E0"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social media &amp; mental health</w:t>
            </w:r>
          </w:p>
        </w:tc>
        <w:tc>
          <w:tcPr>
            <w:tcW w:w="1251" w:type="dxa"/>
            <w:vAlign w:val="center"/>
          </w:tcPr>
          <w:p w14:paraId="5EE294A3" w14:textId="4A0F28B2"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356D1086" w14:textId="42990CC8"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Modern context</w:t>
            </w:r>
          </w:p>
        </w:tc>
        <w:tc>
          <w:tcPr>
            <w:tcW w:w="1605" w:type="dxa"/>
            <w:vAlign w:val="center"/>
          </w:tcPr>
          <w:p w14:paraId="341FC051" w14:textId="048C1F83"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Mixed impact</w:t>
            </w:r>
          </w:p>
        </w:tc>
      </w:tr>
      <w:tr w:rsidR="0091498D" w:rsidRPr="00A252BE" w14:paraId="3FC3BB16" w14:textId="77777777" w:rsidTr="00CE3803">
        <w:tc>
          <w:tcPr>
            <w:tcW w:w="1337" w:type="dxa"/>
            <w:vAlign w:val="center"/>
          </w:tcPr>
          <w:p w14:paraId="1EB73917" w14:textId="0EA1A9AD"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Patel et al. (2007)</w:t>
            </w:r>
          </w:p>
        </w:tc>
        <w:tc>
          <w:tcPr>
            <w:tcW w:w="1445" w:type="dxa"/>
            <w:vAlign w:val="center"/>
          </w:tcPr>
          <w:p w14:paraId="7615E8EA" w14:textId="6AF71774"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PubMed</w:t>
            </w:r>
          </w:p>
        </w:tc>
        <w:tc>
          <w:tcPr>
            <w:tcW w:w="1652" w:type="dxa"/>
            <w:vAlign w:val="center"/>
          </w:tcPr>
          <w:p w14:paraId="419556BD" w14:textId="244BB388"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global mental health policy</w:t>
            </w:r>
          </w:p>
        </w:tc>
        <w:tc>
          <w:tcPr>
            <w:tcW w:w="1251" w:type="dxa"/>
            <w:vAlign w:val="center"/>
          </w:tcPr>
          <w:p w14:paraId="192D62B6" w14:textId="07331B96"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7D308F9E" w14:textId="4EB5FF4A"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International relevance</w:t>
            </w:r>
          </w:p>
        </w:tc>
        <w:tc>
          <w:tcPr>
            <w:tcW w:w="1605" w:type="dxa"/>
            <w:vAlign w:val="center"/>
          </w:tcPr>
          <w:p w14:paraId="4B02A6BF" w14:textId="370FA3C2"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Policy insight</w:t>
            </w:r>
          </w:p>
        </w:tc>
      </w:tr>
      <w:tr w:rsidR="0091498D" w:rsidRPr="00A252BE" w14:paraId="116A071E" w14:textId="77777777" w:rsidTr="00CE3803">
        <w:tc>
          <w:tcPr>
            <w:tcW w:w="1337" w:type="dxa"/>
            <w:vAlign w:val="center"/>
          </w:tcPr>
          <w:p w14:paraId="6D279E19" w14:textId="6E0A1633"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Marmot et al. (2020)</w:t>
            </w:r>
          </w:p>
        </w:tc>
        <w:tc>
          <w:tcPr>
            <w:tcW w:w="1445" w:type="dxa"/>
            <w:vAlign w:val="center"/>
          </w:tcPr>
          <w:p w14:paraId="23E92343" w14:textId="1402A2BC"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Scopus</w:t>
            </w:r>
          </w:p>
        </w:tc>
        <w:tc>
          <w:tcPr>
            <w:tcW w:w="1652" w:type="dxa"/>
            <w:vAlign w:val="center"/>
          </w:tcPr>
          <w:p w14:paraId="41FA96AF" w14:textId="4429B1AE"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social inequality</w:t>
            </w:r>
          </w:p>
        </w:tc>
        <w:tc>
          <w:tcPr>
            <w:tcW w:w="1251" w:type="dxa"/>
            <w:vAlign w:val="center"/>
          </w:tcPr>
          <w:p w14:paraId="45738D24" w14:textId="0E924092"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Included</w:t>
            </w:r>
          </w:p>
        </w:tc>
        <w:tc>
          <w:tcPr>
            <w:tcW w:w="1726" w:type="dxa"/>
            <w:vAlign w:val="center"/>
          </w:tcPr>
          <w:p w14:paraId="7CFA888C" w14:textId="1BC3EB25"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Structural influence</w:t>
            </w:r>
          </w:p>
        </w:tc>
        <w:tc>
          <w:tcPr>
            <w:tcW w:w="1605" w:type="dxa"/>
            <w:vAlign w:val="center"/>
          </w:tcPr>
          <w:p w14:paraId="32556755" w14:textId="4620B692"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Repeated key source</w:t>
            </w:r>
          </w:p>
        </w:tc>
      </w:tr>
      <w:tr w:rsidR="0091498D" w:rsidRPr="00A252BE" w14:paraId="383E9C4B" w14:textId="77777777" w:rsidTr="00CE3803">
        <w:tc>
          <w:tcPr>
            <w:tcW w:w="1337" w:type="dxa"/>
            <w:vAlign w:val="center"/>
          </w:tcPr>
          <w:p w14:paraId="5CD925DA" w14:textId="7008C77E"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Non-peer reviewed blogs</w:t>
            </w:r>
          </w:p>
        </w:tc>
        <w:tc>
          <w:tcPr>
            <w:tcW w:w="1445" w:type="dxa"/>
            <w:vAlign w:val="center"/>
          </w:tcPr>
          <w:p w14:paraId="118E0ACB" w14:textId="1BDA1F6B"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Google</w:t>
            </w:r>
          </w:p>
        </w:tc>
        <w:tc>
          <w:tcPr>
            <w:tcW w:w="1652" w:type="dxa"/>
            <w:vAlign w:val="center"/>
          </w:tcPr>
          <w:p w14:paraId="1140C51F" w14:textId="19F3FC0D"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general anxiety info</w:t>
            </w:r>
          </w:p>
        </w:tc>
        <w:tc>
          <w:tcPr>
            <w:tcW w:w="1251" w:type="dxa"/>
            <w:vAlign w:val="center"/>
          </w:tcPr>
          <w:p w14:paraId="7CD6F2A7" w14:textId="401950B2"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Excluded</w:t>
            </w:r>
          </w:p>
        </w:tc>
        <w:tc>
          <w:tcPr>
            <w:tcW w:w="1726" w:type="dxa"/>
            <w:vAlign w:val="center"/>
          </w:tcPr>
          <w:p w14:paraId="5D27D9F1" w14:textId="26398B91"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Not academic</w:t>
            </w:r>
          </w:p>
        </w:tc>
        <w:tc>
          <w:tcPr>
            <w:tcW w:w="1605" w:type="dxa"/>
            <w:vAlign w:val="center"/>
          </w:tcPr>
          <w:p w14:paraId="5CE0D455" w14:textId="08ABF76C" w:rsidR="0091498D" w:rsidRPr="00A252BE" w:rsidRDefault="0091498D"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Low credibility</w:t>
            </w:r>
          </w:p>
        </w:tc>
      </w:tr>
    </w:tbl>
    <w:p w14:paraId="017BEA02" w14:textId="77777777" w:rsidR="00E47879" w:rsidRPr="00A252BE" w:rsidRDefault="00E47879" w:rsidP="00E0191D">
      <w:pPr>
        <w:spacing w:after="0" w:line="360" w:lineRule="auto"/>
        <w:jc w:val="both"/>
        <w:rPr>
          <w:rFonts w:ascii="Arial" w:eastAsia="Times New Roman" w:hAnsi="Arial" w:cs="Arial"/>
          <w:b/>
          <w:bCs/>
          <w:sz w:val="22"/>
          <w:szCs w:val="22"/>
        </w:rPr>
      </w:pPr>
    </w:p>
    <w:p w14:paraId="31E66337" w14:textId="310AAC2C" w:rsidR="003B0073" w:rsidRPr="00A252BE" w:rsidRDefault="00CC3FDE" w:rsidP="00E0191D">
      <w:pPr>
        <w:spacing w:after="0" w:line="360" w:lineRule="auto"/>
        <w:jc w:val="both"/>
        <w:rPr>
          <w:rFonts w:ascii="Arial" w:eastAsia="Times New Roman" w:hAnsi="Arial" w:cs="Arial"/>
          <w:b/>
          <w:bCs/>
          <w:sz w:val="22"/>
          <w:szCs w:val="22"/>
        </w:rPr>
      </w:pPr>
      <w:r w:rsidRPr="00A252BE">
        <w:rPr>
          <w:rFonts w:ascii="Arial" w:eastAsia="Times New Roman" w:hAnsi="Arial" w:cs="Arial"/>
          <w:b/>
          <w:bCs/>
          <w:sz w:val="22"/>
          <w:szCs w:val="22"/>
        </w:rPr>
        <w:t>A3</w:t>
      </w:r>
      <w:r w:rsidR="003B0073" w:rsidRPr="00A252BE">
        <w:rPr>
          <w:rFonts w:ascii="Arial" w:eastAsia="Times New Roman" w:hAnsi="Arial" w:cs="Arial"/>
          <w:b/>
          <w:bCs/>
          <w:sz w:val="22"/>
          <w:szCs w:val="22"/>
        </w:rPr>
        <w:t>. Results Summary Sheet</w:t>
      </w:r>
    </w:p>
    <w:p w14:paraId="12E768A5" w14:textId="5E01AAA8" w:rsidR="007807F8" w:rsidRPr="00A252BE" w:rsidRDefault="007807F8" w:rsidP="00E0191D">
      <w:pPr>
        <w:spacing w:after="0" w:line="360" w:lineRule="auto"/>
        <w:jc w:val="both"/>
        <w:rPr>
          <w:rFonts w:ascii="Arial" w:eastAsia="Times New Roman" w:hAnsi="Arial" w:cs="Arial"/>
          <w:sz w:val="22"/>
          <w:szCs w:val="22"/>
        </w:rPr>
      </w:pPr>
      <w:r w:rsidRPr="00A252BE">
        <w:rPr>
          <w:rFonts w:ascii="Arial" w:eastAsia="Times New Roman" w:hAnsi="Arial" w:cs="Arial"/>
          <w:sz w:val="22"/>
          <w:szCs w:val="22"/>
        </w:rPr>
        <w:t>This table summarises key study characteristics and findings, supporting comparison and thematic analysis across the literature.</w:t>
      </w:r>
    </w:p>
    <w:p w14:paraId="7122034E" w14:textId="77777777" w:rsidR="00340271" w:rsidRPr="00A252BE" w:rsidRDefault="00340271" w:rsidP="00E0191D">
      <w:pPr>
        <w:spacing w:after="0" w:line="360" w:lineRule="auto"/>
        <w:jc w:val="both"/>
        <w:rPr>
          <w:rFonts w:ascii="Arial" w:eastAsia="Times New Roman" w:hAnsi="Arial" w:cs="Arial"/>
          <w:sz w:val="22"/>
          <w:szCs w:val="22"/>
        </w:rPr>
      </w:pPr>
    </w:p>
    <w:tbl>
      <w:tblPr>
        <w:tblStyle w:val="TableGrid"/>
        <w:tblW w:w="0" w:type="auto"/>
        <w:tblLayout w:type="fixed"/>
        <w:tblLook w:val="04A0" w:firstRow="1" w:lastRow="0" w:firstColumn="1" w:lastColumn="0" w:noHBand="0" w:noVBand="1"/>
      </w:tblPr>
      <w:tblGrid>
        <w:gridCol w:w="1092"/>
        <w:gridCol w:w="1680"/>
        <w:gridCol w:w="1618"/>
        <w:gridCol w:w="1516"/>
        <w:gridCol w:w="1744"/>
        <w:gridCol w:w="1366"/>
      </w:tblGrid>
      <w:tr w:rsidR="00340271" w:rsidRPr="00A252BE" w14:paraId="3D5954A3" w14:textId="77777777" w:rsidTr="002F08F5">
        <w:tc>
          <w:tcPr>
            <w:tcW w:w="1092" w:type="dxa"/>
            <w:vAlign w:val="center"/>
          </w:tcPr>
          <w:p w14:paraId="6D3B1C56" w14:textId="2A888C24"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Author &amp; Year</w:t>
            </w:r>
          </w:p>
        </w:tc>
        <w:tc>
          <w:tcPr>
            <w:tcW w:w="1680" w:type="dxa"/>
            <w:vAlign w:val="center"/>
          </w:tcPr>
          <w:p w14:paraId="0FBAF5BF" w14:textId="5374FA66"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Aim</w:t>
            </w:r>
          </w:p>
        </w:tc>
        <w:tc>
          <w:tcPr>
            <w:tcW w:w="1618" w:type="dxa"/>
            <w:vAlign w:val="center"/>
          </w:tcPr>
          <w:p w14:paraId="12726673" w14:textId="49B6F32C"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Methodology</w:t>
            </w:r>
          </w:p>
        </w:tc>
        <w:tc>
          <w:tcPr>
            <w:tcW w:w="1516" w:type="dxa"/>
            <w:vAlign w:val="center"/>
          </w:tcPr>
          <w:p w14:paraId="49D0F6E2" w14:textId="0A9BA9D7"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Sample</w:t>
            </w:r>
          </w:p>
        </w:tc>
        <w:tc>
          <w:tcPr>
            <w:tcW w:w="1744" w:type="dxa"/>
            <w:vAlign w:val="center"/>
          </w:tcPr>
          <w:p w14:paraId="709C2346" w14:textId="10CF6231"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Key Findings</w:t>
            </w:r>
          </w:p>
        </w:tc>
        <w:tc>
          <w:tcPr>
            <w:tcW w:w="1366" w:type="dxa"/>
            <w:vAlign w:val="center"/>
          </w:tcPr>
          <w:p w14:paraId="31023934" w14:textId="7EF6B768"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b/>
                <w:bCs/>
                <w:sz w:val="22"/>
                <w:szCs w:val="22"/>
              </w:rPr>
              <w:t>Relevance</w:t>
            </w:r>
          </w:p>
        </w:tc>
      </w:tr>
      <w:tr w:rsidR="00340271" w:rsidRPr="00A252BE" w14:paraId="554B4FF9" w14:textId="77777777" w:rsidTr="002F08F5">
        <w:tc>
          <w:tcPr>
            <w:tcW w:w="1092" w:type="dxa"/>
            <w:vAlign w:val="center"/>
          </w:tcPr>
          <w:p w14:paraId="2710B567" w14:textId="59E7072B"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Kessler et al. (2005)</w:t>
            </w:r>
          </w:p>
        </w:tc>
        <w:tc>
          <w:tcPr>
            <w:tcW w:w="1680" w:type="dxa"/>
            <w:vAlign w:val="center"/>
          </w:tcPr>
          <w:p w14:paraId="470BEF22" w14:textId="0F0AD62A"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Measure prevalence of anxiety</w:t>
            </w:r>
          </w:p>
        </w:tc>
        <w:tc>
          <w:tcPr>
            <w:tcW w:w="1618" w:type="dxa"/>
            <w:vAlign w:val="center"/>
          </w:tcPr>
          <w:p w14:paraId="2FE1C677" w14:textId="2DC6BF0F"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Epidemiological study</w:t>
            </w:r>
          </w:p>
        </w:tc>
        <w:tc>
          <w:tcPr>
            <w:tcW w:w="1516" w:type="dxa"/>
            <w:vAlign w:val="center"/>
          </w:tcPr>
          <w:p w14:paraId="03879847" w14:textId="3C9C65F6"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Large population sample</w:t>
            </w:r>
          </w:p>
        </w:tc>
        <w:tc>
          <w:tcPr>
            <w:tcW w:w="1744" w:type="dxa"/>
            <w:vAlign w:val="center"/>
          </w:tcPr>
          <w:p w14:paraId="03E9957E" w14:textId="57005B18"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Anxiety begins early in life</w:t>
            </w:r>
          </w:p>
        </w:tc>
        <w:tc>
          <w:tcPr>
            <w:tcW w:w="1366" w:type="dxa"/>
            <w:vAlign w:val="center"/>
          </w:tcPr>
          <w:p w14:paraId="3318B101" w14:textId="43B3818F"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340271" w:rsidRPr="00A252BE" w14:paraId="6080DD07" w14:textId="77777777" w:rsidTr="002F08F5">
        <w:tc>
          <w:tcPr>
            <w:tcW w:w="1092" w:type="dxa"/>
            <w:vAlign w:val="center"/>
          </w:tcPr>
          <w:p w14:paraId="4547F0C7" w14:textId="587E1C9F"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NHS Digital (2021)</w:t>
            </w:r>
          </w:p>
        </w:tc>
        <w:tc>
          <w:tcPr>
            <w:tcW w:w="1680" w:type="dxa"/>
            <w:vAlign w:val="center"/>
          </w:tcPr>
          <w:p w14:paraId="73ECDCA7" w14:textId="791CD926"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Assess UK mental health trends</w:t>
            </w:r>
          </w:p>
        </w:tc>
        <w:tc>
          <w:tcPr>
            <w:tcW w:w="1618" w:type="dxa"/>
            <w:vAlign w:val="center"/>
          </w:tcPr>
          <w:p w14:paraId="60D9F51E" w14:textId="62C37B64"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National survey</w:t>
            </w:r>
          </w:p>
        </w:tc>
        <w:tc>
          <w:tcPr>
            <w:tcW w:w="1516" w:type="dxa"/>
            <w:vAlign w:val="center"/>
          </w:tcPr>
          <w:p w14:paraId="249D62E1" w14:textId="00619D73"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Children &amp; adolescents</w:t>
            </w:r>
          </w:p>
        </w:tc>
        <w:tc>
          <w:tcPr>
            <w:tcW w:w="1744" w:type="dxa"/>
            <w:vAlign w:val="center"/>
          </w:tcPr>
          <w:p w14:paraId="44E7298E" w14:textId="3BE1EA64"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Rising anxiety rates</w:t>
            </w:r>
          </w:p>
        </w:tc>
        <w:tc>
          <w:tcPr>
            <w:tcW w:w="1366" w:type="dxa"/>
            <w:vAlign w:val="center"/>
          </w:tcPr>
          <w:p w14:paraId="733201ED" w14:textId="64E9DF36"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340271" w:rsidRPr="00A252BE" w14:paraId="45356B90" w14:textId="77777777" w:rsidTr="002F08F5">
        <w:tc>
          <w:tcPr>
            <w:tcW w:w="1092" w:type="dxa"/>
            <w:vAlign w:val="center"/>
          </w:tcPr>
          <w:p w14:paraId="4AAC402A" w14:textId="7B24FD85"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Creswell et al. (2021)</w:t>
            </w:r>
          </w:p>
        </w:tc>
        <w:tc>
          <w:tcPr>
            <w:tcW w:w="1680" w:type="dxa"/>
            <w:vAlign w:val="center"/>
          </w:tcPr>
          <w:p w14:paraId="4D26774E" w14:textId="551ECE87"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Explore diagnostic trends</w:t>
            </w:r>
          </w:p>
        </w:tc>
        <w:tc>
          <w:tcPr>
            <w:tcW w:w="1618" w:type="dxa"/>
            <w:vAlign w:val="center"/>
          </w:tcPr>
          <w:p w14:paraId="57BBC254" w14:textId="19E5EA96"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Review study</w:t>
            </w:r>
          </w:p>
        </w:tc>
        <w:tc>
          <w:tcPr>
            <w:tcW w:w="1516" w:type="dxa"/>
            <w:vAlign w:val="center"/>
          </w:tcPr>
          <w:p w14:paraId="591AE5EF" w14:textId="2465324B"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Multiple studies</w:t>
            </w:r>
          </w:p>
        </w:tc>
        <w:tc>
          <w:tcPr>
            <w:tcW w:w="1744" w:type="dxa"/>
            <w:vAlign w:val="center"/>
          </w:tcPr>
          <w:p w14:paraId="77F3DE5C" w14:textId="59472AC1"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Increase partly due to awareness</w:t>
            </w:r>
          </w:p>
        </w:tc>
        <w:tc>
          <w:tcPr>
            <w:tcW w:w="1366" w:type="dxa"/>
            <w:vAlign w:val="center"/>
          </w:tcPr>
          <w:p w14:paraId="61A655C6" w14:textId="1A402135"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340271" w:rsidRPr="00A252BE" w14:paraId="35796163" w14:textId="77777777" w:rsidTr="002F08F5">
        <w:tc>
          <w:tcPr>
            <w:tcW w:w="1092" w:type="dxa"/>
            <w:vAlign w:val="center"/>
          </w:tcPr>
          <w:p w14:paraId="2D6C5CF6" w14:textId="2946A1BB"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Hofmann et al. (2012)</w:t>
            </w:r>
          </w:p>
        </w:tc>
        <w:tc>
          <w:tcPr>
            <w:tcW w:w="1680" w:type="dxa"/>
            <w:vAlign w:val="center"/>
          </w:tcPr>
          <w:p w14:paraId="3137278E" w14:textId="15B7549C"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Evaluate CBT effectiveness</w:t>
            </w:r>
          </w:p>
        </w:tc>
        <w:tc>
          <w:tcPr>
            <w:tcW w:w="1618" w:type="dxa"/>
            <w:vAlign w:val="center"/>
          </w:tcPr>
          <w:p w14:paraId="2BF5326D" w14:textId="353597B3"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Meta-analysis</w:t>
            </w:r>
          </w:p>
        </w:tc>
        <w:tc>
          <w:tcPr>
            <w:tcW w:w="1516" w:type="dxa"/>
            <w:vAlign w:val="center"/>
          </w:tcPr>
          <w:p w14:paraId="789C5024" w14:textId="64097C40"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Clinical populations</w:t>
            </w:r>
          </w:p>
        </w:tc>
        <w:tc>
          <w:tcPr>
            <w:tcW w:w="1744" w:type="dxa"/>
            <w:vAlign w:val="center"/>
          </w:tcPr>
          <w:p w14:paraId="1FBB7F66" w14:textId="5AF0955D"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CBT reduces anxiety symptoms</w:t>
            </w:r>
          </w:p>
        </w:tc>
        <w:tc>
          <w:tcPr>
            <w:tcW w:w="1366" w:type="dxa"/>
            <w:vAlign w:val="center"/>
          </w:tcPr>
          <w:p w14:paraId="77132B84" w14:textId="5A9F0320"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340271" w:rsidRPr="00A252BE" w14:paraId="122D78EC" w14:textId="77777777" w:rsidTr="002F08F5">
        <w:tc>
          <w:tcPr>
            <w:tcW w:w="1092" w:type="dxa"/>
            <w:vAlign w:val="center"/>
          </w:tcPr>
          <w:p w14:paraId="0C99E551" w14:textId="2147C382" w:rsidR="00340271" w:rsidRPr="00A252BE" w:rsidRDefault="00340271" w:rsidP="00E0191D">
            <w:pPr>
              <w:spacing w:line="360" w:lineRule="auto"/>
              <w:jc w:val="both"/>
              <w:rPr>
                <w:rFonts w:ascii="Arial" w:eastAsia="Times New Roman" w:hAnsi="Arial" w:cs="Arial"/>
                <w:sz w:val="22"/>
                <w:szCs w:val="22"/>
              </w:rPr>
            </w:pPr>
            <w:proofErr w:type="spellStart"/>
            <w:r w:rsidRPr="00A252BE">
              <w:rPr>
                <w:rFonts w:ascii="Arial" w:eastAsia="Times New Roman" w:hAnsi="Arial" w:cs="Arial"/>
                <w:sz w:val="22"/>
                <w:szCs w:val="22"/>
              </w:rPr>
              <w:t>Brumariu</w:t>
            </w:r>
            <w:proofErr w:type="spellEnd"/>
            <w:r w:rsidRPr="00A252BE">
              <w:rPr>
                <w:rFonts w:ascii="Arial" w:eastAsia="Times New Roman" w:hAnsi="Arial" w:cs="Arial"/>
                <w:sz w:val="22"/>
                <w:szCs w:val="22"/>
              </w:rPr>
              <w:t xml:space="preserve"> &amp; Kerns (2010)</w:t>
            </w:r>
          </w:p>
        </w:tc>
        <w:tc>
          <w:tcPr>
            <w:tcW w:w="1680" w:type="dxa"/>
            <w:vAlign w:val="center"/>
          </w:tcPr>
          <w:p w14:paraId="06FEF972" w14:textId="592426BF"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Examine attachment &amp; anxiety</w:t>
            </w:r>
          </w:p>
        </w:tc>
        <w:tc>
          <w:tcPr>
            <w:tcW w:w="1618" w:type="dxa"/>
            <w:vAlign w:val="center"/>
          </w:tcPr>
          <w:p w14:paraId="7EB4338C" w14:textId="5AEF4307"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Review study</w:t>
            </w:r>
          </w:p>
        </w:tc>
        <w:tc>
          <w:tcPr>
            <w:tcW w:w="1516" w:type="dxa"/>
            <w:vAlign w:val="center"/>
          </w:tcPr>
          <w:p w14:paraId="622A7758" w14:textId="27EB54FC"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Adolescents</w:t>
            </w:r>
          </w:p>
        </w:tc>
        <w:tc>
          <w:tcPr>
            <w:tcW w:w="1744" w:type="dxa"/>
            <w:vAlign w:val="center"/>
          </w:tcPr>
          <w:p w14:paraId="123163FB" w14:textId="4FCB4EE6"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Insecure attachment anxiety</w:t>
            </w:r>
          </w:p>
        </w:tc>
        <w:tc>
          <w:tcPr>
            <w:tcW w:w="1366" w:type="dxa"/>
            <w:vAlign w:val="center"/>
          </w:tcPr>
          <w:p w14:paraId="0BD55513" w14:textId="409B6461" w:rsidR="00340271" w:rsidRPr="00A252BE" w:rsidRDefault="00340271"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E02856" w:rsidRPr="00A252BE" w14:paraId="50145E6E" w14:textId="77777777" w:rsidTr="002F08F5">
        <w:tc>
          <w:tcPr>
            <w:tcW w:w="1092" w:type="dxa"/>
            <w:vAlign w:val="center"/>
          </w:tcPr>
          <w:p w14:paraId="51CC3EAE" w14:textId="3F113719"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lastRenderedPageBreak/>
              <w:t>Rueger et al. (2016)</w:t>
            </w:r>
          </w:p>
        </w:tc>
        <w:tc>
          <w:tcPr>
            <w:tcW w:w="1680" w:type="dxa"/>
            <w:vAlign w:val="center"/>
          </w:tcPr>
          <w:p w14:paraId="238D6D22" w14:textId="127B8CA8"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Assess social support impact</w:t>
            </w:r>
          </w:p>
        </w:tc>
        <w:tc>
          <w:tcPr>
            <w:tcW w:w="1618" w:type="dxa"/>
            <w:vAlign w:val="center"/>
          </w:tcPr>
          <w:p w14:paraId="03A0759E" w14:textId="28CFC2F4"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Quantitative review</w:t>
            </w:r>
          </w:p>
        </w:tc>
        <w:tc>
          <w:tcPr>
            <w:tcW w:w="1516" w:type="dxa"/>
            <w:vAlign w:val="center"/>
          </w:tcPr>
          <w:p w14:paraId="3DCCCDB8" w14:textId="4576CDC7"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Adolescents</w:t>
            </w:r>
          </w:p>
        </w:tc>
        <w:tc>
          <w:tcPr>
            <w:tcW w:w="1744" w:type="dxa"/>
            <w:vAlign w:val="center"/>
          </w:tcPr>
          <w:p w14:paraId="74FCE2D5" w14:textId="79C11B8A"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Support reduces anxiety</w:t>
            </w:r>
          </w:p>
        </w:tc>
        <w:tc>
          <w:tcPr>
            <w:tcW w:w="1366" w:type="dxa"/>
            <w:vAlign w:val="center"/>
          </w:tcPr>
          <w:p w14:paraId="2497012A" w14:textId="004A6B95"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E02856" w:rsidRPr="00A252BE" w14:paraId="49B0D168" w14:textId="77777777" w:rsidTr="002F08F5">
        <w:tc>
          <w:tcPr>
            <w:tcW w:w="1092" w:type="dxa"/>
            <w:vAlign w:val="center"/>
          </w:tcPr>
          <w:p w14:paraId="3C1F090F" w14:textId="420DDCB7"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Chu et al. (2010)</w:t>
            </w:r>
          </w:p>
        </w:tc>
        <w:tc>
          <w:tcPr>
            <w:tcW w:w="1680" w:type="dxa"/>
            <w:vAlign w:val="center"/>
          </w:tcPr>
          <w:p w14:paraId="0DAB6662" w14:textId="28D92B0E"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Social support &amp; wellbeing</w:t>
            </w:r>
          </w:p>
        </w:tc>
        <w:tc>
          <w:tcPr>
            <w:tcW w:w="1618" w:type="dxa"/>
            <w:vAlign w:val="center"/>
          </w:tcPr>
          <w:p w14:paraId="03838097" w14:textId="2E558065"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Meta-analysis</w:t>
            </w:r>
          </w:p>
        </w:tc>
        <w:tc>
          <w:tcPr>
            <w:tcW w:w="1516" w:type="dxa"/>
            <w:vAlign w:val="center"/>
          </w:tcPr>
          <w:p w14:paraId="66E8E32A" w14:textId="212B6109"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Youth populations</w:t>
            </w:r>
          </w:p>
        </w:tc>
        <w:tc>
          <w:tcPr>
            <w:tcW w:w="1744" w:type="dxa"/>
            <w:vAlign w:val="center"/>
          </w:tcPr>
          <w:p w14:paraId="0F5FB8F3" w14:textId="18364E8B"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Strong link to mental health</w:t>
            </w:r>
          </w:p>
        </w:tc>
        <w:tc>
          <w:tcPr>
            <w:tcW w:w="1366" w:type="dxa"/>
            <w:vAlign w:val="center"/>
          </w:tcPr>
          <w:p w14:paraId="6646EAF6" w14:textId="766FEDC7"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E02856" w:rsidRPr="00A252BE" w14:paraId="446ADB22" w14:textId="77777777" w:rsidTr="002F08F5">
        <w:tc>
          <w:tcPr>
            <w:tcW w:w="1092" w:type="dxa"/>
            <w:vAlign w:val="center"/>
          </w:tcPr>
          <w:p w14:paraId="3AE0C7CA" w14:textId="3F01EFD7"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Best et al. (2014)</w:t>
            </w:r>
          </w:p>
        </w:tc>
        <w:tc>
          <w:tcPr>
            <w:tcW w:w="1680" w:type="dxa"/>
            <w:vAlign w:val="center"/>
          </w:tcPr>
          <w:p w14:paraId="5C5D5158" w14:textId="485AF162"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Social media effects</w:t>
            </w:r>
          </w:p>
        </w:tc>
        <w:tc>
          <w:tcPr>
            <w:tcW w:w="1618" w:type="dxa"/>
            <w:vAlign w:val="center"/>
          </w:tcPr>
          <w:p w14:paraId="03068952" w14:textId="63EB141E"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Literature review</w:t>
            </w:r>
          </w:p>
        </w:tc>
        <w:tc>
          <w:tcPr>
            <w:tcW w:w="1516" w:type="dxa"/>
            <w:vAlign w:val="center"/>
          </w:tcPr>
          <w:p w14:paraId="2CCEB4EE" w14:textId="4C6FA2BB"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Adolescents</w:t>
            </w:r>
          </w:p>
        </w:tc>
        <w:tc>
          <w:tcPr>
            <w:tcW w:w="1744" w:type="dxa"/>
            <w:vAlign w:val="center"/>
          </w:tcPr>
          <w:p w14:paraId="10FFD367" w14:textId="71C2C5FC"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Mixed positive/negative effects</w:t>
            </w:r>
          </w:p>
        </w:tc>
        <w:tc>
          <w:tcPr>
            <w:tcW w:w="1366" w:type="dxa"/>
            <w:vAlign w:val="center"/>
          </w:tcPr>
          <w:p w14:paraId="415DBEBB" w14:textId="58323D85"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Medium</w:t>
            </w:r>
          </w:p>
        </w:tc>
      </w:tr>
      <w:tr w:rsidR="00E02856" w:rsidRPr="00A252BE" w14:paraId="524D8326" w14:textId="77777777" w:rsidTr="002F08F5">
        <w:tc>
          <w:tcPr>
            <w:tcW w:w="1092" w:type="dxa"/>
            <w:vAlign w:val="center"/>
          </w:tcPr>
          <w:p w14:paraId="69EB35A4" w14:textId="1A6F0397"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Reiss (2013)</w:t>
            </w:r>
          </w:p>
        </w:tc>
        <w:tc>
          <w:tcPr>
            <w:tcW w:w="1680" w:type="dxa"/>
            <w:vAlign w:val="center"/>
          </w:tcPr>
          <w:p w14:paraId="7F75BE86" w14:textId="2FE97D64"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Socioeconomic factors</w:t>
            </w:r>
          </w:p>
        </w:tc>
        <w:tc>
          <w:tcPr>
            <w:tcW w:w="1618" w:type="dxa"/>
            <w:vAlign w:val="center"/>
          </w:tcPr>
          <w:p w14:paraId="631B14BC" w14:textId="2B7C2E63"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Review study</w:t>
            </w:r>
          </w:p>
        </w:tc>
        <w:tc>
          <w:tcPr>
            <w:tcW w:w="1516" w:type="dxa"/>
            <w:vAlign w:val="center"/>
          </w:tcPr>
          <w:p w14:paraId="20F76C75" w14:textId="560C4343"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Various populations</w:t>
            </w:r>
          </w:p>
        </w:tc>
        <w:tc>
          <w:tcPr>
            <w:tcW w:w="1744" w:type="dxa"/>
            <w:vAlign w:val="center"/>
          </w:tcPr>
          <w:p w14:paraId="4F087728" w14:textId="5E4AC6C4"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Inequality anxiety risk</w:t>
            </w:r>
          </w:p>
        </w:tc>
        <w:tc>
          <w:tcPr>
            <w:tcW w:w="1366" w:type="dxa"/>
            <w:vAlign w:val="center"/>
          </w:tcPr>
          <w:p w14:paraId="12D00B48" w14:textId="729EE204"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E02856" w:rsidRPr="00A252BE" w14:paraId="70F2A302" w14:textId="77777777" w:rsidTr="002F08F5">
        <w:tc>
          <w:tcPr>
            <w:tcW w:w="1092" w:type="dxa"/>
            <w:vAlign w:val="center"/>
          </w:tcPr>
          <w:p w14:paraId="2BDFC125" w14:textId="5451BB26"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Patel et al. (2007)</w:t>
            </w:r>
          </w:p>
        </w:tc>
        <w:tc>
          <w:tcPr>
            <w:tcW w:w="1680" w:type="dxa"/>
            <w:vAlign w:val="center"/>
          </w:tcPr>
          <w:p w14:paraId="42018534" w14:textId="5E8578D8"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Global mental health systems</w:t>
            </w:r>
          </w:p>
        </w:tc>
        <w:tc>
          <w:tcPr>
            <w:tcW w:w="1618" w:type="dxa"/>
            <w:vAlign w:val="center"/>
          </w:tcPr>
          <w:p w14:paraId="4F5FF0C9" w14:textId="4179E0B8"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Policy review</w:t>
            </w:r>
          </w:p>
        </w:tc>
        <w:tc>
          <w:tcPr>
            <w:tcW w:w="1516" w:type="dxa"/>
            <w:vAlign w:val="center"/>
          </w:tcPr>
          <w:p w14:paraId="2EA52124" w14:textId="7BAEBC0C"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International</w:t>
            </w:r>
          </w:p>
        </w:tc>
        <w:tc>
          <w:tcPr>
            <w:tcW w:w="1744" w:type="dxa"/>
            <w:vAlign w:val="center"/>
          </w:tcPr>
          <w:p w14:paraId="0FF53EEB" w14:textId="797103F4"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Community models effective</w:t>
            </w:r>
          </w:p>
        </w:tc>
        <w:tc>
          <w:tcPr>
            <w:tcW w:w="1366" w:type="dxa"/>
            <w:vAlign w:val="center"/>
          </w:tcPr>
          <w:p w14:paraId="4E7B72DF" w14:textId="7FB1A18C"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E02856" w:rsidRPr="00A252BE" w14:paraId="12216571" w14:textId="77777777" w:rsidTr="002F08F5">
        <w:tc>
          <w:tcPr>
            <w:tcW w:w="1092" w:type="dxa"/>
            <w:vAlign w:val="center"/>
          </w:tcPr>
          <w:p w14:paraId="73677B54" w14:textId="5C8F6614"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Odgers &amp; Jensen (2020)</w:t>
            </w:r>
          </w:p>
        </w:tc>
        <w:tc>
          <w:tcPr>
            <w:tcW w:w="1680" w:type="dxa"/>
            <w:vAlign w:val="center"/>
          </w:tcPr>
          <w:p w14:paraId="63F327BF" w14:textId="044BEE9A"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Digital environment impact</w:t>
            </w:r>
          </w:p>
        </w:tc>
        <w:tc>
          <w:tcPr>
            <w:tcW w:w="1618" w:type="dxa"/>
            <w:vAlign w:val="center"/>
          </w:tcPr>
          <w:p w14:paraId="0248A953" w14:textId="700D3B8C"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Review study</w:t>
            </w:r>
          </w:p>
        </w:tc>
        <w:tc>
          <w:tcPr>
            <w:tcW w:w="1516" w:type="dxa"/>
            <w:vAlign w:val="center"/>
          </w:tcPr>
          <w:p w14:paraId="38948DF3" w14:textId="46B24D24"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Adolescents</w:t>
            </w:r>
          </w:p>
        </w:tc>
        <w:tc>
          <w:tcPr>
            <w:tcW w:w="1744" w:type="dxa"/>
            <w:vAlign w:val="center"/>
          </w:tcPr>
          <w:p w14:paraId="361670FB" w14:textId="41462B7B"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Online context shapes anxiety</w:t>
            </w:r>
          </w:p>
        </w:tc>
        <w:tc>
          <w:tcPr>
            <w:tcW w:w="1366" w:type="dxa"/>
            <w:vAlign w:val="center"/>
          </w:tcPr>
          <w:p w14:paraId="15F92587" w14:textId="3BFED983"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r w:rsidR="00E02856" w:rsidRPr="00A252BE" w14:paraId="4F3B8FEB" w14:textId="77777777" w:rsidTr="002F08F5">
        <w:tc>
          <w:tcPr>
            <w:tcW w:w="1092" w:type="dxa"/>
            <w:vAlign w:val="center"/>
          </w:tcPr>
          <w:p w14:paraId="5C7D6B3D" w14:textId="3AEB4989"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Marmot et al. (2020)</w:t>
            </w:r>
          </w:p>
        </w:tc>
        <w:tc>
          <w:tcPr>
            <w:tcW w:w="1680" w:type="dxa"/>
            <w:vAlign w:val="center"/>
          </w:tcPr>
          <w:p w14:paraId="5287F919" w14:textId="6F70E987"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Inequality &amp; health</w:t>
            </w:r>
          </w:p>
        </w:tc>
        <w:tc>
          <w:tcPr>
            <w:tcW w:w="1618" w:type="dxa"/>
            <w:vAlign w:val="center"/>
          </w:tcPr>
          <w:p w14:paraId="456C0A2D" w14:textId="59BBDB4C"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Policy analysis</w:t>
            </w:r>
          </w:p>
        </w:tc>
        <w:tc>
          <w:tcPr>
            <w:tcW w:w="1516" w:type="dxa"/>
            <w:vAlign w:val="center"/>
          </w:tcPr>
          <w:p w14:paraId="5CCF2EDF" w14:textId="16D8EB2C"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UK population</w:t>
            </w:r>
          </w:p>
        </w:tc>
        <w:tc>
          <w:tcPr>
            <w:tcW w:w="1744" w:type="dxa"/>
            <w:vAlign w:val="center"/>
          </w:tcPr>
          <w:p w14:paraId="134608A4" w14:textId="1AC2B46E"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Social factors affect outcomes</w:t>
            </w:r>
          </w:p>
        </w:tc>
        <w:tc>
          <w:tcPr>
            <w:tcW w:w="1366" w:type="dxa"/>
            <w:vAlign w:val="center"/>
          </w:tcPr>
          <w:p w14:paraId="00C63713" w14:textId="3A909157" w:rsidR="00E02856" w:rsidRPr="00A252BE" w:rsidRDefault="00E02856" w:rsidP="00E0191D">
            <w:pPr>
              <w:spacing w:line="360" w:lineRule="auto"/>
              <w:jc w:val="both"/>
              <w:rPr>
                <w:rFonts w:ascii="Arial" w:eastAsia="Times New Roman" w:hAnsi="Arial" w:cs="Arial"/>
                <w:sz w:val="22"/>
                <w:szCs w:val="22"/>
              </w:rPr>
            </w:pPr>
            <w:r w:rsidRPr="00A252BE">
              <w:rPr>
                <w:rFonts w:ascii="Arial" w:eastAsia="Times New Roman" w:hAnsi="Arial" w:cs="Arial"/>
                <w:sz w:val="22"/>
                <w:szCs w:val="22"/>
              </w:rPr>
              <w:t>High</w:t>
            </w:r>
          </w:p>
        </w:tc>
      </w:tr>
    </w:tbl>
    <w:p w14:paraId="4847A059" w14:textId="77777777" w:rsidR="00340271" w:rsidRPr="00A252BE" w:rsidRDefault="00340271" w:rsidP="00E0191D">
      <w:pPr>
        <w:spacing w:after="0" w:line="360" w:lineRule="auto"/>
        <w:jc w:val="both"/>
        <w:rPr>
          <w:rFonts w:ascii="Arial" w:eastAsia="Times New Roman" w:hAnsi="Arial" w:cs="Arial"/>
          <w:sz w:val="22"/>
          <w:szCs w:val="22"/>
        </w:rPr>
      </w:pPr>
    </w:p>
    <w:p w14:paraId="2457B1E3" w14:textId="17A8F952" w:rsidR="71DBE16D"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b/>
          <w:bCs/>
          <w:sz w:val="22"/>
          <w:szCs w:val="22"/>
        </w:rPr>
        <w:t>A</w:t>
      </w:r>
      <w:r w:rsidR="00CC3FDE" w:rsidRPr="00A252BE">
        <w:rPr>
          <w:rFonts w:ascii="Arial" w:eastAsia="Arial" w:hAnsi="Arial" w:cs="Arial"/>
          <w:b/>
          <w:bCs/>
          <w:sz w:val="22"/>
          <w:szCs w:val="22"/>
        </w:rPr>
        <w:t>4</w:t>
      </w:r>
      <w:r w:rsidRPr="00A252BE">
        <w:rPr>
          <w:rFonts w:ascii="Arial" w:eastAsia="Arial" w:hAnsi="Arial" w:cs="Arial"/>
          <w:b/>
          <w:bCs/>
          <w:sz w:val="22"/>
          <w:szCs w:val="22"/>
        </w:rPr>
        <w:t>. PRISMA-Informed Screening Process</w:t>
      </w:r>
    </w:p>
    <w:p w14:paraId="415E4692" w14:textId="76BE4A69" w:rsidR="71DBE16D"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Although this study does not follow a full systematic review, it incorporates PRISMA-informed screening stages to enhance rigour.</w:t>
      </w:r>
    </w:p>
    <w:tbl>
      <w:tblPr>
        <w:tblStyle w:val="TableGrid"/>
        <w:tblW w:w="0" w:type="auto"/>
        <w:tblLook w:val="04A0" w:firstRow="1" w:lastRow="0" w:firstColumn="1" w:lastColumn="0" w:noHBand="0" w:noVBand="1"/>
      </w:tblPr>
      <w:tblGrid>
        <w:gridCol w:w="3005"/>
        <w:gridCol w:w="3005"/>
        <w:gridCol w:w="3006"/>
      </w:tblGrid>
      <w:tr w:rsidR="0058289E" w:rsidRPr="00A252BE" w14:paraId="2D3A1D40" w14:textId="77777777" w:rsidTr="0058289E">
        <w:tc>
          <w:tcPr>
            <w:tcW w:w="3005" w:type="dxa"/>
          </w:tcPr>
          <w:p w14:paraId="4E6D056B" w14:textId="36BD2EA7"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b/>
                <w:bCs/>
                <w:sz w:val="22"/>
                <w:szCs w:val="22"/>
              </w:rPr>
              <w:t>Stage</w:t>
            </w:r>
          </w:p>
        </w:tc>
        <w:tc>
          <w:tcPr>
            <w:tcW w:w="3005" w:type="dxa"/>
          </w:tcPr>
          <w:p w14:paraId="4775A70C" w14:textId="7E7CABD1"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b/>
                <w:bCs/>
                <w:sz w:val="22"/>
                <w:szCs w:val="22"/>
              </w:rPr>
              <w:t>Description</w:t>
            </w:r>
          </w:p>
        </w:tc>
        <w:tc>
          <w:tcPr>
            <w:tcW w:w="3006" w:type="dxa"/>
          </w:tcPr>
          <w:p w14:paraId="079654A6" w14:textId="0AA20236"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b/>
                <w:bCs/>
                <w:sz w:val="22"/>
                <w:szCs w:val="22"/>
              </w:rPr>
              <w:t>Number of Sources</w:t>
            </w:r>
          </w:p>
        </w:tc>
      </w:tr>
      <w:tr w:rsidR="0058289E" w:rsidRPr="00A252BE" w14:paraId="6D309AEA" w14:textId="77777777" w:rsidTr="0058289E">
        <w:tc>
          <w:tcPr>
            <w:tcW w:w="3005" w:type="dxa"/>
          </w:tcPr>
          <w:p w14:paraId="2980FBE4" w14:textId="223A9891"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sz w:val="22"/>
                <w:szCs w:val="22"/>
              </w:rPr>
              <w:t>Identification</w:t>
            </w:r>
          </w:p>
        </w:tc>
        <w:tc>
          <w:tcPr>
            <w:tcW w:w="3005" w:type="dxa"/>
          </w:tcPr>
          <w:p w14:paraId="544C12EC" w14:textId="4B092919"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sz w:val="22"/>
                <w:szCs w:val="22"/>
              </w:rPr>
              <w:t>Initial database search results</w:t>
            </w:r>
          </w:p>
        </w:tc>
        <w:tc>
          <w:tcPr>
            <w:tcW w:w="3006" w:type="dxa"/>
          </w:tcPr>
          <w:p w14:paraId="057ED150" w14:textId="57A1925E" w:rsidR="0058289E" w:rsidRPr="00A252BE" w:rsidRDefault="0058289E" w:rsidP="00E0191D">
            <w:pPr>
              <w:tabs>
                <w:tab w:val="left" w:pos="940"/>
              </w:tabs>
              <w:spacing w:after="180"/>
              <w:jc w:val="both"/>
              <w:rPr>
                <w:rFonts w:ascii="Arial" w:eastAsia="Arial" w:hAnsi="Arial" w:cs="Arial"/>
                <w:sz w:val="22"/>
                <w:szCs w:val="22"/>
              </w:rPr>
            </w:pPr>
            <w:r w:rsidRPr="00A252BE">
              <w:rPr>
                <w:rFonts w:ascii="Arial" w:eastAsia="Arial" w:hAnsi="Arial" w:cs="Arial"/>
                <w:sz w:val="22"/>
                <w:szCs w:val="22"/>
              </w:rPr>
              <w:tab/>
              <w:t>29,600</w:t>
            </w:r>
          </w:p>
        </w:tc>
      </w:tr>
      <w:tr w:rsidR="0058289E" w:rsidRPr="00A252BE" w14:paraId="40F34A35" w14:textId="77777777" w:rsidTr="0058289E">
        <w:tc>
          <w:tcPr>
            <w:tcW w:w="3005" w:type="dxa"/>
          </w:tcPr>
          <w:p w14:paraId="7CB3ED54" w14:textId="0CFBC290"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sz w:val="22"/>
                <w:szCs w:val="22"/>
              </w:rPr>
              <w:t>Screening</w:t>
            </w:r>
          </w:p>
        </w:tc>
        <w:tc>
          <w:tcPr>
            <w:tcW w:w="3005" w:type="dxa"/>
          </w:tcPr>
          <w:p w14:paraId="1DA4A621" w14:textId="51873836"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sz w:val="22"/>
                <w:szCs w:val="22"/>
              </w:rPr>
              <w:t>Title and abstract review</w:t>
            </w:r>
          </w:p>
        </w:tc>
        <w:tc>
          <w:tcPr>
            <w:tcW w:w="3006" w:type="dxa"/>
          </w:tcPr>
          <w:p w14:paraId="50860825" w14:textId="630683AD"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sz w:val="22"/>
                <w:szCs w:val="22"/>
              </w:rPr>
              <w:t>120</w:t>
            </w:r>
          </w:p>
        </w:tc>
      </w:tr>
      <w:tr w:rsidR="0058289E" w:rsidRPr="00A252BE" w14:paraId="084BE05B" w14:textId="77777777" w:rsidTr="0058289E">
        <w:tc>
          <w:tcPr>
            <w:tcW w:w="3005" w:type="dxa"/>
          </w:tcPr>
          <w:p w14:paraId="5072BA21" w14:textId="4E844EB7"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sz w:val="22"/>
                <w:szCs w:val="22"/>
              </w:rPr>
              <w:t>Eligibility</w:t>
            </w:r>
          </w:p>
        </w:tc>
        <w:tc>
          <w:tcPr>
            <w:tcW w:w="3005" w:type="dxa"/>
          </w:tcPr>
          <w:p w14:paraId="5C5B6CE3" w14:textId="1F19C6D4"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sz w:val="22"/>
                <w:szCs w:val="22"/>
              </w:rPr>
              <w:t>Full-text review</w:t>
            </w:r>
          </w:p>
        </w:tc>
        <w:tc>
          <w:tcPr>
            <w:tcW w:w="3006" w:type="dxa"/>
          </w:tcPr>
          <w:p w14:paraId="3A6D25B2" w14:textId="76CE229C" w:rsidR="0058289E" w:rsidRPr="00A252BE" w:rsidRDefault="0058289E" w:rsidP="00E0191D">
            <w:pPr>
              <w:spacing w:after="180"/>
              <w:jc w:val="both"/>
              <w:rPr>
                <w:rFonts w:ascii="Arial" w:eastAsia="Arial" w:hAnsi="Arial" w:cs="Arial"/>
                <w:sz w:val="22"/>
                <w:szCs w:val="22"/>
              </w:rPr>
            </w:pPr>
            <w:r w:rsidRPr="00A252BE">
              <w:rPr>
                <w:rFonts w:ascii="Arial" w:eastAsia="Arial" w:hAnsi="Arial" w:cs="Arial"/>
                <w:sz w:val="22"/>
                <w:szCs w:val="22"/>
              </w:rPr>
              <w:t>65</w:t>
            </w:r>
          </w:p>
        </w:tc>
      </w:tr>
      <w:tr w:rsidR="0058289E" w:rsidRPr="00A252BE" w14:paraId="3F6A50FF" w14:textId="77777777" w:rsidTr="0058289E">
        <w:tc>
          <w:tcPr>
            <w:tcW w:w="3005" w:type="dxa"/>
          </w:tcPr>
          <w:p w14:paraId="61EAA97F" w14:textId="1B991A49" w:rsidR="0058289E"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Included</w:t>
            </w:r>
          </w:p>
        </w:tc>
        <w:tc>
          <w:tcPr>
            <w:tcW w:w="3005" w:type="dxa"/>
          </w:tcPr>
          <w:p w14:paraId="02754DF3" w14:textId="11553A49" w:rsidR="0058289E"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Final sources used in analysis</w:t>
            </w:r>
          </w:p>
        </w:tc>
        <w:tc>
          <w:tcPr>
            <w:tcW w:w="3006" w:type="dxa"/>
          </w:tcPr>
          <w:p w14:paraId="693C0A76" w14:textId="42C889FD" w:rsidR="0058289E" w:rsidRPr="00A252BE" w:rsidRDefault="008856EA" w:rsidP="00E0191D">
            <w:pPr>
              <w:spacing w:after="180"/>
              <w:jc w:val="both"/>
              <w:rPr>
                <w:rFonts w:ascii="Arial" w:eastAsia="Arial" w:hAnsi="Arial" w:cs="Arial"/>
                <w:sz w:val="22"/>
                <w:szCs w:val="22"/>
              </w:rPr>
            </w:pPr>
            <w:r w:rsidRPr="00A252BE">
              <w:rPr>
                <w:rFonts w:ascii="Arial" w:eastAsia="Arial" w:hAnsi="Arial" w:cs="Arial"/>
                <w:sz w:val="22"/>
                <w:szCs w:val="22"/>
              </w:rPr>
              <w:t>35</w:t>
            </w:r>
          </w:p>
        </w:tc>
      </w:tr>
    </w:tbl>
    <w:p w14:paraId="6B5273B7" w14:textId="1FE03B95" w:rsidR="3A7CED5F" w:rsidRPr="00A252BE" w:rsidRDefault="3A7CED5F" w:rsidP="00E0191D">
      <w:pPr>
        <w:shd w:val="clear" w:color="auto" w:fill="FFFFFF" w:themeFill="background1"/>
        <w:spacing w:after="0"/>
        <w:jc w:val="both"/>
        <w:rPr>
          <w:rFonts w:ascii="Arial" w:eastAsia="Arial" w:hAnsi="Arial" w:cs="Arial"/>
          <w:sz w:val="22"/>
          <w:szCs w:val="22"/>
        </w:rPr>
      </w:pPr>
    </w:p>
    <w:p w14:paraId="59A9D2DF" w14:textId="4372520E" w:rsidR="71DBE16D"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Key Point:</w:t>
      </w:r>
    </w:p>
    <w:p w14:paraId="05B069C5" w14:textId="36524E09" w:rsidR="71DBE16D"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This staged process ensured that only relevant, high-quality sources were included, reducing bias and improving validity.</w:t>
      </w:r>
    </w:p>
    <w:p w14:paraId="3DCD5C24" w14:textId="77777777" w:rsidR="001E4889" w:rsidRPr="00A252BE" w:rsidRDefault="001E4889" w:rsidP="00E0191D">
      <w:pPr>
        <w:shd w:val="clear" w:color="auto" w:fill="FFFFFF" w:themeFill="background1"/>
        <w:spacing w:after="0"/>
        <w:jc w:val="both"/>
        <w:rPr>
          <w:rFonts w:ascii="Arial" w:eastAsia="Arial" w:hAnsi="Arial" w:cs="Arial"/>
          <w:sz w:val="22"/>
          <w:szCs w:val="22"/>
        </w:rPr>
      </w:pPr>
    </w:p>
    <w:p w14:paraId="44686A77" w14:textId="77777777" w:rsidR="009C6476" w:rsidRPr="00A252BE" w:rsidRDefault="009C6476" w:rsidP="00E0191D">
      <w:pPr>
        <w:shd w:val="clear" w:color="auto" w:fill="FFFFFF" w:themeFill="background1"/>
        <w:spacing w:after="0"/>
        <w:jc w:val="both"/>
        <w:rPr>
          <w:rFonts w:ascii="Arial" w:eastAsia="Arial" w:hAnsi="Arial" w:cs="Arial"/>
          <w:sz w:val="22"/>
          <w:szCs w:val="22"/>
        </w:rPr>
      </w:pPr>
    </w:p>
    <w:p w14:paraId="53CC903C" w14:textId="199D9709" w:rsidR="71DBE16D" w:rsidRPr="00A252BE" w:rsidRDefault="71DBE16D" w:rsidP="00E0191D">
      <w:pPr>
        <w:shd w:val="clear" w:color="auto" w:fill="FFFFFF" w:themeFill="background1"/>
        <w:spacing w:after="224"/>
        <w:jc w:val="both"/>
        <w:rPr>
          <w:rFonts w:ascii="Arial" w:eastAsia="Arial" w:hAnsi="Arial" w:cs="Arial"/>
          <w:b/>
          <w:bCs/>
          <w:sz w:val="22"/>
          <w:szCs w:val="22"/>
        </w:rPr>
      </w:pPr>
      <w:r w:rsidRPr="00A252BE">
        <w:rPr>
          <w:rFonts w:ascii="Arial" w:eastAsia="Arial" w:hAnsi="Arial" w:cs="Arial"/>
          <w:b/>
          <w:bCs/>
          <w:sz w:val="22"/>
          <w:szCs w:val="22"/>
        </w:rPr>
        <w:t>A</w:t>
      </w:r>
      <w:r w:rsidR="008157E8" w:rsidRPr="00A252BE">
        <w:rPr>
          <w:rFonts w:ascii="Arial" w:eastAsia="Arial" w:hAnsi="Arial" w:cs="Arial"/>
          <w:b/>
          <w:bCs/>
          <w:sz w:val="22"/>
          <w:szCs w:val="22"/>
        </w:rPr>
        <w:t>5.</w:t>
      </w:r>
      <w:r w:rsidRPr="00A252BE">
        <w:rPr>
          <w:rFonts w:ascii="Arial" w:eastAsia="Arial" w:hAnsi="Arial" w:cs="Arial"/>
          <w:b/>
          <w:bCs/>
          <w:sz w:val="22"/>
          <w:szCs w:val="22"/>
        </w:rPr>
        <w:t xml:space="preserve"> Inclusion and Exclusion Criteria Table</w:t>
      </w:r>
    </w:p>
    <w:tbl>
      <w:tblPr>
        <w:tblStyle w:val="TableGrid"/>
        <w:tblW w:w="0" w:type="auto"/>
        <w:tblLook w:val="04A0" w:firstRow="1" w:lastRow="0" w:firstColumn="1" w:lastColumn="0" w:noHBand="0" w:noVBand="1"/>
      </w:tblPr>
      <w:tblGrid>
        <w:gridCol w:w="3005"/>
        <w:gridCol w:w="3005"/>
        <w:gridCol w:w="3006"/>
      </w:tblGrid>
      <w:tr w:rsidR="006A4E59" w:rsidRPr="00A252BE" w14:paraId="4B63F4FB" w14:textId="77777777" w:rsidTr="006A4E59">
        <w:tc>
          <w:tcPr>
            <w:tcW w:w="3005" w:type="dxa"/>
          </w:tcPr>
          <w:p w14:paraId="431C36D2" w14:textId="2EEA6DB8"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b/>
                <w:bCs/>
                <w:sz w:val="22"/>
                <w:szCs w:val="22"/>
              </w:rPr>
              <w:t>Criteria Type</w:t>
            </w:r>
          </w:p>
        </w:tc>
        <w:tc>
          <w:tcPr>
            <w:tcW w:w="3005" w:type="dxa"/>
          </w:tcPr>
          <w:p w14:paraId="2C6FE5B7" w14:textId="0518551F"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b/>
                <w:bCs/>
                <w:sz w:val="22"/>
                <w:szCs w:val="22"/>
              </w:rPr>
              <w:t>Inclusion</w:t>
            </w:r>
          </w:p>
        </w:tc>
        <w:tc>
          <w:tcPr>
            <w:tcW w:w="3006" w:type="dxa"/>
          </w:tcPr>
          <w:p w14:paraId="5BCC65A3" w14:textId="55774733"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b/>
                <w:bCs/>
                <w:sz w:val="22"/>
                <w:szCs w:val="22"/>
              </w:rPr>
              <w:t>Exclusion</w:t>
            </w:r>
          </w:p>
        </w:tc>
      </w:tr>
      <w:tr w:rsidR="006A4E59" w:rsidRPr="00A252BE" w14:paraId="2EBCF600" w14:textId="77777777" w:rsidTr="006A4E59">
        <w:tc>
          <w:tcPr>
            <w:tcW w:w="3005" w:type="dxa"/>
          </w:tcPr>
          <w:p w14:paraId="54BA280F" w14:textId="72FBAF01"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Publication Type</w:t>
            </w:r>
          </w:p>
        </w:tc>
        <w:tc>
          <w:tcPr>
            <w:tcW w:w="3005" w:type="dxa"/>
          </w:tcPr>
          <w:p w14:paraId="049FB05A" w14:textId="056D4A95"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Peer-reviewed journals</w:t>
            </w:r>
          </w:p>
        </w:tc>
        <w:tc>
          <w:tcPr>
            <w:tcW w:w="3006" w:type="dxa"/>
          </w:tcPr>
          <w:p w14:paraId="7D3D2B8F" w14:textId="6090C480"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Blogs, opinion pieces</w:t>
            </w:r>
          </w:p>
        </w:tc>
      </w:tr>
      <w:tr w:rsidR="006A4E59" w:rsidRPr="00A252BE" w14:paraId="3FCB67ED" w14:textId="77777777" w:rsidTr="006A4E59">
        <w:tc>
          <w:tcPr>
            <w:tcW w:w="3005" w:type="dxa"/>
          </w:tcPr>
          <w:p w14:paraId="22362AF4" w14:textId="26C4224F"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Date Range</w:t>
            </w:r>
          </w:p>
        </w:tc>
        <w:tc>
          <w:tcPr>
            <w:tcW w:w="3005" w:type="dxa"/>
          </w:tcPr>
          <w:p w14:paraId="131A9B06" w14:textId="245F74F2"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2016-2026</w:t>
            </w:r>
          </w:p>
        </w:tc>
        <w:tc>
          <w:tcPr>
            <w:tcW w:w="3006" w:type="dxa"/>
          </w:tcPr>
          <w:p w14:paraId="7EB9FA7C" w14:textId="5934344B"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Older sources (unless seminal)</w:t>
            </w:r>
          </w:p>
        </w:tc>
      </w:tr>
      <w:tr w:rsidR="006A4E59" w:rsidRPr="00A252BE" w14:paraId="4F9BAC02" w14:textId="77777777" w:rsidTr="008F7F5D">
        <w:tc>
          <w:tcPr>
            <w:tcW w:w="3005" w:type="dxa"/>
          </w:tcPr>
          <w:p w14:paraId="795EB2C1" w14:textId="5BC155C5"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Population</w:t>
            </w:r>
          </w:p>
        </w:tc>
        <w:tc>
          <w:tcPr>
            <w:tcW w:w="3005" w:type="dxa"/>
          </w:tcPr>
          <w:p w14:paraId="40FC9724" w14:textId="0DFA12B6"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Adolescents (19 years)</w:t>
            </w:r>
          </w:p>
        </w:tc>
        <w:tc>
          <w:tcPr>
            <w:tcW w:w="3006" w:type="dxa"/>
            <w:vAlign w:val="center"/>
          </w:tcPr>
          <w:p w14:paraId="353F11D3" w14:textId="5F86FC61"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Adults/children outside range</w:t>
            </w:r>
          </w:p>
        </w:tc>
      </w:tr>
      <w:tr w:rsidR="006A4E59" w:rsidRPr="00A252BE" w14:paraId="3D654DAB" w14:textId="77777777" w:rsidTr="006A4E59">
        <w:tc>
          <w:tcPr>
            <w:tcW w:w="3005" w:type="dxa"/>
          </w:tcPr>
          <w:p w14:paraId="2222B932" w14:textId="05B0872C"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Topic</w:t>
            </w:r>
          </w:p>
        </w:tc>
        <w:tc>
          <w:tcPr>
            <w:tcW w:w="3005" w:type="dxa"/>
          </w:tcPr>
          <w:p w14:paraId="29277F4B" w14:textId="58373337"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Social support and anxiety</w:t>
            </w:r>
          </w:p>
        </w:tc>
        <w:tc>
          <w:tcPr>
            <w:tcW w:w="3006" w:type="dxa"/>
          </w:tcPr>
          <w:p w14:paraId="6B4B28B3" w14:textId="71CB6C54"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Irrelevant mental health topics</w:t>
            </w:r>
          </w:p>
        </w:tc>
      </w:tr>
      <w:tr w:rsidR="006A4E59" w:rsidRPr="00A252BE" w14:paraId="6B8EA139" w14:textId="77777777" w:rsidTr="006A4E59">
        <w:tc>
          <w:tcPr>
            <w:tcW w:w="3005" w:type="dxa"/>
          </w:tcPr>
          <w:p w14:paraId="72616FA9" w14:textId="4F2DA1CE"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Language</w:t>
            </w:r>
          </w:p>
        </w:tc>
        <w:tc>
          <w:tcPr>
            <w:tcW w:w="3005" w:type="dxa"/>
          </w:tcPr>
          <w:p w14:paraId="1F059EBB" w14:textId="49799212"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English</w:t>
            </w:r>
          </w:p>
        </w:tc>
        <w:tc>
          <w:tcPr>
            <w:tcW w:w="3006" w:type="dxa"/>
          </w:tcPr>
          <w:p w14:paraId="35A73AFC" w14:textId="56A54E2C"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Non-English</w:t>
            </w:r>
          </w:p>
        </w:tc>
      </w:tr>
    </w:tbl>
    <w:p w14:paraId="00F8BD1E" w14:textId="3865B21A" w:rsidR="71DBE16D" w:rsidRPr="00A252BE" w:rsidRDefault="71DBE16D" w:rsidP="00E0191D">
      <w:pPr>
        <w:shd w:val="clear" w:color="auto" w:fill="FFFFFF" w:themeFill="background1"/>
        <w:spacing w:after="0"/>
        <w:jc w:val="both"/>
        <w:rPr>
          <w:rFonts w:ascii="Arial" w:eastAsia="Arial" w:hAnsi="Arial" w:cs="Arial"/>
          <w:sz w:val="22"/>
          <w:szCs w:val="22"/>
        </w:rPr>
      </w:pPr>
      <w:r w:rsidRPr="00A252BE">
        <w:rPr>
          <w:rFonts w:ascii="Arial" w:eastAsia="Arial" w:hAnsi="Arial" w:cs="Arial"/>
          <w:sz w:val="22"/>
          <w:szCs w:val="22"/>
        </w:rPr>
        <w:t>Critical Note:</w:t>
      </w:r>
    </w:p>
    <w:p w14:paraId="60FEDF12" w14:textId="7733F5A2" w:rsidR="00E47879"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While these criteria enhance quality, they may limit cultural diversity and introduce selection bias.</w:t>
      </w:r>
    </w:p>
    <w:p w14:paraId="23D25447" w14:textId="2769EC36" w:rsidR="71DBE16D" w:rsidRPr="00A252BE" w:rsidRDefault="71DBE16D" w:rsidP="00E0191D">
      <w:pPr>
        <w:shd w:val="clear" w:color="auto" w:fill="FFFFFF" w:themeFill="background1"/>
        <w:spacing w:after="224"/>
        <w:jc w:val="both"/>
        <w:rPr>
          <w:rFonts w:ascii="Arial" w:eastAsia="Arial" w:hAnsi="Arial" w:cs="Arial"/>
          <w:b/>
          <w:bCs/>
          <w:sz w:val="22"/>
          <w:szCs w:val="22"/>
        </w:rPr>
      </w:pPr>
      <w:r w:rsidRPr="00A252BE">
        <w:rPr>
          <w:rFonts w:ascii="Arial" w:eastAsia="Arial" w:hAnsi="Arial" w:cs="Arial"/>
          <w:b/>
          <w:bCs/>
          <w:sz w:val="22"/>
          <w:szCs w:val="22"/>
        </w:rPr>
        <w:t>A</w:t>
      </w:r>
      <w:r w:rsidR="008157E8" w:rsidRPr="00A252BE">
        <w:rPr>
          <w:rFonts w:ascii="Arial" w:eastAsia="Arial" w:hAnsi="Arial" w:cs="Arial"/>
          <w:b/>
          <w:bCs/>
          <w:sz w:val="22"/>
          <w:szCs w:val="22"/>
        </w:rPr>
        <w:t>6</w:t>
      </w:r>
      <w:r w:rsidRPr="00A252BE">
        <w:rPr>
          <w:rFonts w:ascii="Arial" w:eastAsia="Arial" w:hAnsi="Arial" w:cs="Arial"/>
          <w:b/>
          <w:bCs/>
          <w:sz w:val="22"/>
          <w:szCs w:val="22"/>
        </w:rPr>
        <w:t>. Source Evaluation (CRAAP Test Example)</w:t>
      </w:r>
    </w:p>
    <w:tbl>
      <w:tblPr>
        <w:tblStyle w:val="TableGrid"/>
        <w:tblW w:w="9016" w:type="dxa"/>
        <w:tblLook w:val="04A0" w:firstRow="1" w:lastRow="0" w:firstColumn="1" w:lastColumn="0" w:noHBand="0" w:noVBand="1"/>
      </w:tblPr>
      <w:tblGrid>
        <w:gridCol w:w="4508"/>
        <w:gridCol w:w="4508"/>
      </w:tblGrid>
      <w:tr w:rsidR="00112766" w:rsidRPr="00A252BE" w14:paraId="65025C36" w14:textId="77777777" w:rsidTr="00117064">
        <w:tc>
          <w:tcPr>
            <w:tcW w:w="4508" w:type="dxa"/>
          </w:tcPr>
          <w:p w14:paraId="535A8D88" w14:textId="49AFCF5E" w:rsidR="00112766" w:rsidRPr="00A252BE" w:rsidRDefault="00112766" w:rsidP="00E0191D">
            <w:pPr>
              <w:spacing w:after="224"/>
              <w:jc w:val="both"/>
              <w:rPr>
                <w:rFonts w:ascii="Arial" w:eastAsia="Arial" w:hAnsi="Arial" w:cs="Arial"/>
                <w:b/>
                <w:bCs/>
                <w:sz w:val="22"/>
                <w:szCs w:val="22"/>
              </w:rPr>
            </w:pPr>
            <w:r w:rsidRPr="00A252BE">
              <w:rPr>
                <w:rFonts w:ascii="Arial" w:eastAsia="Arial" w:hAnsi="Arial" w:cs="Arial"/>
                <w:b/>
                <w:bCs/>
                <w:sz w:val="22"/>
                <w:szCs w:val="22"/>
              </w:rPr>
              <w:t>Criteria</w:t>
            </w:r>
          </w:p>
        </w:tc>
        <w:tc>
          <w:tcPr>
            <w:tcW w:w="4508" w:type="dxa"/>
          </w:tcPr>
          <w:p w14:paraId="53F47A3D" w14:textId="0CE2BFF7" w:rsidR="00112766" w:rsidRPr="00A252BE" w:rsidRDefault="00112766" w:rsidP="00E0191D">
            <w:pPr>
              <w:spacing w:after="224"/>
              <w:jc w:val="both"/>
              <w:rPr>
                <w:rFonts w:ascii="Arial" w:eastAsia="Arial" w:hAnsi="Arial" w:cs="Arial"/>
                <w:b/>
                <w:bCs/>
                <w:sz w:val="22"/>
                <w:szCs w:val="22"/>
              </w:rPr>
            </w:pPr>
            <w:r w:rsidRPr="00A252BE">
              <w:rPr>
                <w:rFonts w:ascii="Arial" w:eastAsia="Arial" w:hAnsi="Arial" w:cs="Arial"/>
                <w:b/>
                <w:bCs/>
                <w:sz w:val="22"/>
                <w:szCs w:val="22"/>
              </w:rPr>
              <w:t>Example Evaluation</w:t>
            </w:r>
          </w:p>
        </w:tc>
      </w:tr>
      <w:tr w:rsidR="00112766" w:rsidRPr="00A252BE" w14:paraId="274FDCA7" w14:textId="77777777" w:rsidTr="00117064">
        <w:tc>
          <w:tcPr>
            <w:tcW w:w="4508" w:type="dxa"/>
          </w:tcPr>
          <w:p w14:paraId="26986C98" w14:textId="0BA261B0" w:rsidR="00112766" w:rsidRPr="00A252BE" w:rsidRDefault="00112766" w:rsidP="00E0191D">
            <w:pPr>
              <w:spacing w:after="224"/>
              <w:jc w:val="both"/>
              <w:rPr>
                <w:rFonts w:ascii="Arial" w:eastAsia="Arial" w:hAnsi="Arial" w:cs="Arial"/>
                <w:b/>
                <w:bCs/>
                <w:sz w:val="22"/>
                <w:szCs w:val="22"/>
              </w:rPr>
            </w:pPr>
            <w:r w:rsidRPr="00A252BE">
              <w:rPr>
                <w:rFonts w:ascii="Arial" w:eastAsia="Arial" w:hAnsi="Arial" w:cs="Arial"/>
                <w:sz w:val="22"/>
                <w:szCs w:val="22"/>
              </w:rPr>
              <w:t>Currency</w:t>
            </w:r>
          </w:p>
        </w:tc>
        <w:tc>
          <w:tcPr>
            <w:tcW w:w="4508" w:type="dxa"/>
            <w:vAlign w:val="center"/>
          </w:tcPr>
          <w:p w14:paraId="408AC90D" w14:textId="7E582DF5" w:rsidR="00112766" w:rsidRPr="00A252BE" w:rsidRDefault="00112766" w:rsidP="00E0191D">
            <w:pPr>
              <w:spacing w:after="224"/>
              <w:jc w:val="both"/>
              <w:rPr>
                <w:rFonts w:ascii="Arial" w:eastAsia="Arial" w:hAnsi="Arial" w:cs="Arial"/>
                <w:b/>
                <w:bCs/>
                <w:sz w:val="22"/>
                <w:szCs w:val="22"/>
              </w:rPr>
            </w:pPr>
            <w:r w:rsidRPr="00A252BE">
              <w:rPr>
                <w:rFonts w:ascii="Arial" w:eastAsia="Arial" w:hAnsi="Arial" w:cs="Arial"/>
                <w:sz w:val="22"/>
                <w:szCs w:val="22"/>
              </w:rPr>
              <w:t>Published within last 10 years</w:t>
            </w:r>
          </w:p>
        </w:tc>
      </w:tr>
      <w:tr w:rsidR="00112766" w:rsidRPr="00A252BE" w14:paraId="5843316C" w14:textId="77777777" w:rsidTr="00117064">
        <w:tc>
          <w:tcPr>
            <w:tcW w:w="4508" w:type="dxa"/>
          </w:tcPr>
          <w:p w14:paraId="3DD0BFD8" w14:textId="53E50089" w:rsidR="00112766" w:rsidRPr="00A252BE" w:rsidRDefault="00112766" w:rsidP="00E0191D">
            <w:pPr>
              <w:spacing w:after="224"/>
              <w:jc w:val="both"/>
              <w:rPr>
                <w:rFonts w:ascii="Arial" w:eastAsia="Arial" w:hAnsi="Arial" w:cs="Arial"/>
                <w:b/>
                <w:bCs/>
                <w:sz w:val="22"/>
                <w:szCs w:val="22"/>
              </w:rPr>
            </w:pPr>
            <w:r w:rsidRPr="00A252BE">
              <w:rPr>
                <w:rFonts w:ascii="Arial" w:eastAsia="Arial" w:hAnsi="Arial" w:cs="Arial"/>
                <w:sz w:val="22"/>
                <w:szCs w:val="22"/>
              </w:rPr>
              <w:t>Relevance</w:t>
            </w:r>
          </w:p>
        </w:tc>
        <w:tc>
          <w:tcPr>
            <w:tcW w:w="4508" w:type="dxa"/>
          </w:tcPr>
          <w:p w14:paraId="0C5C9EC2" w14:textId="09E003C8" w:rsidR="00112766"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Direct focus on adolescent anxiety</w:t>
            </w:r>
          </w:p>
        </w:tc>
      </w:tr>
      <w:tr w:rsidR="00112766" w:rsidRPr="00A252BE" w14:paraId="24B2962B" w14:textId="77777777" w:rsidTr="00117064">
        <w:tc>
          <w:tcPr>
            <w:tcW w:w="4508" w:type="dxa"/>
          </w:tcPr>
          <w:p w14:paraId="24CBD7E0" w14:textId="2FB913D8" w:rsidR="00112766" w:rsidRPr="00A252BE" w:rsidRDefault="00112766" w:rsidP="00E0191D">
            <w:pPr>
              <w:spacing w:after="224"/>
              <w:jc w:val="both"/>
              <w:rPr>
                <w:rFonts w:ascii="Arial" w:eastAsia="Arial" w:hAnsi="Arial" w:cs="Arial"/>
                <w:b/>
                <w:bCs/>
                <w:sz w:val="22"/>
                <w:szCs w:val="22"/>
              </w:rPr>
            </w:pPr>
            <w:r w:rsidRPr="00A252BE">
              <w:rPr>
                <w:rFonts w:ascii="Arial" w:eastAsia="Arial" w:hAnsi="Arial" w:cs="Arial"/>
                <w:sz w:val="22"/>
                <w:szCs w:val="22"/>
              </w:rPr>
              <w:t>Authority</w:t>
            </w:r>
          </w:p>
        </w:tc>
        <w:tc>
          <w:tcPr>
            <w:tcW w:w="4508" w:type="dxa"/>
          </w:tcPr>
          <w:p w14:paraId="3B256579" w14:textId="50EE52E4" w:rsidR="00112766"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Peer-reviewed journal, expert authors</w:t>
            </w:r>
          </w:p>
        </w:tc>
      </w:tr>
      <w:tr w:rsidR="00117064" w:rsidRPr="00A252BE" w14:paraId="3CC75E6D" w14:textId="78D2A8C7" w:rsidTr="00117064">
        <w:tc>
          <w:tcPr>
            <w:tcW w:w="4508" w:type="dxa"/>
          </w:tcPr>
          <w:p w14:paraId="7237C6D6" w14:textId="6663646A" w:rsidR="00117064" w:rsidRPr="00A252BE" w:rsidRDefault="00117064" w:rsidP="00E0191D">
            <w:pPr>
              <w:spacing w:after="224"/>
              <w:jc w:val="both"/>
              <w:rPr>
                <w:rFonts w:ascii="Arial" w:eastAsia="Arial" w:hAnsi="Arial" w:cs="Arial"/>
                <w:b/>
                <w:bCs/>
                <w:sz w:val="22"/>
                <w:szCs w:val="22"/>
              </w:rPr>
            </w:pPr>
            <w:r w:rsidRPr="00A252BE">
              <w:rPr>
                <w:rFonts w:ascii="Arial" w:eastAsia="Arial" w:hAnsi="Arial" w:cs="Arial"/>
                <w:sz w:val="22"/>
                <w:szCs w:val="22"/>
              </w:rPr>
              <w:t>Accuracy</w:t>
            </w:r>
          </w:p>
        </w:tc>
        <w:tc>
          <w:tcPr>
            <w:tcW w:w="4508" w:type="dxa"/>
            <w:vAlign w:val="center"/>
          </w:tcPr>
          <w:p w14:paraId="60D3EA10" w14:textId="64C43472" w:rsidR="00117064" w:rsidRPr="00A252BE" w:rsidRDefault="00117064" w:rsidP="00E0191D">
            <w:pPr>
              <w:spacing w:after="224"/>
              <w:jc w:val="both"/>
              <w:rPr>
                <w:rFonts w:ascii="Arial" w:eastAsia="Arial" w:hAnsi="Arial" w:cs="Arial"/>
                <w:b/>
                <w:bCs/>
                <w:sz w:val="22"/>
                <w:szCs w:val="22"/>
              </w:rPr>
            </w:pPr>
            <w:r w:rsidRPr="00A252BE">
              <w:rPr>
                <w:rFonts w:ascii="Arial" w:eastAsia="Arial" w:hAnsi="Arial" w:cs="Arial"/>
                <w:sz w:val="22"/>
                <w:szCs w:val="22"/>
              </w:rPr>
              <w:t>Evidence-based, references</w:t>
            </w:r>
          </w:p>
        </w:tc>
      </w:tr>
      <w:tr w:rsidR="006A4E59" w:rsidRPr="00A252BE" w14:paraId="147949BA" w14:textId="77777777" w:rsidTr="00117064">
        <w:tc>
          <w:tcPr>
            <w:tcW w:w="4508" w:type="dxa"/>
          </w:tcPr>
          <w:p w14:paraId="477E43AE" w14:textId="4BD46D96"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Purpose</w:t>
            </w:r>
          </w:p>
        </w:tc>
        <w:tc>
          <w:tcPr>
            <w:tcW w:w="4508" w:type="dxa"/>
          </w:tcPr>
          <w:p w14:paraId="51F73A02" w14:textId="2D3F8DA7" w:rsidR="006A4E59" w:rsidRPr="00A252BE" w:rsidRDefault="006A4E59" w:rsidP="00E0191D">
            <w:pPr>
              <w:spacing w:after="224"/>
              <w:jc w:val="both"/>
              <w:rPr>
                <w:rFonts w:ascii="Arial" w:eastAsia="Arial" w:hAnsi="Arial" w:cs="Arial"/>
                <w:b/>
                <w:bCs/>
                <w:sz w:val="22"/>
                <w:szCs w:val="22"/>
              </w:rPr>
            </w:pPr>
            <w:r w:rsidRPr="00A252BE">
              <w:rPr>
                <w:rFonts w:ascii="Arial" w:eastAsia="Arial" w:hAnsi="Arial" w:cs="Arial"/>
                <w:sz w:val="22"/>
                <w:szCs w:val="22"/>
              </w:rPr>
              <w:t>Academic research (not opinion)</w:t>
            </w:r>
          </w:p>
        </w:tc>
      </w:tr>
    </w:tbl>
    <w:p w14:paraId="2AD835E7" w14:textId="77777777" w:rsidR="00C82B07" w:rsidRDefault="00C82B07" w:rsidP="00E0191D">
      <w:pPr>
        <w:shd w:val="clear" w:color="auto" w:fill="FFFFFF" w:themeFill="background1"/>
        <w:spacing w:after="224"/>
        <w:jc w:val="both"/>
        <w:rPr>
          <w:rFonts w:ascii="Arial" w:eastAsia="Arial" w:hAnsi="Arial" w:cs="Arial"/>
          <w:b/>
          <w:bCs/>
          <w:sz w:val="22"/>
          <w:szCs w:val="22"/>
        </w:rPr>
      </w:pPr>
    </w:p>
    <w:p w14:paraId="3ED78569" w14:textId="77777777" w:rsidR="00856619" w:rsidRDefault="00856619" w:rsidP="00E0191D">
      <w:pPr>
        <w:shd w:val="clear" w:color="auto" w:fill="FFFFFF" w:themeFill="background1"/>
        <w:spacing w:after="224"/>
        <w:jc w:val="both"/>
        <w:rPr>
          <w:rFonts w:ascii="Arial" w:eastAsia="Arial" w:hAnsi="Arial" w:cs="Arial"/>
          <w:b/>
          <w:bCs/>
          <w:sz w:val="22"/>
          <w:szCs w:val="22"/>
        </w:rPr>
      </w:pPr>
    </w:p>
    <w:p w14:paraId="611B4EBA" w14:textId="77777777" w:rsidR="00856619" w:rsidRDefault="00856619" w:rsidP="00E0191D">
      <w:pPr>
        <w:shd w:val="clear" w:color="auto" w:fill="FFFFFF" w:themeFill="background1"/>
        <w:spacing w:after="224"/>
        <w:jc w:val="both"/>
        <w:rPr>
          <w:rFonts w:ascii="Arial" w:eastAsia="Arial" w:hAnsi="Arial" w:cs="Arial"/>
          <w:b/>
          <w:bCs/>
          <w:sz w:val="22"/>
          <w:szCs w:val="22"/>
        </w:rPr>
      </w:pPr>
    </w:p>
    <w:p w14:paraId="208E9C59" w14:textId="77777777" w:rsidR="00856619" w:rsidRDefault="00856619" w:rsidP="00E0191D">
      <w:pPr>
        <w:shd w:val="clear" w:color="auto" w:fill="FFFFFF" w:themeFill="background1"/>
        <w:spacing w:after="224"/>
        <w:jc w:val="both"/>
        <w:rPr>
          <w:rFonts w:ascii="Arial" w:eastAsia="Arial" w:hAnsi="Arial" w:cs="Arial"/>
          <w:b/>
          <w:bCs/>
          <w:sz w:val="22"/>
          <w:szCs w:val="22"/>
        </w:rPr>
      </w:pPr>
    </w:p>
    <w:p w14:paraId="121AE9D6" w14:textId="77777777" w:rsidR="00856619" w:rsidRDefault="00856619" w:rsidP="00E0191D">
      <w:pPr>
        <w:shd w:val="clear" w:color="auto" w:fill="FFFFFF" w:themeFill="background1"/>
        <w:spacing w:after="224"/>
        <w:jc w:val="both"/>
        <w:rPr>
          <w:rFonts w:ascii="Arial" w:eastAsia="Arial" w:hAnsi="Arial" w:cs="Arial"/>
          <w:b/>
          <w:bCs/>
          <w:sz w:val="22"/>
          <w:szCs w:val="22"/>
        </w:rPr>
      </w:pPr>
    </w:p>
    <w:p w14:paraId="0A4708D5" w14:textId="77777777" w:rsidR="00856619" w:rsidRDefault="00856619" w:rsidP="00E0191D">
      <w:pPr>
        <w:shd w:val="clear" w:color="auto" w:fill="FFFFFF" w:themeFill="background1"/>
        <w:spacing w:after="224"/>
        <w:jc w:val="both"/>
        <w:rPr>
          <w:rFonts w:ascii="Arial" w:eastAsia="Arial" w:hAnsi="Arial" w:cs="Arial"/>
          <w:b/>
          <w:bCs/>
          <w:sz w:val="22"/>
          <w:szCs w:val="22"/>
        </w:rPr>
      </w:pPr>
    </w:p>
    <w:p w14:paraId="143F5456" w14:textId="77777777" w:rsidR="00856619" w:rsidRDefault="00856619" w:rsidP="00E0191D">
      <w:pPr>
        <w:shd w:val="clear" w:color="auto" w:fill="FFFFFF" w:themeFill="background1"/>
        <w:spacing w:after="224"/>
        <w:jc w:val="both"/>
        <w:rPr>
          <w:rFonts w:ascii="Arial" w:eastAsia="Arial" w:hAnsi="Arial" w:cs="Arial"/>
          <w:b/>
          <w:bCs/>
          <w:sz w:val="22"/>
          <w:szCs w:val="22"/>
        </w:rPr>
      </w:pPr>
    </w:p>
    <w:p w14:paraId="15B67104" w14:textId="77777777" w:rsidR="00856619" w:rsidRDefault="00856619" w:rsidP="00E0191D">
      <w:pPr>
        <w:shd w:val="clear" w:color="auto" w:fill="FFFFFF" w:themeFill="background1"/>
        <w:spacing w:after="224"/>
        <w:jc w:val="both"/>
        <w:rPr>
          <w:rFonts w:ascii="Arial" w:eastAsia="Arial" w:hAnsi="Arial" w:cs="Arial"/>
          <w:b/>
          <w:bCs/>
          <w:sz w:val="22"/>
          <w:szCs w:val="22"/>
        </w:rPr>
      </w:pPr>
    </w:p>
    <w:p w14:paraId="74075BFE" w14:textId="77777777" w:rsidR="00856619" w:rsidRDefault="00856619" w:rsidP="00E0191D">
      <w:pPr>
        <w:shd w:val="clear" w:color="auto" w:fill="FFFFFF" w:themeFill="background1"/>
        <w:spacing w:after="224"/>
        <w:jc w:val="both"/>
        <w:rPr>
          <w:rFonts w:ascii="Arial" w:eastAsia="Arial" w:hAnsi="Arial" w:cs="Arial"/>
          <w:b/>
          <w:bCs/>
          <w:sz w:val="22"/>
          <w:szCs w:val="22"/>
        </w:rPr>
      </w:pPr>
    </w:p>
    <w:p w14:paraId="30F4C179" w14:textId="74E5B185" w:rsidR="00027496" w:rsidRPr="00A252BE" w:rsidRDefault="71DBE16D" w:rsidP="00E0191D">
      <w:pPr>
        <w:shd w:val="clear" w:color="auto" w:fill="FFFFFF" w:themeFill="background1"/>
        <w:spacing w:after="224"/>
        <w:jc w:val="both"/>
        <w:rPr>
          <w:rFonts w:ascii="Arial" w:eastAsia="Arial" w:hAnsi="Arial" w:cs="Arial"/>
          <w:b/>
          <w:bCs/>
          <w:sz w:val="22"/>
          <w:szCs w:val="22"/>
        </w:rPr>
      </w:pPr>
      <w:r w:rsidRPr="00A252BE">
        <w:rPr>
          <w:rFonts w:ascii="Arial" w:eastAsia="Arial" w:hAnsi="Arial" w:cs="Arial"/>
          <w:b/>
          <w:bCs/>
          <w:sz w:val="22"/>
          <w:szCs w:val="22"/>
        </w:rPr>
        <w:lastRenderedPageBreak/>
        <w:t>A</w:t>
      </w:r>
      <w:r w:rsidR="008157E8" w:rsidRPr="00A252BE">
        <w:rPr>
          <w:rFonts w:ascii="Arial" w:eastAsia="Arial" w:hAnsi="Arial" w:cs="Arial"/>
          <w:b/>
          <w:bCs/>
          <w:sz w:val="22"/>
          <w:szCs w:val="22"/>
        </w:rPr>
        <w:t>7</w:t>
      </w:r>
      <w:r w:rsidRPr="00A252BE">
        <w:rPr>
          <w:rFonts w:ascii="Arial" w:eastAsia="Arial" w:hAnsi="Arial" w:cs="Arial"/>
          <w:b/>
          <w:bCs/>
          <w:sz w:val="22"/>
          <w:szCs w:val="22"/>
        </w:rPr>
        <w:t>. Data Extraction Table (Sample)</w:t>
      </w:r>
    </w:p>
    <w:tbl>
      <w:tblPr>
        <w:tblStyle w:val="TableGrid"/>
        <w:tblW w:w="0" w:type="auto"/>
        <w:tblLook w:val="04A0" w:firstRow="1" w:lastRow="0" w:firstColumn="1" w:lastColumn="0" w:noHBand="0" w:noVBand="1"/>
      </w:tblPr>
      <w:tblGrid>
        <w:gridCol w:w="1490"/>
        <w:gridCol w:w="1474"/>
        <w:gridCol w:w="1481"/>
        <w:gridCol w:w="1585"/>
        <w:gridCol w:w="1490"/>
        <w:gridCol w:w="1496"/>
      </w:tblGrid>
      <w:tr w:rsidR="00487A1C" w:rsidRPr="00A252BE" w14:paraId="32B4700F" w14:textId="77777777" w:rsidTr="00B87B39">
        <w:tc>
          <w:tcPr>
            <w:tcW w:w="1490" w:type="dxa"/>
          </w:tcPr>
          <w:p w14:paraId="4C2426A2"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b/>
                <w:bCs/>
                <w:sz w:val="22"/>
                <w:szCs w:val="22"/>
              </w:rPr>
              <w:t>Author</w:t>
            </w:r>
          </w:p>
        </w:tc>
        <w:tc>
          <w:tcPr>
            <w:tcW w:w="1474" w:type="dxa"/>
          </w:tcPr>
          <w:p w14:paraId="21EB02A0"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b/>
                <w:bCs/>
                <w:sz w:val="22"/>
                <w:szCs w:val="22"/>
              </w:rPr>
              <w:t>Year</w:t>
            </w:r>
          </w:p>
        </w:tc>
        <w:tc>
          <w:tcPr>
            <w:tcW w:w="1481" w:type="dxa"/>
          </w:tcPr>
          <w:p w14:paraId="4FD06B92"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b/>
                <w:bCs/>
                <w:sz w:val="22"/>
                <w:szCs w:val="22"/>
              </w:rPr>
              <w:t>Study Focus</w:t>
            </w:r>
          </w:p>
        </w:tc>
        <w:tc>
          <w:tcPr>
            <w:tcW w:w="1585" w:type="dxa"/>
          </w:tcPr>
          <w:p w14:paraId="09BBA9C4"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b/>
                <w:bCs/>
                <w:sz w:val="22"/>
                <w:szCs w:val="22"/>
              </w:rPr>
              <w:t>Methodology</w:t>
            </w:r>
          </w:p>
        </w:tc>
        <w:tc>
          <w:tcPr>
            <w:tcW w:w="1490" w:type="dxa"/>
          </w:tcPr>
          <w:p w14:paraId="7F6C82FD"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b/>
                <w:bCs/>
                <w:sz w:val="22"/>
                <w:szCs w:val="22"/>
              </w:rPr>
              <w:t>Key Findings</w:t>
            </w:r>
          </w:p>
        </w:tc>
        <w:tc>
          <w:tcPr>
            <w:tcW w:w="1496" w:type="dxa"/>
          </w:tcPr>
          <w:p w14:paraId="00EA2C5C"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b/>
                <w:bCs/>
                <w:sz w:val="22"/>
                <w:szCs w:val="22"/>
              </w:rPr>
              <w:t>Relevance</w:t>
            </w:r>
          </w:p>
        </w:tc>
      </w:tr>
      <w:tr w:rsidR="00487A1C" w:rsidRPr="00A252BE" w14:paraId="5074E73F" w14:textId="77777777" w:rsidTr="00B87B39">
        <w:tc>
          <w:tcPr>
            <w:tcW w:w="1490" w:type="dxa"/>
          </w:tcPr>
          <w:p w14:paraId="4F3BB07D"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Rueger et al.</w:t>
            </w:r>
          </w:p>
        </w:tc>
        <w:tc>
          <w:tcPr>
            <w:tcW w:w="1474" w:type="dxa"/>
          </w:tcPr>
          <w:p w14:paraId="3FEE83DD"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2016</w:t>
            </w:r>
          </w:p>
        </w:tc>
        <w:tc>
          <w:tcPr>
            <w:tcW w:w="1481" w:type="dxa"/>
          </w:tcPr>
          <w:p w14:paraId="3C458C5A"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Social support in adolescents</w:t>
            </w:r>
          </w:p>
        </w:tc>
        <w:tc>
          <w:tcPr>
            <w:tcW w:w="1585" w:type="dxa"/>
          </w:tcPr>
          <w:p w14:paraId="53263515"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Meta-analysis</w:t>
            </w:r>
          </w:p>
        </w:tc>
        <w:tc>
          <w:tcPr>
            <w:tcW w:w="1490" w:type="dxa"/>
          </w:tcPr>
          <w:p w14:paraId="7BCF3F0A"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Peer support improves outcomes</w:t>
            </w:r>
          </w:p>
        </w:tc>
        <w:tc>
          <w:tcPr>
            <w:tcW w:w="1496" w:type="dxa"/>
          </w:tcPr>
          <w:p w14:paraId="58B26FB9"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High</w:t>
            </w:r>
          </w:p>
        </w:tc>
      </w:tr>
      <w:tr w:rsidR="00487A1C" w:rsidRPr="00A252BE" w14:paraId="297F8F29" w14:textId="77777777" w:rsidTr="00B87B39">
        <w:tc>
          <w:tcPr>
            <w:tcW w:w="1490" w:type="dxa"/>
          </w:tcPr>
          <w:p w14:paraId="2FD829F7"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Spence</w:t>
            </w:r>
          </w:p>
        </w:tc>
        <w:tc>
          <w:tcPr>
            <w:tcW w:w="1474" w:type="dxa"/>
          </w:tcPr>
          <w:p w14:paraId="12CEA68D"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2019</w:t>
            </w:r>
          </w:p>
        </w:tc>
        <w:tc>
          <w:tcPr>
            <w:tcW w:w="1481" w:type="dxa"/>
          </w:tcPr>
          <w:p w14:paraId="1CD81D15"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CBT + support</w:t>
            </w:r>
          </w:p>
        </w:tc>
        <w:tc>
          <w:tcPr>
            <w:tcW w:w="1585" w:type="dxa"/>
          </w:tcPr>
          <w:p w14:paraId="29E06866"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Experimental</w:t>
            </w:r>
          </w:p>
        </w:tc>
        <w:tc>
          <w:tcPr>
            <w:tcW w:w="1490" w:type="dxa"/>
          </w:tcPr>
          <w:p w14:paraId="2111EC9F"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Support enhances treatment</w:t>
            </w:r>
          </w:p>
        </w:tc>
        <w:tc>
          <w:tcPr>
            <w:tcW w:w="1496" w:type="dxa"/>
          </w:tcPr>
          <w:p w14:paraId="47AF41E3"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High</w:t>
            </w:r>
          </w:p>
        </w:tc>
      </w:tr>
      <w:tr w:rsidR="00487A1C" w:rsidRPr="00A252BE" w14:paraId="70AC5D93" w14:textId="77777777" w:rsidTr="00B87B39">
        <w:tc>
          <w:tcPr>
            <w:tcW w:w="1490" w:type="dxa"/>
          </w:tcPr>
          <w:p w14:paraId="1DA3EEBD"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Bosmans et al.</w:t>
            </w:r>
          </w:p>
        </w:tc>
        <w:tc>
          <w:tcPr>
            <w:tcW w:w="1474" w:type="dxa"/>
          </w:tcPr>
          <w:p w14:paraId="350A9025"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2015</w:t>
            </w:r>
          </w:p>
        </w:tc>
        <w:tc>
          <w:tcPr>
            <w:tcW w:w="1481" w:type="dxa"/>
          </w:tcPr>
          <w:p w14:paraId="714899DB"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Attachment + CBT</w:t>
            </w:r>
          </w:p>
        </w:tc>
        <w:tc>
          <w:tcPr>
            <w:tcW w:w="1585" w:type="dxa"/>
          </w:tcPr>
          <w:p w14:paraId="09434C2A"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 xml:space="preserve"> Review</w:t>
            </w:r>
          </w:p>
        </w:tc>
        <w:tc>
          <w:tcPr>
            <w:tcW w:w="1490" w:type="dxa"/>
          </w:tcPr>
          <w:p w14:paraId="75CDA66B"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Integration improves outcomes</w:t>
            </w:r>
          </w:p>
        </w:tc>
        <w:tc>
          <w:tcPr>
            <w:tcW w:w="1496" w:type="dxa"/>
          </w:tcPr>
          <w:p w14:paraId="6D765BCB" w14:textId="77777777" w:rsidR="00487A1C" w:rsidRPr="00A252BE" w:rsidRDefault="00487A1C" w:rsidP="00E0191D">
            <w:pPr>
              <w:spacing w:after="180"/>
              <w:jc w:val="both"/>
              <w:rPr>
                <w:rFonts w:ascii="Arial" w:eastAsia="Arial" w:hAnsi="Arial" w:cs="Arial"/>
                <w:sz w:val="22"/>
                <w:szCs w:val="22"/>
              </w:rPr>
            </w:pPr>
            <w:r w:rsidRPr="00A252BE">
              <w:rPr>
                <w:rFonts w:ascii="Arial" w:eastAsia="Arial" w:hAnsi="Arial" w:cs="Arial"/>
                <w:sz w:val="22"/>
                <w:szCs w:val="22"/>
              </w:rPr>
              <w:t>Medium</w:t>
            </w:r>
          </w:p>
        </w:tc>
      </w:tr>
    </w:tbl>
    <w:p w14:paraId="28197D39" w14:textId="4742468A" w:rsidR="00C82B07" w:rsidRPr="001D14A3" w:rsidRDefault="71DBE16D" w:rsidP="001D14A3">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This table supported systematic comparison across studies.</w:t>
      </w:r>
    </w:p>
    <w:p w14:paraId="54423A86" w14:textId="5EDB8F68" w:rsidR="007074F3" w:rsidRPr="00A252BE" w:rsidRDefault="71DBE16D" w:rsidP="00E0191D">
      <w:pPr>
        <w:shd w:val="clear" w:color="auto" w:fill="FFFFFF" w:themeFill="background1"/>
        <w:spacing w:after="224"/>
        <w:jc w:val="both"/>
        <w:rPr>
          <w:rFonts w:ascii="Arial" w:eastAsia="Arial" w:hAnsi="Arial" w:cs="Arial"/>
          <w:b/>
          <w:bCs/>
          <w:sz w:val="22"/>
          <w:szCs w:val="22"/>
        </w:rPr>
      </w:pPr>
      <w:r w:rsidRPr="00A252BE">
        <w:rPr>
          <w:rFonts w:ascii="Arial" w:eastAsia="Arial" w:hAnsi="Arial" w:cs="Arial"/>
          <w:b/>
          <w:bCs/>
          <w:sz w:val="22"/>
          <w:szCs w:val="22"/>
        </w:rPr>
        <w:t>A</w:t>
      </w:r>
      <w:r w:rsidR="008157E8" w:rsidRPr="00A252BE">
        <w:rPr>
          <w:rFonts w:ascii="Arial" w:eastAsia="Arial" w:hAnsi="Arial" w:cs="Arial"/>
          <w:b/>
          <w:bCs/>
          <w:sz w:val="22"/>
          <w:szCs w:val="22"/>
        </w:rPr>
        <w:t>8</w:t>
      </w:r>
      <w:r w:rsidRPr="00A252BE">
        <w:rPr>
          <w:rFonts w:ascii="Arial" w:eastAsia="Arial" w:hAnsi="Arial" w:cs="Arial"/>
          <w:b/>
          <w:bCs/>
          <w:sz w:val="22"/>
          <w:szCs w:val="22"/>
        </w:rPr>
        <w:t>. Thematic Coding Framework</w:t>
      </w:r>
    </w:p>
    <w:p w14:paraId="22F5D953" w14:textId="72F00182" w:rsidR="006275E2"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Initial codes were generated and grouped into broader themes:</w:t>
      </w:r>
    </w:p>
    <w:tbl>
      <w:tblPr>
        <w:tblStyle w:val="TableGrid"/>
        <w:tblW w:w="0" w:type="auto"/>
        <w:tblLook w:val="04A0" w:firstRow="1" w:lastRow="0" w:firstColumn="1" w:lastColumn="0" w:noHBand="0" w:noVBand="1"/>
      </w:tblPr>
      <w:tblGrid>
        <w:gridCol w:w="4508"/>
        <w:gridCol w:w="4508"/>
      </w:tblGrid>
      <w:tr w:rsidR="006275E2" w:rsidRPr="00A252BE" w14:paraId="5CB6530B" w14:textId="77777777" w:rsidTr="006275E2">
        <w:tc>
          <w:tcPr>
            <w:tcW w:w="4508" w:type="dxa"/>
          </w:tcPr>
          <w:p w14:paraId="5FC3D325" w14:textId="49B35127"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b/>
                <w:bCs/>
                <w:sz w:val="22"/>
                <w:szCs w:val="22"/>
              </w:rPr>
              <w:t>Initial Codes</w:t>
            </w:r>
          </w:p>
        </w:tc>
        <w:tc>
          <w:tcPr>
            <w:tcW w:w="4508" w:type="dxa"/>
          </w:tcPr>
          <w:p w14:paraId="76880F0D" w14:textId="2864AF79"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b/>
                <w:bCs/>
                <w:sz w:val="22"/>
                <w:szCs w:val="22"/>
              </w:rPr>
              <w:t>Final Themes</w:t>
            </w:r>
          </w:p>
        </w:tc>
      </w:tr>
      <w:tr w:rsidR="006275E2" w:rsidRPr="00A252BE" w14:paraId="72DCD805" w14:textId="77777777" w:rsidTr="00724ED4">
        <w:tc>
          <w:tcPr>
            <w:tcW w:w="4508" w:type="dxa"/>
          </w:tcPr>
          <w:p w14:paraId="599CA76F" w14:textId="2238B03E"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sz w:val="22"/>
                <w:szCs w:val="22"/>
              </w:rPr>
              <w:t>Emotional support</w:t>
            </w:r>
          </w:p>
        </w:tc>
        <w:tc>
          <w:tcPr>
            <w:tcW w:w="4508" w:type="dxa"/>
            <w:vAlign w:val="center"/>
          </w:tcPr>
          <w:p w14:paraId="69D03061" w14:textId="61C44C32"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sz w:val="22"/>
                <w:szCs w:val="22"/>
              </w:rPr>
              <w:t>Impact of social relationships</w:t>
            </w:r>
          </w:p>
        </w:tc>
      </w:tr>
      <w:tr w:rsidR="006275E2" w:rsidRPr="00A252BE" w14:paraId="5C8DA85F" w14:textId="77777777" w:rsidTr="006275E2">
        <w:tc>
          <w:tcPr>
            <w:tcW w:w="4508" w:type="dxa"/>
          </w:tcPr>
          <w:p w14:paraId="1D582F68" w14:textId="050DD51D"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sz w:val="22"/>
                <w:szCs w:val="22"/>
              </w:rPr>
              <w:t xml:space="preserve"> Peer influence</w:t>
            </w:r>
          </w:p>
        </w:tc>
        <w:tc>
          <w:tcPr>
            <w:tcW w:w="4508" w:type="dxa"/>
          </w:tcPr>
          <w:p w14:paraId="5B1F585C" w14:textId="2AD92920"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sz w:val="22"/>
                <w:szCs w:val="22"/>
              </w:rPr>
              <w:t>Peer-based support systems</w:t>
            </w:r>
          </w:p>
        </w:tc>
      </w:tr>
      <w:tr w:rsidR="006275E2" w:rsidRPr="00A252BE" w14:paraId="23A16F65" w14:textId="77777777" w:rsidTr="00EF1414">
        <w:tc>
          <w:tcPr>
            <w:tcW w:w="4508" w:type="dxa"/>
          </w:tcPr>
          <w:p w14:paraId="41813461" w14:textId="682E386C"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sz w:val="22"/>
                <w:szCs w:val="22"/>
              </w:rPr>
              <w:t xml:space="preserve">Family involvement     </w:t>
            </w:r>
          </w:p>
        </w:tc>
        <w:tc>
          <w:tcPr>
            <w:tcW w:w="4508" w:type="dxa"/>
            <w:vAlign w:val="center"/>
          </w:tcPr>
          <w:p w14:paraId="14C34E59" w14:textId="4FC17F3C"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sz w:val="22"/>
                <w:szCs w:val="22"/>
              </w:rPr>
              <w:t>Family and attachment factors</w:t>
            </w:r>
          </w:p>
        </w:tc>
      </w:tr>
      <w:tr w:rsidR="006275E2" w:rsidRPr="00A252BE" w14:paraId="74CBFCD1" w14:textId="77777777" w:rsidTr="006275E2">
        <w:tc>
          <w:tcPr>
            <w:tcW w:w="4508" w:type="dxa"/>
          </w:tcPr>
          <w:p w14:paraId="033B3EFA" w14:textId="0579E996"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sz w:val="22"/>
                <w:szCs w:val="22"/>
              </w:rPr>
              <w:t xml:space="preserve">Access to services         </w:t>
            </w:r>
          </w:p>
        </w:tc>
        <w:tc>
          <w:tcPr>
            <w:tcW w:w="4508" w:type="dxa"/>
          </w:tcPr>
          <w:p w14:paraId="12EBA2AA" w14:textId="7602D207" w:rsidR="006275E2" w:rsidRPr="00A252BE" w:rsidRDefault="006275E2" w:rsidP="00E0191D">
            <w:pPr>
              <w:spacing w:after="180"/>
              <w:jc w:val="both"/>
              <w:rPr>
                <w:rFonts w:ascii="Arial" w:eastAsia="Arial" w:hAnsi="Arial" w:cs="Arial"/>
                <w:sz w:val="22"/>
                <w:szCs w:val="22"/>
              </w:rPr>
            </w:pPr>
            <w:r w:rsidRPr="00A252BE">
              <w:rPr>
                <w:rFonts w:ascii="Arial" w:eastAsia="Arial" w:hAnsi="Arial" w:cs="Arial"/>
                <w:sz w:val="22"/>
                <w:szCs w:val="22"/>
              </w:rPr>
              <w:t>Barriers to support</w:t>
            </w:r>
          </w:p>
        </w:tc>
      </w:tr>
    </w:tbl>
    <w:p w14:paraId="051D6B8B" w14:textId="4385C5F2" w:rsidR="71DBE16D"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Based on Braun &amp; Clarke (2006) thematic analysis framework.</w:t>
      </w:r>
    </w:p>
    <w:p w14:paraId="7EA536F0" w14:textId="00CECED4" w:rsidR="00634876" w:rsidRPr="00A252BE" w:rsidRDefault="71DBE16D" w:rsidP="00E0191D">
      <w:pPr>
        <w:shd w:val="clear" w:color="auto" w:fill="FFFFFF" w:themeFill="background1"/>
        <w:spacing w:after="224"/>
        <w:jc w:val="both"/>
        <w:rPr>
          <w:rFonts w:ascii="Arial" w:eastAsia="Arial" w:hAnsi="Arial" w:cs="Arial"/>
          <w:b/>
          <w:bCs/>
          <w:sz w:val="22"/>
          <w:szCs w:val="22"/>
        </w:rPr>
      </w:pPr>
      <w:r w:rsidRPr="00A252BE">
        <w:rPr>
          <w:rFonts w:ascii="Arial" w:eastAsia="Arial" w:hAnsi="Arial" w:cs="Arial"/>
          <w:b/>
          <w:bCs/>
          <w:sz w:val="22"/>
          <w:szCs w:val="22"/>
        </w:rPr>
        <w:t>A</w:t>
      </w:r>
      <w:r w:rsidR="008157E8" w:rsidRPr="00A252BE">
        <w:rPr>
          <w:rFonts w:ascii="Arial" w:eastAsia="Arial" w:hAnsi="Arial" w:cs="Arial"/>
          <w:b/>
          <w:bCs/>
          <w:sz w:val="22"/>
          <w:szCs w:val="22"/>
        </w:rPr>
        <w:t>9</w:t>
      </w:r>
      <w:r w:rsidRPr="00A252BE">
        <w:rPr>
          <w:rFonts w:ascii="Arial" w:eastAsia="Arial" w:hAnsi="Arial" w:cs="Arial"/>
          <w:b/>
          <w:bCs/>
          <w:sz w:val="22"/>
          <w:szCs w:val="22"/>
        </w:rPr>
        <w:t>. Example Coding Process</w:t>
      </w:r>
    </w:p>
    <w:tbl>
      <w:tblPr>
        <w:tblStyle w:val="TableGrid"/>
        <w:tblW w:w="0" w:type="auto"/>
        <w:tblLook w:val="04A0" w:firstRow="1" w:lastRow="0" w:firstColumn="1" w:lastColumn="0" w:noHBand="0" w:noVBand="1"/>
      </w:tblPr>
      <w:tblGrid>
        <w:gridCol w:w="3005"/>
        <w:gridCol w:w="3005"/>
        <w:gridCol w:w="3006"/>
      </w:tblGrid>
      <w:tr w:rsidR="00634876" w:rsidRPr="00A252BE" w14:paraId="5850D3BA" w14:textId="77777777" w:rsidTr="00634876">
        <w:tc>
          <w:tcPr>
            <w:tcW w:w="3005" w:type="dxa"/>
          </w:tcPr>
          <w:p w14:paraId="41AE2BA6" w14:textId="48416669"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b/>
                <w:bCs/>
                <w:sz w:val="22"/>
                <w:szCs w:val="22"/>
              </w:rPr>
              <w:t>Extract from Literature</w:t>
            </w:r>
          </w:p>
        </w:tc>
        <w:tc>
          <w:tcPr>
            <w:tcW w:w="3005" w:type="dxa"/>
          </w:tcPr>
          <w:p w14:paraId="51CD685A" w14:textId="12176E5B"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b/>
                <w:bCs/>
                <w:sz w:val="22"/>
                <w:szCs w:val="22"/>
              </w:rPr>
              <w:t>Code</w:t>
            </w:r>
          </w:p>
        </w:tc>
        <w:tc>
          <w:tcPr>
            <w:tcW w:w="3006" w:type="dxa"/>
          </w:tcPr>
          <w:p w14:paraId="502937DC" w14:textId="758FD1BB"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b/>
                <w:bCs/>
                <w:sz w:val="22"/>
                <w:szCs w:val="22"/>
              </w:rPr>
              <w:t>Theme</w:t>
            </w:r>
          </w:p>
        </w:tc>
      </w:tr>
      <w:tr w:rsidR="00634876" w:rsidRPr="00A252BE" w14:paraId="66FC2C49" w14:textId="77777777" w:rsidTr="00634876">
        <w:tc>
          <w:tcPr>
            <w:tcW w:w="3005" w:type="dxa"/>
          </w:tcPr>
          <w:p w14:paraId="2FD77A7C" w14:textId="2C9B79C7"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sz w:val="22"/>
                <w:szCs w:val="22"/>
              </w:rPr>
              <w:t>Peer relationships reduce anxiety symptoms</w:t>
            </w:r>
          </w:p>
        </w:tc>
        <w:tc>
          <w:tcPr>
            <w:tcW w:w="3005" w:type="dxa"/>
          </w:tcPr>
          <w:p w14:paraId="7882C0CF" w14:textId="41BE4466"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sz w:val="22"/>
                <w:szCs w:val="22"/>
              </w:rPr>
              <w:t>Peer support</w:t>
            </w:r>
          </w:p>
        </w:tc>
        <w:tc>
          <w:tcPr>
            <w:tcW w:w="3006" w:type="dxa"/>
          </w:tcPr>
          <w:p w14:paraId="4B2BB644" w14:textId="012C9D11"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sz w:val="22"/>
                <w:szCs w:val="22"/>
              </w:rPr>
              <w:t>Social relationships</w:t>
            </w:r>
          </w:p>
        </w:tc>
      </w:tr>
      <w:tr w:rsidR="00634876" w:rsidRPr="00A252BE" w14:paraId="52CE457F" w14:textId="77777777" w:rsidTr="00846790">
        <w:tc>
          <w:tcPr>
            <w:tcW w:w="3005" w:type="dxa"/>
            <w:vAlign w:val="center"/>
          </w:tcPr>
          <w:p w14:paraId="733BE7B3" w14:textId="58FA19E8"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sz w:val="22"/>
                <w:szCs w:val="22"/>
              </w:rPr>
              <w:t>Family involvement improves coping</w:t>
            </w:r>
          </w:p>
        </w:tc>
        <w:tc>
          <w:tcPr>
            <w:tcW w:w="3005" w:type="dxa"/>
          </w:tcPr>
          <w:p w14:paraId="5C34AF8B" w14:textId="425728DF"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sz w:val="22"/>
                <w:szCs w:val="22"/>
              </w:rPr>
              <w:t>Family support</w:t>
            </w:r>
          </w:p>
        </w:tc>
        <w:tc>
          <w:tcPr>
            <w:tcW w:w="3006" w:type="dxa"/>
          </w:tcPr>
          <w:p w14:paraId="6C3F4887" w14:textId="173B752F"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sz w:val="22"/>
                <w:szCs w:val="22"/>
              </w:rPr>
              <w:t>Attachment factors</w:t>
            </w:r>
          </w:p>
        </w:tc>
      </w:tr>
      <w:tr w:rsidR="00634876" w:rsidRPr="00A252BE" w14:paraId="734C511E" w14:textId="77777777" w:rsidTr="00634876">
        <w:tc>
          <w:tcPr>
            <w:tcW w:w="3005" w:type="dxa"/>
          </w:tcPr>
          <w:p w14:paraId="4E4D0D0D" w14:textId="475BD703"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sz w:val="22"/>
                <w:szCs w:val="22"/>
              </w:rPr>
              <w:t>Limited access increases anxiety</w:t>
            </w:r>
          </w:p>
        </w:tc>
        <w:tc>
          <w:tcPr>
            <w:tcW w:w="3005" w:type="dxa"/>
          </w:tcPr>
          <w:p w14:paraId="7CFA857C" w14:textId="0C15C33C"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sz w:val="22"/>
                <w:szCs w:val="22"/>
              </w:rPr>
              <w:t>Service barriers</w:t>
            </w:r>
          </w:p>
        </w:tc>
        <w:tc>
          <w:tcPr>
            <w:tcW w:w="3006" w:type="dxa"/>
          </w:tcPr>
          <w:p w14:paraId="31DFD71D" w14:textId="4DE5D55C" w:rsidR="00634876" w:rsidRPr="00A252BE" w:rsidRDefault="00634876" w:rsidP="00E0191D">
            <w:pPr>
              <w:spacing w:after="224"/>
              <w:jc w:val="both"/>
              <w:rPr>
                <w:rFonts w:ascii="Arial" w:eastAsia="Arial" w:hAnsi="Arial" w:cs="Arial"/>
                <w:b/>
                <w:bCs/>
                <w:sz w:val="22"/>
                <w:szCs w:val="22"/>
              </w:rPr>
            </w:pPr>
            <w:r w:rsidRPr="00A252BE">
              <w:rPr>
                <w:rFonts w:ascii="Arial" w:eastAsia="Arial" w:hAnsi="Arial" w:cs="Arial"/>
                <w:sz w:val="22"/>
                <w:szCs w:val="22"/>
              </w:rPr>
              <w:t>Access issues</w:t>
            </w:r>
          </w:p>
        </w:tc>
      </w:tr>
    </w:tbl>
    <w:p w14:paraId="0DB13717" w14:textId="4D9FF72D" w:rsidR="3A7CED5F" w:rsidRPr="00A252BE" w:rsidRDefault="3A7CED5F" w:rsidP="00E0191D">
      <w:pPr>
        <w:shd w:val="clear" w:color="auto" w:fill="FFFFFF" w:themeFill="background1"/>
        <w:spacing w:after="0"/>
        <w:jc w:val="both"/>
        <w:rPr>
          <w:rFonts w:ascii="Arial" w:eastAsia="Arial" w:hAnsi="Arial" w:cs="Arial"/>
          <w:sz w:val="22"/>
          <w:szCs w:val="22"/>
        </w:rPr>
      </w:pPr>
    </w:p>
    <w:p w14:paraId="08145345" w14:textId="18AD2952" w:rsidR="71DBE16D" w:rsidRPr="00A252BE" w:rsidRDefault="71DBE16D" w:rsidP="00E0191D">
      <w:pPr>
        <w:shd w:val="clear" w:color="auto" w:fill="FFFFFF" w:themeFill="background1"/>
        <w:spacing w:after="224"/>
        <w:jc w:val="both"/>
        <w:rPr>
          <w:rFonts w:ascii="Arial" w:eastAsia="Arial" w:hAnsi="Arial" w:cs="Arial"/>
          <w:b/>
          <w:bCs/>
          <w:sz w:val="22"/>
          <w:szCs w:val="22"/>
        </w:rPr>
      </w:pPr>
      <w:r w:rsidRPr="00A252BE">
        <w:rPr>
          <w:rFonts w:ascii="Arial" w:eastAsia="Arial" w:hAnsi="Arial" w:cs="Arial"/>
          <w:b/>
          <w:bCs/>
          <w:sz w:val="22"/>
          <w:szCs w:val="22"/>
        </w:rPr>
        <w:t>A</w:t>
      </w:r>
      <w:r w:rsidR="008157E8" w:rsidRPr="00A252BE">
        <w:rPr>
          <w:rFonts w:ascii="Arial" w:eastAsia="Arial" w:hAnsi="Arial" w:cs="Arial"/>
          <w:b/>
          <w:bCs/>
          <w:sz w:val="22"/>
          <w:szCs w:val="22"/>
        </w:rPr>
        <w:t>10</w:t>
      </w:r>
      <w:r w:rsidRPr="00A252BE">
        <w:rPr>
          <w:rFonts w:ascii="Arial" w:eastAsia="Arial" w:hAnsi="Arial" w:cs="Arial"/>
          <w:b/>
          <w:bCs/>
          <w:sz w:val="22"/>
          <w:szCs w:val="22"/>
        </w:rPr>
        <w:t>. Reflexivity Statement</w:t>
      </w:r>
    </w:p>
    <w:p w14:paraId="36202CAA" w14:textId="12B50CF2" w:rsidR="71DBE16D"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This research acknowledges that thematic analysis involves interpretative judgement. The researcher’s perspectives may influence the identification and interpretation of themes. To mitigate this, a systematic and transparent approach was adopted, with continuous cross-referencing between data and themes.</w:t>
      </w:r>
    </w:p>
    <w:p w14:paraId="7D959ABF" w14:textId="3D2D98EB" w:rsidR="71DBE16D"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lastRenderedPageBreak/>
        <w:t>Additionally, efforts were made to include diverse perspectives and avoid selective bias. However, it is recognised that complete objectivity is not achievable, particularly within qualitative analysis.</w:t>
      </w:r>
    </w:p>
    <w:p w14:paraId="2EFEC6ED" w14:textId="77777777" w:rsidR="001D14A3" w:rsidRDefault="71DBE16D" w:rsidP="001D14A3">
      <w:pPr>
        <w:shd w:val="clear" w:color="auto" w:fill="FFFFFF" w:themeFill="background1"/>
        <w:spacing w:after="224"/>
        <w:jc w:val="both"/>
        <w:rPr>
          <w:rFonts w:ascii="Arial" w:eastAsia="Arial" w:hAnsi="Arial" w:cs="Arial"/>
          <w:b/>
          <w:bCs/>
          <w:sz w:val="22"/>
          <w:szCs w:val="22"/>
        </w:rPr>
      </w:pPr>
      <w:r w:rsidRPr="00A252BE">
        <w:rPr>
          <w:rFonts w:ascii="Arial" w:eastAsia="Arial" w:hAnsi="Arial" w:cs="Arial"/>
          <w:b/>
          <w:bCs/>
          <w:sz w:val="22"/>
          <w:szCs w:val="22"/>
        </w:rPr>
        <w:t>A</w:t>
      </w:r>
      <w:r w:rsidR="008157E8" w:rsidRPr="00A252BE">
        <w:rPr>
          <w:rFonts w:ascii="Arial" w:eastAsia="Arial" w:hAnsi="Arial" w:cs="Arial"/>
          <w:b/>
          <w:bCs/>
          <w:sz w:val="22"/>
          <w:szCs w:val="22"/>
        </w:rPr>
        <w:t>1</w:t>
      </w:r>
      <w:r w:rsidR="00D917AC" w:rsidRPr="00A252BE">
        <w:rPr>
          <w:rFonts w:ascii="Arial" w:eastAsia="Arial" w:hAnsi="Arial" w:cs="Arial"/>
          <w:b/>
          <w:bCs/>
          <w:sz w:val="22"/>
          <w:szCs w:val="22"/>
        </w:rPr>
        <w:t>1</w:t>
      </w:r>
      <w:r w:rsidRPr="00A252BE">
        <w:rPr>
          <w:rFonts w:ascii="Arial" w:eastAsia="Arial" w:hAnsi="Arial" w:cs="Arial"/>
          <w:b/>
          <w:bCs/>
          <w:sz w:val="22"/>
          <w:szCs w:val="22"/>
        </w:rPr>
        <w:t>. Methodological Limitations</w:t>
      </w:r>
    </w:p>
    <w:p w14:paraId="73EA94ED" w14:textId="72B89A27" w:rsidR="71DBE16D" w:rsidRPr="001D14A3" w:rsidRDefault="71DBE16D" w:rsidP="001D14A3">
      <w:pPr>
        <w:pStyle w:val="ListParagraph"/>
        <w:numPr>
          <w:ilvl w:val="0"/>
          <w:numId w:val="22"/>
        </w:numPr>
        <w:shd w:val="clear" w:color="auto" w:fill="FFFFFF" w:themeFill="background1"/>
        <w:spacing w:after="224"/>
        <w:jc w:val="both"/>
        <w:rPr>
          <w:rFonts w:ascii="Arial" w:eastAsia="Arial" w:hAnsi="Arial" w:cs="Arial"/>
          <w:b/>
          <w:bCs/>
          <w:sz w:val="22"/>
          <w:szCs w:val="22"/>
        </w:rPr>
      </w:pPr>
      <w:r w:rsidRPr="001D14A3">
        <w:rPr>
          <w:rFonts w:ascii="Arial" w:eastAsia="Arial" w:hAnsi="Arial" w:cs="Arial"/>
          <w:sz w:val="22"/>
          <w:szCs w:val="22"/>
        </w:rPr>
        <w:t>Reliance on existing literature (no primary data)</w:t>
      </w:r>
    </w:p>
    <w:p w14:paraId="02D48CDD" w14:textId="7BB782EC" w:rsidR="71DBE16D" w:rsidRPr="00A252BE" w:rsidRDefault="71DBE16D" w:rsidP="00E0191D">
      <w:pPr>
        <w:pStyle w:val="ListParagraph"/>
        <w:numPr>
          <w:ilvl w:val="0"/>
          <w:numId w:val="2"/>
        </w:numPr>
        <w:shd w:val="clear" w:color="auto" w:fill="FFFFFF" w:themeFill="background1"/>
        <w:spacing w:after="0"/>
        <w:jc w:val="both"/>
        <w:rPr>
          <w:rFonts w:ascii="Arial" w:eastAsia="Arial" w:hAnsi="Arial" w:cs="Arial"/>
          <w:sz w:val="22"/>
          <w:szCs w:val="22"/>
        </w:rPr>
      </w:pPr>
      <w:r w:rsidRPr="00A252BE">
        <w:rPr>
          <w:rFonts w:ascii="Arial" w:eastAsia="Arial" w:hAnsi="Arial" w:cs="Arial"/>
          <w:sz w:val="22"/>
          <w:szCs w:val="22"/>
        </w:rPr>
        <w:t>Potential publication bias in academic sources</w:t>
      </w:r>
    </w:p>
    <w:p w14:paraId="13EE9C72" w14:textId="04DAC698" w:rsidR="71DBE16D" w:rsidRPr="00A252BE" w:rsidRDefault="71DBE16D" w:rsidP="00E0191D">
      <w:pPr>
        <w:pStyle w:val="ListParagraph"/>
        <w:numPr>
          <w:ilvl w:val="0"/>
          <w:numId w:val="2"/>
        </w:numPr>
        <w:shd w:val="clear" w:color="auto" w:fill="FFFFFF" w:themeFill="background1"/>
        <w:spacing w:after="0"/>
        <w:jc w:val="both"/>
        <w:rPr>
          <w:rFonts w:ascii="Arial" w:eastAsia="Arial" w:hAnsi="Arial" w:cs="Arial"/>
          <w:sz w:val="22"/>
          <w:szCs w:val="22"/>
        </w:rPr>
      </w:pPr>
      <w:r w:rsidRPr="00A252BE">
        <w:rPr>
          <w:rFonts w:ascii="Arial" w:eastAsia="Arial" w:hAnsi="Arial" w:cs="Arial"/>
          <w:sz w:val="22"/>
          <w:szCs w:val="22"/>
        </w:rPr>
        <w:t>Exclusion of non-English studies</w:t>
      </w:r>
    </w:p>
    <w:p w14:paraId="19C692D3" w14:textId="2838473D" w:rsidR="71DBE16D" w:rsidRPr="00A252BE" w:rsidRDefault="71DBE16D" w:rsidP="00E0191D">
      <w:pPr>
        <w:pStyle w:val="ListParagraph"/>
        <w:numPr>
          <w:ilvl w:val="0"/>
          <w:numId w:val="2"/>
        </w:numPr>
        <w:shd w:val="clear" w:color="auto" w:fill="FFFFFF" w:themeFill="background1"/>
        <w:spacing w:after="0"/>
        <w:jc w:val="both"/>
        <w:rPr>
          <w:rFonts w:ascii="Arial" w:eastAsia="Arial" w:hAnsi="Arial" w:cs="Arial"/>
          <w:sz w:val="22"/>
          <w:szCs w:val="22"/>
        </w:rPr>
      </w:pPr>
      <w:r w:rsidRPr="00A252BE">
        <w:rPr>
          <w:rFonts w:ascii="Arial" w:eastAsia="Arial" w:hAnsi="Arial" w:cs="Arial"/>
          <w:sz w:val="22"/>
          <w:szCs w:val="22"/>
        </w:rPr>
        <w:t>Subjectivity in thematic interpretation</w:t>
      </w:r>
      <w:r w:rsidR="000F4826" w:rsidRPr="00A252BE">
        <w:rPr>
          <w:rFonts w:ascii="Arial" w:eastAsia="Arial" w:hAnsi="Arial" w:cs="Arial"/>
          <w:sz w:val="22"/>
          <w:szCs w:val="22"/>
        </w:rPr>
        <w:t>.</w:t>
      </w:r>
    </w:p>
    <w:p w14:paraId="0901F294" w14:textId="77777777" w:rsidR="001D14A3" w:rsidRDefault="00E909E1" w:rsidP="00E0191D">
      <w:pPr>
        <w:shd w:val="clear" w:color="auto" w:fill="FFFFFF" w:themeFill="background1"/>
        <w:spacing w:after="180"/>
        <w:jc w:val="both"/>
        <w:rPr>
          <w:rFonts w:ascii="Arial" w:eastAsia="Arial" w:hAnsi="Arial" w:cs="Arial"/>
          <w:sz w:val="22"/>
          <w:szCs w:val="22"/>
        </w:rPr>
      </w:pPr>
      <w:r>
        <w:rPr>
          <w:rFonts w:ascii="Arial" w:eastAsia="Arial" w:hAnsi="Arial" w:cs="Arial"/>
          <w:sz w:val="22"/>
          <w:szCs w:val="22"/>
        </w:rPr>
        <w:t xml:space="preserve"> </w:t>
      </w:r>
    </w:p>
    <w:p w14:paraId="1AA85B19" w14:textId="5498E7D0" w:rsidR="71DBE16D" w:rsidRPr="00A252BE" w:rsidRDefault="71DBE16D" w:rsidP="00E0191D">
      <w:pPr>
        <w:shd w:val="clear" w:color="auto" w:fill="FFFFFF" w:themeFill="background1"/>
        <w:spacing w:after="180"/>
        <w:jc w:val="both"/>
        <w:rPr>
          <w:rFonts w:ascii="Arial" w:eastAsia="Arial" w:hAnsi="Arial" w:cs="Arial"/>
          <w:sz w:val="22"/>
          <w:szCs w:val="22"/>
        </w:rPr>
      </w:pPr>
      <w:r w:rsidRPr="00A252BE">
        <w:rPr>
          <w:rFonts w:ascii="Arial" w:eastAsia="Arial" w:hAnsi="Arial" w:cs="Arial"/>
          <w:sz w:val="22"/>
          <w:szCs w:val="22"/>
        </w:rPr>
        <w:t>These limitations were addressed through:</w:t>
      </w:r>
    </w:p>
    <w:p w14:paraId="53D9CAC6" w14:textId="5060F633" w:rsidR="71DBE16D" w:rsidRPr="00A252BE" w:rsidRDefault="71DBE16D" w:rsidP="00E0191D">
      <w:pPr>
        <w:pStyle w:val="ListParagraph"/>
        <w:numPr>
          <w:ilvl w:val="0"/>
          <w:numId w:val="1"/>
        </w:numPr>
        <w:shd w:val="clear" w:color="auto" w:fill="FFFFFF" w:themeFill="background1"/>
        <w:spacing w:after="0"/>
        <w:jc w:val="both"/>
        <w:rPr>
          <w:rFonts w:ascii="Arial" w:eastAsia="Arial" w:hAnsi="Arial" w:cs="Arial"/>
          <w:sz w:val="22"/>
          <w:szCs w:val="22"/>
        </w:rPr>
      </w:pPr>
      <w:r w:rsidRPr="00A252BE">
        <w:rPr>
          <w:rFonts w:ascii="Arial" w:eastAsia="Arial" w:hAnsi="Arial" w:cs="Arial"/>
          <w:sz w:val="22"/>
          <w:szCs w:val="22"/>
        </w:rPr>
        <w:t>Systematic search strategy</w:t>
      </w:r>
    </w:p>
    <w:p w14:paraId="5223564A" w14:textId="0E7FFA5D" w:rsidR="71DBE16D" w:rsidRPr="00A252BE" w:rsidRDefault="71DBE16D" w:rsidP="00E0191D">
      <w:pPr>
        <w:pStyle w:val="ListParagraph"/>
        <w:numPr>
          <w:ilvl w:val="0"/>
          <w:numId w:val="1"/>
        </w:numPr>
        <w:shd w:val="clear" w:color="auto" w:fill="FFFFFF" w:themeFill="background1"/>
        <w:spacing w:after="0"/>
        <w:jc w:val="both"/>
        <w:rPr>
          <w:rFonts w:ascii="Arial" w:eastAsia="Arial" w:hAnsi="Arial" w:cs="Arial"/>
          <w:sz w:val="22"/>
          <w:szCs w:val="22"/>
        </w:rPr>
      </w:pPr>
      <w:r w:rsidRPr="00A252BE">
        <w:rPr>
          <w:rFonts w:ascii="Arial" w:eastAsia="Arial" w:hAnsi="Arial" w:cs="Arial"/>
          <w:sz w:val="22"/>
          <w:szCs w:val="22"/>
        </w:rPr>
        <w:t>Clear inclusion criteria</w:t>
      </w:r>
    </w:p>
    <w:p w14:paraId="2A2D92EA" w14:textId="385B7451" w:rsidR="00B932BA" w:rsidRPr="001D14A3" w:rsidRDefault="71DBE16D" w:rsidP="001D14A3">
      <w:pPr>
        <w:pStyle w:val="ListParagraph"/>
        <w:numPr>
          <w:ilvl w:val="0"/>
          <w:numId w:val="1"/>
        </w:numPr>
        <w:shd w:val="clear" w:color="auto" w:fill="FFFFFF" w:themeFill="background1"/>
        <w:spacing w:after="0"/>
        <w:jc w:val="both"/>
        <w:rPr>
          <w:rFonts w:ascii="Arial" w:eastAsia="Arial" w:hAnsi="Arial" w:cs="Arial"/>
          <w:sz w:val="22"/>
          <w:szCs w:val="22"/>
        </w:rPr>
      </w:pPr>
      <w:r w:rsidRPr="00A252BE">
        <w:rPr>
          <w:rFonts w:ascii="Arial" w:eastAsia="Arial" w:hAnsi="Arial" w:cs="Arial"/>
          <w:sz w:val="22"/>
          <w:szCs w:val="22"/>
        </w:rPr>
        <w:t>Critical evaluation of sources</w:t>
      </w:r>
      <w:r w:rsidR="001D14A3">
        <w:rPr>
          <w:rFonts w:ascii="Arial" w:eastAsia="Arial" w:hAnsi="Arial" w:cs="Arial"/>
          <w:sz w:val="22"/>
          <w:szCs w:val="22"/>
        </w:rPr>
        <w:t>.</w:t>
      </w:r>
    </w:p>
    <w:sectPr w:rsidR="00B932BA" w:rsidRPr="001D14A3">
      <w:headerReference w:type="default" r:id="rId79"/>
      <w:footerReference w:type="default" r:id="rId8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EC930" w14:textId="77777777" w:rsidR="008B52F0" w:rsidRPr="00DD7A00" w:rsidRDefault="008B52F0">
      <w:pPr>
        <w:spacing w:after="0" w:line="240" w:lineRule="auto"/>
      </w:pPr>
      <w:r w:rsidRPr="00DD7A00">
        <w:separator/>
      </w:r>
    </w:p>
  </w:endnote>
  <w:endnote w:type="continuationSeparator" w:id="0">
    <w:p w14:paraId="6DFDCF59" w14:textId="77777777" w:rsidR="008B52F0" w:rsidRPr="00DD7A00" w:rsidRDefault="008B52F0">
      <w:pPr>
        <w:spacing w:after="0" w:line="240" w:lineRule="auto"/>
      </w:pPr>
      <w:r w:rsidRPr="00DD7A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A7CED5F" w:rsidRPr="00DD7A00" w14:paraId="44300ED7" w14:textId="77777777" w:rsidTr="3A7CED5F">
      <w:trPr>
        <w:trHeight w:val="300"/>
      </w:trPr>
      <w:tc>
        <w:tcPr>
          <w:tcW w:w="3005" w:type="dxa"/>
        </w:tcPr>
        <w:p w14:paraId="365B4861" w14:textId="75DBAE08" w:rsidR="3A7CED5F" w:rsidRPr="00DD7A00" w:rsidRDefault="3A7CED5F" w:rsidP="3A7CED5F">
          <w:pPr>
            <w:pStyle w:val="Header"/>
            <w:ind w:left="-115"/>
          </w:pPr>
        </w:p>
      </w:tc>
      <w:tc>
        <w:tcPr>
          <w:tcW w:w="3005" w:type="dxa"/>
        </w:tcPr>
        <w:p w14:paraId="075C9EA4" w14:textId="36555C34" w:rsidR="3A7CED5F" w:rsidRPr="00DD7A00" w:rsidRDefault="3A7CED5F" w:rsidP="3A7CED5F">
          <w:pPr>
            <w:pStyle w:val="Header"/>
            <w:jc w:val="center"/>
          </w:pPr>
        </w:p>
      </w:tc>
      <w:tc>
        <w:tcPr>
          <w:tcW w:w="3005" w:type="dxa"/>
        </w:tcPr>
        <w:p w14:paraId="463C1D20" w14:textId="756AEB8E" w:rsidR="3A7CED5F" w:rsidRPr="00DD7A00" w:rsidRDefault="3A7CED5F" w:rsidP="3A7CED5F">
          <w:pPr>
            <w:pStyle w:val="Header"/>
            <w:ind w:right="-115"/>
            <w:jc w:val="right"/>
          </w:pPr>
          <w:r w:rsidRPr="00DD7A00">
            <w:fldChar w:fldCharType="begin"/>
          </w:r>
          <w:r w:rsidRPr="00DD7A00">
            <w:instrText>PAGE</w:instrText>
          </w:r>
          <w:r w:rsidRPr="00DD7A00">
            <w:fldChar w:fldCharType="separate"/>
          </w:r>
          <w:r w:rsidR="004B67CA" w:rsidRPr="00DD7A00">
            <w:t>1</w:t>
          </w:r>
          <w:r w:rsidRPr="00DD7A00">
            <w:fldChar w:fldCharType="end"/>
          </w:r>
        </w:p>
      </w:tc>
    </w:tr>
  </w:tbl>
  <w:p w14:paraId="42E2B4D9" w14:textId="56A62803" w:rsidR="3A7CED5F" w:rsidRPr="00DD7A00" w:rsidRDefault="3A7CED5F" w:rsidP="3A7CE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E4D62" w14:textId="77777777" w:rsidR="008B52F0" w:rsidRPr="00DD7A00" w:rsidRDefault="008B52F0">
      <w:pPr>
        <w:spacing w:after="0" w:line="240" w:lineRule="auto"/>
      </w:pPr>
      <w:r w:rsidRPr="00DD7A00">
        <w:separator/>
      </w:r>
    </w:p>
  </w:footnote>
  <w:footnote w:type="continuationSeparator" w:id="0">
    <w:p w14:paraId="6B166660" w14:textId="77777777" w:rsidR="008B52F0" w:rsidRPr="00DD7A00" w:rsidRDefault="008B52F0">
      <w:pPr>
        <w:spacing w:after="0" w:line="240" w:lineRule="auto"/>
      </w:pPr>
      <w:r w:rsidRPr="00DD7A0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A7CED5F" w:rsidRPr="00DD7A00" w14:paraId="11C18C43" w14:textId="77777777" w:rsidTr="3A7CED5F">
      <w:trPr>
        <w:trHeight w:val="300"/>
      </w:trPr>
      <w:tc>
        <w:tcPr>
          <w:tcW w:w="3005" w:type="dxa"/>
        </w:tcPr>
        <w:p w14:paraId="215F48DD" w14:textId="42FC9797" w:rsidR="3A7CED5F" w:rsidRPr="00DD7A00" w:rsidRDefault="3A7CED5F" w:rsidP="3A7CED5F">
          <w:pPr>
            <w:pStyle w:val="Header"/>
            <w:ind w:left="-115"/>
          </w:pPr>
        </w:p>
      </w:tc>
      <w:tc>
        <w:tcPr>
          <w:tcW w:w="3005" w:type="dxa"/>
        </w:tcPr>
        <w:p w14:paraId="4610350C" w14:textId="1A0A582A" w:rsidR="3A7CED5F" w:rsidRPr="00DD7A00" w:rsidRDefault="3A7CED5F" w:rsidP="3A7CED5F">
          <w:pPr>
            <w:pStyle w:val="Header"/>
            <w:jc w:val="center"/>
          </w:pPr>
        </w:p>
      </w:tc>
      <w:tc>
        <w:tcPr>
          <w:tcW w:w="3005" w:type="dxa"/>
        </w:tcPr>
        <w:p w14:paraId="32C65A15" w14:textId="764B44B7" w:rsidR="3A7CED5F" w:rsidRPr="00DD7A00" w:rsidRDefault="3A7CED5F" w:rsidP="3A7CED5F">
          <w:pPr>
            <w:pStyle w:val="Header"/>
            <w:ind w:right="-115"/>
            <w:jc w:val="right"/>
          </w:pPr>
        </w:p>
      </w:tc>
    </w:tr>
  </w:tbl>
  <w:p w14:paraId="58E88D44" w14:textId="2E46CBF7" w:rsidR="3A7CED5F" w:rsidRPr="00DD7A00" w:rsidRDefault="3A7CED5F" w:rsidP="3A7CED5F">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ScvS2Xhs" int2:invalidationBookmarkName="" int2:hashCode="vxQkqQgNPixOlr" int2:id="4JLKoxYZ">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5A5DE"/>
    <w:multiLevelType w:val="hybridMultilevel"/>
    <w:tmpl w:val="149E4A22"/>
    <w:lvl w:ilvl="0" w:tplc="65469B2E">
      <w:start w:val="1"/>
      <w:numFmt w:val="decimal"/>
      <w:lvlText w:val="%1."/>
      <w:lvlJc w:val="left"/>
      <w:pPr>
        <w:ind w:left="720" w:hanging="360"/>
      </w:pPr>
    </w:lvl>
    <w:lvl w:ilvl="1" w:tplc="9DE874D2">
      <w:start w:val="1"/>
      <w:numFmt w:val="lowerLetter"/>
      <w:lvlText w:val="%2."/>
      <w:lvlJc w:val="left"/>
      <w:pPr>
        <w:ind w:left="1440" w:hanging="360"/>
      </w:pPr>
    </w:lvl>
    <w:lvl w:ilvl="2" w:tplc="0248CA40">
      <w:start w:val="1"/>
      <w:numFmt w:val="lowerRoman"/>
      <w:lvlText w:val="%3."/>
      <w:lvlJc w:val="right"/>
      <w:pPr>
        <w:ind w:left="2160" w:hanging="180"/>
      </w:pPr>
    </w:lvl>
    <w:lvl w:ilvl="3" w:tplc="87B4A4F6">
      <w:start w:val="1"/>
      <w:numFmt w:val="decimal"/>
      <w:lvlText w:val="%4."/>
      <w:lvlJc w:val="left"/>
      <w:pPr>
        <w:ind w:left="2880" w:hanging="360"/>
      </w:pPr>
    </w:lvl>
    <w:lvl w:ilvl="4" w:tplc="F2C2A9DC">
      <w:start w:val="1"/>
      <w:numFmt w:val="lowerLetter"/>
      <w:lvlText w:val="%5."/>
      <w:lvlJc w:val="left"/>
      <w:pPr>
        <w:ind w:left="3600" w:hanging="360"/>
      </w:pPr>
    </w:lvl>
    <w:lvl w:ilvl="5" w:tplc="10A85C98">
      <w:start w:val="1"/>
      <w:numFmt w:val="lowerRoman"/>
      <w:lvlText w:val="%6."/>
      <w:lvlJc w:val="right"/>
      <w:pPr>
        <w:ind w:left="4320" w:hanging="180"/>
      </w:pPr>
    </w:lvl>
    <w:lvl w:ilvl="6" w:tplc="9EFA59C8">
      <w:start w:val="1"/>
      <w:numFmt w:val="decimal"/>
      <w:lvlText w:val="%7."/>
      <w:lvlJc w:val="left"/>
      <w:pPr>
        <w:ind w:left="5040" w:hanging="360"/>
      </w:pPr>
    </w:lvl>
    <w:lvl w:ilvl="7" w:tplc="A1222F24">
      <w:start w:val="1"/>
      <w:numFmt w:val="lowerLetter"/>
      <w:lvlText w:val="%8."/>
      <w:lvlJc w:val="left"/>
      <w:pPr>
        <w:ind w:left="5760" w:hanging="360"/>
      </w:pPr>
    </w:lvl>
    <w:lvl w:ilvl="8" w:tplc="F186396A">
      <w:start w:val="1"/>
      <w:numFmt w:val="lowerRoman"/>
      <w:lvlText w:val="%9."/>
      <w:lvlJc w:val="right"/>
      <w:pPr>
        <w:ind w:left="6480" w:hanging="180"/>
      </w:pPr>
    </w:lvl>
  </w:abstractNum>
  <w:abstractNum w:abstractNumId="1" w15:restartNumberingAfterBreak="0">
    <w:nsid w:val="0E3BE87B"/>
    <w:multiLevelType w:val="hybridMultilevel"/>
    <w:tmpl w:val="A3DA70A0"/>
    <w:lvl w:ilvl="0" w:tplc="2B0EFDA4">
      <w:start w:val="1"/>
      <w:numFmt w:val="bullet"/>
      <w:lvlText w:val=""/>
      <w:lvlJc w:val="left"/>
      <w:pPr>
        <w:ind w:left="720" w:hanging="360"/>
      </w:pPr>
      <w:rPr>
        <w:rFonts w:ascii="Symbol" w:hAnsi="Symbol" w:hint="default"/>
      </w:rPr>
    </w:lvl>
    <w:lvl w:ilvl="1" w:tplc="0D5CECA0">
      <w:start w:val="1"/>
      <w:numFmt w:val="bullet"/>
      <w:lvlText w:val="o"/>
      <w:lvlJc w:val="left"/>
      <w:pPr>
        <w:ind w:left="1440" w:hanging="360"/>
      </w:pPr>
      <w:rPr>
        <w:rFonts w:ascii="Courier New" w:hAnsi="Courier New" w:hint="default"/>
      </w:rPr>
    </w:lvl>
    <w:lvl w:ilvl="2" w:tplc="3DCE804A">
      <w:start w:val="1"/>
      <w:numFmt w:val="bullet"/>
      <w:lvlText w:val=""/>
      <w:lvlJc w:val="left"/>
      <w:pPr>
        <w:ind w:left="2160" w:hanging="360"/>
      </w:pPr>
      <w:rPr>
        <w:rFonts w:ascii="Wingdings" w:hAnsi="Wingdings" w:hint="default"/>
      </w:rPr>
    </w:lvl>
    <w:lvl w:ilvl="3" w:tplc="FF027AEC">
      <w:start w:val="1"/>
      <w:numFmt w:val="bullet"/>
      <w:lvlText w:val=""/>
      <w:lvlJc w:val="left"/>
      <w:pPr>
        <w:ind w:left="2880" w:hanging="360"/>
      </w:pPr>
      <w:rPr>
        <w:rFonts w:ascii="Symbol" w:hAnsi="Symbol" w:hint="default"/>
      </w:rPr>
    </w:lvl>
    <w:lvl w:ilvl="4" w:tplc="47B0B706">
      <w:start w:val="1"/>
      <w:numFmt w:val="bullet"/>
      <w:lvlText w:val="o"/>
      <w:lvlJc w:val="left"/>
      <w:pPr>
        <w:ind w:left="3600" w:hanging="360"/>
      </w:pPr>
      <w:rPr>
        <w:rFonts w:ascii="Courier New" w:hAnsi="Courier New" w:hint="default"/>
      </w:rPr>
    </w:lvl>
    <w:lvl w:ilvl="5" w:tplc="FDDC8090">
      <w:start w:val="1"/>
      <w:numFmt w:val="bullet"/>
      <w:lvlText w:val=""/>
      <w:lvlJc w:val="left"/>
      <w:pPr>
        <w:ind w:left="4320" w:hanging="360"/>
      </w:pPr>
      <w:rPr>
        <w:rFonts w:ascii="Wingdings" w:hAnsi="Wingdings" w:hint="default"/>
      </w:rPr>
    </w:lvl>
    <w:lvl w:ilvl="6" w:tplc="B75CB930">
      <w:start w:val="1"/>
      <w:numFmt w:val="bullet"/>
      <w:lvlText w:val=""/>
      <w:lvlJc w:val="left"/>
      <w:pPr>
        <w:ind w:left="5040" w:hanging="360"/>
      </w:pPr>
      <w:rPr>
        <w:rFonts w:ascii="Symbol" w:hAnsi="Symbol" w:hint="default"/>
      </w:rPr>
    </w:lvl>
    <w:lvl w:ilvl="7" w:tplc="F878E028">
      <w:start w:val="1"/>
      <w:numFmt w:val="bullet"/>
      <w:lvlText w:val="o"/>
      <w:lvlJc w:val="left"/>
      <w:pPr>
        <w:ind w:left="5760" w:hanging="360"/>
      </w:pPr>
      <w:rPr>
        <w:rFonts w:ascii="Courier New" w:hAnsi="Courier New" w:hint="default"/>
      </w:rPr>
    </w:lvl>
    <w:lvl w:ilvl="8" w:tplc="F0044B60">
      <w:start w:val="1"/>
      <w:numFmt w:val="bullet"/>
      <w:lvlText w:val=""/>
      <w:lvlJc w:val="left"/>
      <w:pPr>
        <w:ind w:left="6480" w:hanging="360"/>
      </w:pPr>
      <w:rPr>
        <w:rFonts w:ascii="Wingdings" w:hAnsi="Wingdings" w:hint="default"/>
      </w:rPr>
    </w:lvl>
  </w:abstractNum>
  <w:abstractNum w:abstractNumId="2" w15:restartNumberingAfterBreak="0">
    <w:nsid w:val="0F7EA38D"/>
    <w:multiLevelType w:val="hybridMultilevel"/>
    <w:tmpl w:val="64DCA764"/>
    <w:lvl w:ilvl="0" w:tplc="1EC251B0">
      <w:start w:val="1"/>
      <w:numFmt w:val="bullet"/>
      <w:lvlText w:val=""/>
      <w:lvlJc w:val="left"/>
      <w:pPr>
        <w:ind w:left="720" w:hanging="360"/>
      </w:pPr>
      <w:rPr>
        <w:rFonts w:ascii="Symbol" w:hAnsi="Symbol" w:hint="default"/>
      </w:rPr>
    </w:lvl>
    <w:lvl w:ilvl="1" w:tplc="23A85424">
      <w:start w:val="1"/>
      <w:numFmt w:val="bullet"/>
      <w:lvlText w:val="o"/>
      <w:lvlJc w:val="left"/>
      <w:pPr>
        <w:ind w:left="1440" w:hanging="360"/>
      </w:pPr>
      <w:rPr>
        <w:rFonts w:ascii="Courier New" w:hAnsi="Courier New" w:hint="default"/>
      </w:rPr>
    </w:lvl>
    <w:lvl w:ilvl="2" w:tplc="3E0E074A">
      <w:start w:val="1"/>
      <w:numFmt w:val="bullet"/>
      <w:lvlText w:val=""/>
      <w:lvlJc w:val="left"/>
      <w:pPr>
        <w:ind w:left="2160" w:hanging="360"/>
      </w:pPr>
      <w:rPr>
        <w:rFonts w:ascii="Wingdings" w:hAnsi="Wingdings" w:hint="default"/>
      </w:rPr>
    </w:lvl>
    <w:lvl w:ilvl="3" w:tplc="E96A29FC">
      <w:start w:val="1"/>
      <w:numFmt w:val="bullet"/>
      <w:lvlText w:val=""/>
      <w:lvlJc w:val="left"/>
      <w:pPr>
        <w:ind w:left="2880" w:hanging="360"/>
      </w:pPr>
      <w:rPr>
        <w:rFonts w:ascii="Symbol" w:hAnsi="Symbol" w:hint="default"/>
      </w:rPr>
    </w:lvl>
    <w:lvl w:ilvl="4" w:tplc="335EF5CA">
      <w:start w:val="1"/>
      <w:numFmt w:val="bullet"/>
      <w:lvlText w:val="o"/>
      <w:lvlJc w:val="left"/>
      <w:pPr>
        <w:ind w:left="3600" w:hanging="360"/>
      </w:pPr>
      <w:rPr>
        <w:rFonts w:ascii="Courier New" w:hAnsi="Courier New" w:hint="default"/>
      </w:rPr>
    </w:lvl>
    <w:lvl w:ilvl="5" w:tplc="E7508E1E">
      <w:start w:val="1"/>
      <w:numFmt w:val="bullet"/>
      <w:lvlText w:val=""/>
      <w:lvlJc w:val="left"/>
      <w:pPr>
        <w:ind w:left="4320" w:hanging="360"/>
      </w:pPr>
      <w:rPr>
        <w:rFonts w:ascii="Wingdings" w:hAnsi="Wingdings" w:hint="default"/>
      </w:rPr>
    </w:lvl>
    <w:lvl w:ilvl="6" w:tplc="8B0840FC">
      <w:start w:val="1"/>
      <w:numFmt w:val="bullet"/>
      <w:lvlText w:val=""/>
      <w:lvlJc w:val="left"/>
      <w:pPr>
        <w:ind w:left="5040" w:hanging="360"/>
      </w:pPr>
      <w:rPr>
        <w:rFonts w:ascii="Symbol" w:hAnsi="Symbol" w:hint="default"/>
      </w:rPr>
    </w:lvl>
    <w:lvl w:ilvl="7" w:tplc="54C6C738">
      <w:start w:val="1"/>
      <w:numFmt w:val="bullet"/>
      <w:lvlText w:val="o"/>
      <w:lvlJc w:val="left"/>
      <w:pPr>
        <w:ind w:left="5760" w:hanging="360"/>
      </w:pPr>
      <w:rPr>
        <w:rFonts w:ascii="Courier New" w:hAnsi="Courier New" w:hint="default"/>
      </w:rPr>
    </w:lvl>
    <w:lvl w:ilvl="8" w:tplc="5A1C6594">
      <w:start w:val="1"/>
      <w:numFmt w:val="bullet"/>
      <w:lvlText w:val=""/>
      <w:lvlJc w:val="left"/>
      <w:pPr>
        <w:ind w:left="6480" w:hanging="360"/>
      </w:pPr>
      <w:rPr>
        <w:rFonts w:ascii="Wingdings" w:hAnsi="Wingdings" w:hint="default"/>
      </w:rPr>
    </w:lvl>
  </w:abstractNum>
  <w:abstractNum w:abstractNumId="3" w15:restartNumberingAfterBreak="0">
    <w:nsid w:val="159D5D16"/>
    <w:multiLevelType w:val="multilevel"/>
    <w:tmpl w:val="B9183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29B843"/>
    <w:multiLevelType w:val="hybridMultilevel"/>
    <w:tmpl w:val="2360709E"/>
    <w:lvl w:ilvl="0" w:tplc="F24AA228">
      <w:start w:val="1"/>
      <w:numFmt w:val="bullet"/>
      <w:lvlText w:val=""/>
      <w:lvlJc w:val="left"/>
      <w:pPr>
        <w:ind w:left="720" w:hanging="360"/>
      </w:pPr>
      <w:rPr>
        <w:rFonts w:ascii="Symbol" w:hAnsi="Symbol" w:hint="default"/>
      </w:rPr>
    </w:lvl>
    <w:lvl w:ilvl="1" w:tplc="5792E37C">
      <w:start w:val="1"/>
      <w:numFmt w:val="bullet"/>
      <w:lvlText w:val="o"/>
      <w:lvlJc w:val="left"/>
      <w:pPr>
        <w:ind w:left="1440" w:hanging="360"/>
      </w:pPr>
      <w:rPr>
        <w:rFonts w:ascii="Courier New" w:hAnsi="Courier New" w:hint="default"/>
      </w:rPr>
    </w:lvl>
    <w:lvl w:ilvl="2" w:tplc="BDB2DE02">
      <w:start w:val="1"/>
      <w:numFmt w:val="bullet"/>
      <w:lvlText w:val=""/>
      <w:lvlJc w:val="left"/>
      <w:pPr>
        <w:ind w:left="2160" w:hanging="360"/>
      </w:pPr>
      <w:rPr>
        <w:rFonts w:ascii="Wingdings" w:hAnsi="Wingdings" w:hint="default"/>
      </w:rPr>
    </w:lvl>
    <w:lvl w:ilvl="3" w:tplc="A5567E20">
      <w:start w:val="1"/>
      <w:numFmt w:val="bullet"/>
      <w:lvlText w:val=""/>
      <w:lvlJc w:val="left"/>
      <w:pPr>
        <w:ind w:left="2880" w:hanging="360"/>
      </w:pPr>
      <w:rPr>
        <w:rFonts w:ascii="Symbol" w:hAnsi="Symbol" w:hint="default"/>
      </w:rPr>
    </w:lvl>
    <w:lvl w:ilvl="4" w:tplc="FD1CAA5C">
      <w:start w:val="1"/>
      <w:numFmt w:val="bullet"/>
      <w:lvlText w:val="o"/>
      <w:lvlJc w:val="left"/>
      <w:pPr>
        <w:ind w:left="3600" w:hanging="360"/>
      </w:pPr>
      <w:rPr>
        <w:rFonts w:ascii="Courier New" w:hAnsi="Courier New" w:hint="default"/>
      </w:rPr>
    </w:lvl>
    <w:lvl w:ilvl="5" w:tplc="35320768">
      <w:start w:val="1"/>
      <w:numFmt w:val="bullet"/>
      <w:lvlText w:val=""/>
      <w:lvlJc w:val="left"/>
      <w:pPr>
        <w:ind w:left="4320" w:hanging="360"/>
      </w:pPr>
      <w:rPr>
        <w:rFonts w:ascii="Wingdings" w:hAnsi="Wingdings" w:hint="default"/>
      </w:rPr>
    </w:lvl>
    <w:lvl w:ilvl="6" w:tplc="731ECFBC">
      <w:start w:val="1"/>
      <w:numFmt w:val="bullet"/>
      <w:lvlText w:val=""/>
      <w:lvlJc w:val="left"/>
      <w:pPr>
        <w:ind w:left="5040" w:hanging="360"/>
      </w:pPr>
      <w:rPr>
        <w:rFonts w:ascii="Symbol" w:hAnsi="Symbol" w:hint="default"/>
      </w:rPr>
    </w:lvl>
    <w:lvl w:ilvl="7" w:tplc="E0BC2812">
      <w:start w:val="1"/>
      <w:numFmt w:val="bullet"/>
      <w:lvlText w:val="o"/>
      <w:lvlJc w:val="left"/>
      <w:pPr>
        <w:ind w:left="5760" w:hanging="360"/>
      </w:pPr>
      <w:rPr>
        <w:rFonts w:ascii="Courier New" w:hAnsi="Courier New" w:hint="default"/>
      </w:rPr>
    </w:lvl>
    <w:lvl w:ilvl="8" w:tplc="87DEEE40">
      <w:start w:val="1"/>
      <w:numFmt w:val="bullet"/>
      <w:lvlText w:val=""/>
      <w:lvlJc w:val="left"/>
      <w:pPr>
        <w:ind w:left="6480" w:hanging="360"/>
      </w:pPr>
      <w:rPr>
        <w:rFonts w:ascii="Wingdings" w:hAnsi="Wingdings" w:hint="default"/>
      </w:rPr>
    </w:lvl>
  </w:abstractNum>
  <w:abstractNum w:abstractNumId="5" w15:restartNumberingAfterBreak="0">
    <w:nsid w:val="213C5DA0"/>
    <w:multiLevelType w:val="hybridMultilevel"/>
    <w:tmpl w:val="5E2408B0"/>
    <w:lvl w:ilvl="0" w:tplc="8BB8BC8A">
      <w:start w:val="1"/>
      <w:numFmt w:val="bullet"/>
      <w:lvlText w:val=""/>
      <w:lvlJc w:val="left"/>
      <w:pPr>
        <w:ind w:left="720" w:hanging="360"/>
      </w:pPr>
      <w:rPr>
        <w:rFonts w:ascii="Symbol" w:hAnsi="Symbol" w:hint="default"/>
      </w:rPr>
    </w:lvl>
    <w:lvl w:ilvl="1" w:tplc="AE988146">
      <w:start w:val="1"/>
      <w:numFmt w:val="bullet"/>
      <w:lvlText w:val="o"/>
      <w:lvlJc w:val="left"/>
      <w:pPr>
        <w:ind w:left="1440" w:hanging="360"/>
      </w:pPr>
      <w:rPr>
        <w:rFonts w:ascii="Courier New" w:hAnsi="Courier New" w:hint="default"/>
      </w:rPr>
    </w:lvl>
    <w:lvl w:ilvl="2" w:tplc="EF5898DC">
      <w:start w:val="1"/>
      <w:numFmt w:val="bullet"/>
      <w:lvlText w:val=""/>
      <w:lvlJc w:val="left"/>
      <w:pPr>
        <w:ind w:left="2160" w:hanging="360"/>
      </w:pPr>
      <w:rPr>
        <w:rFonts w:ascii="Wingdings" w:hAnsi="Wingdings" w:hint="default"/>
      </w:rPr>
    </w:lvl>
    <w:lvl w:ilvl="3" w:tplc="BE881F6C">
      <w:start w:val="1"/>
      <w:numFmt w:val="bullet"/>
      <w:lvlText w:val=""/>
      <w:lvlJc w:val="left"/>
      <w:pPr>
        <w:ind w:left="2880" w:hanging="360"/>
      </w:pPr>
      <w:rPr>
        <w:rFonts w:ascii="Symbol" w:hAnsi="Symbol" w:hint="default"/>
      </w:rPr>
    </w:lvl>
    <w:lvl w:ilvl="4" w:tplc="EC90DCDC">
      <w:start w:val="1"/>
      <w:numFmt w:val="bullet"/>
      <w:lvlText w:val="o"/>
      <w:lvlJc w:val="left"/>
      <w:pPr>
        <w:ind w:left="3600" w:hanging="360"/>
      </w:pPr>
      <w:rPr>
        <w:rFonts w:ascii="Courier New" w:hAnsi="Courier New" w:hint="default"/>
      </w:rPr>
    </w:lvl>
    <w:lvl w:ilvl="5" w:tplc="7DD6DF32">
      <w:start w:val="1"/>
      <w:numFmt w:val="bullet"/>
      <w:lvlText w:val=""/>
      <w:lvlJc w:val="left"/>
      <w:pPr>
        <w:ind w:left="4320" w:hanging="360"/>
      </w:pPr>
      <w:rPr>
        <w:rFonts w:ascii="Wingdings" w:hAnsi="Wingdings" w:hint="default"/>
      </w:rPr>
    </w:lvl>
    <w:lvl w:ilvl="6" w:tplc="3DD8D124">
      <w:start w:val="1"/>
      <w:numFmt w:val="bullet"/>
      <w:lvlText w:val=""/>
      <w:lvlJc w:val="left"/>
      <w:pPr>
        <w:ind w:left="5040" w:hanging="360"/>
      </w:pPr>
      <w:rPr>
        <w:rFonts w:ascii="Symbol" w:hAnsi="Symbol" w:hint="default"/>
      </w:rPr>
    </w:lvl>
    <w:lvl w:ilvl="7" w:tplc="127C728E">
      <w:start w:val="1"/>
      <w:numFmt w:val="bullet"/>
      <w:lvlText w:val="o"/>
      <w:lvlJc w:val="left"/>
      <w:pPr>
        <w:ind w:left="5760" w:hanging="360"/>
      </w:pPr>
      <w:rPr>
        <w:rFonts w:ascii="Courier New" w:hAnsi="Courier New" w:hint="default"/>
      </w:rPr>
    </w:lvl>
    <w:lvl w:ilvl="8" w:tplc="239EDD1C">
      <w:start w:val="1"/>
      <w:numFmt w:val="bullet"/>
      <w:lvlText w:val=""/>
      <w:lvlJc w:val="left"/>
      <w:pPr>
        <w:ind w:left="6480" w:hanging="360"/>
      </w:pPr>
      <w:rPr>
        <w:rFonts w:ascii="Wingdings" w:hAnsi="Wingdings" w:hint="default"/>
      </w:rPr>
    </w:lvl>
  </w:abstractNum>
  <w:abstractNum w:abstractNumId="6" w15:restartNumberingAfterBreak="0">
    <w:nsid w:val="26792C8C"/>
    <w:multiLevelType w:val="multilevel"/>
    <w:tmpl w:val="70E8128E"/>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93E6D8F"/>
    <w:multiLevelType w:val="hybridMultilevel"/>
    <w:tmpl w:val="FC40E33C"/>
    <w:lvl w:ilvl="0" w:tplc="11984DBC">
      <w:start w:val="1"/>
      <w:numFmt w:val="bullet"/>
      <w:lvlText w:val=""/>
      <w:lvlJc w:val="left"/>
      <w:pPr>
        <w:ind w:left="720" w:hanging="360"/>
      </w:pPr>
      <w:rPr>
        <w:rFonts w:ascii="Symbol" w:hAnsi="Symbol" w:hint="default"/>
      </w:rPr>
    </w:lvl>
    <w:lvl w:ilvl="1" w:tplc="76DC7062">
      <w:start w:val="1"/>
      <w:numFmt w:val="bullet"/>
      <w:lvlText w:val="o"/>
      <w:lvlJc w:val="left"/>
      <w:pPr>
        <w:ind w:left="1440" w:hanging="360"/>
      </w:pPr>
      <w:rPr>
        <w:rFonts w:ascii="Courier New" w:hAnsi="Courier New" w:hint="default"/>
      </w:rPr>
    </w:lvl>
    <w:lvl w:ilvl="2" w:tplc="FDC6222C">
      <w:start w:val="1"/>
      <w:numFmt w:val="bullet"/>
      <w:lvlText w:val=""/>
      <w:lvlJc w:val="left"/>
      <w:pPr>
        <w:ind w:left="2160" w:hanging="360"/>
      </w:pPr>
      <w:rPr>
        <w:rFonts w:ascii="Wingdings" w:hAnsi="Wingdings" w:hint="default"/>
      </w:rPr>
    </w:lvl>
    <w:lvl w:ilvl="3" w:tplc="3EA257A8">
      <w:start w:val="1"/>
      <w:numFmt w:val="bullet"/>
      <w:lvlText w:val=""/>
      <w:lvlJc w:val="left"/>
      <w:pPr>
        <w:ind w:left="2880" w:hanging="360"/>
      </w:pPr>
      <w:rPr>
        <w:rFonts w:ascii="Symbol" w:hAnsi="Symbol" w:hint="default"/>
      </w:rPr>
    </w:lvl>
    <w:lvl w:ilvl="4" w:tplc="36829A62">
      <w:start w:val="1"/>
      <w:numFmt w:val="bullet"/>
      <w:lvlText w:val="o"/>
      <w:lvlJc w:val="left"/>
      <w:pPr>
        <w:ind w:left="3600" w:hanging="360"/>
      </w:pPr>
      <w:rPr>
        <w:rFonts w:ascii="Courier New" w:hAnsi="Courier New" w:hint="default"/>
      </w:rPr>
    </w:lvl>
    <w:lvl w:ilvl="5" w:tplc="2F540FEC">
      <w:start w:val="1"/>
      <w:numFmt w:val="bullet"/>
      <w:lvlText w:val=""/>
      <w:lvlJc w:val="left"/>
      <w:pPr>
        <w:ind w:left="4320" w:hanging="360"/>
      </w:pPr>
      <w:rPr>
        <w:rFonts w:ascii="Wingdings" w:hAnsi="Wingdings" w:hint="default"/>
      </w:rPr>
    </w:lvl>
    <w:lvl w:ilvl="6" w:tplc="2E2C9918">
      <w:start w:val="1"/>
      <w:numFmt w:val="bullet"/>
      <w:lvlText w:val=""/>
      <w:lvlJc w:val="left"/>
      <w:pPr>
        <w:ind w:left="5040" w:hanging="360"/>
      </w:pPr>
      <w:rPr>
        <w:rFonts w:ascii="Symbol" w:hAnsi="Symbol" w:hint="default"/>
      </w:rPr>
    </w:lvl>
    <w:lvl w:ilvl="7" w:tplc="C400D368">
      <w:start w:val="1"/>
      <w:numFmt w:val="bullet"/>
      <w:lvlText w:val="o"/>
      <w:lvlJc w:val="left"/>
      <w:pPr>
        <w:ind w:left="5760" w:hanging="360"/>
      </w:pPr>
      <w:rPr>
        <w:rFonts w:ascii="Courier New" w:hAnsi="Courier New" w:hint="default"/>
      </w:rPr>
    </w:lvl>
    <w:lvl w:ilvl="8" w:tplc="FA52D826">
      <w:start w:val="1"/>
      <w:numFmt w:val="bullet"/>
      <w:lvlText w:val=""/>
      <w:lvlJc w:val="left"/>
      <w:pPr>
        <w:ind w:left="6480" w:hanging="360"/>
      </w:pPr>
      <w:rPr>
        <w:rFonts w:ascii="Wingdings" w:hAnsi="Wingdings" w:hint="default"/>
      </w:rPr>
    </w:lvl>
  </w:abstractNum>
  <w:abstractNum w:abstractNumId="8" w15:restartNumberingAfterBreak="0">
    <w:nsid w:val="2A5D8490"/>
    <w:multiLevelType w:val="hybridMultilevel"/>
    <w:tmpl w:val="F61C1A30"/>
    <w:lvl w:ilvl="0" w:tplc="ECCE31E8">
      <w:start w:val="1"/>
      <w:numFmt w:val="bullet"/>
      <w:lvlText w:val=""/>
      <w:lvlJc w:val="left"/>
      <w:pPr>
        <w:ind w:left="720" w:hanging="360"/>
      </w:pPr>
      <w:rPr>
        <w:rFonts w:ascii="Symbol" w:hAnsi="Symbol" w:hint="default"/>
      </w:rPr>
    </w:lvl>
    <w:lvl w:ilvl="1" w:tplc="F77AB45C">
      <w:start w:val="1"/>
      <w:numFmt w:val="bullet"/>
      <w:lvlText w:val="o"/>
      <w:lvlJc w:val="left"/>
      <w:pPr>
        <w:ind w:left="1440" w:hanging="360"/>
      </w:pPr>
      <w:rPr>
        <w:rFonts w:ascii="Courier New" w:hAnsi="Courier New" w:hint="default"/>
      </w:rPr>
    </w:lvl>
    <w:lvl w:ilvl="2" w:tplc="DFCE727C">
      <w:start w:val="1"/>
      <w:numFmt w:val="bullet"/>
      <w:lvlText w:val=""/>
      <w:lvlJc w:val="left"/>
      <w:pPr>
        <w:ind w:left="2160" w:hanging="360"/>
      </w:pPr>
      <w:rPr>
        <w:rFonts w:ascii="Wingdings" w:hAnsi="Wingdings" w:hint="default"/>
      </w:rPr>
    </w:lvl>
    <w:lvl w:ilvl="3" w:tplc="7D72F3E6">
      <w:start w:val="1"/>
      <w:numFmt w:val="bullet"/>
      <w:lvlText w:val=""/>
      <w:lvlJc w:val="left"/>
      <w:pPr>
        <w:ind w:left="2880" w:hanging="360"/>
      </w:pPr>
      <w:rPr>
        <w:rFonts w:ascii="Symbol" w:hAnsi="Symbol" w:hint="default"/>
      </w:rPr>
    </w:lvl>
    <w:lvl w:ilvl="4" w:tplc="80C21BE8">
      <w:start w:val="1"/>
      <w:numFmt w:val="bullet"/>
      <w:lvlText w:val="o"/>
      <w:lvlJc w:val="left"/>
      <w:pPr>
        <w:ind w:left="3600" w:hanging="360"/>
      </w:pPr>
      <w:rPr>
        <w:rFonts w:ascii="Courier New" w:hAnsi="Courier New" w:hint="default"/>
      </w:rPr>
    </w:lvl>
    <w:lvl w:ilvl="5" w:tplc="D9D8B850">
      <w:start w:val="1"/>
      <w:numFmt w:val="bullet"/>
      <w:lvlText w:val=""/>
      <w:lvlJc w:val="left"/>
      <w:pPr>
        <w:ind w:left="4320" w:hanging="360"/>
      </w:pPr>
      <w:rPr>
        <w:rFonts w:ascii="Wingdings" w:hAnsi="Wingdings" w:hint="default"/>
      </w:rPr>
    </w:lvl>
    <w:lvl w:ilvl="6" w:tplc="5B4835EC">
      <w:start w:val="1"/>
      <w:numFmt w:val="bullet"/>
      <w:lvlText w:val=""/>
      <w:lvlJc w:val="left"/>
      <w:pPr>
        <w:ind w:left="5040" w:hanging="360"/>
      </w:pPr>
      <w:rPr>
        <w:rFonts w:ascii="Symbol" w:hAnsi="Symbol" w:hint="default"/>
      </w:rPr>
    </w:lvl>
    <w:lvl w:ilvl="7" w:tplc="2DE88F78">
      <w:start w:val="1"/>
      <w:numFmt w:val="bullet"/>
      <w:lvlText w:val="o"/>
      <w:lvlJc w:val="left"/>
      <w:pPr>
        <w:ind w:left="5760" w:hanging="360"/>
      </w:pPr>
      <w:rPr>
        <w:rFonts w:ascii="Courier New" w:hAnsi="Courier New" w:hint="default"/>
      </w:rPr>
    </w:lvl>
    <w:lvl w:ilvl="8" w:tplc="930CD2F8">
      <w:start w:val="1"/>
      <w:numFmt w:val="bullet"/>
      <w:lvlText w:val=""/>
      <w:lvlJc w:val="left"/>
      <w:pPr>
        <w:ind w:left="6480" w:hanging="360"/>
      </w:pPr>
      <w:rPr>
        <w:rFonts w:ascii="Wingdings" w:hAnsi="Wingdings" w:hint="default"/>
      </w:rPr>
    </w:lvl>
  </w:abstractNum>
  <w:abstractNum w:abstractNumId="9" w15:restartNumberingAfterBreak="0">
    <w:nsid w:val="361C7ED2"/>
    <w:multiLevelType w:val="multilevel"/>
    <w:tmpl w:val="4920E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92E002"/>
    <w:multiLevelType w:val="hybridMultilevel"/>
    <w:tmpl w:val="44862BFE"/>
    <w:lvl w:ilvl="0" w:tplc="314442D2">
      <w:start w:val="1"/>
      <w:numFmt w:val="bullet"/>
      <w:lvlText w:val=""/>
      <w:lvlJc w:val="left"/>
      <w:pPr>
        <w:ind w:left="720" w:hanging="360"/>
      </w:pPr>
      <w:rPr>
        <w:rFonts w:ascii="Symbol" w:hAnsi="Symbol" w:hint="default"/>
      </w:rPr>
    </w:lvl>
    <w:lvl w:ilvl="1" w:tplc="DE96C26C">
      <w:start w:val="1"/>
      <w:numFmt w:val="bullet"/>
      <w:lvlText w:val="o"/>
      <w:lvlJc w:val="left"/>
      <w:pPr>
        <w:ind w:left="1440" w:hanging="360"/>
      </w:pPr>
      <w:rPr>
        <w:rFonts w:ascii="Courier New" w:hAnsi="Courier New" w:hint="default"/>
      </w:rPr>
    </w:lvl>
    <w:lvl w:ilvl="2" w:tplc="4F283714">
      <w:start w:val="1"/>
      <w:numFmt w:val="bullet"/>
      <w:lvlText w:val=""/>
      <w:lvlJc w:val="left"/>
      <w:pPr>
        <w:ind w:left="2160" w:hanging="360"/>
      </w:pPr>
      <w:rPr>
        <w:rFonts w:ascii="Wingdings" w:hAnsi="Wingdings" w:hint="default"/>
      </w:rPr>
    </w:lvl>
    <w:lvl w:ilvl="3" w:tplc="6298BABA">
      <w:start w:val="1"/>
      <w:numFmt w:val="bullet"/>
      <w:lvlText w:val=""/>
      <w:lvlJc w:val="left"/>
      <w:pPr>
        <w:ind w:left="2880" w:hanging="360"/>
      </w:pPr>
      <w:rPr>
        <w:rFonts w:ascii="Symbol" w:hAnsi="Symbol" w:hint="default"/>
      </w:rPr>
    </w:lvl>
    <w:lvl w:ilvl="4" w:tplc="FF4E13F6">
      <w:start w:val="1"/>
      <w:numFmt w:val="bullet"/>
      <w:lvlText w:val="o"/>
      <w:lvlJc w:val="left"/>
      <w:pPr>
        <w:ind w:left="3600" w:hanging="360"/>
      </w:pPr>
      <w:rPr>
        <w:rFonts w:ascii="Courier New" w:hAnsi="Courier New" w:hint="default"/>
      </w:rPr>
    </w:lvl>
    <w:lvl w:ilvl="5" w:tplc="2162F51E">
      <w:start w:val="1"/>
      <w:numFmt w:val="bullet"/>
      <w:lvlText w:val=""/>
      <w:lvlJc w:val="left"/>
      <w:pPr>
        <w:ind w:left="4320" w:hanging="360"/>
      </w:pPr>
      <w:rPr>
        <w:rFonts w:ascii="Wingdings" w:hAnsi="Wingdings" w:hint="default"/>
      </w:rPr>
    </w:lvl>
    <w:lvl w:ilvl="6" w:tplc="03F05C58">
      <w:start w:val="1"/>
      <w:numFmt w:val="bullet"/>
      <w:lvlText w:val=""/>
      <w:lvlJc w:val="left"/>
      <w:pPr>
        <w:ind w:left="5040" w:hanging="360"/>
      </w:pPr>
      <w:rPr>
        <w:rFonts w:ascii="Symbol" w:hAnsi="Symbol" w:hint="default"/>
      </w:rPr>
    </w:lvl>
    <w:lvl w:ilvl="7" w:tplc="353ED80C">
      <w:start w:val="1"/>
      <w:numFmt w:val="bullet"/>
      <w:lvlText w:val="o"/>
      <w:lvlJc w:val="left"/>
      <w:pPr>
        <w:ind w:left="5760" w:hanging="360"/>
      </w:pPr>
      <w:rPr>
        <w:rFonts w:ascii="Courier New" w:hAnsi="Courier New" w:hint="default"/>
      </w:rPr>
    </w:lvl>
    <w:lvl w:ilvl="8" w:tplc="DD5234DA">
      <w:start w:val="1"/>
      <w:numFmt w:val="bullet"/>
      <w:lvlText w:val=""/>
      <w:lvlJc w:val="left"/>
      <w:pPr>
        <w:ind w:left="6480" w:hanging="360"/>
      </w:pPr>
      <w:rPr>
        <w:rFonts w:ascii="Wingdings" w:hAnsi="Wingdings" w:hint="default"/>
      </w:rPr>
    </w:lvl>
  </w:abstractNum>
  <w:abstractNum w:abstractNumId="11" w15:restartNumberingAfterBreak="0">
    <w:nsid w:val="3FAE9560"/>
    <w:multiLevelType w:val="hybridMultilevel"/>
    <w:tmpl w:val="B1489CD4"/>
    <w:lvl w:ilvl="0" w:tplc="049A00FC">
      <w:start w:val="1"/>
      <w:numFmt w:val="bullet"/>
      <w:lvlText w:val=""/>
      <w:lvlJc w:val="left"/>
      <w:pPr>
        <w:ind w:left="720" w:hanging="360"/>
      </w:pPr>
      <w:rPr>
        <w:rFonts w:ascii="Symbol" w:hAnsi="Symbol" w:hint="default"/>
      </w:rPr>
    </w:lvl>
    <w:lvl w:ilvl="1" w:tplc="2774F388">
      <w:start w:val="1"/>
      <w:numFmt w:val="bullet"/>
      <w:lvlText w:val="o"/>
      <w:lvlJc w:val="left"/>
      <w:pPr>
        <w:ind w:left="1440" w:hanging="360"/>
      </w:pPr>
      <w:rPr>
        <w:rFonts w:ascii="Courier New" w:hAnsi="Courier New" w:hint="default"/>
      </w:rPr>
    </w:lvl>
    <w:lvl w:ilvl="2" w:tplc="59B283B6">
      <w:start w:val="1"/>
      <w:numFmt w:val="bullet"/>
      <w:lvlText w:val=""/>
      <w:lvlJc w:val="left"/>
      <w:pPr>
        <w:ind w:left="2160" w:hanging="360"/>
      </w:pPr>
      <w:rPr>
        <w:rFonts w:ascii="Wingdings" w:hAnsi="Wingdings" w:hint="default"/>
      </w:rPr>
    </w:lvl>
    <w:lvl w:ilvl="3" w:tplc="5B72C120">
      <w:start w:val="1"/>
      <w:numFmt w:val="bullet"/>
      <w:lvlText w:val=""/>
      <w:lvlJc w:val="left"/>
      <w:pPr>
        <w:ind w:left="2880" w:hanging="360"/>
      </w:pPr>
      <w:rPr>
        <w:rFonts w:ascii="Symbol" w:hAnsi="Symbol" w:hint="default"/>
      </w:rPr>
    </w:lvl>
    <w:lvl w:ilvl="4" w:tplc="602834BC">
      <w:start w:val="1"/>
      <w:numFmt w:val="bullet"/>
      <w:lvlText w:val="o"/>
      <w:lvlJc w:val="left"/>
      <w:pPr>
        <w:ind w:left="3600" w:hanging="360"/>
      </w:pPr>
      <w:rPr>
        <w:rFonts w:ascii="Courier New" w:hAnsi="Courier New" w:hint="default"/>
      </w:rPr>
    </w:lvl>
    <w:lvl w:ilvl="5" w:tplc="8424F770">
      <w:start w:val="1"/>
      <w:numFmt w:val="bullet"/>
      <w:lvlText w:val=""/>
      <w:lvlJc w:val="left"/>
      <w:pPr>
        <w:ind w:left="4320" w:hanging="360"/>
      </w:pPr>
      <w:rPr>
        <w:rFonts w:ascii="Wingdings" w:hAnsi="Wingdings" w:hint="default"/>
      </w:rPr>
    </w:lvl>
    <w:lvl w:ilvl="6" w:tplc="34A61C48">
      <w:start w:val="1"/>
      <w:numFmt w:val="bullet"/>
      <w:lvlText w:val=""/>
      <w:lvlJc w:val="left"/>
      <w:pPr>
        <w:ind w:left="5040" w:hanging="360"/>
      </w:pPr>
      <w:rPr>
        <w:rFonts w:ascii="Symbol" w:hAnsi="Symbol" w:hint="default"/>
      </w:rPr>
    </w:lvl>
    <w:lvl w:ilvl="7" w:tplc="50A05D4E">
      <w:start w:val="1"/>
      <w:numFmt w:val="bullet"/>
      <w:lvlText w:val="o"/>
      <w:lvlJc w:val="left"/>
      <w:pPr>
        <w:ind w:left="5760" w:hanging="360"/>
      </w:pPr>
      <w:rPr>
        <w:rFonts w:ascii="Courier New" w:hAnsi="Courier New" w:hint="default"/>
      </w:rPr>
    </w:lvl>
    <w:lvl w:ilvl="8" w:tplc="DB947674">
      <w:start w:val="1"/>
      <w:numFmt w:val="bullet"/>
      <w:lvlText w:val=""/>
      <w:lvlJc w:val="left"/>
      <w:pPr>
        <w:ind w:left="6480" w:hanging="360"/>
      </w:pPr>
      <w:rPr>
        <w:rFonts w:ascii="Wingdings" w:hAnsi="Wingdings" w:hint="default"/>
      </w:rPr>
    </w:lvl>
  </w:abstractNum>
  <w:abstractNum w:abstractNumId="12" w15:restartNumberingAfterBreak="0">
    <w:nsid w:val="43502680"/>
    <w:multiLevelType w:val="multilevel"/>
    <w:tmpl w:val="46709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3B5563"/>
    <w:multiLevelType w:val="hybridMultilevel"/>
    <w:tmpl w:val="D80E4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B44AC2"/>
    <w:multiLevelType w:val="hybridMultilevel"/>
    <w:tmpl w:val="CE02B48C"/>
    <w:lvl w:ilvl="0" w:tplc="1408D8AE">
      <w:start w:val="1"/>
      <w:numFmt w:val="bullet"/>
      <w:lvlText w:val=""/>
      <w:lvlJc w:val="left"/>
      <w:pPr>
        <w:ind w:left="720" w:hanging="360"/>
      </w:pPr>
      <w:rPr>
        <w:rFonts w:ascii="Symbol" w:hAnsi="Symbol" w:hint="default"/>
      </w:rPr>
    </w:lvl>
    <w:lvl w:ilvl="1" w:tplc="098C967E">
      <w:start w:val="1"/>
      <w:numFmt w:val="bullet"/>
      <w:lvlText w:val="o"/>
      <w:lvlJc w:val="left"/>
      <w:pPr>
        <w:ind w:left="1440" w:hanging="360"/>
      </w:pPr>
      <w:rPr>
        <w:rFonts w:ascii="Courier New" w:hAnsi="Courier New" w:hint="default"/>
      </w:rPr>
    </w:lvl>
    <w:lvl w:ilvl="2" w:tplc="CBD4FBAC">
      <w:start w:val="1"/>
      <w:numFmt w:val="bullet"/>
      <w:lvlText w:val=""/>
      <w:lvlJc w:val="left"/>
      <w:pPr>
        <w:ind w:left="2160" w:hanging="360"/>
      </w:pPr>
      <w:rPr>
        <w:rFonts w:ascii="Wingdings" w:hAnsi="Wingdings" w:hint="default"/>
      </w:rPr>
    </w:lvl>
    <w:lvl w:ilvl="3" w:tplc="A1AE3024">
      <w:start w:val="1"/>
      <w:numFmt w:val="bullet"/>
      <w:lvlText w:val=""/>
      <w:lvlJc w:val="left"/>
      <w:pPr>
        <w:ind w:left="2880" w:hanging="360"/>
      </w:pPr>
      <w:rPr>
        <w:rFonts w:ascii="Symbol" w:hAnsi="Symbol" w:hint="default"/>
      </w:rPr>
    </w:lvl>
    <w:lvl w:ilvl="4" w:tplc="54FA6080">
      <w:start w:val="1"/>
      <w:numFmt w:val="bullet"/>
      <w:lvlText w:val="o"/>
      <w:lvlJc w:val="left"/>
      <w:pPr>
        <w:ind w:left="3600" w:hanging="360"/>
      </w:pPr>
      <w:rPr>
        <w:rFonts w:ascii="Courier New" w:hAnsi="Courier New" w:hint="default"/>
      </w:rPr>
    </w:lvl>
    <w:lvl w:ilvl="5" w:tplc="647ED234">
      <w:start w:val="1"/>
      <w:numFmt w:val="bullet"/>
      <w:lvlText w:val=""/>
      <w:lvlJc w:val="left"/>
      <w:pPr>
        <w:ind w:left="4320" w:hanging="360"/>
      </w:pPr>
      <w:rPr>
        <w:rFonts w:ascii="Wingdings" w:hAnsi="Wingdings" w:hint="default"/>
      </w:rPr>
    </w:lvl>
    <w:lvl w:ilvl="6" w:tplc="A4FA8DC8">
      <w:start w:val="1"/>
      <w:numFmt w:val="bullet"/>
      <w:lvlText w:val=""/>
      <w:lvlJc w:val="left"/>
      <w:pPr>
        <w:ind w:left="5040" w:hanging="360"/>
      </w:pPr>
      <w:rPr>
        <w:rFonts w:ascii="Symbol" w:hAnsi="Symbol" w:hint="default"/>
      </w:rPr>
    </w:lvl>
    <w:lvl w:ilvl="7" w:tplc="B4128A56">
      <w:start w:val="1"/>
      <w:numFmt w:val="bullet"/>
      <w:lvlText w:val="o"/>
      <w:lvlJc w:val="left"/>
      <w:pPr>
        <w:ind w:left="5760" w:hanging="360"/>
      </w:pPr>
      <w:rPr>
        <w:rFonts w:ascii="Courier New" w:hAnsi="Courier New" w:hint="default"/>
      </w:rPr>
    </w:lvl>
    <w:lvl w:ilvl="8" w:tplc="67AA3BE8">
      <w:start w:val="1"/>
      <w:numFmt w:val="bullet"/>
      <w:lvlText w:val=""/>
      <w:lvlJc w:val="left"/>
      <w:pPr>
        <w:ind w:left="6480" w:hanging="360"/>
      </w:pPr>
      <w:rPr>
        <w:rFonts w:ascii="Wingdings" w:hAnsi="Wingdings" w:hint="default"/>
      </w:rPr>
    </w:lvl>
  </w:abstractNum>
  <w:abstractNum w:abstractNumId="15" w15:restartNumberingAfterBreak="0">
    <w:nsid w:val="4E75EC8C"/>
    <w:multiLevelType w:val="hybridMultilevel"/>
    <w:tmpl w:val="118A1E0E"/>
    <w:lvl w:ilvl="0" w:tplc="69ECEE02">
      <w:start w:val="1"/>
      <w:numFmt w:val="bullet"/>
      <w:lvlText w:val=""/>
      <w:lvlJc w:val="left"/>
      <w:pPr>
        <w:ind w:left="720" w:hanging="360"/>
      </w:pPr>
      <w:rPr>
        <w:rFonts w:ascii="Symbol" w:hAnsi="Symbol" w:hint="default"/>
      </w:rPr>
    </w:lvl>
    <w:lvl w:ilvl="1" w:tplc="7B1C5ED8">
      <w:start w:val="1"/>
      <w:numFmt w:val="bullet"/>
      <w:lvlText w:val="o"/>
      <w:lvlJc w:val="left"/>
      <w:pPr>
        <w:ind w:left="1440" w:hanging="360"/>
      </w:pPr>
      <w:rPr>
        <w:rFonts w:ascii="Courier New" w:hAnsi="Courier New" w:hint="default"/>
      </w:rPr>
    </w:lvl>
    <w:lvl w:ilvl="2" w:tplc="F8569B3A">
      <w:start w:val="1"/>
      <w:numFmt w:val="bullet"/>
      <w:lvlText w:val=""/>
      <w:lvlJc w:val="left"/>
      <w:pPr>
        <w:ind w:left="2160" w:hanging="360"/>
      </w:pPr>
      <w:rPr>
        <w:rFonts w:ascii="Wingdings" w:hAnsi="Wingdings" w:hint="default"/>
      </w:rPr>
    </w:lvl>
    <w:lvl w:ilvl="3" w:tplc="8D64B71C">
      <w:start w:val="1"/>
      <w:numFmt w:val="bullet"/>
      <w:lvlText w:val=""/>
      <w:lvlJc w:val="left"/>
      <w:pPr>
        <w:ind w:left="2880" w:hanging="360"/>
      </w:pPr>
      <w:rPr>
        <w:rFonts w:ascii="Symbol" w:hAnsi="Symbol" w:hint="default"/>
      </w:rPr>
    </w:lvl>
    <w:lvl w:ilvl="4" w:tplc="3B64DDF2">
      <w:start w:val="1"/>
      <w:numFmt w:val="bullet"/>
      <w:lvlText w:val="o"/>
      <w:lvlJc w:val="left"/>
      <w:pPr>
        <w:ind w:left="3600" w:hanging="360"/>
      </w:pPr>
      <w:rPr>
        <w:rFonts w:ascii="Courier New" w:hAnsi="Courier New" w:hint="default"/>
      </w:rPr>
    </w:lvl>
    <w:lvl w:ilvl="5" w:tplc="494A046E">
      <w:start w:val="1"/>
      <w:numFmt w:val="bullet"/>
      <w:lvlText w:val=""/>
      <w:lvlJc w:val="left"/>
      <w:pPr>
        <w:ind w:left="4320" w:hanging="360"/>
      </w:pPr>
      <w:rPr>
        <w:rFonts w:ascii="Wingdings" w:hAnsi="Wingdings" w:hint="default"/>
      </w:rPr>
    </w:lvl>
    <w:lvl w:ilvl="6" w:tplc="5002EC62">
      <w:start w:val="1"/>
      <w:numFmt w:val="bullet"/>
      <w:lvlText w:val=""/>
      <w:lvlJc w:val="left"/>
      <w:pPr>
        <w:ind w:left="5040" w:hanging="360"/>
      </w:pPr>
      <w:rPr>
        <w:rFonts w:ascii="Symbol" w:hAnsi="Symbol" w:hint="default"/>
      </w:rPr>
    </w:lvl>
    <w:lvl w:ilvl="7" w:tplc="1CC89BF0">
      <w:start w:val="1"/>
      <w:numFmt w:val="bullet"/>
      <w:lvlText w:val="o"/>
      <w:lvlJc w:val="left"/>
      <w:pPr>
        <w:ind w:left="5760" w:hanging="360"/>
      </w:pPr>
      <w:rPr>
        <w:rFonts w:ascii="Courier New" w:hAnsi="Courier New" w:hint="default"/>
      </w:rPr>
    </w:lvl>
    <w:lvl w:ilvl="8" w:tplc="CE1CB4AA">
      <w:start w:val="1"/>
      <w:numFmt w:val="bullet"/>
      <w:lvlText w:val=""/>
      <w:lvlJc w:val="left"/>
      <w:pPr>
        <w:ind w:left="6480" w:hanging="360"/>
      </w:pPr>
      <w:rPr>
        <w:rFonts w:ascii="Wingdings" w:hAnsi="Wingdings" w:hint="default"/>
      </w:rPr>
    </w:lvl>
  </w:abstractNum>
  <w:abstractNum w:abstractNumId="16" w15:restartNumberingAfterBreak="0">
    <w:nsid w:val="530229AF"/>
    <w:multiLevelType w:val="hybridMultilevel"/>
    <w:tmpl w:val="1E5AE6A8"/>
    <w:lvl w:ilvl="0" w:tplc="6A188A28">
      <w:start w:val="1"/>
      <w:numFmt w:val="decimal"/>
      <w:lvlText w:val="%1."/>
      <w:lvlJc w:val="left"/>
      <w:pPr>
        <w:ind w:left="720" w:hanging="360"/>
      </w:pPr>
    </w:lvl>
    <w:lvl w:ilvl="1" w:tplc="A2681EFC">
      <w:start w:val="1"/>
      <w:numFmt w:val="lowerLetter"/>
      <w:lvlText w:val="%2."/>
      <w:lvlJc w:val="left"/>
      <w:pPr>
        <w:ind w:left="1440" w:hanging="360"/>
      </w:pPr>
    </w:lvl>
    <w:lvl w:ilvl="2" w:tplc="1FB4C09E">
      <w:start w:val="1"/>
      <w:numFmt w:val="lowerRoman"/>
      <w:lvlText w:val="%3."/>
      <w:lvlJc w:val="right"/>
      <w:pPr>
        <w:ind w:left="2160" w:hanging="180"/>
      </w:pPr>
    </w:lvl>
    <w:lvl w:ilvl="3" w:tplc="1A020788">
      <w:start w:val="1"/>
      <w:numFmt w:val="decimal"/>
      <w:lvlText w:val="%4."/>
      <w:lvlJc w:val="left"/>
      <w:pPr>
        <w:ind w:left="2880" w:hanging="360"/>
      </w:pPr>
    </w:lvl>
    <w:lvl w:ilvl="4" w:tplc="44945648">
      <w:start w:val="1"/>
      <w:numFmt w:val="lowerLetter"/>
      <w:lvlText w:val="%5."/>
      <w:lvlJc w:val="left"/>
      <w:pPr>
        <w:ind w:left="3600" w:hanging="360"/>
      </w:pPr>
    </w:lvl>
    <w:lvl w:ilvl="5" w:tplc="7930ADE6">
      <w:start w:val="1"/>
      <w:numFmt w:val="lowerRoman"/>
      <w:lvlText w:val="%6."/>
      <w:lvlJc w:val="right"/>
      <w:pPr>
        <w:ind w:left="4320" w:hanging="180"/>
      </w:pPr>
    </w:lvl>
    <w:lvl w:ilvl="6" w:tplc="D1727EB8">
      <w:start w:val="1"/>
      <w:numFmt w:val="decimal"/>
      <w:lvlText w:val="%7."/>
      <w:lvlJc w:val="left"/>
      <w:pPr>
        <w:ind w:left="5040" w:hanging="360"/>
      </w:pPr>
    </w:lvl>
    <w:lvl w:ilvl="7" w:tplc="EB6AC376">
      <w:start w:val="1"/>
      <w:numFmt w:val="lowerLetter"/>
      <w:lvlText w:val="%8."/>
      <w:lvlJc w:val="left"/>
      <w:pPr>
        <w:ind w:left="5760" w:hanging="360"/>
      </w:pPr>
    </w:lvl>
    <w:lvl w:ilvl="8" w:tplc="0116FB74">
      <w:start w:val="1"/>
      <w:numFmt w:val="lowerRoman"/>
      <w:lvlText w:val="%9."/>
      <w:lvlJc w:val="right"/>
      <w:pPr>
        <w:ind w:left="6480" w:hanging="180"/>
      </w:pPr>
    </w:lvl>
  </w:abstractNum>
  <w:abstractNum w:abstractNumId="17" w15:restartNumberingAfterBreak="0">
    <w:nsid w:val="534D6800"/>
    <w:multiLevelType w:val="hybridMultilevel"/>
    <w:tmpl w:val="4B382A3E"/>
    <w:lvl w:ilvl="0" w:tplc="072EC87E">
      <w:start w:val="1"/>
      <w:numFmt w:val="bullet"/>
      <w:lvlText w:val=""/>
      <w:lvlJc w:val="left"/>
      <w:pPr>
        <w:ind w:left="720" w:hanging="360"/>
      </w:pPr>
      <w:rPr>
        <w:rFonts w:ascii="Symbol" w:hAnsi="Symbol" w:hint="default"/>
      </w:rPr>
    </w:lvl>
    <w:lvl w:ilvl="1" w:tplc="0A9434FA">
      <w:start w:val="1"/>
      <w:numFmt w:val="bullet"/>
      <w:lvlText w:val="o"/>
      <w:lvlJc w:val="left"/>
      <w:pPr>
        <w:ind w:left="1440" w:hanging="360"/>
      </w:pPr>
      <w:rPr>
        <w:rFonts w:ascii="Courier New" w:hAnsi="Courier New" w:hint="default"/>
      </w:rPr>
    </w:lvl>
    <w:lvl w:ilvl="2" w:tplc="E438C3C4">
      <w:start w:val="1"/>
      <w:numFmt w:val="bullet"/>
      <w:lvlText w:val=""/>
      <w:lvlJc w:val="left"/>
      <w:pPr>
        <w:ind w:left="2160" w:hanging="360"/>
      </w:pPr>
      <w:rPr>
        <w:rFonts w:ascii="Wingdings" w:hAnsi="Wingdings" w:hint="default"/>
      </w:rPr>
    </w:lvl>
    <w:lvl w:ilvl="3" w:tplc="D646E54C">
      <w:start w:val="1"/>
      <w:numFmt w:val="bullet"/>
      <w:lvlText w:val=""/>
      <w:lvlJc w:val="left"/>
      <w:pPr>
        <w:ind w:left="2880" w:hanging="360"/>
      </w:pPr>
      <w:rPr>
        <w:rFonts w:ascii="Symbol" w:hAnsi="Symbol" w:hint="default"/>
      </w:rPr>
    </w:lvl>
    <w:lvl w:ilvl="4" w:tplc="4614D658">
      <w:start w:val="1"/>
      <w:numFmt w:val="bullet"/>
      <w:lvlText w:val="o"/>
      <w:lvlJc w:val="left"/>
      <w:pPr>
        <w:ind w:left="3600" w:hanging="360"/>
      </w:pPr>
      <w:rPr>
        <w:rFonts w:ascii="Courier New" w:hAnsi="Courier New" w:hint="default"/>
      </w:rPr>
    </w:lvl>
    <w:lvl w:ilvl="5" w:tplc="AC2E04A2">
      <w:start w:val="1"/>
      <w:numFmt w:val="bullet"/>
      <w:lvlText w:val=""/>
      <w:lvlJc w:val="left"/>
      <w:pPr>
        <w:ind w:left="4320" w:hanging="360"/>
      </w:pPr>
      <w:rPr>
        <w:rFonts w:ascii="Wingdings" w:hAnsi="Wingdings" w:hint="default"/>
      </w:rPr>
    </w:lvl>
    <w:lvl w:ilvl="6" w:tplc="15969C34">
      <w:start w:val="1"/>
      <w:numFmt w:val="bullet"/>
      <w:lvlText w:val=""/>
      <w:lvlJc w:val="left"/>
      <w:pPr>
        <w:ind w:left="5040" w:hanging="360"/>
      </w:pPr>
      <w:rPr>
        <w:rFonts w:ascii="Symbol" w:hAnsi="Symbol" w:hint="default"/>
      </w:rPr>
    </w:lvl>
    <w:lvl w:ilvl="7" w:tplc="EF88C69A">
      <w:start w:val="1"/>
      <w:numFmt w:val="bullet"/>
      <w:lvlText w:val="o"/>
      <w:lvlJc w:val="left"/>
      <w:pPr>
        <w:ind w:left="5760" w:hanging="360"/>
      </w:pPr>
      <w:rPr>
        <w:rFonts w:ascii="Courier New" w:hAnsi="Courier New" w:hint="default"/>
      </w:rPr>
    </w:lvl>
    <w:lvl w:ilvl="8" w:tplc="A1E083C2">
      <w:start w:val="1"/>
      <w:numFmt w:val="bullet"/>
      <w:lvlText w:val=""/>
      <w:lvlJc w:val="left"/>
      <w:pPr>
        <w:ind w:left="6480" w:hanging="360"/>
      </w:pPr>
      <w:rPr>
        <w:rFonts w:ascii="Wingdings" w:hAnsi="Wingdings" w:hint="default"/>
      </w:rPr>
    </w:lvl>
  </w:abstractNum>
  <w:abstractNum w:abstractNumId="18" w15:restartNumberingAfterBreak="0">
    <w:nsid w:val="55549D7A"/>
    <w:multiLevelType w:val="hybridMultilevel"/>
    <w:tmpl w:val="977C036C"/>
    <w:lvl w:ilvl="0" w:tplc="8BD4B236">
      <w:start w:val="1"/>
      <w:numFmt w:val="bullet"/>
      <w:lvlText w:val=""/>
      <w:lvlJc w:val="left"/>
      <w:pPr>
        <w:ind w:left="720" w:hanging="360"/>
      </w:pPr>
      <w:rPr>
        <w:rFonts w:ascii="Symbol" w:hAnsi="Symbol" w:hint="default"/>
      </w:rPr>
    </w:lvl>
    <w:lvl w:ilvl="1" w:tplc="40C6381E">
      <w:start w:val="1"/>
      <w:numFmt w:val="bullet"/>
      <w:lvlText w:val="o"/>
      <w:lvlJc w:val="left"/>
      <w:pPr>
        <w:ind w:left="1440" w:hanging="360"/>
      </w:pPr>
      <w:rPr>
        <w:rFonts w:ascii="Courier New" w:hAnsi="Courier New" w:hint="default"/>
      </w:rPr>
    </w:lvl>
    <w:lvl w:ilvl="2" w:tplc="568CD430">
      <w:start w:val="1"/>
      <w:numFmt w:val="bullet"/>
      <w:lvlText w:val=""/>
      <w:lvlJc w:val="left"/>
      <w:pPr>
        <w:ind w:left="2160" w:hanging="360"/>
      </w:pPr>
      <w:rPr>
        <w:rFonts w:ascii="Wingdings" w:hAnsi="Wingdings" w:hint="default"/>
      </w:rPr>
    </w:lvl>
    <w:lvl w:ilvl="3" w:tplc="C6E268BE">
      <w:start w:val="1"/>
      <w:numFmt w:val="bullet"/>
      <w:lvlText w:val=""/>
      <w:lvlJc w:val="left"/>
      <w:pPr>
        <w:ind w:left="2880" w:hanging="360"/>
      </w:pPr>
      <w:rPr>
        <w:rFonts w:ascii="Symbol" w:hAnsi="Symbol" w:hint="default"/>
      </w:rPr>
    </w:lvl>
    <w:lvl w:ilvl="4" w:tplc="CB0AD76E">
      <w:start w:val="1"/>
      <w:numFmt w:val="bullet"/>
      <w:lvlText w:val="o"/>
      <w:lvlJc w:val="left"/>
      <w:pPr>
        <w:ind w:left="3600" w:hanging="360"/>
      </w:pPr>
      <w:rPr>
        <w:rFonts w:ascii="Courier New" w:hAnsi="Courier New" w:hint="default"/>
      </w:rPr>
    </w:lvl>
    <w:lvl w:ilvl="5" w:tplc="34C601F2">
      <w:start w:val="1"/>
      <w:numFmt w:val="bullet"/>
      <w:lvlText w:val=""/>
      <w:lvlJc w:val="left"/>
      <w:pPr>
        <w:ind w:left="4320" w:hanging="360"/>
      </w:pPr>
      <w:rPr>
        <w:rFonts w:ascii="Wingdings" w:hAnsi="Wingdings" w:hint="default"/>
      </w:rPr>
    </w:lvl>
    <w:lvl w:ilvl="6" w:tplc="EE3E3E24">
      <w:start w:val="1"/>
      <w:numFmt w:val="bullet"/>
      <w:lvlText w:val=""/>
      <w:lvlJc w:val="left"/>
      <w:pPr>
        <w:ind w:left="5040" w:hanging="360"/>
      </w:pPr>
      <w:rPr>
        <w:rFonts w:ascii="Symbol" w:hAnsi="Symbol" w:hint="default"/>
      </w:rPr>
    </w:lvl>
    <w:lvl w:ilvl="7" w:tplc="5A54C0B4">
      <w:start w:val="1"/>
      <w:numFmt w:val="bullet"/>
      <w:lvlText w:val="o"/>
      <w:lvlJc w:val="left"/>
      <w:pPr>
        <w:ind w:left="5760" w:hanging="360"/>
      </w:pPr>
      <w:rPr>
        <w:rFonts w:ascii="Courier New" w:hAnsi="Courier New" w:hint="default"/>
      </w:rPr>
    </w:lvl>
    <w:lvl w:ilvl="8" w:tplc="39F024F0">
      <w:start w:val="1"/>
      <w:numFmt w:val="bullet"/>
      <w:lvlText w:val=""/>
      <w:lvlJc w:val="left"/>
      <w:pPr>
        <w:ind w:left="6480" w:hanging="360"/>
      </w:pPr>
      <w:rPr>
        <w:rFonts w:ascii="Wingdings" w:hAnsi="Wingdings" w:hint="default"/>
      </w:rPr>
    </w:lvl>
  </w:abstractNum>
  <w:abstractNum w:abstractNumId="19" w15:restartNumberingAfterBreak="0">
    <w:nsid w:val="614B4631"/>
    <w:multiLevelType w:val="multilevel"/>
    <w:tmpl w:val="FF228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289A62"/>
    <w:multiLevelType w:val="hybridMultilevel"/>
    <w:tmpl w:val="1580286E"/>
    <w:lvl w:ilvl="0" w:tplc="55A4E49E">
      <w:start w:val="1"/>
      <w:numFmt w:val="bullet"/>
      <w:lvlText w:val=""/>
      <w:lvlJc w:val="left"/>
      <w:pPr>
        <w:ind w:left="720" w:hanging="360"/>
      </w:pPr>
      <w:rPr>
        <w:rFonts w:ascii="Symbol" w:hAnsi="Symbol" w:hint="default"/>
      </w:rPr>
    </w:lvl>
    <w:lvl w:ilvl="1" w:tplc="24841FCE">
      <w:start w:val="1"/>
      <w:numFmt w:val="bullet"/>
      <w:lvlText w:val="o"/>
      <w:lvlJc w:val="left"/>
      <w:pPr>
        <w:ind w:left="1440" w:hanging="360"/>
      </w:pPr>
      <w:rPr>
        <w:rFonts w:ascii="Courier New" w:hAnsi="Courier New" w:hint="default"/>
      </w:rPr>
    </w:lvl>
    <w:lvl w:ilvl="2" w:tplc="75E416A6">
      <w:start w:val="1"/>
      <w:numFmt w:val="bullet"/>
      <w:lvlText w:val=""/>
      <w:lvlJc w:val="left"/>
      <w:pPr>
        <w:ind w:left="2160" w:hanging="360"/>
      </w:pPr>
      <w:rPr>
        <w:rFonts w:ascii="Wingdings" w:hAnsi="Wingdings" w:hint="default"/>
      </w:rPr>
    </w:lvl>
    <w:lvl w:ilvl="3" w:tplc="67B4E51A">
      <w:start w:val="1"/>
      <w:numFmt w:val="bullet"/>
      <w:lvlText w:val=""/>
      <w:lvlJc w:val="left"/>
      <w:pPr>
        <w:ind w:left="2880" w:hanging="360"/>
      </w:pPr>
      <w:rPr>
        <w:rFonts w:ascii="Symbol" w:hAnsi="Symbol" w:hint="default"/>
      </w:rPr>
    </w:lvl>
    <w:lvl w:ilvl="4" w:tplc="AC3C0C58">
      <w:start w:val="1"/>
      <w:numFmt w:val="bullet"/>
      <w:lvlText w:val="o"/>
      <w:lvlJc w:val="left"/>
      <w:pPr>
        <w:ind w:left="3600" w:hanging="360"/>
      </w:pPr>
      <w:rPr>
        <w:rFonts w:ascii="Courier New" w:hAnsi="Courier New" w:hint="default"/>
      </w:rPr>
    </w:lvl>
    <w:lvl w:ilvl="5" w:tplc="CEF88C1E">
      <w:start w:val="1"/>
      <w:numFmt w:val="bullet"/>
      <w:lvlText w:val=""/>
      <w:lvlJc w:val="left"/>
      <w:pPr>
        <w:ind w:left="4320" w:hanging="360"/>
      </w:pPr>
      <w:rPr>
        <w:rFonts w:ascii="Wingdings" w:hAnsi="Wingdings" w:hint="default"/>
      </w:rPr>
    </w:lvl>
    <w:lvl w:ilvl="6" w:tplc="EC088A28">
      <w:start w:val="1"/>
      <w:numFmt w:val="bullet"/>
      <w:lvlText w:val=""/>
      <w:lvlJc w:val="left"/>
      <w:pPr>
        <w:ind w:left="5040" w:hanging="360"/>
      </w:pPr>
      <w:rPr>
        <w:rFonts w:ascii="Symbol" w:hAnsi="Symbol" w:hint="default"/>
      </w:rPr>
    </w:lvl>
    <w:lvl w:ilvl="7" w:tplc="9CD2D30C">
      <w:start w:val="1"/>
      <w:numFmt w:val="bullet"/>
      <w:lvlText w:val="o"/>
      <w:lvlJc w:val="left"/>
      <w:pPr>
        <w:ind w:left="5760" w:hanging="360"/>
      </w:pPr>
      <w:rPr>
        <w:rFonts w:ascii="Courier New" w:hAnsi="Courier New" w:hint="default"/>
      </w:rPr>
    </w:lvl>
    <w:lvl w:ilvl="8" w:tplc="FA844E14">
      <w:start w:val="1"/>
      <w:numFmt w:val="bullet"/>
      <w:lvlText w:val=""/>
      <w:lvlJc w:val="left"/>
      <w:pPr>
        <w:ind w:left="6480" w:hanging="360"/>
      </w:pPr>
      <w:rPr>
        <w:rFonts w:ascii="Wingdings" w:hAnsi="Wingdings" w:hint="default"/>
      </w:rPr>
    </w:lvl>
  </w:abstractNum>
  <w:abstractNum w:abstractNumId="21" w15:restartNumberingAfterBreak="0">
    <w:nsid w:val="71E7B002"/>
    <w:multiLevelType w:val="hybridMultilevel"/>
    <w:tmpl w:val="A5A2A336"/>
    <w:lvl w:ilvl="0" w:tplc="D2CC550E">
      <w:start w:val="1"/>
      <w:numFmt w:val="bullet"/>
      <w:lvlText w:val=""/>
      <w:lvlJc w:val="left"/>
      <w:pPr>
        <w:ind w:left="720" w:hanging="360"/>
      </w:pPr>
      <w:rPr>
        <w:rFonts w:ascii="Symbol" w:hAnsi="Symbol" w:hint="default"/>
      </w:rPr>
    </w:lvl>
    <w:lvl w:ilvl="1" w:tplc="6AA47668">
      <w:start w:val="1"/>
      <w:numFmt w:val="bullet"/>
      <w:lvlText w:val="o"/>
      <w:lvlJc w:val="left"/>
      <w:pPr>
        <w:ind w:left="1440" w:hanging="360"/>
      </w:pPr>
      <w:rPr>
        <w:rFonts w:ascii="Courier New" w:hAnsi="Courier New" w:hint="default"/>
      </w:rPr>
    </w:lvl>
    <w:lvl w:ilvl="2" w:tplc="E3C6C994">
      <w:start w:val="1"/>
      <w:numFmt w:val="bullet"/>
      <w:lvlText w:val=""/>
      <w:lvlJc w:val="left"/>
      <w:pPr>
        <w:ind w:left="2160" w:hanging="360"/>
      </w:pPr>
      <w:rPr>
        <w:rFonts w:ascii="Wingdings" w:hAnsi="Wingdings" w:hint="default"/>
      </w:rPr>
    </w:lvl>
    <w:lvl w:ilvl="3" w:tplc="C55CEE02">
      <w:start w:val="1"/>
      <w:numFmt w:val="bullet"/>
      <w:lvlText w:val=""/>
      <w:lvlJc w:val="left"/>
      <w:pPr>
        <w:ind w:left="2880" w:hanging="360"/>
      </w:pPr>
      <w:rPr>
        <w:rFonts w:ascii="Symbol" w:hAnsi="Symbol" w:hint="default"/>
      </w:rPr>
    </w:lvl>
    <w:lvl w:ilvl="4" w:tplc="41CEF214">
      <w:start w:val="1"/>
      <w:numFmt w:val="bullet"/>
      <w:lvlText w:val="o"/>
      <w:lvlJc w:val="left"/>
      <w:pPr>
        <w:ind w:left="3600" w:hanging="360"/>
      </w:pPr>
      <w:rPr>
        <w:rFonts w:ascii="Courier New" w:hAnsi="Courier New" w:hint="default"/>
      </w:rPr>
    </w:lvl>
    <w:lvl w:ilvl="5" w:tplc="B0F68346">
      <w:start w:val="1"/>
      <w:numFmt w:val="bullet"/>
      <w:lvlText w:val=""/>
      <w:lvlJc w:val="left"/>
      <w:pPr>
        <w:ind w:left="4320" w:hanging="360"/>
      </w:pPr>
      <w:rPr>
        <w:rFonts w:ascii="Wingdings" w:hAnsi="Wingdings" w:hint="default"/>
      </w:rPr>
    </w:lvl>
    <w:lvl w:ilvl="6" w:tplc="BAD87580">
      <w:start w:val="1"/>
      <w:numFmt w:val="bullet"/>
      <w:lvlText w:val=""/>
      <w:lvlJc w:val="left"/>
      <w:pPr>
        <w:ind w:left="5040" w:hanging="360"/>
      </w:pPr>
      <w:rPr>
        <w:rFonts w:ascii="Symbol" w:hAnsi="Symbol" w:hint="default"/>
      </w:rPr>
    </w:lvl>
    <w:lvl w:ilvl="7" w:tplc="366E6824">
      <w:start w:val="1"/>
      <w:numFmt w:val="bullet"/>
      <w:lvlText w:val="o"/>
      <w:lvlJc w:val="left"/>
      <w:pPr>
        <w:ind w:left="5760" w:hanging="360"/>
      </w:pPr>
      <w:rPr>
        <w:rFonts w:ascii="Courier New" w:hAnsi="Courier New" w:hint="default"/>
      </w:rPr>
    </w:lvl>
    <w:lvl w:ilvl="8" w:tplc="A072A286">
      <w:start w:val="1"/>
      <w:numFmt w:val="bullet"/>
      <w:lvlText w:val=""/>
      <w:lvlJc w:val="left"/>
      <w:pPr>
        <w:ind w:left="6480" w:hanging="360"/>
      </w:pPr>
      <w:rPr>
        <w:rFonts w:ascii="Wingdings" w:hAnsi="Wingdings" w:hint="default"/>
      </w:rPr>
    </w:lvl>
  </w:abstractNum>
  <w:num w:numId="1" w16cid:durableId="1161655086">
    <w:abstractNumId w:val="7"/>
  </w:num>
  <w:num w:numId="2" w16cid:durableId="318921531">
    <w:abstractNumId w:val="18"/>
  </w:num>
  <w:num w:numId="3" w16cid:durableId="1705013014">
    <w:abstractNumId w:val="2"/>
  </w:num>
  <w:num w:numId="4" w16cid:durableId="1029262354">
    <w:abstractNumId w:val="10"/>
  </w:num>
  <w:num w:numId="5" w16cid:durableId="857623861">
    <w:abstractNumId w:val="16"/>
  </w:num>
  <w:num w:numId="6" w16cid:durableId="685248686">
    <w:abstractNumId w:val="14"/>
  </w:num>
  <w:num w:numId="7" w16cid:durableId="2047169692">
    <w:abstractNumId w:val="20"/>
  </w:num>
  <w:num w:numId="8" w16cid:durableId="469707178">
    <w:abstractNumId w:val="1"/>
  </w:num>
  <w:num w:numId="9" w16cid:durableId="712998384">
    <w:abstractNumId w:val="17"/>
  </w:num>
  <w:num w:numId="10" w16cid:durableId="614823602">
    <w:abstractNumId w:val="0"/>
  </w:num>
  <w:num w:numId="11" w16cid:durableId="39138169">
    <w:abstractNumId w:val="15"/>
  </w:num>
  <w:num w:numId="12" w16cid:durableId="1445148770">
    <w:abstractNumId w:val="8"/>
  </w:num>
  <w:num w:numId="13" w16cid:durableId="358550375">
    <w:abstractNumId w:val="4"/>
  </w:num>
  <w:num w:numId="14" w16cid:durableId="892542729">
    <w:abstractNumId w:val="21"/>
  </w:num>
  <w:num w:numId="15" w16cid:durableId="323238607">
    <w:abstractNumId w:val="5"/>
  </w:num>
  <w:num w:numId="16" w16cid:durableId="589848466">
    <w:abstractNumId w:val="11"/>
  </w:num>
  <w:num w:numId="17" w16cid:durableId="626735858">
    <w:abstractNumId w:val="6"/>
  </w:num>
  <w:num w:numId="18" w16cid:durableId="1693459641">
    <w:abstractNumId w:val="3"/>
  </w:num>
  <w:num w:numId="19" w16cid:durableId="1429502229">
    <w:abstractNumId w:val="9"/>
  </w:num>
  <w:num w:numId="20" w16cid:durableId="2087416887">
    <w:abstractNumId w:val="19"/>
  </w:num>
  <w:num w:numId="21" w16cid:durableId="2077972763">
    <w:abstractNumId w:val="12"/>
  </w:num>
  <w:num w:numId="22" w16cid:durableId="1574074767">
    <w:abstractNumId w:val="1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BA4921"/>
    <w:rsid w:val="0000151F"/>
    <w:rsid w:val="00001B71"/>
    <w:rsid w:val="0001128A"/>
    <w:rsid w:val="00012099"/>
    <w:rsid w:val="00014FD3"/>
    <w:rsid w:val="00027496"/>
    <w:rsid w:val="00044143"/>
    <w:rsid w:val="000541B0"/>
    <w:rsid w:val="0005655A"/>
    <w:rsid w:val="00056ECD"/>
    <w:rsid w:val="00060864"/>
    <w:rsid w:val="0006467F"/>
    <w:rsid w:val="00065E5A"/>
    <w:rsid w:val="00074ACA"/>
    <w:rsid w:val="00091167"/>
    <w:rsid w:val="000957A5"/>
    <w:rsid w:val="000A039D"/>
    <w:rsid w:val="000A0A6A"/>
    <w:rsid w:val="000A3192"/>
    <w:rsid w:val="000A3FB5"/>
    <w:rsid w:val="000A7D90"/>
    <w:rsid w:val="000B2C80"/>
    <w:rsid w:val="000C042B"/>
    <w:rsid w:val="000C0F3C"/>
    <w:rsid w:val="000D1818"/>
    <w:rsid w:val="000D4FAA"/>
    <w:rsid w:val="000D72FF"/>
    <w:rsid w:val="000E01E7"/>
    <w:rsid w:val="000E3EEB"/>
    <w:rsid w:val="000EE2C4"/>
    <w:rsid w:val="000F28E8"/>
    <w:rsid w:val="000F4826"/>
    <w:rsid w:val="00100086"/>
    <w:rsid w:val="00112766"/>
    <w:rsid w:val="00117064"/>
    <w:rsid w:val="001171DF"/>
    <w:rsid w:val="001227C8"/>
    <w:rsid w:val="00125575"/>
    <w:rsid w:val="001414F7"/>
    <w:rsid w:val="00142D54"/>
    <w:rsid w:val="00143035"/>
    <w:rsid w:val="00146E99"/>
    <w:rsid w:val="0015260C"/>
    <w:rsid w:val="00155F46"/>
    <w:rsid w:val="001560E5"/>
    <w:rsid w:val="001605A7"/>
    <w:rsid w:val="0016420A"/>
    <w:rsid w:val="001650E1"/>
    <w:rsid w:val="001658F4"/>
    <w:rsid w:val="001666E2"/>
    <w:rsid w:val="00170A24"/>
    <w:rsid w:val="001718B9"/>
    <w:rsid w:val="0017427F"/>
    <w:rsid w:val="0018006E"/>
    <w:rsid w:val="00180B01"/>
    <w:rsid w:val="001A603C"/>
    <w:rsid w:val="001A7ED6"/>
    <w:rsid w:val="001B3497"/>
    <w:rsid w:val="001B4084"/>
    <w:rsid w:val="001C0F00"/>
    <w:rsid w:val="001C0F95"/>
    <w:rsid w:val="001C4C18"/>
    <w:rsid w:val="001C7FCC"/>
    <w:rsid w:val="001D14A3"/>
    <w:rsid w:val="001D5333"/>
    <w:rsid w:val="001E43FC"/>
    <w:rsid w:val="001E4889"/>
    <w:rsid w:val="001E6216"/>
    <w:rsid w:val="00203683"/>
    <w:rsid w:val="002041FA"/>
    <w:rsid w:val="0020561B"/>
    <w:rsid w:val="00211B52"/>
    <w:rsid w:val="00213011"/>
    <w:rsid w:val="00216288"/>
    <w:rsid w:val="00216874"/>
    <w:rsid w:val="00217321"/>
    <w:rsid w:val="00243326"/>
    <w:rsid w:val="0024610B"/>
    <w:rsid w:val="00247A70"/>
    <w:rsid w:val="00251D96"/>
    <w:rsid w:val="002734D4"/>
    <w:rsid w:val="002746BE"/>
    <w:rsid w:val="00281583"/>
    <w:rsid w:val="00283F86"/>
    <w:rsid w:val="002901D4"/>
    <w:rsid w:val="002938C0"/>
    <w:rsid w:val="002A0292"/>
    <w:rsid w:val="002A1721"/>
    <w:rsid w:val="002C092A"/>
    <w:rsid w:val="002C163B"/>
    <w:rsid w:val="002C4DD1"/>
    <w:rsid w:val="002C598A"/>
    <w:rsid w:val="002D08A7"/>
    <w:rsid w:val="002D0D67"/>
    <w:rsid w:val="002D4A21"/>
    <w:rsid w:val="002D6B19"/>
    <w:rsid w:val="002D79BF"/>
    <w:rsid w:val="002E539E"/>
    <w:rsid w:val="002F08F5"/>
    <w:rsid w:val="002F3620"/>
    <w:rsid w:val="002F77CC"/>
    <w:rsid w:val="003058E5"/>
    <w:rsid w:val="00305C9B"/>
    <w:rsid w:val="003155C1"/>
    <w:rsid w:val="0031720B"/>
    <w:rsid w:val="003244BC"/>
    <w:rsid w:val="00332650"/>
    <w:rsid w:val="00340271"/>
    <w:rsid w:val="003405EF"/>
    <w:rsid w:val="00344A17"/>
    <w:rsid w:val="00345CAF"/>
    <w:rsid w:val="00356035"/>
    <w:rsid w:val="00357327"/>
    <w:rsid w:val="003619C2"/>
    <w:rsid w:val="003643C8"/>
    <w:rsid w:val="003664CD"/>
    <w:rsid w:val="00367C1A"/>
    <w:rsid w:val="00373A48"/>
    <w:rsid w:val="00375551"/>
    <w:rsid w:val="00377DAD"/>
    <w:rsid w:val="00380967"/>
    <w:rsid w:val="00383848"/>
    <w:rsid w:val="00387054"/>
    <w:rsid w:val="0038EFD5"/>
    <w:rsid w:val="0039373F"/>
    <w:rsid w:val="003978D4"/>
    <w:rsid w:val="003A293E"/>
    <w:rsid w:val="003B0073"/>
    <w:rsid w:val="003B06ED"/>
    <w:rsid w:val="003B11A5"/>
    <w:rsid w:val="003B278A"/>
    <w:rsid w:val="003C20A1"/>
    <w:rsid w:val="003C5D4C"/>
    <w:rsid w:val="003C7B98"/>
    <w:rsid w:val="003D07FD"/>
    <w:rsid w:val="003D1CAE"/>
    <w:rsid w:val="003D2BBA"/>
    <w:rsid w:val="003D4395"/>
    <w:rsid w:val="003E5CE5"/>
    <w:rsid w:val="003E6570"/>
    <w:rsid w:val="003F674D"/>
    <w:rsid w:val="00401145"/>
    <w:rsid w:val="0040246F"/>
    <w:rsid w:val="00404DA2"/>
    <w:rsid w:val="00405631"/>
    <w:rsid w:val="004073C2"/>
    <w:rsid w:val="004078ED"/>
    <w:rsid w:val="00411075"/>
    <w:rsid w:val="004152D6"/>
    <w:rsid w:val="004307AF"/>
    <w:rsid w:val="00440374"/>
    <w:rsid w:val="00446701"/>
    <w:rsid w:val="00446BF0"/>
    <w:rsid w:val="0045335A"/>
    <w:rsid w:val="00460CF1"/>
    <w:rsid w:val="0046615F"/>
    <w:rsid w:val="00474AEE"/>
    <w:rsid w:val="004752D7"/>
    <w:rsid w:val="0048709C"/>
    <w:rsid w:val="00487A1C"/>
    <w:rsid w:val="00487DC5"/>
    <w:rsid w:val="00492740"/>
    <w:rsid w:val="004955DA"/>
    <w:rsid w:val="00497502"/>
    <w:rsid w:val="004978BD"/>
    <w:rsid w:val="004A0FD7"/>
    <w:rsid w:val="004A71E2"/>
    <w:rsid w:val="004B3107"/>
    <w:rsid w:val="004B4483"/>
    <w:rsid w:val="004B4932"/>
    <w:rsid w:val="004B5801"/>
    <w:rsid w:val="004B67CA"/>
    <w:rsid w:val="004C2085"/>
    <w:rsid w:val="004D11AF"/>
    <w:rsid w:val="004D3E0A"/>
    <w:rsid w:val="004E4103"/>
    <w:rsid w:val="004E50C5"/>
    <w:rsid w:val="004E5BD2"/>
    <w:rsid w:val="004E6823"/>
    <w:rsid w:val="004F139B"/>
    <w:rsid w:val="004F1431"/>
    <w:rsid w:val="004F2299"/>
    <w:rsid w:val="0050168A"/>
    <w:rsid w:val="00505A2D"/>
    <w:rsid w:val="00505CE2"/>
    <w:rsid w:val="0051603C"/>
    <w:rsid w:val="005165B5"/>
    <w:rsid w:val="00517B21"/>
    <w:rsid w:val="00521F00"/>
    <w:rsid w:val="00526811"/>
    <w:rsid w:val="005407C9"/>
    <w:rsid w:val="00542C7D"/>
    <w:rsid w:val="00545870"/>
    <w:rsid w:val="00550EB7"/>
    <w:rsid w:val="005569EA"/>
    <w:rsid w:val="005613E6"/>
    <w:rsid w:val="00561CBC"/>
    <w:rsid w:val="00562966"/>
    <w:rsid w:val="005757CF"/>
    <w:rsid w:val="005764BA"/>
    <w:rsid w:val="00576FE9"/>
    <w:rsid w:val="0058289E"/>
    <w:rsid w:val="00585003"/>
    <w:rsid w:val="00586859"/>
    <w:rsid w:val="00592045"/>
    <w:rsid w:val="00592D2B"/>
    <w:rsid w:val="00595287"/>
    <w:rsid w:val="005A20D0"/>
    <w:rsid w:val="005A2CB2"/>
    <w:rsid w:val="005A60DE"/>
    <w:rsid w:val="005A639B"/>
    <w:rsid w:val="005A643F"/>
    <w:rsid w:val="005A6ABC"/>
    <w:rsid w:val="005C40ED"/>
    <w:rsid w:val="005C4CEF"/>
    <w:rsid w:val="005C7263"/>
    <w:rsid w:val="005D098A"/>
    <w:rsid w:val="005E2889"/>
    <w:rsid w:val="005F18A1"/>
    <w:rsid w:val="005F352E"/>
    <w:rsid w:val="00601304"/>
    <w:rsid w:val="0060344F"/>
    <w:rsid w:val="00603CE3"/>
    <w:rsid w:val="0060610A"/>
    <w:rsid w:val="006061AA"/>
    <w:rsid w:val="006201B7"/>
    <w:rsid w:val="006261B7"/>
    <w:rsid w:val="006275E2"/>
    <w:rsid w:val="006302EE"/>
    <w:rsid w:val="00634876"/>
    <w:rsid w:val="006353DD"/>
    <w:rsid w:val="00641D3F"/>
    <w:rsid w:val="00644C6E"/>
    <w:rsid w:val="006469A9"/>
    <w:rsid w:val="0066356B"/>
    <w:rsid w:val="006635E6"/>
    <w:rsid w:val="00664FE2"/>
    <w:rsid w:val="00664FFC"/>
    <w:rsid w:val="00665BB2"/>
    <w:rsid w:val="006666D7"/>
    <w:rsid w:val="00670BFD"/>
    <w:rsid w:val="00670D0B"/>
    <w:rsid w:val="006710A4"/>
    <w:rsid w:val="006714B4"/>
    <w:rsid w:val="00674898"/>
    <w:rsid w:val="00677C55"/>
    <w:rsid w:val="0068112E"/>
    <w:rsid w:val="00684B56"/>
    <w:rsid w:val="00690227"/>
    <w:rsid w:val="00692324"/>
    <w:rsid w:val="006A1B84"/>
    <w:rsid w:val="006A4E59"/>
    <w:rsid w:val="006A4E6C"/>
    <w:rsid w:val="006A5A86"/>
    <w:rsid w:val="006A742F"/>
    <w:rsid w:val="006A7661"/>
    <w:rsid w:val="006C6693"/>
    <w:rsid w:val="006D52E7"/>
    <w:rsid w:val="006E7660"/>
    <w:rsid w:val="006E7EDC"/>
    <w:rsid w:val="006F08AE"/>
    <w:rsid w:val="006F68D5"/>
    <w:rsid w:val="00702326"/>
    <w:rsid w:val="00702C03"/>
    <w:rsid w:val="007074F3"/>
    <w:rsid w:val="00712D84"/>
    <w:rsid w:val="00716355"/>
    <w:rsid w:val="00721E85"/>
    <w:rsid w:val="00727B97"/>
    <w:rsid w:val="007342DC"/>
    <w:rsid w:val="00736AD7"/>
    <w:rsid w:val="00737729"/>
    <w:rsid w:val="0075441C"/>
    <w:rsid w:val="007577FE"/>
    <w:rsid w:val="00763021"/>
    <w:rsid w:val="00764211"/>
    <w:rsid w:val="007807F8"/>
    <w:rsid w:val="00785E2B"/>
    <w:rsid w:val="00786F5A"/>
    <w:rsid w:val="00790B96"/>
    <w:rsid w:val="00791E3A"/>
    <w:rsid w:val="0079289F"/>
    <w:rsid w:val="007A534B"/>
    <w:rsid w:val="007A5F56"/>
    <w:rsid w:val="007B1F9B"/>
    <w:rsid w:val="007B6A91"/>
    <w:rsid w:val="007C1D4A"/>
    <w:rsid w:val="007C5759"/>
    <w:rsid w:val="007C6EE8"/>
    <w:rsid w:val="007C759A"/>
    <w:rsid w:val="007D3746"/>
    <w:rsid w:val="007E5EB3"/>
    <w:rsid w:val="007F10A7"/>
    <w:rsid w:val="007F1ED5"/>
    <w:rsid w:val="007F2317"/>
    <w:rsid w:val="007F5E56"/>
    <w:rsid w:val="008017BB"/>
    <w:rsid w:val="00806A09"/>
    <w:rsid w:val="008133EE"/>
    <w:rsid w:val="00814367"/>
    <w:rsid w:val="0081477B"/>
    <w:rsid w:val="00814D04"/>
    <w:rsid w:val="008157E8"/>
    <w:rsid w:val="0081611C"/>
    <w:rsid w:val="008168DA"/>
    <w:rsid w:val="008275C1"/>
    <w:rsid w:val="00832BBA"/>
    <w:rsid w:val="008361C8"/>
    <w:rsid w:val="00836C8D"/>
    <w:rsid w:val="0083724E"/>
    <w:rsid w:val="00837B3A"/>
    <w:rsid w:val="00847F7C"/>
    <w:rsid w:val="00855CBE"/>
    <w:rsid w:val="00856619"/>
    <w:rsid w:val="008657D0"/>
    <w:rsid w:val="008719FD"/>
    <w:rsid w:val="00872209"/>
    <w:rsid w:val="0087669D"/>
    <w:rsid w:val="00876983"/>
    <w:rsid w:val="00880F04"/>
    <w:rsid w:val="008856EA"/>
    <w:rsid w:val="008876C8"/>
    <w:rsid w:val="00887F21"/>
    <w:rsid w:val="00890505"/>
    <w:rsid w:val="00890C22"/>
    <w:rsid w:val="008922E8"/>
    <w:rsid w:val="00893B0B"/>
    <w:rsid w:val="008A3845"/>
    <w:rsid w:val="008A7CCC"/>
    <w:rsid w:val="008B0196"/>
    <w:rsid w:val="008B1D92"/>
    <w:rsid w:val="008B1E93"/>
    <w:rsid w:val="008B2909"/>
    <w:rsid w:val="008B52F0"/>
    <w:rsid w:val="008B5950"/>
    <w:rsid w:val="008C22A9"/>
    <w:rsid w:val="008C6E58"/>
    <w:rsid w:val="008C76A8"/>
    <w:rsid w:val="008D6C6B"/>
    <w:rsid w:val="008E2634"/>
    <w:rsid w:val="008E542E"/>
    <w:rsid w:val="008F7623"/>
    <w:rsid w:val="0090105F"/>
    <w:rsid w:val="009045DB"/>
    <w:rsid w:val="009100A5"/>
    <w:rsid w:val="0091183D"/>
    <w:rsid w:val="00914301"/>
    <w:rsid w:val="0091498D"/>
    <w:rsid w:val="009158E1"/>
    <w:rsid w:val="00927B14"/>
    <w:rsid w:val="009305A0"/>
    <w:rsid w:val="00932D84"/>
    <w:rsid w:val="00936DAF"/>
    <w:rsid w:val="00940EF7"/>
    <w:rsid w:val="00941CD2"/>
    <w:rsid w:val="00942785"/>
    <w:rsid w:val="009437E9"/>
    <w:rsid w:val="00947420"/>
    <w:rsid w:val="009663DB"/>
    <w:rsid w:val="00970635"/>
    <w:rsid w:val="009709D0"/>
    <w:rsid w:val="009921F4"/>
    <w:rsid w:val="00994FB5"/>
    <w:rsid w:val="00996000"/>
    <w:rsid w:val="00997EF0"/>
    <w:rsid w:val="009A7DB0"/>
    <w:rsid w:val="009B0E71"/>
    <w:rsid w:val="009B6D2E"/>
    <w:rsid w:val="009C2BD1"/>
    <w:rsid w:val="009C2DA1"/>
    <w:rsid w:val="009C326E"/>
    <w:rsid w:val="009C3FA9"/>
    <w:rsid w:val="009C6476"/>
    <w:rsid w:val="009D5B54"/>
    <w:rsid w:val="009D666E"/>
    <w:rsid w:val="009D67EA"/>
    <w:rsid w:val="009D794A"/>
    <w:rsid w:val="009E2865"/>
    <w:rsid w:val="009E4928"/>
    <w:rsid w:val="009F4066"/>
    <w:rsid w:val="009F631F"/>
    <w:rsid w:val="009F7800"/>
    <w:rsid w:val="00A01539"/>
    <w:rsid w:val="00A0672B"/>
    <w:rsid w:val="00A103C7"/>
    <w:rsid w:val="00A10B9A"/>
    <w:rsid w:val="00A15EF9"/>
    <w:rsid w:val="00A17C0A"/>
    <w:rsid w:val="00A2367F"/>
    <w:rsid w:val="00A252BE"/>
    <w:rsid w:val="00A25842"/>
    <w:rsid w:val="00A459C1"/>
    <w:rsid w:val="00A52F47"/>
    <w:rsid w:val="00A750CF"/>
    <w:rsid w:val="00A75365"/>
    <w:rsid w:val="00A85661"/>
    <w:rsid w:val="00A87716"/>
    <w:rsid w:val="00A97923"/>
    <w:rsid w:val="00AA14F1"/>
    <w:rsid w:val="00AA6B76"/>
    <w:rsid w:val="00AB3A6C"/>
    <w:rsid w:val="00AB6D57"/>
    <w:rsid w:val="00AD1788"/>
    <w:rsid w:val="00AE13D7"/>
    <w:rsid w:val="00AF2D0E"/>
    <w:rsid w:val="00AF69D7"/>
    <w:rsid w:val="00B01FCE"/>
    <w:rsid w:val="00B04374"/>
    <w:rsid w:val="00B047F2"/>
    <w:rsid w:val="00B052CD"/>
    <w:rsid w:val="00B059A9"/>
    <w:rsid w:val="00B06C24"/>
    <w:rsid w:val="00B112FA"/>
    <w:rsid w:val="00B23AB2"/>
    <w:rsid w:val="00B3081B"/>
    <w:rsid w:val="00B32465"/>
    <w:rsid w:val="00B41042"/>
    <w:rsid w:val="00B432B7"/>
    <w:rsid w:val="00B447EB"/>
    <w:rsid w:val="00B47421"/>
    <w:rsid w:val="00B51ABA"/>
    <w:rsid w:val="00B52B60"/>
    <w:rsid w:val="00B62E16"/>
    <w:rsid w:val="00B64132"/>
    <w:rsid w:val="00B67303"/>
    <w:rsid w:val="00B717FA"/>
    <w:rsid w:val="00B7294F"/>
    <w:rsid w:val="00B738A9"/>
    <w:rsid w:val="00B83D9B"/>
    <w:rsid w:val="00B900EA"/>
    <w:rsid w:val="00B932BA"/>
    <w:rsid w:val="00B933B9"/>
    <w:rsid w:val="00B948B0"/>
    <w:rsid w:val="00B94970"/>
    <w:rsid w:val="00B95C8A"/>
    <w:rsid w:val="00BA6799"/>
    <w:rsid w:val="00BB0B6D"/>
    <w:rsid w:val="00BB45B0"/>
    <w:rsid w:val="00BB71CD"/>
    <w:rsid w:val="00BB7E62"/>
    <w:rsid w:val="00BD6167"/>
    <w:rsid w:val="00BD66ED"/>
    <w:rsid w:val="00BE2939"/>
    <w:rsid w:val="00BE5D70"/>
    <w:rsid w:val="00BE66F5"/>
    <w:rsid w:val="00BF57CF"/>
    <w:rsid w:val="00BF71AA"/>
    <w:rsid w:val="00C02C6C"/>
    <w:rsid w:val="00C05769"/>
    <w:rsid w:val="00C20517"/>
    <w:rsid w:val="00C24976"/>
    <w:rsid w:val="00C334D2"/>
    <w:rsid w:val="00C33D4E"/>
    <w:rsid w:val="00C402F8"/>
    <w:rsid w:val="00C4D727"/>
    <w:rsid w:val="00C54BD2"/>
    <w:rsid w:val="00C60E62"/>
    <w:rsid w:val="00C62278"/>
    <w:rsid w:val="00C633B7"/>
    <w:rsid w:val="00C73C49"/>
    <w:rsid w:val="00C81BAB"/>
    <w:rsid w:val="00C82B07"/>
    <w:rsid w:val="00C8541D"/>
    <w:rsid w:val="00C92A79"/>
    <w:rsid w:val="00C94C6F"/>
    <w:rsid w:val="00C9616B"/>
    <w:rsid w:val="00CA29B0"/>
    <w:rsid w:val="00CB1A46"/>
    <w:rsid w:val="00CB451A"/>
    <w:rsid w:val="00CC3FDE"/>
    <w:rsid w:val="00CE1F89"/>
    <w:rsid w:val="00CE4C4B"/>
    <w:rsid w:val="00CE5854"/>
    <w:rsid w:val="00CF1381"/>
    <w:rsid w:val="00CF43D3"/>
    <w:rsid w:val="00CF7B05"/>
    <w:rsid w:val="00D017EF"/>
    <w:rsid w:val="00D021BC"/>
    <w:rsid w:val="00D13D6B"/>
    <w:rsid w:val="00D14892"/>
    <w:rsid w:val="00D2436E"/>
    <w:rsid w:val="00D262EB"/>
    <w:rsid w:val="00D271C4"/>
    <w:rsid w:val="00D32FC9"/>
    <w:rsid w:val="00D3778C"/>
    <w:rsid w:val="00D40290"/>
    <w:rsid w:val="00D40D14"/>
    <w:rsid w:val="00D44266"/>
    <w:rsid w:val="00D53AB0"/>
    <w:rsid w:val="00D62AF1"/>
    <w:rsid w:val="00D63034"/>
    <w:rsid w:val="00D6326F"/>
    <w:rsid w:val="00D64203"/>
    <w:rsid w:val="00D68A51"/>
    <w:rsid w:val="00D8004C"/>
    <w:rsid w:val="00D917AC"/>
    <w:rsid w:val="00D944EE"/>
    <w:rsid w:val="00D9534A"/>
    <w:rsid w:val="00DA37CD"/>
    <w:rsid w:val="00DA38D0"/>
    <w:rsid w:val="00DB7549"/>
    <w:rsid w:val="00DB7785"/>
    <w:rsid w:val="00DC1D1F"/>
    <w:rsid w:val="00DD2137"/>
    <w:rsid w:val="00DD241B"/>
    <w:rsid w:val="00DD2C9F"/>
    <w:rsid w:val="00DD5170"/>
    <w:rsid w:val="00DD7A00"/>
    <w:rsid w:val="00DE4216"/>
    <w:rsid w:val="00DF2291"/>
    <w:rsid w:val="00DF2810"/>
    <w:rsid w:val="00DF32DF"/>
    <w:rsid w:val="00DF6914"/>
    <w:rsid w:val="00DF6DDB"/>
    <w:rsid w:val="00E0191D"/>
    <w:rsid w:val="00E02856"/>
    <w:rsid w:val="00E0304C"/>
    <w:rsid w:val="00E0414C"/>
    <w:rsid w:val="00E04194"/>
    <w:rsid w:val="00E06D6D"/>
    <w:rsid w:val="00E07A98"/>
    <w:rsid w:val="00E151BB"/>
    <w:rsid w:val="00E15331"/>
    <w:rsid w:val="00E17A37"/>
    <w:rsid w:val="00E26ED1"/>
    <w:rsid w:val="00E27CFA"/>
    <w:rsid w:val="00E3026E"/>
    <w:rsid w:val="00E30576"/>
    <w:rsid w:val="00E307A8"/>
    <w:rsid w:val="00E364F4"/>
    <w:rsid w:val="00E367F3"/>
    <w:rsid w:val="00E47879"/>
    <w:rsid w:val="00E5524B"/>
    <w:rsid w:val="00E60CF9"/>
    <w:rsid w:val="00E61B5E"/>
    <w:rsid w:val="00E65478"/>
    <w:rsid w:val="00E7115A"/>
    <w:rsid w:val="00E72591"/>
    <w:rsid w:val="00E72999"/>
    <w:rsid w:val="00E73069"/>
    <w:rsid w:val="00E909E1"/>
    <w:rsid w:val="00E928B2"/>
    <w:rsid w:val="00E931FE"/>
    <w:rsid w:val="00EA4A56"/>
    <w:rsid w:val="00EB7290"/>
    <w:rsid w:val="00EC0F1C"/>
    <w:rsid w:val="00EC6D88"/>
    <w:rsid w:val="00ED22CF"/>
    <w:rsid w:val="00ED56FC"/>
    <w:rsid w:val="00ED6F5D"/>
    <w:rsid w:val="00EE3A11"/>
    <w:rsid w:val="00EE4071"/>
    <w:rsid w:val="00EE48AD"/>
    <w:rsid w:val="00F04C0A"/>
    <w:rsid w:val="00F11750"/>
    <w:rsid w:val="00F132C4"/>
    <w:rsid w:val="00F15706"/>
    <w:rsid w:val="00F20BB8"/>
    <w:rsid w:val="00F20EF9"/>
    <w:rsid w:val="00F2366E"/>
    <w:rsid w:val="00F246C4"/>
    <w:rsid w:val="00F31466"/>
    <w:rsid w:val="00F338B9"/>
    <w:rsid w:val="00F40BB8"/>
    <w:rsid w:val="00F428E5"/>
    <w:rsid w:val="00F42A46"/>
    <w:rsid w:val="00F43ACB"/>
    <w:rsid w:val="00F51B32"/>
    <w:rsid w:val="00F55D74"/>
    <w:rsid w:val="00F65E27"/>
    <w:rsid w:val="00F66326"/>
    <w:rsid w:val="00F66F9B"/>
    <w:rsid w:val="00F67E71"/>
    <w:rsid w:val="00F76664"/>
    <w:rsid w:val="00F86D60"/>
    <w:rsid w:val="00F911DD"/>
    <w:rsid w:val="00FA5858"/>
    <w:rsid w:val="00FA63F1"/>
    <w:rsid w:val="00FB00D4"/>
    <w:rsid w:val="00FB10FC"/>
    <w:rsid w:val="00FB1B8C"/>
    <w:rsid w:val="00FC03B9"/>
    <w:rsid w:val="00FC6A67"/>
    <w:rsid w:val="00FC6A90"/>
    <w:rsid w:val="00FD71F3"/>
    <w:rsid w:val="00FE5638"/>
    <w:rsid w:val="00FE578E"/>
    <w:rsid w:val="00FE70EC"/>
    <w:rsid w:val="010DE28E"/>
    <w:rsid w:val="013AAEE9"/>
    <w:rsid w:val="01472C60"/>
    <w:rsid w:val="01A0B3A1"/>
    <w:rsid w:val="01A7B3D6"/>
    <w:rsid w:val="01B234B6"/>
    <w:rsid w:val="01B931BE"/>
    <w:rsid w:val="024E8DC8"/>
    <w:rsid w:val="025F6C03"/>
    <w:rsid w:val="02608A06"/>
    <w:rsid w:val="027C8168"/>
    <w:rsid w:val="027EBC85"/>
    <w:rsid w:val="0284701D"/>
    <w:rsid w:val="02A5008E"/>
    <w:rsid w:val="02BCA935"/>
    <w:rsid w:val="031640B2"/>
    <w:rsid w:val="0336A9E9"/>
    <w:rsid w:val="034116C4"/>
    <w:rsid w:val="03458DBF"/>
    <w:rsid w:val="0363C489"/>
    <w:rsid w:val="037FB6C9"/>
    <w:rsid w:val="03B04097"/>
    <w:rsid w:val="03B5131F"/>
    <w:rsid w:val="03BD1B34"/>
    <w:rsid w:val="03BFC130"/>
    <w:rsid w:val="03EB37DB"/>
    <w:rsid w:val="03FA1BB8"/>
    <w:rsid w:val="040064EF"/>
    <w:rsid w:val="0417E1C1"/>
    <w:rsid w:val="041C4E8F"/>
    <w:rsid w:val="046DF061"/>
    <w:rsid w:val="04C1A473"/>
    <w:rsid w:val="04CAA45F"/>
    <w:rsid w:val="04DCFE93"/>
    <w:rsid w:val="04E28CA0"/>
    <w:rsid w:val="050657DA"/>
    <w:rsid w:val="050A952A"/>
    <w:rsid w:val="053E726F"/>
    <w:rsid w:val="05CA9D3E"/>
    <w:rsid w:val="05E0E98F"/>
    <w:rsid w:val="0632D2A9"/>
    <w:rsid w:val="069B2C92"/>
    <w:rsid w:val="06F05F78"/>
    <w:rsid w:val="070120EB"/>
    <w:rsid w:val="071CACF6"/>
    <w:rsid w:val="071F8399"/>
    <w:rsid w:val="07316B9F"/>
    <w:rsid w:val="0748E4EE"/>
    <w:rsid w:val="07647B0E"/>
    <w:rsid w:val="0769A664"/>
    <w:rsid w:val="079C8172"/>
    <w:rsid w:val="07C3FFF0"/>
    <w:rsid w:val="082EE7E3"/>
    <w:rsid w:val="0855A54B"/>
    <w:rsid w:val="08914A6F"/>
    <w:rsid w:val="08A1CFF8"/>
    <w:rsid w:val="08B078B6"/>
    <w:rsid w:val="08B79115"/>
    <w:rsid w:val="08BF95B5"/>
    <w:rsid w:val="08CCB321"/>
    <w:rsid w:val="08D2A449"/>
    <w:rsid w:val="08FA346D"/>
    <w:rsid w:val="08FA8BC7"/>
    <w:rsid w:val="0904E849"/>
    <w:rsid w:val="0950AE6C"/>
    <w:rsid w:val="09BB5FA4"/>
    <w:rsid w:val="09DC7BD4"/>
    <w:rsid w:val="0A049931"/>
    <w:rsid w:val="0A0A6EB6"/>
    <w:rsid w:val="0A1957EF"/>
    <w:rsid w:val="0A3E66E9"/>
    <w:rsid w:val="0A9145DF"/>
    <w:rsid w:val="0A9FE429"/>
    <w:rsid w:val="0AB1D90E"/>
    <w:rsid w:val="0AD21B69"/>
    <w:rsid w:val="0AF93F8E"/>
    <w:rsid w:val="0AFF8E64"/>
    <w:rsid w:val="0B2D38BF"/>
    <w:rsid w:val="0BA1EDF2"/>
    <w:rsid w:val="0BCE23AE"/>
    <w:rsid w:val="0BF91782"/>
    <w:rsid w:val="0C025685"/>
    <w:rsid w:val="0C13CC20"/>
    <w:rsid w:val="0C3D5928"/>
    <w:rsid w:val="0C5F69A8"/>
    <w:rsid w:val="0CA3B1A9"/>
    <w:rsid w:val="0CAA0933"/>
    <w:rsid w:val="0CBB8CE4"/>
    <w:rsid w:val="0CBFE35C"/>
    <w:rsid w:val="0CD4DD13"/>
    <w:rsid w:val="0D3BF217"/>
    <w:rsid w:val="0D7CE812"/>
    <w:rsid w:val="0D84E72B"/>
    <w:rsid w:val="0D9200FF"/>
    <w:rsid w:val="0DB0DC1B"/>
    <w:rsid w:val="0E7414EA"/>
    <w:rsid w:val="0E801145"/>
    <w:rsid w:val="0EA87E0E"/>
    <w:rsid w:val="0EAF9104"/>
    <w:rsid w:val="0ECE0F00"/>
    <w:rsid w:val="0EF6F408"/>
    <w:rsid w:val="0F8E24BE"/>
    <w:rsid w:val="0FB8361F"/>
    <w:rsid w:val="0FCCBB11"/>
    <w:rsid w:val="10316C86"/>
    <w:rsid w:val="1034986C"/>
    <w:rsid w:val="10461A93"/>
    <w:rsid w:val="104FF070"/>
    <w:rsid w:val="105F1EC5"/>
    <w:rsid w:val="1075BB17"/>
    <w:rsid w:val="1075FAF2"/>
    <w:rsid w:val="1079BF09"/>
    <w:rsid w:val="107FE32E"/>
    <w:rsid w:val="114266FB"/>
    <w:rsid w:val="1151188E"/>
    <w:rsid w:val="11511A84"/>
    <w:rsid w:val="11780ABE"/>
    <w:rsid w:val="11ED54FA"/>
    <w:rsid w:val="12036355"/>
    <w:rsid w:val="1210DCF0"/>
    <w:rsid w:val="125C3D8B"/>
    <w:rsid w:val="125E5ED4"/>
    <w:rsid w:val="12683146"/>
    <w:rsid w:val="127D6469"/>
    <w:rsid w:val="12807EFC"/>
    <w:rsid w:val="12876E92"/>
    <w:rsid w:val="12A23834"/>
    <w:rsid w:val="12A90C1A"/>
    <w:rsid w:val="12B65691"/>
    <w:rsid w:val="12C033DD"/>
    <w:rsid w:val="12E15379"/>
    <w:rsid w:val="12F5CDB8"/>
    <w:rsid w:val="13077F33"/>
    <w:rsid w:val="132B6166"/>
    <w:rsid w:val="13526BC6"/>
    <w:rsid w:val="139B2D20"/>
    <w:rsid w:val="13ACDB6D"/>
    <w:rsid w:val="13D8FDD2"/>
    <w:rsid w:val="13E786D1"/>
    <w:rsid w:val="143BF619"/>
    <w:rsid w:val="146DCCA4"/>
    <w:rsid w:val="1486EE8C"/>
    <w:rsid w:val="149F85AB"/>
    <w:rsid w:val="14FA5CD5"/>
    <w:rsid w:val="14FD4961"/>
    <w:rsid w:val="150B44BB"/>
    <w:rsid w:val="152BD714"/>
    <w:rsid w:val="1580535B"/>
    <w:rsid w:val="159A14FF"/>
    <w:rsid w:val="15EC26C1"/>
    <w:rsid w:val="164D16BC"/>
    <w:rsid w:val="1653EB63"/>
    <w:rsid w:val="1665C49B"/>
    <w:rsid w:val="169058B7"/>
    <w:rsid w:val="169956F0"/>
    <w:rsid w:val="16A27050"/>
    <w:rsid w:val="16AD8133"/>
    <w:rsid w:val="16BB9439"/>
    <w:rsid w:val="16D3336F"/>
    <w:rsid w:val="16F13397"/>
    <w:rsid w:val="1700C0FA"/>
    <w:rsid w:val="17088BD1"/>
    <w:rsid w:val="17447DB9"/>
    <w:rsid w:val="174B8558"/>
    <w:rsid w:val="17E04E58"/>
    <w:rsid w:val="17F1D76A"/>
    <w:rsid w:val="1822DAE1"/>
    <w:rsid w:val="1854E966"/>
    <w:rsid w:val="185CA1A1"/>
    <w:rsid w:val="186795F2"/>
    <w:rsid w:val="18A3B6A9"/>
    <w:rsid w:val="18E58291"/>
    <w:rsid w:val="19556741"/>
    <w:rsid w:val="19835343"/>
    <w:rsid w:val="19A0367C"/>
    <w:rsid w:val="19B30A73"/>
    <w:rsid w:val="1A025B9F"/>
    <w:rsid w:val="1A33ED25"/>
    <w:rsid w:val="1A38D554"/>
    <w:rsid w:val="1A3B9B75"/>
    <w:rsid w:val="1A4A8E57"/>
    <w:rsid w:val="1A77C411"/>
    <w:rsid w:val="1A7F3556"/>
    <w:rsid w:val="1AA3FE43"/>
    <w:rsid w:val="1AB1DAC2"/>
    <w:rsid w:val="1AE28BDB"/>
    <w:rsid w:val="1AF30B02"/>
    <w:rsid w:val="1B0C1F4E"/>
    <w:rsid w:val="1B1DD6C1"/>
    <w:rsid w:val="1BB1A0B6"/>
    <w:rsid w:val="1BC5F0E9"/>
    <w:rsid w:val="1C005CC0"/>
    <w:rsid w:val="1C2960C8"/>
    <w:rsid w:val="1CB8B2B5"/>
    <w:rsid w:val="1CFFFC84"/>
    <w:rsid w:val="1D053B43"/>
    <w:rsid w:val="1D17040A"/>
    <w:rsid w:val="1D1A371E"/>
    <w:rsid w:val="1D203C58"/>
    <w:rsid w:val="1D3E0609"/>
    <w:rsid w:val="1D5682F7"/>
    <w:rsid w:val="1D62CA59"/>
    <w:rsid w:val="1D7B5542"/>
    <w:rsid w:val="1DCECE97"/>
    <w:rsid w:val="1DF2C69D"/>
    <w:rsid w:val="1DF32D1F"/>
    <w:rsid w:val="1E18A3A6"/>
    <w:rsid w:val="1E202482"/>
    <w:rsid w:val="1E29E6A9"/>
    <w:rsid w:val="1E5214ED"/>
    <w:rsid w:val="1E6D237F"/>
    <w:rsid w:val="1E93AC4A"/>
    <w:rsid w:val="1EAC3333"/>
    <w:rsid w:val="1EE451AC"/>
    <w:rsid w:val="1EE53AC3"/>
    <w:rsid w:val="1F5E1EB0"/>
    <w:rsid w:val="1F63D952"/>
    <w:rsid w:val="1FAC1454"/>
    <w:rsid w:val="1FC6C9F1"/>
    <w:rsid w:val="1FF0D9FB"/>
    <w:rsid w:val="1FFA1009"/>
    <w:rsid w:val="1FFE9D05"/>
    <w:rsid w:val="20003AC8"/>
    <w:rsid w:val="20428E2A"/>
    <w:rsid w:val="2064899B"/>
    <w:rsid w:val="207E247F"/>
    <w:rsid w:val="208E6566"/>
    <w:rsid w:val="20DCE8CF"/>
    <w:rsid w:val="20FC0B60"/>
    <w:rsid w:val="2134D3EA"/>
    <w:rsid w:val="219EB304"/>
    <w:rsid w:val="21BD9837"/>
    <w:rsid w:val="21CAF41C"/>
    <w:rsid w:val="21ECE46A"/>
    <w:rsid w:val="221F434B"/>
    <w:rsid w:val="2223B432"/>
    <w:rsid w:val="22ADEB3F"/>
    <w:rsid w:val="22B2C7EA"/>
    <w:rsid w:val="22C551BB"/>
    <w:rsid w:val="22C866F9"/>
    <w:rsid w:val="22FE8437"/>
    <w:rsid w:val="2342BF3B"/>
    <w:rsid w:val="234EC663"/>
    <w:rsid w:val="2357DE76"/>
    <w:rsid w:val="23891B3F"/>
    <w:rsid w:val="23A67F79"/>
    <w:rsid w:val="23CA0D43"/>
    <w:rsid w:val="23DAF6DD"/>
    <w:rsid w:val="23DE56E5"/>
    <w:rsid w:val="23E0D919"/>
    <w:rsid w:val="23E2206A"/>
    <w:rsid w:val="23FC459E"/>
    <w:rsid w:val="24048157"/>
    <w:rsid w:val="2464B322"/>
    <w:rsid w:val="248365A8"/>
    <w:rsid w:val="249A6EA0"/>
    <w:rsid w:val="25243CB2"/>
    <w:rsid w:val="253927A6"/>
    <w:rsid w:val="2586D8DD"/>
    <w:rsid w:val="259E0FD4"/>
    <w:rsid w:val="259ED2F6"/>
    <w:rsid w:val="25C580B5"/>
    <w:rsid w:val="2605240B"/>
    <w:rsid w:val="264D1AF5"/>
    <w:rsid w:val="265ACD1B"/>
    <w:rsid w:val="268A92FA"/>
    <w:rsid w:val="26BE45A4"/>
    <w:rsid w:val="26CCAF4F"/>
    <w:rsid w:val="26CF74A1"/>
    <w:rsid w:val="270616BC"/>
    <w:rsid w:val="270BF573"/>
    <w:rsid w:val="271B4E54"/>
    <w:rsid w:val="2730FDBA"/>
    <w:rsid w:val="2746E4E0"/>
    <w:rsid w:val="277C86DC"/>
    <w:rsid w:val="27FE730E"/>
    <w:rsid w:val="28597C23"/>
    <w:rsid w:val="28AB19C2"/>
    <w:rsid w:val="28B26BFD"/>
    <w:rsid w:val="28B744D0"/>
    <w:rsid w:val="28E6878B"/>
    <w:rsid w:val="2907D745"/>
    <w:rsid w:val="290A394B"/>
    <w:rsid w:val="29171D3C"/>
    <w:rsid w:val="292B6901"/>
    <w:rsid w:val="296F0E95"/>
    <w:rsid w:val="29715060"/>
    <w:rsid w:val="2981CEC4"/>
    <w:rsid w:val="29A432B7"/>
    <w:rsid w:val="2A233907"/>
    <w:rsid w:val="2A3F4FE7"/>
    <w:rsid w:val="2A61FDC7"/>
    <w:rsid w:val="2AE8AEB2"/>
    <w:rsid w:val="2B1851CD"/>
    <w:rsid w:val="2B2C5DF1"/>
    <w:rsid w:val="2B316EB3"/>
    <w:rsid w:val="2B42C311"/>
    <w:rsid w:val="2B4B78BB"/>
    <w:rsid w:val="2B564994"/>
    <w:rsid w:val="2B5CB495"/>
    <w:rsid w:val="2B90A35C"/>
    <w:rsid w:val="2BE28D62"/>
    <w:rsid w:val="2BF5E586"/>
    <w:rsid w:val="2C813BB5"/>
    <w:rsid w:val="2C86B075"/>
    <w:rsid w:val="2CBA4921"/>
    <w:rsid w:val="2D19B927"/>
    <w:rsid w:val="2D60AA87"/>
    <w:rsid w:val="2D97B305"/>
    <w:rsid w:val="2DBE9B68"/>
    <w:rsid w:val="2E0EFE9E"/>
    <w:rsid w:val="2E6DED09"/>
    <w:rsid w:val="2EEE7088"/>
    <w:rsid w:val="2F445164"/>
    <w:rsid w:val="2F6B81C7"/>
    <w:rsid w:val="2F70283D"/>
    <w:rsid w:val="2F7FF64D"/>
    <w:rsid w:val="2FE68D71"/>
    <w:rsid w:val="300DD959"/>
    <w:rsid w:val="30412F97"/>
    <w:rsid w:val="3047F7DC"/>
    <w:rsid w:val="309069A9"/>
    <w:rsid w:val="30912439"/>
    <w:rsid w:val="30EABF30"/>
    <w:rsid w:val="310C35D0"/>
    <w:rsid w:val="313F46E1"/>
    <w:rsid w:val="3146C80B"/>
    <w:rsid w:val="314C0F40"/>
    <w:rsid w:val="314CB09C"/>
    <w:rsid w:val="3155B931"/>
    <w:rsid w:val="31770FC9"/>
    <w:rsid w:val="31D1BCC0"/>
    <w:rsid w:val="31E85ED2"/>
    <w:rsid w:val="328144CA"/>
    <w:rsid w:val="329EAC38"/>
    <w:rsid w:val="32D3F44C"/>
    <w:rsid w:val="32EA8C89"/>
    <w:rsid w:val="32FA0BCF"/>
    <w:rsid w:val="334D9BA7"/>
    <w:rsid w:val="33708A7C"/>
    <w:rsid w:val="340CA998"/>
    <w:rsid w:val="340D085A"/>
    <w:rsid w:val="34B1E9C3"/>
    <w:rsid w:val="34E82BAF"/>
    <w:rsid w:val="34F69DDE"/>
    <w:rsid w:val="3509770E"/>
    <w:rsid w:val="3531501D"/>
    <w:rsid w:val="35548F59"/>
    <w:rsid w:val="356A0C44"/>
    <w:rsid w:val="357367CB"/>
    <w:rsid w:val="35AFB422"/>
    <w:rsid w:val="3689D555"/>
    <w:rsid w:val="3691E18C"/>
    <w:rsid w:val="36B6F71E"/>
    <w:rsid w:val="36BB5414"/>
    <w:rsid w:val="36DC7C44"/>
    <w:rsid w:val="36DE530B"/>
    <w:rsid w:val="36EC0037"/>
    <w:rsid w:val="36F101A3"/>
    <w:rsid w:val="374D250D"/>
    <w:rsid w:val="37E7DC42"/>
    <w:rsid w:val="37E8E444"/>
    <w:rsid w:val="38183469"/>
    <w:rsid w:val="388FB444"/>
    <w:rsid w:val="38951583"/>
    <w:rsid w:val="391B0A54"/>
    <w:rsid w:val="392050FD"/>
    <w:rsid w:val="394EAE16"/>
    <w:rsid w:val="395833F2"/>
    <w:rsid w:val="397CC69B"/>
    <w:rsid w:val="399C5B78"/>
    <w:rsid w:val="39B8856C"/>
    <w:rsid w:val="39E55A4E"/>
    <w:rsid w:val="3A472770"/>
    <w:rsid w:val="3A7CED5F"/>
    <w:rsid w:val="3A7F57D9"/>
    <w:rsid w:val="3A979FEF"/>
    <w:rsid w:val="3A9B8C8B"/>
    <w:rsid w:val="3A9CD3F8"/>
    <w:rsid w:val="3AA54EEF"/>
    <w:rsid w:val="3ABF3678"/>
    <w:rsid w:val="3AE599E0"/>
    <w:rsid w:val="3B061FC4"/>
    <w:rsid w:val="3B0D6251"/>
    <w:rsid w:val="3B11CF3D"/>
    <w:rsid w:val="3B2C44CB"/>
    <w:rsid w:val="3B60E1F9"/>
    <w:rsid w:val="3B94D2C0"/>
    <w:rsid w:val="3BBB9255"/>
    <w:rsid w:val="3BD4AD75"/>
    <w:rsid w:val="3BED61DB"/>
    <w:rsid w:val="3BF3EBE8"/>
    <w:rsid w:val="3C4E98F4"/>
    <w:rsid w:val="3C62C999"/>
    <w:rsid w:val="3CC2143E"/>
    <w:rsid w:val="3CC7FB0B"/>
    <w:rsid w:val="3CD17217"/>
    <w:rsid w:val="3D298CB3"/>
    <w:rsid w:val="3D5EE075"/>
    <w:rsid w:val="3D8B740B"/>
    <w:rsid w:val="3D944F01"/>
    <w:rsid w:val="3DA445EB"/>
    <w:rsid w:val="3DA8F573"/>
    <w:rsid w:val="3DB4287B"/>
    <w:rsid w:val="3E30B24F"/>
    <w:rsid w:val="3E346DCD"/>
    <w:rsid w:val="3E3A636B"/>
    <w:rsid w:val="3E77773C"/>
    <w:rsid w:val="3E7F923E"/>
    <w:rsid w:val="3E903B7A"/>
    <w:rsid w:val="3E930499"/>
    <w:rsid w:val="3EAA38A6"/>
    <w:rsid w:val="3EB0BE1E"/>
    <w:rsid w:val="3EC6BBB0"/>
    <w:rsid w:val="3F056A35"/>
    <w:rsid w:val="3F3BD956"/>
    <w:rsid w:val="3F7F7C04"/>
    <w:rsid w:val="3F92ADB2"/>
    <w:rsid w:val="3F9D51CD"/>
    <w:rsid w:val="3FA37404"/>
    <w:rsid w:val="4013EBC1"/>
    <w:rsid w:val="4029FA84"/>
    <w:rsid w:val="40390296"/>
    <w:rsid w:val="40472B6A"/>
    <w:rsid w:val="4057D81F"/>
    <w:rsid w:val="405FDA27"/>
    <w:rsid w:val="408F3388"/>
    <w:rsid w:val="40935A1D"/>
    <w:rsid w:val="4093BBBA"/>
    <w:rsid w:val="40D474C3"/>
    <w:rsid w:val="4101B948"/>
    <w:rsid w:val="412E60A3"/>
    <w:rsid w:val="414F5841"/>
    <w:rsid w:val="41694E2E"/>
    <w:rsid w:val="41705814"/>
    <w:rsid w:val="418F4E45"/>
    <w:rsid w:val="419E0D0C"/>
    <w:rsid w:val="41BBBE20"/>
    <w:rsid w:val="42414A0B"/>
    <w:rsid w:val="424C872A"/>
    <w:rsid w:val="4258ECD4"/>
    <w:rsid w:val="425C34E6"/>
    <w:rsid w:val="42800D7D"/>
    <w:rsid w:val="42C6754F"/>
    <w:rsid w:val="42E835CE"/>
    <w:rsid w:val="4395B9D8"/>
    <w:rsid w:val="43AF7670"/>
    <w:rsid w:val="43BEAECF"/>
    <w:rsid w:val="43E39CF7"/>
    <w:rsid w:val="43FF23FD"/>
    <w:rsid w:val="440B66C5"/>
    <w:rsid w:val="44113844"/>
    <w:rsid w:val="44119075"/>
    <w:rsid w:val="443D3431"/>
    <w:rsid w:val="44A92EBF"/>
    <w:rsid w:val="44BEE672"/>
    <w:rsid w:val="44FD8B94"/>
    <w:rsid w:val="452988E1"/>
    <w:rsid w:val="4535D132"/>
    <w:rsid w:val="453E63D5"/>
    <w:rsid w:val="457EAF09"/>
    <w:rsid w:val="459F66C5"/>
    <w:rsid w:val="45C36E46"/>
    <w:rsid w:val="45E11D68"/>
    <w:rsid w:val="45FD97EA"/>
    <w:rsid w:val="460031E2"/>
    <w:rsid w:val="462A15BB"/>
    <w:rsid w:val="469240C9"/>
    <w:rsid w:val="46B7C305"/>
    <w:rsid w:val="46F5A86C"/>
    <w:rsid w:val="46FE792F"/>
    <w:rsid w:val="47394C9B"/>
    <w:rsid w:val="4774C423"/>
    <w:rsid w:val="47848C19"/>
    <w:rsid w:val="47B592FA"/>
    <w:rsid w:val="47C0A838"/>
    <w:rsid w:val="47D15936"/>
    <w:rsid w:val="48031813"/>
    <w:rsid w:val="48253229"/>
    <w:rsid w:val="483A2DF4"/>
    <w:rsid w:val="486D4BCF"/>
    <w:rsid w:val="4876CA80"/>
    <w:rsid w:val="4890AE1E"/>
    <w:rsid w:val="48DEE401"/>
    <w:rsid w:val="48FBE77E"/>
    <w:rsid w:val="4911564E"/>
    <w:rsid w:val="49253A68"/>
    <w:rsid w:val="49D208A5"/>
    <w:rsid w:val="49FC68A3"/>
    <w:rsid w:val="4A5B3DE4"/>
    <w:rsid w:val="4AA876BE"/>
    <w:rsid w:val="4AE1C256"/>
    <w:rsid w:val="4B16434D"/>
    <w:rsid w:val="4B25E312"/>
    <w:rsid w:val="4B37AD25"/>
    <w:rsid w:val="4B9A879C"/>
    <w:rsid w:val="4BB922C5"/>
    <w:rsid w:val="4BCBE8AB"/>
    <w:rsid w:val="4BE898DA"/>
    <w:rsid w:val="4C034929"/>
    <w:rsid w:val="4C77E009"/>
    <w:rsid w:val="4C9A6E66"/>
    <w:rsid w:val="4CD015D3"/>
    <w:rsid w:val="4D2ECFF5"/>
    <w:rsid w:val="4D630273"/>
    <w:rsid w:val="4D67F4A3"/>
    <w:rsid w:val="4D705779"/>
    <w:rsid w:val="4D94CF1E"/>
    <w:rsid w:val="4DE29601"/>
    <w:rsid w:val="4E18C267"/>
    <w:rsid w:val="4E289EB8"/>
    <w:rsid w:val="4E3BCC8B"/>
    <w:rsid w:val="4E8D9B79"/>
    <w:rsid w:val="4E948E7D"/>
    <w:rsid w:val="4E9C49C3"/>
    <w:rsid w:val="4ECF4541"/>
    <w:rsid w:val="4EE9CD77"/>
    <w:rsid w:val="4F09C84F"/>
    <w:rsid w:val="4F23FDF0"/>
    <w:rsid w:val="4F29D3F9"/>
    <w:rsid w:val="4F3962EF"/>
    <w:rsid w:val="4F3EF230"/>
    <w:rsid w:val="4F801ABF"/>
    <w:rsid w:val="4F9BD6AF"/>
    <w:rsid w:val="4F9E6D93"/>
    <w:rsid w:val="4FD698B6"/>
    <w:rsid w:val="4FE4A9F6"/>
    <w:rsid w:val="50011249"/>
    <w:rsid w:val="50076804"/>
    <w:rsid w:val="5018369D"/>
    <w:rsid w:val="5085ED38"/>
    <w:rsid w:val="509E1226"/>
    <w:rsid w:val="50A2037E"/>
    <w:rsid w:val="50AB14DF"/>
    <w:rsid w:val="50BBC318"/>
    <w:rsid w:val="50CB09E8"/>
    <w:rsid w:val="50D5B3EE"/>
    <w:rsid w:val="5103596B"/>
    <w:rsid w:val="51973F14"/>
    <w:rsid w:val="5198B344"/>
    <w:rsid w:val="51C1A692"/>
    <w:rsid w:val="5236D940"/>
    <w:rsid w:val="52377363"/>
    <w:rsid w:val="52A2C1A8"/>
    <w:rsid w:val="52F76518"/>
    <w:rsid w:val="53993860"/>
    <w:rsid w:val="53DC7FE0"/>
    <w:rsid w:val="541A9DB2"/>
    <w:rsid w:val="5422183E"/>
    <w:rsid w:val="54474A73"/>
    <w:rsid w:val="5497BB11"/>
    <w:rsid w:val="54CA72D1"/>
    <w:rsid w:val="5574E189"/>
    <w:rsid w:val="5586B5EC"/>
    <w:rsid w:val="55BEC952"/>
    <w:rsid w:val="55FAFD2F"/>
    <w:rsid w:val="562BB84D"/>
    <w:rsid w:val="562F300F"/>
    <w:rsid w:val="56636833"/>
    <w:rsid w:val="567B9E23"/>
    <w:rsid w:val="5683DFE9"/>
    <w:rsid w:val="56950C6F"/>
    <w:rsid w:val="5695383E"/>
    <w:rsid w:val="570C0E0C"/>
    <w:rsid w:val="57127DCE"/>
    <w:rsid w:val="57ACE9C9"/>
    <w:rsid w:val="57B4FB51"/>
    <w:rsid w:val="58393264"/>
    <w:rsid w:val="58423773"/>
    <w:rsid w:val="5858275A"/>
    <w:rsid w:val="58630B3F"/>
    <w:rsid w:val="5866E9BF"/>
    <w:rsid w:val="58802F49"/>
    <w:rsid w:val="58974B74"/>
    <w:rsid w:val="58F22A43"/>
    <w:rsid w:val="5919782D"/>
    <w:rsid w:val="593A5E42"/>
    <w:rsid w:val="59A1DA49"/>
    <w:rsid w:val="59A75FB2"/>
    <w:rsid w:val="59DAA675"/>
    <w:rsid w:val="59DFCB3A"/>
    <w:rsid w:val="5A1AD635"/>
    <w:rsid w:val="5A89B2B2"/>
    <w:rsid w:val="5AB21FDA"/>
    <w:rsid w:val="5AB6FB50"/>
    <w:rsid w:val="5AC1D58A"/>
    <w:rsid w:val="5B4DC6ED"/>
    <w:rsid w:val="5B704977"/>
    <w:rsid w:val="5B8786EE"/>
    <w:rsid w:val="5B8AF0FD"/>
    <w:rsid w:val="5BEDCD7B"/>
    <w:rsid w:val="5C4B4980"/>
    <w:rsid w:val="5C574060"/>
    <w:rsid w:val="5C99FC27"/>
    <w:rsid w:val="5CF1D51E"/>
    <w:rsid w:val="5D23F482"/>
    <w:rsid w:val="5D249C62"/>
    <w:rsid w:val="5D4EDE32"/>
    <w:rsid w:val="5D8C67C3"/>
    <w:rsid w:val="5E05A543"/>
    <w:rsid w:val="5E1ABB32"/>
    <w:rsid w:val="5E662E7E"/>
    <w:rsid w:val="5E784BD9"/>
    <w:rsid w:val="5ECA71FD"/>
    <w:rsid w:val="5F32A69F"/>
    <w:rsid w:val="5F3E8A43"/>
    <w:rsid w:val="5FB362D0"/>
    <w:rsid w:val="5FB54306"/>
    <w:rsid w:val="5FE1C3B8"/>
    <w:rsid w:val="5FFCCAC1"/>
    <w:rsid w:val="5FFEF1F7"/>
    <w:rsid w:val="600B4005"/>
    <w:rsid w:val="6038A99B"/>
    <w:rsid w:val="604876CB"/>
    <w:rsid w:val="6049EB82"/>
    <w:rsid w:val="6063C2BA"/>
    <w:rsid w:val="60672135"/>
    <w:rsid w:val="60720515"/>
    <w:rsid w:val="607B0E3A"/>
    <w:rsid w:val="607B31F3"/>
    <w:rsid w:val="60A96F79"/>
    <w:rsid w:val="60B67172"/>
    <w:rsid w:val="60CBF7B4"/>
    <w:rsid w:val="61494B78"/>
    <w:rsid w:val="616C7605"/>
    <w:rsid w:val="61715645"/>
    <w:rsid w:val="617EE1E8"/>
    <w:rsid w:val="618C8FEE"/>
    <w:rsid w:val="61A4EAAC"/>
    <w:rsid w:val="61A6568A"/>
    <w:rsid w:val="62127AC3"/>
    <w:rsid w:val="624D1177"/>
    <w:rsid w:val="625CEA8A"/>
    <w:rsid w:val="62BE6ACA"/>
    <w:rsid w:val="62D75F4A"/>
    <w:rsid w:val="62F3887B"/>
    <w:rsid w:val="62F4B2F6"/>
    <w:rsid w:val="63014089"/>
    <w:rsid w:val="63E6D417"/>
    <w:rsid w:val="6407F5F8"/>
    <w:rsid w:val="648AA724"/>
    <w:rsid w:val="649DA588"/>
    <w:rsid w:val="64A3A54F"/>
    <w:rsid w:val="64CAFFA6"/>
    <w:rsid w:val="650619E7"/>
    <w:rsid w:val="657D075F"/>
    <w:rsid w:val="658A634A"/>
    <w:rsid w:val="659A8A68"/>
    <w:rsid w:val="65CD9C6E"/>
    <w:rsid w:val="65D156DF"/>
    <w:rsid w:val="65D3DBF8"/>
    <w:rsid w:val="65D46E98"/>
    <w:rsid w:val="65E01AF1"/>
    <w:rsid w:val="660C1C70"/>
    <w:rsid w:val="662C7AFA"/>
    <w:rsid w:val="6685F5E8"/>
    <w:rsid w:val="66B48282"/>
    <w:rsid w:val="66C2D60C"/>
    <w:rsid w:val="6708DD7F"/>
    <w:rsid w:val="672D0208"/>
    <w:rsid w:val="6744873C"/>
    <w:rsid w:val="6749F6E9"/>
    <w:rsid w:val="67505DCD"/>
    <w:rsid w:val="67686CAC"/>
    <w:rsid w:val="67CC37EB"/>
    <w:rsid w:val="67CE13A2"/>
    <w:rsid w:val="67EA6A67"/>
    <w:rsid w:val="68052DE4"/>
    <w:rsid w:val="6808CC5A"/>
    <w:rsid w:val="68129F98"/>
    <w:rsid w:val="685BEA39"/>
    <w:rsid w:val="68923710"/>
    <w:rsid w:val="68963EB7"/>
    <w:rsid w:val="68D5C888"/>
    <w:rsid w:val="690052BA"/>
    <w:rsid w:val="6952D945"/>
    <w:rsid w:val="697CDF33"/>
    <w:rsid w:val="69ADB269"/>
    <w:rsid w:val="69C4CE97"/>
    <w:rsid w:val="69D6DCDB"/>
    <w:rsid w:val="6A393FDF"/>
    <w:rsid w:val="6A591AE2"/>
    <w:rsid w:val="6A73EB30"/>
    <w:rsid w:val="6ADD1C56"/>
    <w:rsid w:val="6AECD7CF"/>
    <w:rsid w:val="6B1BCC09"/>
    <w:rsid w:val="6B31EE72"/>
    <w:rsid w:val="6B5E3661"/>
    <w:rsid w:val="6B76C6EB"/>
    <w:rsid w:val="6B96C714"/>
    <w:rsid w:val="6B97D3DF"/>
    <w:rsid w:val="6C11DDB5"/>
    <w:rsid w:val="6C1C5E75"/>
    <w:rsid w:val="6C1D42CD"/>
    <w:rsid w:val="6C5FC24B"/>
    <w:rsid w:val="6C7E90E8"/>
    <w:rsid w:val="6C84FB81"/>
    <w:rsid w:val="6D357B54"/>
    <w:rsid w:val="6D4494D8"/>
    <w:rsid w:val="6D56AF64"/>
    <w:rsid w:val="6DFB5E5E"/>
    <w:rsid w:val="6DFF1DCE"/>
    <w:rsid w:val="6E0EB280"/>
    <w:rsid w:val="6E8A803A"/>
    <w:rsid w:val="6ED76399"/>
    <w:rsid w:val="6EE8B73B"/>
    <w:rsid w:val="6F3D0581"/>
    <w:rsid w:val="6F7870BD"/>
    <w:rsid w:val="6FBBB1E7"/>
    <w:rsid w:val="6FBC0CB4"/>
    <w:rsid w:val="6FC41283"/>
    <w:rsid w:val="701D4D28"/>
    <w:rsid w:val="701F4DDC"/>
    <w:rsid w:val="70211B49"/>
    <w:rsid w:val="7040714C"/>
    <w:rsid w:val="7090843E"/>
    <w:rsid w:val="70985640"/>
    <w:rsid w:val="70A11F06"/>
    <w:rsid w:val="70AABF33"/>
    <w:rsid w:val="70B8D3AE"/>
    <w:rsid w:val="71042961"/>
    <w:rsid w:val="71246786"/>
    <w:rsid w:val="7151F810"/>
    <w:rsid w:val="716E8006"/>
    <w:rsid w:val="71A13B7A"/>
    <w:rsid w:val="71D801C4"/>
    <w:rsid w:val="71DBE16D"/>
    <w:rsid w:val="71F57F5D"/>
    <w:rsid w:val="72002EFA"/>
    <w:rsid w:val="725BDA32"/>
    <w:rsid w:val="728D00A2"/>
    <w:rsid w:val="72A81044"/>
    <w:rsid w:val="72B5CFCA"/>
    <w:rsid w:val="72C3B2B0"/>
    <w:rsid w:val="72E6421C"/>
    <w:rsid w:val="73040EAA"/>
    <w:rsid w:val="73278F12"/>
    <w:rsid w:val="7395AFDA"/>
    <w:rsid w:val="73AF7371"/>
    <w:rsid w:val="73F67B20"/>
    <w:rsid w:val="74221DD4"/>
    <w:rsid w:val="745054BC"/>
    <w:rsid w:val="7472DE22"/>
    <w:rsid w:val="7493D188"/>
    <w:rsid w:val="7523882A"/>
    <w:rsid w:val="755BE79C"/>
    <w:rsid w:val="75606B35"/>
    <w:rsid w:val="7593B4EE"/>
    <w:rsid w:val="75DF5FCE"/>
    <w:rsid w:val="763AC345"/>
    <w:rsid w:val="7666017E"/>
    <w:rsid w:val="76D263A6"/>
    <w:rsid w:val="76FB0D7A"/>
    <w:rsid w:val="76FE7379"/>
    <w:rsid w:val="772B9427"/>
    <w:rsid w:val="772E3380"/>
    <w:rsid w:val="77588F94"/>
    <w:rsid w:val="7769F0CC"/>
    <w:rsid w:val="7789A1AE"/>
    <w:rsid w:val="77A517E5"/>
    <w:rsid w:val="77B9F163"/>
    <w:rsid w:val="77CAAFD8"/>
    <w:rsid w:val="77E14E1E"/>
    <w:rsid w:val="786512F3"/>
    <w:rsid w:val="78718D15"/>
    <w:rsid w:val="7886CD54"/>
    <w:rsid w:val="78A06015"/>
    <w:rsid w:val="78D8D92F"/>
    <w:rsid w:val="791E3F01"/>
    <w:rsid w:val="794927C6"/>
    <w:rsid w:val="79C4AA25"/>
    <w:rsid w:val="79E8E464"/>
    <w:rsid w:val="79F7C8E3"/>
    <w:rsid w:val="7A17B4BF"/>
    <w:rsid w:val="7A5A41C9"/>
    <w:rsid w:val="7A69CAD3"/>
    <w:rsid w:val="7A6BC012"/>
    <w:rsid w:val="7A83E291"/>
    <w:rsid w:val="7A96671F"/>
    <w:rsid w:val="7AA1B916"/>
    <w:rsid w:val="7AE733B7"/>
    <w:rsid w:val="7AFBB41C"/>
    <w:rsid w:val="7B125957"/>
    <w:rsid w:val="7B4A8AEE"/>
    <w:rsid w:val="7B537EF2"/>
    <w:rsid w:val="7B57782D"/>
    <w:rsid w:val="7B586144"/>
    <w:rsid w:val="7B5AE92B"/>
    <w:rsid w:val="7B7F754E"/>
    <w:rsid w:val="7BABF37A"/>
    <w:rsid w:val="7BD7ECC4"/>
    <w:rsid w:val="7BF48659"/>
    <w:rsid w:val="7C0B2D4B"/>
    <w:rsid w:val="7C140B70"/>
    <w:rsid w:val="7C495B12"/>
    <w:rsid w:val="7C9C50B0"/>
    <w:rsid w:val="7CF9F5FC"/>
    <w:rsid w:val="7D3B3865"/>
    <w:rsid w:val="7D88F49A"/>
    <w:rsid w:val="7D9684AD"/>
    <w:rsid w:val="7DA773E1"/>
    <w:rsid w:val="7DB0DCF4"/>
    <w:rsid w:val="7DDD89D3"/>
    <w:rsid w:val="7EC2A565"/>
    <w:rsid w:val="7ECE447A"/>
    <w:rsid w:val="7EDD8E5C"/>
    <w:rsid w:val="7EE46DA7"/>
    <w:rsid w:val="7F64FB62"/>
    <w:rsid w:val="7F7857BD"/>
    <w:rsid w:val="7F8D82A9"/>
    <w:rsid w:val="7FA13818"/>
    <w:rsid w:val="7FCA576E"/>
    <w:rsid w:val="7FD26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A4921"/>
  <w15:chartTrackingRefBased/>
  <w15:docId w15:val="{C744E3FF-95E1-4C7E-BCDD-10E8B321A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8B79115"/>
    <w:pPr>
      <w:ind w:left="720"/>
      <w:contextualSpacing/>
    </w:pPr>
  </w:style>
  <w:style w:type="character" w:styleId="Hyperlink">
    <w:name w:val="Hyperlink"/>
    <w:basedOn w:val="DefaultParagraphFont"/>
    <w:uiPriority w:val="99"/>
    <w:unhideWhenUsed/>
    <w:rsid w:val="08B7911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3A7CED5F"/>
    <w:pPr>
      <w:tabs>
        <w:tab w:val="center" w:pos="4680"/>
        <w:tab w:val="right" w:pos="9360"/>
      </w:tabs>
      <w:spacing w:after="0" w:line="240" w:lineRule="auto"/>
    </w:pPr>
  </w:style>
  <w:style w:type="paragraph" w:styleId="Footer">
    <w:name w:val="footer"/>
    <w:basedOn w:val="Normal"/>
    <w:uiPriority w:val="99"/>
    <w:unhideWhenUsed/>
    <w:rsid w:val="3A7CED5F"/>
    <w:pPr>
      <w:tabs>
        <w:tab w:val="center" w:pos="4680"/>
        <w:tab w:val="right" w:pos="9360"/>
      </w:tabs>
      <w:spacing w:after="0" w:line="240" w:lineRule="auto"/>
    </w:pPr>
  </w:style>
  <w:style w:type="paragraph" w:styleId="TOCHeading">
    <w:name w:val="TOC Heading"/>
    <w:basedOn w:val="Heading1"/>
    <w:next w:val="Normal"/>
    <w:uiPriority w:val="39"/>
    <w:unhideWhenUsed/>
    <w:qFormat/>
    <w:rsid w:val="001C0F00"/>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1C0F00"/>
    <w:pPr>
      <w:spacing w:after="100"/>
    </w:pPr>
  </w:style>
  <w:style w:type="paragraph" w:styleId="TOC2">
    <w:name w:val="toc 2"/>
    <w:basedOn w:val="Normal"/>
    <w:next w:val="Normal"/>
    <w:autoRedefine/>
    <w:uiPriority w:val="39"/>
    <w:unhideWhenUsed/>
    <w:rsid w:val="001C0F00"/>
    <w:pPr>
      <w:spacing w:after="100"/>
      <w:ind w:left="240"/>
    </w:pPr>
  </w:style>
  <w:style w:type="paragraph" w:styleId="TOC3">
    <w:name w:val="toc 3"/>
    <w:basedOn w:val="Normal"/>
    <w:next w:val="Normal"/>
    <w:autoRedefine/>
    <w:uiPriority w:val="39"/>
    <w:unhideWhenUsed/>
    <w:rsid w:val="001C0F00"/>
    <w:pPr>
      <w:spacing w:after="100"/>
      <w:ind w:left="480"/>
    </w:pPr>
  </w:style>
  <w:style w:type="paragraph" w:styleId="NormalWeb">
    <w:name w:val="Normal (Web)"/>
    <w:basedOn w:val="Normal"/>
    <w:uiPriority w:val="99"/>
    <w:semiHidden/>
    <w:unhideWhenUsed/>
    <w:rsid w:val="00B01FCE"/>
    <w:rPr>
      <w:rFonts w:ascii="Times New Roman" w:hAnsi="Times New Roman" w:cs="Times New Roman"/>
    </w:rPr>
  </w:style>
  <w:style w:type="character" w:styleId="FollowedHyperlink">
    <w:name w:val="FollowedHyperlink"/>
    <w:basedOn w:val="DefaultParagraphFont"/>
    <w:uiPriority w:val="99"/>
    <w:semiHidden/>
    <w:unhideWhenUsed/>
    <w:rsid w:val="00DF2291"/>
    <w:rPr>
      <w:color w:val="96607D" w:themeColor="followedHyperlink"/>
      <w:u w:val="single"/>
    </w:rPr>
  </w:style>
  <w:style w:type="character" w:styleId="UnresolvedMention">
    <w:name w:val="Unresolved Mention"/>
    <w:basedOn w:val="DefaultParagraphFont"/>
    <w:uiPriority w:val="99"/>
    <w:semiHidden/>
    <w:unhideWhenUsed/>
    <w:rsid w:val="00AB6D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10/hta25200" TargetMode="External"/><Relationship Id="rId21" Type="http://schemas.openxmlformats.org/officeDocument/2006/relationships/hyperlink" Target="https://doi.org/10.1521/jscp.2010.29.6.624" TargetMode="External"/><Relationship Id="rId42" Type="http://schemas.openxmlformats.org/officeDocument/2006/relationships/hyperlink" Target="https://www.jahonline.org/article/S1054-139X(24)00433-6/fulltext" TargetMode="External"/><Relationship Id="rId47" Type="http://schemas.openxmlformats.org/officeDocument/2006/relationships/hyperlink" Target="https://doi.org/10.1016/j.cpr.2006.09.002" TargetMode="External"/><Relationship Id="rId63" Type="http://schemas.openxmlformats.org/officeDocument/2006/relationships/hyperlink" Target="https://doi.org/10.1016/j.socscimed.2013.04.026" TargetMode="External"/><Relationship Id="rId68" Type="http://schemas.openxmlformats.org/officeDocument/2006/relationships/hyperlink" Target="https://www.sciencedirect.com/science/article/pii/S2214782919300521" TargetMode="External"/><Relationship Id="rId16" Type="http://schemas.openxmlformats.org/officeDocument/2006/relationships/hyperlink" Target="https://doi.org/10.1002/9780470479193.adlpsy002004" TargetMode="External"/><Relationship Id="rId11" Type="http://schemas.openxmlformats.org/officeDocument/2006/relationships/hyperlink" Target="https://doi.org/10.1207/s15374424jccp3503_11" TargetMode="External"/><Relationship Id="rId32" Type="http://schemas.openxmlformats.org/officeDocument/2006/relationships/hyperlink" Target="https://doi.org/10.1016/S2215-0366(14)70312-8" TargetMode="External"/><Relationship Id="rId37" Type="http://schemas.openxmlformats.org/officeDocument/2006/relationships/hyperlink" Target="https://doi.org/10.1521/pedi.2018.32.2.148" TargetMode="External"/><Relationship Id="rId53" Type="http://schemas.openxmlformats.org/officeDocument/2006/relationships/hyperlink" Target="https://digital.nhs.uk/data-and-information/publications/statistical/mental-health-of-children-and-young-people-in-england/2022-follow-up-to-the-2017-survey/introduction" TargetMode="External"/><Relationship Id="rId58" Type="http://schemas.openxmlformats.org/officeDocument/2006/relationships/hyperlink" Target="https://doi.org/10.1016/S0140-6736(07)60368-7" TargetMode="External"/><Relationship Id="rId74" Type="http://schemas.openxmlformats.org/officeDocument/2006/relationships/hyperlink" Target="https://psycnet.apa.org/record/1991-32000-001" TargetMode="External"/><Relationship Id="rId79"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https://www.gov.uk/government/publications/promoting-children-and-young-peoples-emotional-health-and-wellbeing" TargetMode="External"/><Relationship Id="rId82" Type="http://schemas.openxmlformats.org/officeDocument/2006/relationships/theme" Target="theme/theme1.xml"/><Relationship Id="rId19" Type="http://schemas.openxmlformats.org/officeDocument/2006/relationships/hyperlink" Target="https://www.mdpi.com/2227-9032/13/5/533" TargetMode="External"/><Relationship Id="rId14" Type="http://schemas.openxmlformats.org/officeDocument/2006/relationships/hyperlink" Target="https://doi.org/10.1007/s10567-016-0212-3" TargetMode="External"/><Relationship Id="rId22" Type="http://schemas.openxmlformats.org/officeDocument/2006/relationships/hyperlink" Target="https://doi.org/10.1037/dev0000315" TargetMode="External"/><Relationship Id="rId27" Type="http://schemas.openxmlformats.org/officeDocument/2006/relationships/hyperlink" Target="https://www.gov.uk/government/publications/preventing-and-tackling-bullying" TargetMode="External"/><Relationship Id="rId30" Type="http://schemas.openxmlformats.org/officeDocument/2006/relationships/hyperlink" Target="https://doi.org/10.1111/j.1532-7795.2010.00725.x" TargetMode="External"/><Relationship Id="rId35" Type="http://schemas.openxmlformats.org/officeDocument/2006/relationships/hyperlink" Target="https://doi.org/10.1192/bjp.bp.115.169094" TargetMode="External"/><Relationship Id="rId43" Type="http://schemas.openxmlformats.org/officeDocument/2006/relationships/hyperlink" Target="https://doi.org/10.1001/archpsyc.62.6.593" TargetMode="External"/><Relationship Id="rId48" Type="http://schemas.openxmlformats.org/officeDocument/2006/relationships/hyperlink" Target="https://www.mentalhealth.org.uk/" TargetMode="External"/><Relationship Id="rId56" Type="http://schemas.openxmlformats.org/officeDocument/2006/relationships/hyperlink" Target="https://www.ons.gov.uk/" TargetMode="External"/><Relationship Id="rId64" Type="http://schemas.openxmlformats.org/officeDocument/2006/relationships/hyperlink" Target="https://doi.org/10.5694/mja11.11200" TargetMode="External"/><Relationship Id="rId69" Type="http://schemas.openxmlformats.org/officeDocument/2006/relationships/hyperlink" Target="https://doi.org/10.1016/j.chc.2022.12.001" TargetMode="External"/><Relationship Id="rId77" Type="http://schemas.openxmlformats.org/officeDocument/2006/relationships/hyperlink" Target="https://pmc.ncbi.nlm.nih.gov/articles/PMC9140348/" TargetMode="External"/><Relationship Id="rId8" Type="http://schemas.openxmlformats.org/officeDocument/2006/relationships/hyperlink" Target="https://doi.org/10.1111/j.1467-8624.2007.01062.x" TargetMode="External"/><Relationship Id="rId51" Type="http://schemas.openxmlformats.org/officeDocument/2006/relationships/hyperlink" Target="https://www.nice.org.uk/" TargetMode="External"/><Relationship Id="rId72" Type="http://schemas.openxmlformats.org/officeDocument/2006/relationships/hyperlink" Target="https://doi.org/10.1007/s10964-019-01060-9" TargetMode="External"/><Relationship Id="rId80"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oi.org/10.1016/j.adolescence.2020.01.005" TargetMode="External"/><Relationship Id="rId17" Type="http://schemas.openxmlformats.org/officeDocument/2006/relationships/hyperlink" Target="https://doi.org/10.1017/S0954579409990344" TargetMode="External"/><Relationship Id="rId25" Type="http://schemas.openxmlformats.org/officeDocument/2006/relationships/hyperlink" Target="https://doi.org/10.1001/archpsyc.60.8.837" TargetMode="External"/><Relationship Id="rId33" Type="http://schemas.openxmlformats.org/officeDocument/2006/relationships/hyperlink" Target="https://doi.org/10.1177/0018726754000700202" TargetMode="External"/><Relationship Id="rId38" Type="http://schemas.openxmlformats.org/officeDocument/2006/relationships/hyperlink" Target="https://doi.org/10.3389/fpsyt.2023.1096291" TargetMode="External"/><Relationship Id="rId46" Type="http://schemas.openxmlformats.org/officeDocument/2006/relationships/hyperlink" Target="https://doi.org/10.1037/0003-066X.56.3.227" TargetMode="External"/><Relationship Id="rId59" Type="http://schemas.openxmlformats.org/officeDocument/2006/relationships/hyperlink" Target="https://doi.org/10.1007/s40894-019-00117-x" TargetMode="External"/><Relationship Id="rId67" Type="http://schemas.openxmlformats.org/officeDocument/2006/relationships/hyperlink" Target="https://jamanetwork.com/journals/jamanetworkopen/fullarticle/2773539" TargetMode="External"/><Relationship Id="rId20" Type="http://schemas.openxmlformats.org/officeDocument/2006/relationships/hyperlink" Target="https://doi.org/10.1016/j.jad.2021.07.030" TargetMode="External"/><Relationship Id="rId41" Type="http://schemas.openxmlformats.org/officeDocument/2006/relationships/hyperlink" Target="https://doi.org/10.1016/j.janxdis.2010.01.009" TargetMode="External"/><Relationship Id="rId54" Type="http://schemas.openxmlformats.org/officeDocument/2006/relationships/hyperlink" Target="https://doi.org/10.1177/1609406917733847" TargetMode="External"/><Relationship Id="rId62" Type="http://schemas.openxmlformats.org/officeDocument/2006/relationships/hyperlink" Target="https://digital.nhs.uk/data-and-information/publications/statistical/mental-health-of-children-and-young-people-in-england/2022-follow-up-to-the-2017-survey" TargetMode="External"/><Relationship Id="rId70" Type="http://schemas.openxmlformats.org/officeDocument/2006/relationships/hyperlink" Target="https://doi.org/10.1111/cdev.12864" TargetMode="External"/><Relationship Id="rId75" Type="http://schemas.openxmlformats.org/officeDocument/2006/relationships/hyperlink" Target="https://doi.org/10.1016/j.adolescence.2016.05.008" TargetMode="External"/><Relationship Id="rId83"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91/1478088706qp063oa" TargetMode="External"/><Relationship Id="rId23" Type="http://schemas.openxmlformats.org/officeDocument/2006/relationships/hyperlink" Target="https://doi.org/10.1037/0033-2909.98.2.310" TargetMode="External"/><Relationship Id="rId28" Type="http://schemas.openxmlformats.org/officeDocument/2006/relationships/hyperlink" Target="https://www.gov.uk/government/publications/mental-health-and-behaviour-in-schools--2" TargetMode="External"/><Relationship Id="rId36" Type="http://schemas.openxmlformats.org/officeDocument/2006/relationships/hyperlink" Target="https://doi.org/10.1186/1471-244X-10-113" TargetMode="External"/><Relationship Id="rId49" Type="http://schemas.openxmlformats.org/officeDocument/2006/relationships/hyperlink" Target="https://doi.org/10.1016/j.brat.2015.04.008" TargetMode="External"/><Relationship Id="rId57" Type="http://schemas.openxmlformats.org/officeDocument/2006/relationships/hyperlink" Target="https://pmc.ncbi.nlm.nih.gov/articles/PMC2921311/" TargetMode="External"/><Relationship Id="rId10" Type="http://schemas.openxmlformats.org/officeDocument/2006/relationships/hyperlink" Target="https://pmc.ncbi.nlm.nih.gov/articles/PMC11683866/" TargetMode="External"/><Relationship Id="rId31" Type="http://schemas.openxmlformats.org/officeDocument/2006/relationships/hyperlink" Target="https://doi.org/10.1016/j.jad.2017.12.014" TargetMode="External"/><Relationship Id="rId44" Type="http://schemas.openxmlformats.org/officeDocument/2006/relationships/hyperlink" Target="https://doi.org/10.1037/a0023477" TargetMode="External"/><Relationship Id="rId52" Type="http://schemas.openxmlformats.org/officeDocument/2006/relationships/hyperlink" Target="https://files.digital.nhs.uk/97/B09EF8/mhcyp_2021_rep.pdf" TargetMode="External"/><Relationship Id="rId60" Type="http://schemas.openxmlformats.org/officeDocument/2006/relationships/hyperlink" Target="https://doi.org/10.1192/bjo.2023.603" TargetMode="External"/><Relationship Id="rId65" Type="http://schemas.openxmlformats.org/officeDocument/2006/relationships/hyperlink" Target="https://doi.org/10.1007/s10964-008-9368-6" TargetMode="External"/><Relationship Id="rId73" Type="http://schemas.openxmlformats.org/officeDocument/2006/relationships/hyperlink" Target="https://doi.org/10.1037/spq0000102" TargetMode="External"/><Relationship Id="rId78" Type="http://schemas.openxmlformats.org/officeDocument/2006/relationships/hyperlink" Target="https://psycnet.apa.org/record/2010-26448-001"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648/j.ijps.20240402.12" TargetMode="External"/><Relationship Id="rId13" Type="http://schemas.openxmlformats.org/officeDocument/2006/relationships/hyperlink" Target="https://doi.org/10.1016/j.childyouth.2014.03.001" TargetMode="External"/><Relationship Id="rId18" Type="http://schemas.openxmlformats.org/officeDocument/2006/relationships/hyperlink" Target="https://doi.org/10.1080/02673843.2013.875480" TargetMode="External"/><Relationship Id="rId39" Type="http://schemas.openxmlformats.org/officeDocument/2006/relationships/hyperlink" Target="https://doi.org/10.1007/s10608-012-9476-1" TargetMode="External"/><Relationship Id="rId34" Type="http://schemas.openxmlformats.org/officeDocument/2006/relationships/hyperlink" Target="https://www.sciencedirect.com/science/article/pii/S0891524524001718" TargetMode="External"/><Relationship Id="rId50" Type="http://schemas.openxmlformats.org/officeDocument/2006/relationships/hyperlink" Target="https://www.cambridge.org/core/journals/psychological-medicine/article/abs/development-of-anxiety-disorders-in-childhood-an-integrative-review/78CA4C983719D652402CA1F5A0E259DD" TargetMode="External"/><Relationship Id="rId55" Type="http://schemas.openxmlformats.org/officeDocument/2006/relationships/hyperlink" Target="https://doi.org/10.1111/jcpp.13190" TargetMode="External"/><Relationship Id="rId76" Type="http://schemas.openxmlformats.org/officeDocument/2006/relationships/hyperlink" Target="https://www.youngminds.org.uk/" TargetMode="External"/><Relationship Id="rId7" Type="http://schemas.openxmlformats.org/officeDocument/2006/relationships/image" Target="media/image1.png"/><Relationship Id="rId71" Type="http://schemas.openxmlformats.org/officeDocument/2006/relationships/hyperlink" Target="https://doi.org/10.1177/0022146510395592" TargetMode="External"/><Relationship Id="rId2" Type="http://schemas.openxmlformats.org/officeDocument/2006/relationships/styles" Target="styles.xml"/><Relationship Id="rId29" Type="http://schemas.openxmlformats.org/officeDocument/2006/relationships/hyperlink" Target="https://www.gov.uk/government/publications/transforming-children-and-young-peoples-mental-health-provision" TargetMode="External"/><Relationship Id="rId24" Type="http://schemas.openxmlformats.org/officeDocument/2006/relationships/hyperlink" Target="https://psycnet.apa.org/doi/10.1037/spq0000102" TargetMode="External"/><Relationship Id="rId40" Type="http://schemas.openxmlformats.org/officeDocument/2006/relationships/hyperlink" Target="https://doi.org/10.1371/journal.pmed.1000316" TargetMode="External"/><Relationship Id="rId45" Type="http://schemas.openxmlformats.org/officeDocument/2006/relationships/hyperlink" Target="https://www.health.org.uk/publications/reports/the-marmot-review-10-years-on" TargetMode="External"/><Relationship Id="rId66" Type="http://schemas.openxmlformats.org/officeDocument/2006/relationships/hyperlink" Target="https://doi.org/10.1016/j.jad.2014.12.0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59</Pages>
  <Words>16747</Words>
  <Characters>95462</Characters>
  <Application>Microsoft Office Word</Application>
  <DocSecurity>0</DocSecurity>
  <Lines>795</Lines>
  <Paragraphs>223</Paragraphs>
  <ScaleCrop>false</ScaleCrop>
  <Company/>
  <LinksUpToDate>false</LinksUpToDate>
  <CharactersWithSpaces>111986</CharactersWithSpaces>
  <SharedDoc>false</SharedDoc>
  <HLinks>
    <vt:vector size="426" baseType="variant">
      <vt:variant>
        <vt:i4>1245197</vt:i4>
      </vt:variant>
      <vt:variant>
        <vt:i4>210</vt:i4>
      </vt:variant>
      <vt:variant>
        <vt:i4>0</vt:i4>
      </vt:variant>
      <vt:variant>
        <vt:i4>5</vt:i4>
      </vt:variant>
      <vt:variant>
        <vt:lpwstr>https://doi.org/10.1037/a0021302</vt:lpwstr>
      </vt:variant>
      <vt:variant>
        <vt:lpwstr/>
      </vt:variant>
      <vt:variant>
        <vt:i4>72</vt:i4>
      </vt:variant>
      <vt:variant>
        <vt:i4>207</vt:i4>
      </vt:variant>
      <vt:variant>
        <vt:i4>0</vt:i4>
      </vt:variant>
      <vt:variant>
        <vt:i4>5</vt:i4>
      </vt:variant>
      <vt:variant>
        <vt:lpwstr>https://doi.org/10.1080/15374416.2019.1622124</vt:lpwstr>
      </vt:variant>
      <vt:variant>
        <vt:lpwstr/>
      </vt:variant>
      <vt:variant>
        <vt:i4>1769494</vt:i4>
      </vt:variant>
      <vt:variant>
        <vt:i4>204</vt:i4>
      </vt:variant>
      <vt:variant>
        <vt:i4>0</vt:i4>
      </vt:variant>
      <vt:variant>
        <vt:i4>5</vt:i4>
      </vt:variant>
      <vt:variant>
        <vt:lpwstr>https://pmc.ncbi.nlm.nih.gov/articles/PMC9140348/</vt:lpwstr>
      </vt:variant>
      <vt:variant>
        <vt:lpwstr/>
      </vt:variant>
      <vt:variant>
        <vt:i4>7012415</vt:i4>
      </vt:variant>
      <vt:variant>
        <vt:i4>201</vt:i4>
      </vt:variant>
      <vt:variant>
        <vt:i4>0</vt:i4>
      </vt:variant>
      <vt:variant>
        <vt:i4>5</vt:i4>
      </vt:variant>
      <vt:variant>
        <vt:lpwstr>https://www.youngminds.org.uk/</vt:lpwstr>
      </vt:variant>
      <vt:variant>
        <vt:lpwstr/>
      </vt:variant>
      <vt:variant>
        <vt:i4>6488175</vt:i4>
      </vt:variant>
      <vt:variant>
        <vt:i4>198</vt:i4>
      </vt:variant>
      <vt:variant>
        <vt:i4>0</vt:i4>
      </vt:variant>
      <vt:variant>
        <vt:i4>5</vt:i4>
      </vt:variant>
      <vt:variant>
        <vt:lpwstr>https://doi.org/10.1037/spq0000102</vt:lpwstr>
      </vt:variant>
      <vt:variant>
        <vt:lpwstr/>
      </vt:variant>
      <vt:variant>
        <vt:i4>4718608</vt:i4>
      </vt:variant>
      <vt:variant>
        <vt:i4>195</vt:i4>
      </vt:variant>
      <vt:variant>
        <vt:i4>0</vt:i4>
      </vt:variant>
      <vt:variant>
        <vt:i4>5</vt:i4>
      </vt:variant>
      <vt:variant>
        <vt:lpwstr>https://doi.org/10.1016/j.adolescence.2019.08.009</vt:lpwstr>
      </vt:variant>
      <vt:variant>
        <vt:lpwstr/>
      </vt:variant>
      <vt:variant>
        <vt:i4>1638487</vt:i4>
      </vt:variant>
      <vt:variant>
        <vt:i4>192</vt:i4>
      </vt:variant>
      <vt:variant>
        <vt:i4>0</vt:i4>
      </vt:variant>
      <vt:variant>
        <vt:i4>5</vt:i4>
      </vt:variant>
      <vt:variant>
        <vt:lpwstr>https://doi.org/10.1177/0022146510395592</vt:lpwstr>
      </vt:variant>
      <vt:variant>
        <vt:lpwstr/>
      </vt:variant>
      <vt:variant>
        <vt:i4>3997814</vt:i4>
      </vt:variant>
      <vt:variant>
        <vt:i4>189</vt:i4>
      </vt:variant>
      <vt:variant>
        <vt:i4>0</vt:i4>
      </vt:variant>
      <vt:variant>
        <vt:i4>5</vt:i4>
      </vt:variant>
      <vt:variant>
        <vt:lpwstr>https://doi.org/10.1111/cdev.12864</vt:lpwstr>
      </vt:variant>
      <vt:variant>
        <vt:lpwstr/>
      </vt:variant>
      <vt:variant>
        <vt:i4>3407909</vt:i4>
      </vt:variant>
      <vt:variant>
        <vt:i4>186</vt:i4>
      </vt:variant>
      <vt:variant>
        <vt:i4>0</vt:i4>
      </vt:variant>
      <vt:variant>
        <vt:i4>5</vt:i4>
      </vt:variant>
      <vt:variant>
        <vt:lpwstr>https://pmc.ncbi.nlm.nih.gov/articles/PMC11177010/</vt:lpwstr>
      </vt:variant>
      <vt:variant>
        <vt:lpwstr/>
      </vt:variant>
      <vt:variant>
        <vt:i4>6553716</vt:i4>
      </vt:variant>
      <vt:variant>
        <vt:i4>183</vt:i4>
      </vt:variant>
      <vt:variant>
        <vt:i4>0</vt:i4>
      </vt:variant>
      <vt:variant>
        <vt:i4>5</vt:i4>
      </vt:variant>
      <vt:variant>
        <vt:lpwstr>https://www.sciencedirect.com/science/article/pii/S2214782919300521</vt:lpwstr>
      </vt:variant>
      <vt:variant>
        <vt:lpwstr/>
      </vt:variant>
      <vt:variant>
        <vt:i4>5701662</vt:i4>
      </vt:variant>
      <vt:variant>
        <vt:i4>180</vt:i4>
      </vt:variant>
      <vt:variant>
        <vt:i4>0</vt:i4>
      </vt:variant>
      <vt:variant>
        <vt:i4>5</vt:i4>
      </vt:variant>
      <vt:variant>
        <vt:lpwstr>https://doi.org/10.1016/j.avb.2020.101538</vt:lpwstr>
      </vt:variant>
      <vt:variant>
        <vt:lpwstr/>
      </vt:variant>
      <vt:variant>
        <vt:i4>458838</vt:i4>
      </vt:variant>
      <vt:variant>
        <vt:i4>177</vt:i4>
      </vt:variant>
      <vt:variant>
        <vt:i4>0</vt:i4>
      </vt:variant>
      <vt:variant>
        <vt:i4>5</vt:i4>
      </vt:variant>
      <vt:variant>
        <vt:lpwstr>https://jamanetwork.com/journals/jamanetworkopen/fullarticle/2773539</vt:lpwstr>
      </vt:variant>
      <vt:variant>
        <vt:lpwstr/>
      </vt:variant>
      <vt:variant>
        <vt:i4>6029335</vt:i4>
      </vt:variant>
      <vt:variant>
        <vt:i4>174</vt:i4>
      </vt:variant>
      <vt:variant>
        <vt:i4>0</vt:i4>
      </vt:variant>
      <vt:variant>
        <vt:i4>5</vt:i4>
      </vt:variant>
      <vt:variant>
        <vt:lpwstr>https://doi.org/10.1016/j.jad.2014.12.049</vt:lpwstr>
      </vt:variant>
      <vt:variant>
        <vt:lpwstr/>
      </vt:variant>
      <vt:variant>
        <vt:i4>786448</vt:i4>
      </vt:variant>
      <vt:variant>
        <vt:i4>171</vt:i4>
      </vt:variant>
      <vt:variant>
        <vt:i4>0</vt:i4>
      </vt:variant>
      <vt:variant>
        <vt:i4>5</vt:i4>
      </vt:variant>
      <vt:variant>
        <vt:lpwstr>https://doi.org/10.1007/s10648-015-9318-6</vt:lpwstr>
      </vt:variant>
      <vt:variant>
        <vt:lpwstr/>
      </vt:variant>
      <vt:variant>
        <vt:i4>3080247</vt:i4>
      </vt:variant>
      <vt:variant>
        <vt:i4>168</vt:i4>
      </vt:variant>
      <vt:variant>
        <vt:i4>0</vt:i4>
      </vt:variant>
      <vt:variant>
        <vt:i4>5</vt:i4>
      </vt:variant>
      <vt:variant>
        <vt:lpwstr>https://doi.org/10.1007/s10578-020-01008-8</vt:lpwstr>
      </vt:variant>
      <vt:variant>
        <vt:lpwstr/>
      </vt:variant>
      <vt:variant>
        <vt:i4>2949221</vt:i4>
      </vt:variant>
      <vt:variant>
        <vt:i4>165</vt:i4>
      </vt:variant>
      <vt:variant>
        <vt:i4>0</vt:i4>
      </vt:variant>
      <vt:variant>
        <vt:i4>5</vt:i4>
      </vt:variant>
      <vt:variant>
        <vt:lpwstr>https://doi.org/10.1016/j.socscimed.2013.04.026</vt:lpwstr>
      </vt:variant>
      <vt:variant>
        <vt:lpwstr/>
      </vt:variant>
      <vt:variant>
        <vt:i4>6422564</vt:i4>
      </vt:variant>
      <vt:variant>
        <vt:i4>162</vt:i4>
      </vt:variant>
      <vt:variant>
        <vt:i4>0</vt:i4>
      </vt:variant>
      <vt:variant>
        <vt:i4>5</vt:i4>
      </vt:variant>
      <vt:variant>
        <vt:lpwstr>https://www.gov.uk/</vt:lpwstr>
      </vt:variant>
      <vt:variant>
        <vt:lpwstr/>
      </vt:variant>
      <vt:variant>
        <vt:i4>8126562</vt:i4>
      </vt:variant>
      <vt:variant>
        <vt:i4>159</vt:i4>
      </vt:variant>
      <vt:variant>
        <vt:i4>0</vt:i4>
      </vt:variant>
      <vt:variant>
        <vt:i4>5</vt:i4>
      </vt:variant>
      <vt:variant>
        <vt:lpwstr>https://www.gov.uk/government/publications/promoting-children-and-young-peoples-emotional-health-and-wellbeing</vt:lpwstr>
      </vt:variant>
      <vt:variant>
        <vt:lpwstr/>
      </vt:variant>
      <vt:variant>
        <vt:i4>7077946</vt:i4>
      </vt:variant>
      <vt:variant>
        <vt:i4>156</vt:i4>
      </vt:variant>
      <vt:variant>
        <vt:i4>0</vt:i4>
      </vt:variant>
      <vt:variant>
        <vt:i4>5</vt:i4>
      </vt:variant>
      <vt:variant>
        <vt:lpwstr>https://doi.org/10.1007/s40894-019-00117-x</vt:lpwstr>
      </vt:variant>
      <vt:variant>
        <vt:lpwstr/>
      </vt:variant>
      <vt:variant>
        <vt:i4>524297</vt:i4>
      </vt:variant>
      <vt:variant>
        <vt:i4>153</vt:i4>
      </vt:variant>
      <vt:variant>
        <vt:i4>0</vt:i4>
      </vt:variant>
      <vt:variant>
        <vt:i4>5</vt:i4>
      </vt:variant>
      <vt:variant>
        <vt:lpwstr>https://doi.org/10.1016/S0140-6736(07)60368-7</vt:lpwstr>
      </vt:variant>
      <vt:variant>
        <vt:lpwstr/>
      </vt:variant>
      <vt:variant>
        <vt:i4>2031642</vt:i4>
      </vt:variant>
      <vt:variant>
        <vt:i4>150</vt:i4>
      </vt:variant>
      <vt:variant>
        <vt:i4>0</vt:i4>
      </vt:variant>
      <vt:variant>
        <vt:i4>5</vt:i4>
      </vt:variant>
      <vt:variant>
        <vt:lpwstr>https://pmc.ncbi.nlm.nih.gov/articles/PMC2921311/</vt:lpwstr>
      </vt:variant>
      <vt:variant>
        <vt:lpwstr/>
      </vt:variant>
      <vt:variant>
        <vt:i4>2228280</vt:i4>
      </vt:variant>
      <vt:variant>
        <vt:i4>147</vt:i4>
      </vt:variant>
      <vt:variant>
        <vt:i4>0</vt:i4>
      </vt:variant>
      <vt:variant>
        <vt:i4>5</vt:i4>
      </vt:variant>
      <vt:variant>
        <vt:lpwstr>https://www.ons.gov.uk/</vt:lpwstr>
      </vt:variant>
      <vt:variant>
        <vt:lpwstr/>
      </vt:variant>
      <vt:variant>
        <vt:i4>3211364</vt:i4>
      </vt:variant>
      <vt:variant>
        <vt:i4>144</vt:i4>
      </vt:variant>
      <vt:variant>
        <vt:i4>0</vt:i4>
      </vt:variant>
      <vt:variant>
        <vt:i4>5</vt:i4>
      </vt:variant>
      <vt:variant>
        <vt:lpwstr>https://doi.org/10.1111/jcpp.13190</vt:lpwstr>
      </vt:variant>
      <vt:variant>
        <vt:lpwstr/>
      </vt:variant>
      <vt:variant>
        <vt:i4>1638494</vt:i4>
      </vt:variant>
      <vt:variant>
        <vt:i4>141</vt:i4>
      </vt:variant>
      <vt:variant>
        <vt:i4>0</vt:i4>
      </vt:variant>
      <vt:variant>
        <vt:i4>5</vt:i4>
      </vt:variant>
      <vt:variant>
        <vt:lpwstr>https://doi.org/10.1177/1609406917733847</vt:lpwstr>
      </vt:variant>
      <vt:variant>
        <vt:lpwstr/>
      </vt:variant>
      <vt:variant>
        <vt:i4>7536691</vt:i4>
      </vt:variant>
      <vt:variant>
        <vt:i4>138</vt:i4>
      </vt:variant>
      <vt:variant>
        <vt:i4>0</vt:i4>
      </vt:variant>
      <vt:variant>
        <vt:i4>5</vt:i4>
      </vt:variant>
      <vt:variant>
        <vt:lpwstr>https://digital.nhs.uk/</vt:lpwstr>
      </vt:variant>
      <vt:variant>
        <vt:lpwstr/>
      </vt:variant>
      <vt:variant>
        <vt:i4>6946849</vt:i4>
      </vt:variant>
      <vt:variant>
        <vt:i4>135</vt:i4>
      </vt:variant>
      <vt:variant>
        <vt:i4>0</vt:i4>
      </vt:variant>
      <vt:variant>
        <vt:i4>5</vt:i4>
      </vt:variant>
      <vt:variant>
        <vt:lpwstr>https://digital.nhs.uk/data-and-information/publications/statistical/mental-health-of-children-and-young-people-in-england/2021</vt:lpwstr>
      </vt:variant>
      <vt:variant>
        <vt:lpwstr/>
      </vt:variant>
      <vt:variant>
        <vt:i4>1441876</vt:i4>
      </vt:variant>
      <vt:variant>
        <vt:i4>132</vt:i4>
      </vt:variant>
      <vt:variant>
        <vt:i4>0</vt:i4>
      </vt:variant>
      <vt:variant>
        <vt:i4>5</vt:i4>
      </vt:variant>
      <vt:variant>
        <vt:lpwstr>https://www.nice.org.uk/</vt:lpwstr>
      </vt:variant>
      <vt:variant>
        <vt:lpwstr/>
      </vt:variant>
      <vt:variant>
        <vt:i4>2031641</vt:i4>
      </vt:variant>
      <vt:variant>
        <vt:i4>129</vt:i4>
      </vt:variant>
      <vt:variant>
        <vt:i4>0</vt:i4>
      </vt:variant>
      <vt:variant>
        <vt:i4>5</vt:i4>
      </vt:variant>
      <vt:variant>
        <vt:lpwstr>https://doi.org/10.1017/S0033291709005383</vt:lpwstr>
      </vt:variant>
      <vt:variant>
        <vt:lpwstr/>
      </vt:variant>
      <vt:variant>
        <vt:i4>2818096</vt:i4>
      </vt:variant>
      <vt:variant>
        <vt:i4>126</vt:i4>
      </vt:variant>
      <vt:variant>
        <vt:i4>0</vt:i4>
      </vt:variant>
      <vt:variant>
        <vt:i4>5</vt:i4>
      </vt:variant>
      <vt:variant>
        <vt:lpwstr>https://doi.org/10.1016/j.brat.2015.04.008</vt:lpwstr>
      </vt:variant>
      <vt:variant>
        <vt:lpwstr/>
      </vt:variant>
      <vt:variant>
        <vt:i4>6488160</vt:i4>
      </vt:variant>
      <vt:variant>
        <vt:i4>123</vt:i4>
      </vt:variant>
      <vt:variant>
        <vt:i4>0</vt:i4>
      </vt:variant>
      <vt:variant>
        <vt:i4>5</vt:i4>
      </vt:variant>
      <vt:variant>
        <vt:lpwstr>https://doi.org/10.1037/bul0000036</vt:lpwstr>
      </vt:variant>
      <vt:variant>
        <vt:lpwstr/>
      </vt:variant>
      <vt:variant>
        <vt:i4>393286</vt:i4>
      </vt:variant>
      <vt:variant>
        <vt:i4>120</vt:i4>
      </vt:variant>
      <vt:variant>
        <vt:i4>0</vt:i4>
      </vt:variant>
      <vt:variant>
        <vt:i4>5</vt:i4>
      </vt:variant>
      <vt:variant>
        <vt:lpwstr>https://www.mentalhealth.org.uk/</vt:lpwstr>
      </vt:variant>
      <vt:variant>
        <vt:lpwstr/>
      </vt:variant>
      <vt:variant>
        <vt:i4>851997</vt:i4>
      </vt:variant>
      <vt:variant>
        <vt:i4>117</vt:i4>
      </vt:variant>
      <vt:variant>
        <vt:i4>0</vt:i4>
      </vt:variant>
      <vt:variant>
        <vt:i4>5</vt:i4>
      </vt:variant>
      <vt:variant>
        <vt:lpwstr>https://doi.org/10.1007/s10802-006-9073-1</vt:lpwstr>
      </vt:variant>
      <vt:variant>
        <vt:lpwstr/>
      </vt:variant>
      <vt:variant>
        <vt:i4>4849666</vt:i4>
      </vt:variant>
      <vt:variant>
        <vt:i4>114</vt:i4>
      </vt:variant>
      <vt:variant>
        <vt:i4>0</vt:i4>
      </vt:variant>
      <vt:variant>
        <vt:i4>5</vt:i4>
      </vt:variant>
      <vt:variant>
        <vt:lpwstr>https://doi.org/10.1016/j.cpr.2006.09.002</vt:lpwstr>
      </vt:variant>
      <vt:variant>
        <vt:lpwstr/>
      </vt:variant>
      <vt:variant>
        <vt:i4>3866681</vt:i4>
      </vt:variant>
      <vt:variant>
        <vt:i4>111</vt:i4>
      </vt:variant>
      <vt:variant>
        <vt:i4>0</vt:i4>
      </vt:variant>
      <vt:variant>
        <vt:i4>5</vt:i4>
      </vt:variant>
      <vt:variant>
        <vt:lpwstr>https://doi.org/10.1037/0003-066X.56.3.227</vt:lpwstr>
      </vt:variant>
      <vt:variant>
        <vt:lpwstr/>
      </vt:variant>
      <vt:variant>
        <vt:i4>1376258</vt:i4>
      </vt:variant>
      <vt:variant>
        <vt:i4>108</vt:i4>
      </vt:variant>
      <vt:variant>
        <vt:i4>0</vt:i4>
      </vt:variant>
      <vt:variant>
        <vt:i4>5</vt:i4>
      </vt:variant>
      <vt:variant>
        <vt:lpwstr>https://www.health.org.uk/publications/reports/the-marmot-review-10-years-on</vt:lpwstr>
      </vt:variant>
      <vt:variant>
        <vt:lpwstr/>
      </vt:variant>
      <vt:variant>
        <vt:i4>1114120</vt:i4>
      </vt:variant>
      <vt:variant>
        <vt:i4>105</vt:i4>
      </vt:variant>
      <vt:variant>
        <vt:i4>0</vt:i4>
      </vt:variant>
      <vt:variant>
        <vt:i4>5</vt:i4>
      </vt:variant>
      <vt:variant>
        <vt:lpwstr>https://doi.org/10.1037/a0023477</vt:lpwstr>
      </vt:variant>
      <vt:variant>
        <vt:lpwstr/>
      </vt:variant>
      <vt:variant>
        <vt:i4>1441871</vt:i4>
      </vt:variant>
      <vt:variant>
        <vt:i4>102</vt:i4>
      </vt:variant>
      <vt:variant>
        <vt:i4>0</vt:i4>
      </vt:variant>
      <vt:variant>
        <vt:i4>5</vt:i4>
      </vt:variant>
      <vt:variant>
        <vt:lpwstr>https://doi.org/10.1001/archpsyc.62.6.593</vt:lpwstr>
      </vt:variant>
      <vt:variant>
        <vt:lpwstr/>
      </vt:variant>
      <vt:variant>
        <vt:i4>2031711</vt:i4>
      </vt:variant>
      <vt:variant>
        <vt:i4>99</vt:i4>
      </vt:variant>
      <vt:variant>
        <vt:i4>0</vt:i4>
      </vt:variant>
      <vt:variant>
        <vt:i4>5</vt:i4>
      </vt:variant>
      <vt:variant>
        <vt:lpwstr>https://www.jahonline.org/article/S1054-139X(24)00433-6/fulltext</vt:lpwstr>
      </vt:variant>
      <vt:variant>
        <vt:lpwstr/>
      </vt:variant>
      <vt:variant>
        <vt:i4>327748</vt:i4>
      </vt:variant>
      <vt:variant>
        <vt:i4>96</vt:i4>
      </vt:variant>
      <vt:variant>
        <vt:i4>0</vt:i4>
      </vt:variant>
      <vt:variant>
        <vt:i4>5</vt:i4>
      </vt:variant>
      <vt:variant>
        <vt:lpwstr>https://doi.org/10.1080/15374416.2015.1077447</vt:lpwstr>
      </vt:variant>
      <vt:variant>
        <vt:lpwstr/>
      </vt:variant>
      <vt:variant>
        <vt:i4>4915279</vt:i4>
      </vt:variant>
      <vt:variant>
        <vt:i4>93</vt:i4>
      </vt:variant>
      <vt:variant>
        <vt:i4>0</vt:i4>
      </vt:variant>
      <vt:variant>
        <vt:i4>5</vt:i4>
      </vt:variant>
      <vt:variant>
        <vt:lpwstr>https://doi.org/10.1371/journal.pmed.1000316</vt:lpwstr>
      </vt:variant>
      <vt:variant>
        <vt:lpwstr/>
      </vt:variant>
      <vt:variant>
        <vt:i4>851997</vt:i4>
      </vt:variant>
      <vt:variant>
        <vt:i4>90</vt:i4>
      </vt:variant>
      <vt:variant>
        <vt:i4>0</vt:i4>
      </vt:variant>
      <vt:variant>
        <vt:i4>5</vt:i4>
      </vt:variant>
      <vt:variant>
        <vt:lpwstr>https://doi.org/10.1007/s10608-012-9476-1</vt:lpwstr>
      </vt:variant>
      <vt:variant>
        <vt:lpwstr/>
      </vt:variant>
      <vt:variant>
        <vt:i4>4128805</vt:i4>
      </vt:variant>
      <vt:variant>
        <vt:i4>87</vt:i4>
      </vt:variant>
      <vt:variant>
        <vt:i4>0</vt:i4>
      </vt:variant>
      <vt:variant>
        <vt:i4>5</vt:i4>
      </vt:variant>
      <vt:variant>
        <vt:lpwstr>https://pmc.ncbi.nlm.nih.gov/articles/PMC10165080/</vt:lpwstr>
      </vt:variant>
      <vt:variant>
        <vt:lpwstr/>
      </vt:variant>
      <vt:variant>
        <vt:i4>4653066</vt:i4>
      </vt:variant>
      <vt:variant>
        <vt:i4>84</vt:i4>
      </vt:variant>
      <vt:variant>
        <vt:i4>0</vt:i4>
      </vt:variant>
      <vt:variant>
        <vt:i4>5</vt:i4>
      </vt:variant>
      <vt:variant>
        <vt:lpwstr>https://doi.org/10.1016/j.psc.2018.02.001</vt:lpwstr>
      </vt:variant>
      <vt:variant>
        <vt:lpwstr/>
      </vt:variant>
      <vt:variant>
        <vt:i4>458775</vt:i4>
      </vt:variant>
      <vt:variant>
        <vt:i4>81</vt:i4>
      </vt:variant>
      <vt:variant>
        <vt:i4>0</vt:i4>
      </vt:variant>
      <vt:variant>
        <vt:i4>5</vt:i4>
      </vt:variant>
      <vt:variant>
        <vt:lpwstr>https://doi.org/10.1186/1471-244X-10-113</vt:lpwstr>
      </vt:variant>
      <vt:variant>
        <vt:lpwstr/>
      </vt:variant>
      <vt:variant>
        <vt:i4>1769502</vt:i4>
      </vt:variant>
      <vt:variant>
        <vt:i4>78</vt:i4>
      </vt:variant>
      <vt:variant>
        <vt:i4>0</vt:i4>
      </vt:variant>
      <vt:variant>
        <vt:i4>5</vt:i4>
      </vt:variant>
      <vt:variant>
        <vt:lpwstr>https://doi.org/10.1192/bjp.bp.115.169094</vt:lpwstr>
      </vt:variant>
      <vt:variant>
        <vt:lpwstr/>
      </vt:variant>
      <vt:variant>
        <vt:i4>6815858</vt:i4>
      </vt:variant>
      <vt:variant>
        <vt:i4>75</vt:i4>
      </vt:variant>
      <vt:variant>
        <vt:i4>0</vt:i4>
      </vt:variant>
      <vt:variant>
        <vt:i4>5</vt:i4>
      </vt:variant>
      <vt:variant>
        <vt:lpwstr>https://www.sciencedirect.com/science/article/pii/S0891524524001718</vt:lpwstr>
      </vt:variant>
      <vt:variant>
        <vt:lpwstr/>
      </vt:variant>
      <vt:variant>
        <vt:i4>2949230</vt:i4>
      </vt:variant>
      <vt:variant>
        <vt:i4>72</vt:i4>
      </vt:variant>
      <vt:variant>
        <vt:i4>0</vt:i4>
      </vt:variant>
      <vt:variant>
        <vt:i4>5</vt:i4>
      </vt:variant>
      <vt:variant>
        <vt:lpwstr>https://doi.org/10.1177/001872675400700202</vt:lpwstr>
      </vt:variant>
      <vt:variant>
        <vt:lpwstr/>
      </vt:variant>
      <vt:variant>
        <vt:i4>851972</vt:i4>
      </vt:variant>
      <vt:variant>
        <vt:i4>69</vt:i4>
      </vt:variant>
      <vt:variant>
        <vt:i4>0</vt:i4>
      </vt:variant>
      <vt:variant>
        <vt:i4>5</vt:i4>
      </vt:variant>
      <vt:variant>
        <vt:lpwstr>https://doi.org/10.1016/S2215-0366(14)70312-0</vt:lpwstr>
      </vt:variant>
      <vt:variant>
        <vt:lpwstr/>
      </vt:variant>
      <vt:variant>
        <vt:i4>5636114</vt:i4>
      </vt:variant>
      <vt:variant>
        <vt:i4>66</vt:i4>
      </vt:variant>
      <vt:variant>
        <vt:i4>0</vt:i4>
      </vt:variant>
      <vt:variant>
        <vt:i4>5</vt:i4>
      </vt:variant>
      <vt:variant>
        <vt:lpwstr>https://doi.org/10.1016/j.jad.2019.07.020</vt:lpwstr>
      </vt:variant>
      <vt:variant>
        <vt:lpwstr/>
      </vt:variant>
      <vt:variant>
        <vt:i4>5308444</vt:i4>
      </vt:variant>
      <vt:variant>
        <vt:i4>63</vt:i4>
      </vt:variant>
      <vt:variant>
        <vt:i4>0</vt:i4>
      </vt:variant>
      <vt:variant>
        <vt:i4>5</vt:i4>
      </vt:variant>
      <vt:variant>
        <vt:lpwstr>https://doi.org/10.1111/j.1532-7795.2010.00725.x</vt:lpwstr>
      </vt:variant>
      <vt:variant>
        <vt:lpwstr/>
      </vt:variant>
      <vt:variant>
        <vt:i4>3211371</vt:i4>
      </vt:variant>
      <vt:variant>
        <vt:i4>60</vt:i4>
      </vt:variant>
      <vt:variant>
        <vt:i4>0</vt:i4>
      </vt:variant>
      <vt:variant>
        <vt:i4>5</vt:i4>
      </vt:variant>
      <vt:variant>
        <vt:lpwstr>https://www.gov.uk/government/publications/transforming-children-and-young-peoples-mental-health-provision</vt:lpwstr>
      </vt:variant>
      <vt:variant>
        <vt:lpwstr/>
      </vt:variant>
      <vt:variant>
        <vt:i4>6815799</vt:i4>
      </vt:variant>
      <vt:variant>
        <vt:i4>57</vt:i4>
      </vt:variant>
      <vt:variant>
        <vt:i4>0</vt:i4>
      </vt:variant>
      <vt:variant>
        <vt:i4>5</vt:i4>
      </vt:variant>
      <vt:variant>
        <vt:lpwstr>https://www.gov.uk/government/publications/mental-health-and-behaviour-in-schools%E2%80%932</vt:lpwstr>
      </vt:variant>
      <vt:variant>
        <vt:lpwstr/>
      </vt:variant>
      <vt:variant>
        <vt:i4>2490469</vt:i4>
      </vt:variant>
      <vt:variant>
        <vt:i4>54</vt:i4>
      </vt:variant>
      <vt:variant>
        <vt:i4>0</vt:i4>
      </vt:variant>
      <vt:variant>
        <vt:i4>5</vt:i4>
      </vt:variant>
      <vt:variant>
        <vt:lpwstr>https://www.gov.uk/government/publications/preventing-and-tackling-bullying</vt:lpwstr>
      </vt:variant>
      <vt:variant>
        <vt:lpwstr/>
      </vt:variant>
      <vt:variant>
        <vt:i4>5505109</vt:i4>
      </vt:variant>
      <vt:variant>
        <vt:i4>51</vt:i4>
      </vt:variant>
      <vt:variant>
        <vt:i4>0</vt:i4>
      </vt:variant>
      <vt:variant>
        <vt:i4>5</vt:i4>
      </vt:variant>
      <vt:variant>
        <vt:lpwstr>https://doi.org/10.3310/hta25200</vt:lpwstr>
      </vt:variant>
      <vt:variant>
        <vt:lpwstr/>
      </vt:variant>
      <vt:variant>
        <vt:i4>1835086</vt:i4>
      </vt:variant>
      <vt:variant>
        <vt:i4>48</vt:i4>
      </vt:variant>
      <vt:variant>
        <vt:i4>0</vt:i4>
      </vt:variant>
      <vt:variant>
        <vt:i4>5</vt:i4>
      </vt:variant>
      <vt:variant>
        <vt:lpwstr>https://doi.org/10.1001/archpsyc.60.8.837</vt:lpwstr>
      </vt:variant>
      <vt:variant>
        <vt:lpwstr/>
      </vt:variant>
      <vt:variant>
        <vt:i4>3539067</vt:i4>
      </vt:variant>
      <vt:variant>
        <vt:i4>45</vt:i4>
      </vt:variant>
      <vt:variant>
        <vt:i4>0</vt:i4>
      </vt:variant>
      <vt:variant>
        <vt:i4>5</vt:i4>
      </vt:variant>
      <vt:variant>
        <vt:lpwstr>https://doi.org/10.1037/0033-2909.98.2.310</vt:lpwstr>
      </vt:variant>
      <vt:variant>
        <vt:lpwstr/>
      </vt:variant>
      <vt:variant>
        <vt:i4>131097</vt:i4>
      </vt:variant>
      <vt:variant>
        <vt:i4>42</vt:i4>
      </vt:variant>
      <vt:variant>
        <vt:i4>0</vt:i4>
      </vt:variant>
      <vt:variant>
        <vt:i4>5</vt:i4>
      </vt:variant>
      <vt:variant>
        <vt:lpwstr>https://doi.org/10.1007/s10964-016-0565-2</vt:lpwstr>
      </vt:variant>
      <vt:variant>
        <vt:lpwstr/>
      </vt:variant>
      <vt:variant>
        <vt:i4>3276921</vt:i4>
      </vt:variant>
      <vt:variant>
        <vt:i4>39</vt:i4>
      </vt:variant>
      <vt:variant>
        <vt:i4>0</vt:i4>
      </vt:variant>
      <vt:variant>
        <vt:i4>5</vt:i4>
      </vt:variant>
      <vt:variant>
        <vt:lpwstr>https://doi.org/10.1521/jscp.2010.29.6.624</vt:lpwstr>
      </vt:variant>
      <vt:variant>
        <vt:lpwstr/>
      </vt:variant>
      <vt:variant>
        <vt:i4>6225937</vt:i4>
      </vt:variant>
      <vt:variant>
        <vt:i4>36</vt:i4>
      </vt:variant>
      <vt:variant>
        <vt:i4>0</vt:i4>
      </vt:variant>
      <vt:variant>
        <vt:i4>5</vt:i4>
      </vt:variant>
      <vt:variant>
        <vt:lpwstr>https://doi.org/10.1016/j.jad.2021.07.030</vt:lpwstr>
      </vt:variant>
      <vt:variant>
        <vt:lpwstr/>
      </vt:variant>
      <vt:variant>
        <vt:i4>6684704</vt:i4>
      </vt:variant>
      <vt:variant>
        <vt:i4>33</vt:i4>
      </vt:variant>
      <vt:variant>
        <vt:i4>0</vt:i4>
      </vt:variant>
      <vt:variant>
        <vt:i4>5</vt:i4>
      </vt:variant>
      <vt:variant>
        <vt:lpwstr>https://www.mdpi.com/2227-9032/13/5/533</vt:lpwstr>
      </vt:variant>
      <vt:variant>
        <vt:lpwstr/>
      </vt:variant>
      <vt:variant>
        <vt:i4>720963</vt:i4>
      </vt:variant>
      <vt:variant>
        <vt:i4>30</vt:i4>
      </vt:variant>
      <vt:variant>
        <vt:i4>0</vt:i4>
      </vt:variant>
      <vt:variant>
        <vt:i4>5</vt:i4>
      </vt:variant>
      <vt:variant>
        <vt:lpwstr>https://doi.org/10.1080/02673843.2013.875480</vt:lpwstr>
      </vt:variant>
      <vt:variant>
        <vt:lpwstr/>
      </vt:variant>
      <vt:variant>
        <vt:i4>1441811</vt:i4>
      </vt:variant>
      <vt:variant>
        <vt:i4>27</vt:i4>
      </vt:variant>
      <vt:variant>
        <vt:i4>0</vt:i4>
      </vt:variant>
      <vt:variant>
        <vt:i4>5</vt:i4>
      </vt:variant>
      <vt:variant>
        <vt:lpwstr>https://doi.org/10.1017/S0954579409990344</vt:lpwstr>
      </vt:variant>
      <vt:variant>
        <vt:lpwstr/>
      </vt:variant>
      <vt:variant>
        <vt:i4>6291492</vt:i4>
      </vt:variant>
      <vt:variant>
        <vt:i4>24</vt:i4>
      </vt:variant>
      <vt:variant>
        <vt:i4>0</vt:i4>
      </vt:variant>
      <vt:variant>
        <vt:i4>5</vt:i4>
      </vt:variant>
      <vt:variant>
        <vt:lpwstr>https://doi.org/10.1002/9780470479193.adlpsy002004</vt:lpwstr>
      </vt:variant>
      <vt:variant>
        <vt:lpwstr/>
      </vt:variant>
      <vt:variant>
        <vt:i4>393238</vt:i4>
      </vt:variant>
      <vt:variant>
        <vt:i4>21</vt:i4>
      </vt:variant>
      <vt:variant>
        <vt:i4>0</vt:i4>
      </vt:variant>
      <vt:variant>
        <vt:i4>5</vt:i4>
      </vt:variant>
      <vt:variant>
        <vt:lpwstr>https://doi.org/10.1191/1478088706qp063oa</vt:lpwstr>
      </vt:variant>
      <vt:variant>
        <vt:lpwstr/>
      </vt:variant>
      <vt:variant>
        <vt:i4>31</vt:i4>
      </vt:variant>
      <vt:variant>
        <vt:i4>18</vt:i4>
      </vt:variant>
      <vt:variant>
        <vt:i4>0</vt:i4>
      </vt:variant>
      <vt:variant>
        <vt:i4>5</vt:i4>
      </vt:variant>
      <vt:variant>
        <vt:lpwstr>https://doi.org/10.1007/s10567-015-0187-0</vt:lpwstr>
      </vt:variant>
      <vt:variant>
        <vt:lpwstr/>
      </vt:variant>
      <vt:variant>
        <vt:i4>4390983</vt:i4>
      </vt:variant>
      <vt:variant>
        <vt:i4>15</vt:i4>
      </vt:variant>
      <vt:variant>
        <vt:i4>0</vt:i4>
      </vt:variant>
      <vt:variant>
        <vt:i4>5</vt:i4>
      </vt:variant>
      <vt:variant>
        <vt:lpwstr>https://doi.org/10.1016/j.childyouth.2014.03.001</vt:lpwstr>
      </vt:variant>
      <vt:variant>
        <vt:lpwstr/>
      </vt:variant>
      <vt:variant>
        <vt:i4>4259866</vt:i4>
      </vt:variant>
      <vt:variant>
        <vt:i4>12</vt:i4>
      </vt:variant>
      <vt:variant>
        <vt:i4>0</vt:i4>
      </vt:variant>
      <vt:variant>
        <vt:i4>5</vt:i4>
      </vt:variant>
      <vt:variant>
        <vt:lpwstr>https://doi.org/10.1016/j.adolescence.2020.01.005</vt:lpwstr>
      </vt:variant>
      <vt:variant>
        <vt:lpwstr/>
      </vt:variant>
      <vt:variant>
        <vt:i4>7536650</vt:i4>
      </vt:variant>
      <vt:variant>
        <vt:i4>9</vt:i4>
      </vt:variant>
      <vt:variant>
        <vt:i4>0</vt:i4>
      </vt:variant>
      <vt:variant>
        <vt:i4>5</vt:i4>
      </vt:variant>
      <vt:variant>
        <vt:lpwstr>https://doi.org/10.1207/s15374424jccp3503_11</vt:lpwstr>
      </vt:variant>
      <vt:variant>
        <vt:lpwstr/>
      </vt:variant>
      <vt:variant>
        <vt:i4>3145764</vt:i4>
      </vt:variant>
      <vt:variant>
        <vt:i4>6</vt:i4>
      </vt:variant>
      <vt:variant>
        <vt:i4>0</vt:i4>
      </vt:variant>
      <vt:variant>
        <vt:i4>5</vt:i4>
      </vt:variant>
      <vt:variant>
        <vt:lpwstr>https://pmc.ncbi.nlm.nih.gov/articles/PMC11683866/</vt:lpwstr>
      </vt:variant>
      <vt:variant>
        <vt:lpwstr/>
      </vt:variant>
      <vt:variant>
        <vt:i4>7077993</vt:i4>
      </vt:variant>
      <vt:variant>
        <vt:i4>3</vt:i4>
      </vt:variant>
      <vt:variant>
        <vt:i4>0</vt:i4>
      </vt:variant>
      <vt:variant>
        <vt:i4>5</vt:i4>
      </vt:variant>
      <vt:variant>
        <vt:lpwstr>https://doi.org/10.11648/j.ijps.20240402.12</vt:lpwstr>
      </vt:variant>
      <vt:variant>
        <vt:lpwstr/>
      </vt:variant>
      <vt:variant>
        <vt:i4>5636125</vt:i4>
      </vt:variant>
      <vt:variant>
        <vt:i4>0</vt:i4>
      </vt:variant>
      <vt:variant>
        <vt:i4>0</vt:i4>
      </vt:variant>
      <vt:variant>
        <vt:i4>5</vt:i4>
      </vt:variant>
      <vt:variant>
        <vt:lpwstr>https://doi.org/10.1111/j.1467-8624.2007.01062.x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Asya Zulfiqar (2229775)</dc:creator>
  <cp:keywords/>
  <dc:description/>
  <cp:lastModifiedBy>Asya Zulfiqar (2229775)</cp:lastModifiedBy>
  <cp:revision>535</cp:revision>
  <dcterms:created xsi:type="dcterms:W3CDTF">2025-10-12T01:47:00Z</dcterms:created>
  <dcterms:modified xsi:type="dcterms:W3CDTF">2026-04-07T17:47:00Z</dcterms:modified>
</cp:coreProperties>
</file>