
<file path=[Content_Types].xml><?xml version="1.0" encoding="utf-8"?>
<Types xmlns="http://schemas.openxmlformats.org/package/2006/content-types">
  <Default Extension="bin" ContentType="application/vnd.openxmlformats-officedocument.oleObject"/>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B2D87" w14:textId="77777777" w:rsidR="00C35511" w:rsidRPr="0036558D" w:rsidRDefault="00C35511" w:rsidP="0036558D">
      <w:pPr>
        <w:rPr>
          <w:rFonts w:asciiTheme="majorHAnsi" w:hAnsiTheme="majorHAnsi" w:cstheme="majorHAnsi"/>
        </w:rPr>
      </w:pPr>
    </w:p>
    <w:tbl>
      <w:tblPr>
        <w:tblStyle w:val="a6"/>
        <w:tblW w:w="9405" w:type="dxa"/>
        <w:tblInd w:w="-3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2821"/>
        <w:gridCol w:w="2126"/>
        <w:gridCol w:w="2103"/>
      </w:tblGrid>
      <w:tr w:rsidR="00C35511" w:rsidRPr="0036558D" w14:paraId="63179CCF" w14:textId="77777777">
        <w:trPr>
          <w:trHeight w:val="504"/>
        </w:trPr>
        <w:tc>
          <w:tcPr>
            <w:tcW w:w="2355" w:type="dxa"/>
            <w:tcMar>
              <w:top w:w="100" w:type="dxa"/>
              <w:left w:w="100" w:type="dxa"/>
              <w:bottom w:w="100" w:type="dxa"/>
              <w:right w:w="100" w:type="dxa"/>
            </w:tcMar>
          </w:tcPr>
          <w:p w14:paraId="7F8E6543" w14:textId="77777777" w:rsidR="00C35511" w:rsidRPr="0036558D" w:rsidRDefault="00000000" w:rsidP="0036558D">
            <w:pPr>
              <w:widowControl w:val="0"/>
              <w:ind w:left="119"/>
              <w:rPr>
                <w:rFonts w:asciiTheme="majorHAnsi" w:hAnsiTheme="majorHAnsi" w:cstheme="majorHAnsi"/>
                <w:b/>
                <w:bCs/>
              </w:rPr>
            </w:pPr>
            <w:r w:rsidRPr="0036558D">
              <w:rPr>
                <w:rFonts w:asciiTheme="majorHAnsi" w:hAnsiTheme="majorHAnsi" w:cstheme="majorHAnsi"/>
                <w:b/>
                <w:bCs/>
              </w:rPr>
              <w:t xml:space="preserve">Student name: </w:t>
            </w:r>
          </w:p>
        </w:tc>
        <w:tc>
          <w:tcPr>
            <w:tcW w:w="2821" w:type="dxa"/>
            <w:tcMar>
              <w:top w:w="100" w:type="dxa"/>
              <w:left w:w="100" w:type="dxa"/>
              <w:bottom w:w="100" w:type="dxa"/>
              <w:right w:w="100" w:type="dxa"/>
            </w:tcMar>
          </w:tcPr>
          <w:p w14:paraId="14CFB7A6" w14:textId="1ECC2215" w:rsidR="00C35511" w:rsidRPr="0036558D" w:rsidRDefault="0036558D" w:rsidP="0036558D">
            <w:pPr>
              <w:widowControl w:val="0"/>
              <w:rPr>
                <w:rFonts w:asciiTheme="majorHAnsi" w:hAnsiTheme="majorHAnsi" w:cstheme="majorHAnsi"/>
                <w:b/>
                <w:bCs/>
              </w:rPr>
            </w:pPr>
            <w:proofErr w:type="spellStart"/>
            <w:r w:rsidRPr="0036558D">
              <w:rPr>
                <w:rFonts w:asciiTheme="majorHAnsi" w:hAnsiTheme="majorHAnsi" w:cstheme="majorHAnsi"/>
                <w:b/>
                <w:bCs/>
              </w:rPr>
              <w:t>Pritiben</w:t>
            </w:r>
            <w:proofErr w:type="spellEnd"/>
            <w:r w:rsidRPr="0036558D">
              <w:rPr>
                <w:rFonts w:asciiTheme="majorHAnsi" w:hAnsiTheme="majorHAnsi" w:cstheme="majorHAnsi"/>
                <w:b/>
                <w:bCs/>
              </w:rPr>
              <w:t xml:space="preserve"> </w:t>
            </w:r>
            <w:proofErr w:type="spellStart"/>
            <w:r w:rsidRPr="0036558D">
              <w:rPr>
                <w:rFonts w:asciiTheme="majorHAnsi" w:hAnsiTheme="majorHAnsi" w:cstheme="majorHAnsi"/>
                <w:b/>
                <w:bCs/>
              </w:rPr>
              <w:t>Nareshbhai</w:t>
            </w:r>
            <w:proofErr w:type="spellEnd"/>
            <w:r w:rsidRPr="0036558D">
              <w:rPr>
                <w:rFonts w:asciiTheme="majorHAnsi" w:hAnsiTheme="majorHAnsi" w:cstheme="majorHAnsi"/>
                <w:b/>
                <w:bCs/>
              </w:rPr>
              <w:t xml:space="preserve"> Bhoi </w:t>
            </w:r>
          </w:p>
        </w:tc>
        <w:tc>
          <w:tcPr>
            <w:tcW w:w="2126" w:type="dxa"/>
            <w:tcMar>
              <w:top w:w="100" w:type="dxa"/>
              <w:left w:w="100" w:type="dxa"/>
              <w:bottom w:w="100" w:type="dxa"/>
              <w:right w:w="100" w:type="dxa"/>
            </w:tcMar>
          </w:tcPr>
          <w:p w14:paraId="7FC51BF7" w14:textId="77777777" w:rsidR="00C35511" w:rsidRPr="0036558D" w:rsidRDefault="00000000" w:rsidP="0036558D">
            <w:pPr>
              <w:widowControl w:val="0"/>
              <w:jc w:val="center"/>
              <w:rPr>
                <w:rFonts w:asciiTheme="majorHAnsi" w:hAnsiTheme="majorHAnsi" w:cstheme="majorHAnsi"/>
                <w:b/>
                <w:bCs/>
              </w:rPr>
            </w:pPr>
            <w:r w:rsidRPr="0036558D">
              <w:rPr>
                <w:rFonts w:asciiTheme="majorHAnsi" w:hAnsiTheme="majorHAnsi" w:cstheme="majorHAnsi"/>
                <w:b/>
                <w:bCs/>
              </w:rPr>
              <w:t>Student ID number:</w:t>
            </w:r>
          </w:p>
        </w:tc>
        <w:tc>
          <w:tcPr>
            <w:tcW w:w="2103" w:type="dxa"/>
            <w:tcMar>
              <w:top w:w="100" w:type="dxa"/>
              <w:left w:w="100" w:type="dxa"/>
              <w:bottom w:w="100" w:type="dxa"/>
              <w:right w:w="100" w:type="dxa"/>
            </w:tcMar>
          </w:tcPr>
          <w:p w14:paraId="47CEC991" w14:textId="6C017A20" w:rsidR="00C35511" w:rsidRPr="0036558D" w:rsidRDefault="0036558D" w:rsidP="0036558D">
            <w:pPr>
              <w:widowControl w:val="0"/>
              <w:rPr>
                <w:rFonts w:asciiTheme="majorHAnsi" w:hAnsiTheme="majorHAnsi" w:cstheme="majorHAnsi"/>
                <w:b/>
                <w:bCs/>
              </w:rPr>
            </w:pPr>
            <w:r w:rsidRPr="0036558D">
              <w:rPr>
                <w:rFonts w:asciiTheme="majorHAnsi" w:hAnsiTheme="majorHAnsi" w:cstheme="majorHAnsi"/>
                <w:b/>
                <w:bCs/>
              </w:rPr>
              <w:t>2540464</w:t>
            </w:r>
          </w:p>
        </w:tc>
      </w:tr>
      <w:tr w:rsidR="00C35511" w:rsidRPr="0036558D" w14:paraId="7E7C2419" w14:textId="77777777">
        <w:trPr>
          <w:trHeight w:val="504"/>
        </w:trPr>
        <w:tc>
          <w:tcPr>
            <w:tcW w:w="2355" w:type="dxa"/>
            <w:tcMar>
              <w:top w:w="100" w:type="dxa"/>
              <w:left w:w="100" w:type="dxa"/>
              <w:bottom w:w="100" w:type="dxa"/>
              <w:right w:w="100" w:type="dxa"/>
            </w:tcMar>
          </w:tcPr>
          <w:p w14:paraId="1BE7A8F0" w14:textId="77777777" w:rsidR="00C35511" w:rsidRPr="0036558D" w:rsidRDefault="00000000" w:rsidP="0036558D">
            <w:pPr>
              <w:widowControl w:val="0"/>
              <w:ind w:left="127"/>
              <w:rPr>
                <w:rFonts w:asciiTheme="majorHAnsi" w:hAnsiTheme="majorHAnsi" w:cstheme="majorHAnsi"/>
                <w:b/>
                <w:bCs/>
              </w:rPr>
            </w:pPr>
            <w:r w:rsidRPr="0036558D">
              <w:rPr>
                <w:rFonts w:asciiTheme="majorHAnsi" w:hAnsiTheme="majorHAnsi" w:cstheme="majorHAnsi"/>
                <w:b/>
                <w:bCs/>
              </w:rPr>
              <w:t xml:space="preserve">Programme: </w:t>
            </w:r>
          </w:p>
        </w:tc>
        <w:tc>
          <w:tcPr>
            <w:tcW w:w="7050" w:type="dxa"/>
            <w:gridSpan w:val="3"/>
            <w:tcMar>
              <w:top w:w="100" w:type="dxa"/>
              <w:left w:w="100" w:type="dxa"/>
              <w:bottom w:w="100" w:type="dxa"/>
              <w:right w:w="100" w:type="dxa"/>
            </w:tcMar>
          </w:tcPr>
          <w:p w14:paraId="2148BCB5" w14:textId="77777777" w:rsidR="00C35511" w:rsidRPr="0036558D" w:rsidRDefault="00000000" w:rsidP="0036558D">
            <w:pPr>
              <w:widowControl w:val="0"/>
              <w:ind w:left="125"/>
              <w:rPr>
                <w:rFonts w:asciiTheme="majorHAnsi" w:hAnsiTheme="majorHAnsi" w:cstheme="majorHAnsi"/>
                <w:b/>
                <w:bCs/>
              </w:rPr>
            </w:pPr>
            <w:r w:rsidRPr="0036558D">
              <w:rPr>
                <w:rFonts w:asciiTheme="majorHAnsi" w:hAnsiTheme="majorHAnsi" w:cstheme="majorHAnsi"/>
                <w:b/>
                <w:bCs/>
              </w:rPr>
              <w:t>MSc Cybersecurity and Digital Forensics</w:t>
            </w:r>
          </w:p>
        </w:tc>
      </w:tr>
      <w:tr w:rsidR="00C35511" w:rsidRPr="0036558D" w14:paraId="1F042CE1" w14:textId="77777777">
        <w:trPr>
          <w:trHeight w:val="504"/>
        </w:trPr>
        <w:tc>
          <w:tcPr>
            <w:tcW w:w="2355" w:type="dxa"/>
            <w:tcMar>
              <w:top w:w="100" w:type="dxa"/>
              <w:left w:w="100" w:type="dxa"/>
              <w:bottom w:w="100" w:type="dxa"/>
              <w:right w:w="100" w:type="dxa"/>
            </w:tcMar>
          </w:tcPr>
          <w:p w14:paraId="7B81C3B2" w14:textId="77777777" w:rsidR="00C35511" w:rsidRPr="0036558D" w:rsidRDefault="00000000" w:rsidP="0036558D">
            <w:pPr>
              <w:widowControl w:val="0"/>
              <w:ind w:left="125"/>
              <w:rPr>
                <w:rFonts w:asciiTheme="majorHAnsi" w:hAnsiTheme="majorHAnsi" w:cstheme="majorHAnsi"/>
                <w:b/>
                <w:bCs/>
              </w:rPr>
            </w:pPr>
            <w:r w:rsidRPr="0036558D">
              <w:rPr>
                <w:rFonts w:asciiTheme="majorHAnsi" w:hAnsiTheme="majorHAnsi" w:cstheme="majorHAnsi"/>
                <w:b/>
                <w:bCs/>
              </w:rPr>
              <w:t xml:space="preserve">Module: </w:t>
            </w:r>
          </w:p>
        </w:tc>
        <w:tc>
          <w:tcPr>
            <w:tcW w:w="7050" w:type="dxa"/>
            <w:gridSpan w:val="3"/>
            <w:tcMar>
              <w:top w:w="100" w:type="dxa"/>
              <w:left w:w="100" w:type="dxa"/>
              <w:bottom w:w="100" w:type="dxa"/>
              <w:right w:w="100" w:type="dxa"/>
            </w:tcMar>
          </w:tcPr>
          <w:p w14:paraId="3C3D842B" w14:textId="77777777" w:rsidR="00C35511" w:rsidRPr="0036558D" w:rsidRDefault="00000000" w:rsidP="0036558D">
            <w:pPr>
              <w:widowControl w:val="0"/>
              <w:ind w:left="127"/>
              <w:rPr>
                <w:rFonts w:asciiTheme="majorHAnsi" w:hAnsiTheme="majorHAnsi" w:cstheme="majorHAnsi"/>
                <w:b/>
                <w:bCs/>
              </w:rPr>
            </w:pPr>
            <w:r w:rsidRPr="0036558D">
              <w:rPr>
                <w:rFonts w:asciiTheme="majorHAnsi" w:hAnsiTheme="majorHAnsi" w:cstheme="majorHAnsi"/>
                <w:b/>
                <w:bCs/>
              </w:rPr>
              <w:t>Ethical Hacking</w:t>
            </w:r>
          </w:p>
        </w:tc>
      </w:tr>
      <w:tr w:rsidR="00C35511" w:rsidRPr="0036558D" w14:paraId="164EF658" w14:textId="77777777">
        <w:trPr>
          <w:trHeight w:val="768"/>
        </w:trPr>
        <w:tc>
          <w:tcPr>
            <w:tcW w:w="2355" w:type="dxa"/>
            <w:tcMar>
              <w:top w:w="100" w:type="dxa"/>
              <w:left w:w="100" w:type="dxa"/>
              <w:bottom w:w="100" w:type="dxa"/>
              <w:right w:w="100" w:type="dxa"/>
            </w:tcMar>
          </w:tcPr>
          <w:p w14:paraId="7E3A839C" w14:textId="77777777" w:rsidR="00C35511" w:rsidRPr="0036558D" w:rsidRDefault="00000000" w:rsidP="0036558D">
            <w:pPr>
              <w:widowControl w:val="0"/>
              <w:ind w:left="125"/>
              <w:rPr>
                <w:rFonts w:asciiTheme="majorHAnsi" w:hAnsiTheme="majorHAnsi" w:cstheme="majorHAnsi"/>
                <w:b/>
                <w:bCs/>
              </w:rPr>
            </w:pPr>
            <w:r w:rsidRPr="0036558D">
              <w:rPr>
                <w:rFonts w:asciiTheme="majorHAnsi" w:hAnsiTheme="majorHAnsi" w:cstheme="majorHAnsi"/>
                <w:b/>
                <w:bCs/>
              </w:rPr>
              <w:t xml:space="preserve">Module code: </w:t>
            </w:r>
          </w:p>
        </w:tc>
        <w:tc>
          <w:tcPr>
            <w:tcW w:w="2821" w:type="dxa"/>
            <w:tcMar>
              <w:top w:w="100" w:type="dxa"/>
              <w:left w:w="100" w:type="dxa"/>
              <w:bottom w:w="100" w:type="dxa"/>
              <w:right w:w="100" w:type="dxa"/>
            </w:tcMar>
          </w:tcPr>
          <w:p w14:paraId="25D7E9A4" w14:textId="77777777" w:rsidR="00C35511" w:rsidRPr="0036558D" w:rsidRDefault="00000000" w:rsidP="0036558D">
            <w:pPr>
              <w:widowControl w:val="0"/>
              <w:ind w:left="114"/>
              <w:rPr>
                <w:rFonts w:asciiTheme="majorHAnsi" w:hAnsiTheme="majorHAnsi" w:cstheme="majorHAnsi"/>
                <w:b/>
                <w:bCs/>
              </w:rPr>
            </w:pPr>
            <w:r w:rsidRPr="0036558D">
              <w:rPr>
                <w:rFonts w:asciiTheme="majorHAnsi" w:hAnsiTheme="majorHAnsi" w:cstheme="majorHAnsi"/>
                <w:b/>
                <w:bCs/>
              </w:rPr>
              <w:t xml:space="preserve">ACCA7033 </w:t>
            </w:r>
          </w:p>
        </w:tc>
        <w:tc>
          <w:tcPr>
            <w:tcW w:w="2126" w:type="dxa"/>
            <w:tcMar>
              <w:top w:w="100" w:type="dxa"/>
              <w:left w:w="100" w:type="dxa"/>
              <w:bottom w:w="100" w:type="dxa"/>
              <w:right w:w="100" w:type="dxa"/>
            </w:tcMar>
          </w:tcPr>
          <w:p w14:paraId="672AF6B1" w14:textId="77777777" w:rsidR="00C35511" w:rsidRPr="0036558D" w:rsidRDefault="00000000" w:rsidP="0036558D">
            <w:pPr>
              <w:widowControl w:val="0"/>
              <w:ind w:left="114" w:right="41" w:firstLine="5"/>
              <w:rPr>
                <w:rFonts w:asciiTheme="majorHAnsi" w:hAnsiTheme="majorHAnsi" w:cstheme="majorHAnsi"/>
                <w:b/>
                <w:bCs/>
                <w:shd w:val="clear" w:color="auto" w:fill="D9D9D9"/>
              </w:rPr>
            </w:pPr>
            <w:r w:rsidRPr="0036558D">
              <w:rPr>
                <w:rFonts w:asciiTheme="majorHAnsi" w:hAnsiTheme="majorHAnsi" w:cstheme="majorHAnsi"/>
                <w:b/>
                <w:bCs/>
              </w:rPr>
              <w:t xml:space="preserve">Assignment Title: </w:t>
            </w:r>
          </w:p>
        </w:tc>
        <w:tc>
          <w:tcPr>
            <w:tcW w:w="2103" w:type="dxa"/>
            <w:tcMar>
              <w:top w:w="100" w:type="dxa"/>
              <w:left w:w="100" w:type="dxa"/>
              <w:bottom w:w="100" w:type="dxa"/>
              <w:right w:w="100" w:type="dxa"/>
            </w:tcMar>
          </w:tcPr>
          <w:p w14:paraId="7646D464" w14:textId="77777777" w:rsidR="00C35511" w:rsidRPr="0036558D" w:rsidRDefault="00000000" w:rsidP="0036558D">
            <w:pPr>
              <w:widowControl w:val="0"/>
              <w:ind w:left="130"/>
              <w:jc w:val="left"/>
              <w:rPr>
                <w:rFonts w:asciiTheme="majorHAnsi" w:hAnsiTheme="majorHAnsi" w:cstheme="majorHAnsi"/>
              </w:rPr>
            </w:pPr>
            <w:r w:rsidRPr="0036558D">
              <w:rPr>
                <w:rFonts w:asciiTheme="majorHAnsi" w:hAnsiTheme="majorHAnsi" w:cstheme="majorHAnsi"/>
              </w:rPr>
              <w:t>Research into cyber security attacks and Penetration testing for a virtualise simulated company Website</w:t>
            </w:r>
          </w:p>
        </w:tc>
      </w:tr>
    </w:tbl>
    <w:p w14:paraId="6E4D44B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br w:type="page"/>
      </w:r>
    </w:p>
    <w:p w14:paraId="2552FE66" w14:textId="77777777" w:rsidR="00C35511" w:rsidRPr="0036558D" w:rsidRDefault="00000000" w:rsidP="0036558D">
      <w:pPr>
        <w:jc w:val="center"/>
        <w:rPr>
          <w:rFonts w:asciiTheme="majorHAnsi" w:hAnsiTheme="majorHAnsi" w:cstheme="majorHAnsi"/>
          <w:b/>
          <w:bCs/>
          <w:sz w:val="28"/>
          <w:szCs w:val="28"/>
        </w:rPr>
      </w:pPr>
      <w:r w:rsidRPr="0036558D">
        <w:rPr>
          <w:rFonts w:asciiTheme="majorHAnsi" w:hAnsiTheme="majorHAnsi" w:cstheme="majorHAnsi"/>
          <w:b/>
          <w:bCs/>
          <w:sz w:val="28"/>
          <w:szCs w:val="28"/>
        </w:rPr>
        <w:lastRenderedPageBreak/>
        <w:t xml:space="preserve">Abstract </w:t>
      </w:r>
    </w:p>
    <w:p w14:paraId="7BF64CB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A comprehensive cybersecurity assessment is done, including a strategic threat analysis and practical Red Team engagement analysis on the current cyber threats and the organisation's security resilience. In Task 1, two </w:t>
      </w:r>
      <w:proofErr w:type="spellStart"/>
      <w:r w:rsidRPr="0036558D">
        <w:rPr>
          <w:rFonts w:asciiTheme="majorHAnsi" w:hAnsiTheme="majorHAnsi" w:cstheme="majorHAnsi"/>
        </w:rPr>
        <w:t>cyber attacks</w:t>
      </w:r>
      <w:proofErr w:type="spellEnd"/>
      <w:r w:rsidRPr="0036558D">
        <w:rPr>
          <w:rFonts w:asciiTheme="majorHAnsi" w:hAnsiTheme="majorHAnsi" w:cstheme="majorHAnsi"/>
        </w:rPr>
        <w:t xml:space="preserve"> on Marks &amp; Spencer (M&amp;S) and the Co-operative Group (Co-op) are examined to highlight the timeline of the attacks, tactics, techniques and procedures the attackers. Also, the root causes of the attacks, the behaviour of the threat actors, the detection capabilities, and the security control failures are mentioned in task 1. The analysis highlights identity compromises, poor oversight, weak access controls and an inadequate network segmentation as major factors that can cause disruption to operations and facilitate the deployment of ransomware. Strategic recommendations are then presented to help build organisational resilience with the necessary identity protection, ongoing monitoring, Zero Trust architecture and incident response readiness. </w:t>
      </w:r>
    </w:p>
    <w:p w14:paraId="32EA1B7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Task 2 supports the strategic analysis with an authorised Red Team activity in a virtual laboratory environment that is isolated from the real world. Industry-standard reconnaissance, vulnerability assessment and three independent exploits exploiting a vulnerable web app, Windows SMB service and Active Directory infrastructure are successfully carried out with industry-standard offensive security tools. Detection gaps are assessed, and practical recommendations on security are generated to improve the effectiveness of defence and minimise organisational risk. These highlight the effectiveness of proactive security testing and defence-in-depth approaches to enhance an organisation's robustness against advanced cyber threats.</w:t>
      </w:r>
    </w:p>
    <w:p w14:paraId="5A2D72EF" w14:textId="77777777" w:rsidR="00C35511" w:rsidRPr="0036558D" w:rsidRDefault="00000000" w:rsidP="0036558D">
      <w:pPr>
        <w:rPr>
          <w:rFonts w:asciiTheme="majorHAnsi" w:hAnsiTheme="majorHAnsi" w:cstheme="majorHAnsi"/>
        </w:rPr>
      </w:pPr>
      <w:bookmarkStart w:id="0" w:name="_heading=h.ghryyyqx8pzx" w:colFirst="0" w:colLast="0"/>
      <w:bookmarkEnd w:id="0"/>
      <w:r w:rsidRPr="0036558D">
        <w:rPr>
          <w:rFonts w:asciiTheme="majorHAnsi" w:hAnsiTheme="majorHAnsi" w:cstheme="majorHAnsi"/>
        </w:rPr>
        <w:br w:type="page"/>
      </w:r>
    </w:p>
    <w:p w14:paraId="1C9F2394" w14:textId="77777777" w:rsidR="00C35511" w:rsidRPr="0036558D" w:rsidRDefault="00000000" w:rsidP="0036558D">
      <w:pPr>
        <w:keepNext/>
        <w:keepLines/>
        <w:pBdr>
          <w:top w:val="nil"/>
          <w:left w:val="nil"/>
          <w:bottom w:val="nil"/>
          <w:right w:val="nil"/>
          <w:between w:val="nil"/>
        </w:pBdr>
        <w:spacing w:before="480"/>
        <w:jc w:val="center"/>
        <w:rPr>
          <w:rFonts w:asciiTheme="majorHAnsi" w:hAnsiTheme="majorHAnsi" w:cstheme="majorHAnsi"/>
          <w:b/>
          <w:bCs/>
          <w:color w:val="000000"/>
          <w:sz w:val="28"/>
          <w:szCs w:val="28"/>
        </w:rPr>
      </w:pPr>
      <w:bookmarkStart w:id="1" w:name="_heading=h.5gid25jadzxs" w:colFirst="0" w:colLast="0"/>
      <w:bookmarkEnd w:id="1"/>
      <w:r w:rsidRPr="0036558D">
        <w:rPr>
          <w:rFonts w:asciiTheme="majorHAnsi" w:hAnsiTheme="majorHAnsi" w:cstheme="majorHAnsi"/>
          <w:b/>
          <w:bCs/>
          <w:color w:val="000000"/>
          <w:sz w:val="28"/>
          <w:szCs w:val="28"/>
        </w:rPr>
        <w:lastRenderedPageBreak/>
        <w:t>Table of Contents</w:t>
      </w:r>
    </w:p>
    <w:sdt>
      <w:sdtPr>
        <w:rPr>
          <w:rFonts w:asciiTheme="majorHAnsi" w:hAnsiTheme="majorHAnsi" w:cstheme="majorHAnsi"/>
        </w:rPr>
        <w:id w:val="1484182166"/>
        <w:docPartObj>
          <w:docPartGallery w:val="Table of Contents"/>
          <w:docPartUnique/>
        </w:docPartObj>
      </w:sdtPr>
      <w:sdtContent>
        <w:p w14:paraId="202495B2" w14:textId="77777777" w:rsidR="00C35511" w:rsidRPr="0036558D" w:rsidRDefault="00000000" w:rsidP="0036558D">
          <w:pPr>
            <w:pBdr>
              <w:top w:val="nil"/>
              <w:left w:val="nil"/>
              <w:bottom w:val="nil"/>
              <w:right w:val="nil"/>
              <w:between w:val="nil"/>
            </w:pBdr>
            <w:tabs>
              <w:tab w:val="right" w:leader="dot" w:pos="9019"/>
            </w:tabs>
            <w:spacing w:before="120"/>
            <w:rPr>
              <w:rFonts w:asciiTheme="majorHAnsi" w:hAnsiTheme="majorHAnsi" w:cstheme="majorHAnsi"/>
              <w:color w:val="000000"/>
            </w:rPr>
          </w:pPr>
          <w:r w:rsidRPr="0036558D">
            <w:rPr>
              <w:rFonts w:asciiTheme="majorHAnsi" w:hAnsiTheme="majorHAnsi" w:cstheme="majorHAnsi"/>
            </w:rPr>
            <w:fldChar w:fldCharType="begin"/>
          </w:r>
          <w:r w:rsidRPr="0036558D">
            <w:rPr>
              <w:rFonts w:asciiTheme="majorHAnsi" w:hAnsiTheme="majorHAnsi" w:cstheme="majorHAnsi"/>
            </w:rPr>
            <w:instrText xml:space="preserve"> TOC \h \u \z \t "Heading 1,1,Heading 2,2,Heading 3,3,"</w:instrText>
          </w:r>
          <w:r w:rsidRPr="0036558D">
            <w:rPr>
              <w:rFonts w:asciiTheme="majorHAnsi" w:hAnsiTheme="majorHAnsi" w:cstheme="majorHAnsi"/>
            </w:rPr>
            <w:fldChar w:fldCharType="separate"/>
          </w:r>
          <w:hyperlink w:anchor="_heading=h.q347hx7ak8bw">
            <w:r w:rsidR="00C35511" w:rsidRPr="0036558D">
              <w:rPr>
                <w:rFonts w:asciiTheme="majorHAnsi" w:hAnsiTheme="majorHAnsi" w:cstheme="majorHAnsi"/>
                <w:color w:val="000000"/>
              </w:rPr>
              <w:t>1. Introduction</w:t>
            </w:r>
            <w:r w:rsidR="00C35511" w:rsidRPr="0036558D">
              <w:rPr>
                <w:rFonts w:asciiTheme="majorHAnsi" w:hAnsiTheme="majorHAnsi" w:cstheme="majorHAnsi"/>
                <w:color w:val="000000"/>
              </w:rPr>
              <w:tab/>
              <w:t>5</w:t>
            </w:r>
          </w:hyperlink>
        </w:p>
        <w:p w14:paraId="368F9898" w14:textId="77777777" w:rsidR="00C35511" w:rsidRPr="0036558D" w:rsidRDefault="00C35511" w:rsidP="0036558D">
          <w:pPr>
            <w:pBdr>
              <w:top w:val="nil"/>
              <w:left w:val="nil"/>
              <w:bottom w:val="nil"/>
              <w:right w:val="nil"/>
              <w:between w:val="nil"/>
            </w:pBdr>
            <w:tabs>
              <w:tab w:val="right" w:leader="dot" w:pos="9019"/>
            </w:tabs>
            <w:spacing w:before="120"/>
            <w:rPr>
              <w:rFonts w:asciiTheme="majorHAnsi" w:hAnsiTheme="majorHAnsi" w:cstheme="majorHAnsi"/>
              <w:color w:val="000000"/>
            </w:rPr>
          </w:pPr>
          <w:hyperlink w:anchor="_heading=h.nvcx56fk110n">
            <w:r w:rsidRPr="0036558D">
              <w:rPr>
                <w:rFonts w:asciiTheme="majorHAnsi" w:hAnsiTheme="majorHAnsi" w:cstheme="majorHAnsi"/>
                <w:color w:val="000000"/>
              </w:rPr>
              <w:t>2. Task 1: Strategic Threat Analysis- M&amp;S and Co-op UK Cyber Attack</w:t>
            </w:r>
            <w:r w:rsidRPr="0036558D">
              <w:rPr>
                <w:rFonts w:asciiTheme="majorHAnsi" w:hAnsiTheme="majorHAnsi" w:cstheme="majorHAnsi"/>
                <w:color w:val="000000"/>
              </w:rPr>
              <w:tab/>
              <w:t>5</w:t>
            </w:r>
          </w:hyperlink>
        </w:p>
        <w:p w14:paraId="3DDDCB45"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gynqfycsg6kl">
            <w:r w:rsidRPr="0036558D">
              <w:rPr>
                <w:rFonts w:asciiTheme="majorHAnsi" w:hAnsiTheme="majorHAnsi" w:cstheme="majorHAnsi"/>
                <w:color w:val="000000"/>
              </w:rPr>
              <w:t>2.1 Executive summary</w:t>
            </w:r>
            <w:r w:rsidRPr="0036558D">
              <w:rPr>
                <w:rFonts w:asciiTheme="majorHAnsi" w:hAnsiTheme="majorHAnsi" w:cstheme="majorHAnsi"/>
                <w:color w:val="000000"/>
              </w:rPr>
              <w:tab/>
              <w:t>5</w:t>
            </w:r>
          </w:hyperlink>
        </w:p>
        <w:p w14:paraId="00CBFDEC"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bgnllxkdvez0">
            <w:r w:rsidRPr="0036558D">
              <w:rPr>
                <w:rFonts w:asciiTheme="majorHAnsi" w:hAnsiTheme="majorHAnsi" w:cstheme="majorHAnsi"/>
                <w:color w:val="000000"/>
              </w:rPr>
              <w:t>2.2 Incident Overview and Timeline</w:t>
            </w:r>
            <w:r w:rsidRPr="0036558D">
              <w:rPr>
                <w:rFonts w:asciiTheme="majorHAnsi" w:hAnsiTheme="majorHAnsi" w:cstheme="majorHAnsi"/>
                <w:color w:val="000000"/>
              </w:rPr>
              <w:tab/>
              <w:t>6</w:t>
            </w:r>
          </w:hyperlink>
        </w:p>
        <w:p w14:paraId="2CD8F0C5"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2sgahybdmbkm">
            <w:r w:rsidRPr="0036558D">
              <w:rPr>
                <w:rFonts w:asciiTheme="majorHAnsi" w:hAnsiTheme="majorHAnsi" w:cstheme="majorHAnsi"/>
                <w:color w:val="000000"/>
              </w:rPr>
              <w:t>2.3 Adversary Tactics, Techniques and Procedures (MITRE ATT&amp;CK Mapping)</w:t>
            </w:r>
            <w:r w:rsidRPr="0036558D">
              <w:rPr>
                <w:rFonts w:asciiTheme="majorHAnsi" w:hAnsiTheme="majorHAnsi" w:cstheme="majorHAnsi"/>
                <w:color w:val="000000"/>
              </w:rPr>
              <w:tab/>
              <w:t>7</w:t>
            </w:r>
          </w:hyperlink>
        </w:p>
        <w:p w14:paraId="19998B97"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172mwyda2g8l">
            <w:r w:rsidRPr="0036558D">
              <w:rPr>
                <w:rFonts w:asciiTheme="majorHAnsi" w:hAnsiTheme="majorHAnsi" w:cstheme="majorHAnsi"/>
                <w:color w:val="000000"/>
              </w:rPr>
              <w:t>2.4 Root Cause and Security Control Failures</w:t>
            </w:r>
            <w:r w:rsidRPr="0036558D">
              <w:rPr>
                <w:rFonts w:asciiTheme="majorHAnsi" w:hAnsiTheme="majorHAnsi" w:cstheme="majorHAnsi"/>
                <w:color w:val="000000"/>
              </w:rPr>
              <w:tab/>
              <w:t>10</w:t>
            </w:r>
          </w:hyperlink>
        </w:p>
        <w:p w14:paraId="328CCC8D"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rplhw5u4v6ei">
            <w:r w:rsidRPr="0036558D">
              <w:rPr>
                <w:rFonts w:asciiTheme="majorHAnsi" w:hAnsiTheme="majorHAnsi" w:cstheme="majorHAnsi"/>
                <w:color w:val="000000"/>
              </w:rPr>
              <w:t>2.5 Threat Actor Profile and Attack Motivation</w:t>
            </w:r>
            <w:r w:rsidRPr="0036558D">
              <w:rPr>
                <w:rFonts w:asciiTheme="majorHAnsi" w:hAnsiTheme="majorHAnsi" w:cstheme="majorHAnsi"/>
                <w:color w:val="000000"/>
              </w:rPr>
              <w:tab/>
              <w:t>11</w:t>
            </w:r>
          </w:hyperlink>
        </w:p>
        <w:p w14:paraId="5E901141"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dr1me1k2rf96">
            <w:r w:rsidRPr="0036558D">
              <w:rPr>
                <w:rFonts w:asciiTheme="majorHAnsi" w:hAnsiTheme="majorHAnsi" w:cstheme="majorHAnsi"/>
                <w:color w:val="000000"/>
              </w:rPr>
              <w:t>2.6 Detection and Incident Response Analysis</w:t>
            </w:r>
            <w:r w:rsidRPr="0036558D">
              <w:rPr>
                <w:rFonts w:asciiTheme="majorHAnsi" w:hAnsiTheme="majorHAnsi" w:cstheme="majorHAnsi"/>
                <w:color w:val="000000"/>
              </w:rPr>
              <w:tab/>
              <w:t>12</w:t>
            </w:r>
          </w:hyperlink>
        </w:p>
        <w:p w14:paraId="57F2CC82"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3mu63gd1ry0w">
            <w:r w:rsidRPr="0036558D">
              <w:rPr>
                <w:rFonts w:asciiTheme="majorHAnsi" w:hAnsiTheme="majorHAnsi" w:cstheme="majorHAnsi"/>
                <w:color w:val="000000"/>
              </w:rPr>
              <w:t>2.7 Strategic Recommendations</w:t>
            </w:r>
            <w:r w:rsidRPr="0036558D">
              <w:rPr>
                <w:rFonts w:asciiTheme="majorHAnsi" w:hAnsiTheme="majorHAnsi" w:cstheme="majorHAnsi"/>
                <w:color w:val="000000"/>
              </w:rPr>
              <w:tab/>
              <w:t>13</w:t>
            </w:r>
          </w:hyperlink>
        </w:p>
        <w:p w14:paraId="189C69F3"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pj58tys9r8yq">
            <w:r w:rsidRPr="0036558D">
              <w:rPr>
                <w:rFonts w:asciiTheme="majorHAnsi" w:hAnsiTheme="majorHAnsi" w:cstheme="majorHAnsi"/>
                <w:color w:val="000000"/>
              </w:rPr>
              <w:t>2.8 Summary</w:t>
            </w:r>
            <w:r w:rsidRPr="0036558D">
              <w:rPr>
                <w:rFonts w:asciiTheme="majorHAnsi" w:hAnsiTheme="majorHAnsi" w:cstheme="majorHAnsi"/>
                <w:color w:val="000000"/>
              </w:rPr>
              <w:tab/>
              <w:t>14</w:t>
            </w:r>
          </w:hyperlink>
        </w:p>
        <w:p w14:paraId="43995722" w14:textId="77777777" w:rsidR="00C35511" w:rsidRPr="0036558D" w:rsidRDefault="00C35511" w:rsidP="0036558D">
          <w:pPr>
            <w:pBdr>
              <w:top w:val="nil"/>
              <w:left w:val="nil"/>
              <w:bottom w:val="nil"/>
              <w:right w:val="nil"/>
              <w:between w:val="nil"/>
            </w:pBdr>
            <w:tabs>
              <w:tab w:val="right" w:leader="dot" w:pos="9019"/>
            </w:tabs>
            <w:spacing w:before="120"/>
            <w:rPr>
              <w:rFonts w:asciiTheme="majorHAnsi" w:hAnsiTheme="majorHAnsi" w:cstheme="majorHAnsi"/>
              <w:color w:val="000000"/>
            </w:rPr>
          </w:pPr>
          <w:hyperlink w:anchor="_heading=h.wi7xz6ohi2kd">
            <w:r w:rsidRPr="0036558D">
              <w:rPr>
                <w:rFonts w:asciiTheme="majorHAnsi" w:hAnsiTheme="majorHAnsi" w:cstheme="majorHAnsi"/>
                <w:color w:val="000000"/>
              </w:rPr>
              <w:t>3. Task 2: Red Team Engagement – ABCD Ltd Penetration Testing</w:t>
            </w:r>
            <w:r w:rsidRPr="0036558D">
              <w:rPr>
                <w:rFonts w:asciiTheme="majorHAnsi" w:hAnsiTheme="majorHAnsi" w:cstheme="majorHAnsi"/>
                <w:color w:val="000000"/>
              </w:rPr>
              <w:tab/>
              <w:t>16</w:t>
            </w:r>
          </w:hyperlink>
        </w:p>
        <w:p w14:paraId="6CB0949B"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p2kwmth4afea">
            <w:r w:rsidRPr="0036558D">
              <w:rPr>
                <w:rFonts w:asciiTheme="majorHAnsi" w:hAnsiTheme="majorHAnsi" w:cstheme="majorHAnsi"/>
                <w:color w:val="000000"/>
              </w:rPr>
              <w:t>3.1 Executive Summary</w:t>
            </w:r>
            <w:r w:rsidRPr="0036558D">
              <w:rPr>
                <w:rFonts w:asciiTheme="majorHAnsi" w:hAnsiTheme="majorHAnsi" w:cstheme="majorHAnsi"/>
                <w:color w:val="000000"/>
              </w:rPr>
              <w:tab/>
              <w:t>16</w:t>
            </w:r>
          </w:hyperlink>
        </w:p>
        <w:p w14:paraId="4D41F5AB"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pkfh42vp2d6y">
            <w:r w:rsidRPr="0036558D">
              <w:rPr>
                <w:rFonts w:asciiTheme="majorHAnsi" w:hAnsiTheme="majorHAnsi" w:cstheme="majorHAnsi"/>
                <w:color w:val="000000"/>
              </w:rPr>
              <w:t>3.2 Introduction to the Engagement</w:t>
            </w:r>
            <w:r w:rsidRPr="0036558D">
              <w:rPr>
                <w:rFonts w:asciiTheme="majorHAnsi" w:hAnsiTheme="majorHAnsi" w:cstheme="majorHAnsi"/>
                <w:color w:val="000000"/>
              </w:rPr>
              <w:tab/>
              <w:t>17</w:t>
            </w:r>
          </w:hyperlink>
        </w:p>
        <w:p w14:paraId="767A8898"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pvwhcpmsfcj1">
            <w:r w:rsidRPr="0036558D">
              <w:rPr>
                <w:rFonts w:asciiTheme="majorHAnsi" w:hAnsiTheme="majorHAnsi" w:cstheme="majorHAnsi"/>
                <w:color w:val="000000"/>
              </w:rPr>
              <w:t>3.3 Rules of Engagement (RoE)</w:t>
            </w:r>
            <w:r w:rsidRPr="0036558D">
              <w:rPr>
                <w:rFonts w:asciiTheme="majorHAnsi" w:hAnsiTheme="majorHAnsi" w:cstheme="majorHAnsi"/>
                <w:color w:val="000000"/>
              </w:rPr>
              <w:tab/>
              <w:t>17</w:t>
            </w:r>
          </w:hyperlink>
        </w:p>
        <w:p w14:paraId="55D72980"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l2fy4jyve83b">
            <w:r w:rsidRPr="0036558D">
              <w:rPr>
                <w:rFonts w:asciiTheme="majorHAnsi" w:hAnsiTheme="majorHAnsi" w:cstheme="majorHAnsi"/>
                <w:color w:val="000000"/>
              </w:rPr>
              <w:t>3.4 Threat Emulation Plan</w:t>
            </w:r>
            <w:r w:rsidRPr="0036558D">
              <w:rPr>
                <w:rFonts w:asciiTheme="majorHAnsi" w:hAnsiTheme="majorHAnsi" w:cstheme="majorHAnsi"/>
                <w:color w:val="000000"/>
              </w:rPr>
              <w:tab/>
              <w:t>18</w:t>
            </w:r>
          </w:hyperlink>
        </w:p>
        <w:p w14:paraId="3A5FFE20"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3x4fn2ewli3h">
            <w:r w:rsidRPr="0036558D">
              <w:rPr>
                <w:rFonts w:asciiTheme="majorHAnsi" w:hAnsiTheme="majorHAnsi" w:cstheme="majorHAnsi"/>
                <w:color w:val="000000"/>
              </w:rPr>
              <w:t>3.5 Virtual Lab Environment Design</w:t>
            </w:r>
            <w:r w:rsidRPr="0036558D">
              <w:rPr>
                <w:rFonts w:asciiTheme="majorHAnsi" w:hAnsiTheme="majorHAnsi" w:cstheme="majorHAnsi"/>
                <w:color w:val="000000"/>
              </w:rPr>
              <w:tab/>
              <w:t>19</w:t>
            </w:r>
          </w:hyperlink>
        </w:p>
        <w:p w14:paraId="0FA4D750"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ww0dx4wawkc">
            <w:r w:rsidRPr="0036558D">
              <w:rPr>
                <w:rFonts w:asciiTheme="majorHAnsi" w:hAnsiTheme="majorHAnsi" w:cstheme="majorHAnsi"/>
                <w:color w:val="000000"/>
              </w:rPr>
              <w:t>3.6 Offensive Tools and Techniques</w:t>
            </w:r>
            <w:r w:rsidRPr="0036558D">
              <w:rPr>
                <w:rFonts w:asciiTheme="majorHAnsi" w:hAnsiTheme="majorHAnsi" w:cstheme="majorHAnsi"/>
                <w:color w:val="000000"/>
              </w:rPr>
              <w:tab/>
              <w:t>19</w:t>
            </w:r>
          </w:hyperlink>
        </w:p>
        <w:p w14:paraId="41E4C8B1"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16q4f4fhcp9t">
            <w:r w:rsidRPr="0036558D">
              <w:rPr>
                <w:rFonts w:asciiTheme="majorHAnsi" w:hAnsiTheme="majorHAnsi" w:cstheme="majorHAnsi"/>
                <w:color w:val="000000"/>
              </w:rPr>
              <w:t>3.7 Exploitation (Three Exploits)</w:t>
            </w:r>
            <w:r w:rsidRPr="0036558D">
              <w:rPr>
                <w:rFonts w:asciiTheme="majorHAnsi" w:hAnsiTheme="majorHAnsi" w:cstheme="majorHAnsi"/>
                <w:color w:val="000000"/>
              </w:rPr>
              <w:tab/>
              <w:t>20</w:t>
            </w:r>
          </w:hyperlink>
        </w:p>
        <w:p w14:paraId="00F403B9"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dz71my3zefnt">
            <w:r w:rsidRPr="0036558D">
              <w:rPr>
                <w:rFonts w:asciiTheme="majorHAnsi" w:hAnsiTheme="majorHAnsi" w:cstheme="majorHAnsi"/>
                <w:color w:val="000000"/>
              </w:rPr>
              <w:t>3.8 Detection Gap Analysis</w:t>
            </w:r>
            <w:r w:rsidRPr="0036558D">
              <w:rPr>
                <w:rFonts w:asciiTheme="majorHAnsi" w:hAnsiTheme="majorHAnsi" w:cstheme="majorHAnsi"/>
                <w:color w:val="000000"/>
              </w:rPr>
              <w:tab/>
              <w:t>32</w:t>
            </w:r>
          </w:hyperlink>
        </w:p>
        <w:p w14:paraId="2C3F8662"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q8mpkx8v7bkw">
            <w:r w:rsidRPr="0036558D">
              <w:rPr>
                <w:rFonts w:asciiTheme="majorHAnsi" w:hAnsiTheme="majorHAnsi" w:cstheme="majorHAnsi"/>
                <w:color w:val="000000"/>
              </w:rPr>
              <w:t>3.9 Security Recommendations</w:t>
            </w:r>
            <w:r w:rsidRPr="0036558D">
              <w:rPr>
                <w:rFonts w:asciiTheme="majorHAnsi" w:hAnsiTheme="majorHAnsi" w:cstheme="majorHAnsi"/>
                <w:color w:val="000000"/>
              </w:rPr>
              <w:tab/>
              <w:t>32</w:t>
            </w:r>
          </w:hyperlink>
        </w:p>
        <w:p w14:paraId="1C131D98"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rpn8aq904jmn">
            <w:r w:rsidRPr="0036558D">
              <w:rPr>
                <w:rFonts w:asciiTheme="majorHAnsi" w:hAnsiTheme="majorHAnsi" w:cstheme="majorHAnsi"/>
                <w:color w:val="000000"/>
              </w:rPr>
              <w:t>3.10 Summary</w:t>
            </w:r>
            <w:r w:rsidRPr="0036558D">
              <w:rPr>
                <w:rFonts w:asciiTheme="majorHAnsi" w:hAnsiTheme="majorHAnsi" w:cstheme="majorHAnsi"/>
                <w:color w:val="000000"/>
              </w:rPr>
              <w:tab/>
              <w:t>32</w:t>
            </w:r>
          </w:hyperlink>
        </w:p>
        <w:p w14:paraId="246313D8" w14:textId="77777777" w:rsidR="00C35511" w:rsidRPr="0036558D" w:rsidRDefault="00C35511" w:rsidP="0036558D">
          <w:pPr>
            <w:pBdr>
              <w:top w:val="nil"/>
              <w:left w:val="nil"/>
              <w:bottom w:val="nil"/>
              <w:right w:val="nil"/>
              <w:between w:val="nil"/>
            </w:pBdr>
            <w:tabs>
              <w:tab w:val="right" w:leader="dot" w:pos="9019"/>
            </w:tabs>
            <w:spacing w:before="120"/>
            <w:rPr>
              <w:rFonts w:asciiTheme="majorHAnsi" w:hAnsiTheme="majorHAnsi" w:cstheme="majorHAnsi"/>
              <w:color w:val="000000"/>
            </w:rPr>
          </w:pPr>
          <w:hyperlink w:anchor="_heading=h.aibh8zlafskn">
            <w:r w:rsidRPr="0036558D">
              <w:rPr>
                <w:rFonts w:asciiTheme="majorHAnsi" w:hAnsiTheme="majorHAnsi" w:cstheme="majorHAnsi"/>
                <w:color w:val="000000"/>
              </w:rPr>
              <w:t>4. Overall Conclusion</w:t>
            </w:r>
            <w:r w:rsidRPr="0036558D">
              <w:rPr>
                <w:rFonts w:asciiTheme="majorHAnsi" w:hAnsiTheme="majorHAnsi" w:cstheme="majorHAnsi"/>
                <w:color w:val="000000"/>
              </w:rPr>
              <w:tab/>
              <w:t>33</w:t>
            </w:r>
          </w:hyperlink>
        </w:p>
        <w:p w14:paraId="07FD0978" w14:textId="77777777" w:rsidR="00C35511" w:rsidRPr="0036558D" w:rsidRDefault="00C35511" w:rsidP="0036558D">
          <w:pPr>
            <w:pBdr>
              <w:top w:val="nil"/>
              <w:left w:val="nil"/>
              <w:bottom w:val="nil"/>
              <w:right w:val="nil"/>
              <w:between w:val="nil"/>
            </w:pBdr>
            <w:tabs>
              <w:tab w:val="right" w:leader="dot" w:pos="9019"/>
            </w:tabs>
            <w:spacing w:before="120"/>
            <w:rPr>
              <w:rFonts w:asciiTheme="majorHAnsi" w:hAnsiTheme="majorHAnsi" w:cstheme="majorHAnsi"/>
              <w:color w:val="000000"/>
            </w:rPr>
          </w:pPr>
          <w:hyperlink w:anchor="_heading=h.6n7csho2ln4l">
            <w:r w:rsidRPr="0036558D">
              <w:rPr>
                <w:rFonts w:asciiTheme="majorHAnsi" w:hAnsiTheme="majorHAnsi" w:cstheme="majorHAnsi"/>
                <w:color w:val="000000"/>
              </w:rPr>
              <w:t>References</w:t>
            </w:r>
            <w:r w:rsidRPr="0036558D">
              <w:rPr>
                <w:rFonts w:asciiTheme="majorHAnsi" w:hAnsiTheme="majorHAnsi" w:cstheme="majorHAnsi"/>
                <w:color w:val="000000"/>
              </w:rPr>
              <w:tab/>
              <w:t>34</w:t>
            </w:r>
          </w:hyperlink>
        </w:p>
        <w:p w14:paraId="11610113" w14:textId="77777777" w:rsidR="00C35511" w:rsidRPr="0036558D" w:rsidRDefault="00C35511" w:rsidP="0036558D">
          <w:pPr>
            <w:pBdr>
              <w:top w:val="nil"/>
              <w:left w:val="nil"/>
              <w:bottom w:val="nil"/>
              <w:right w:val="nil"/>
              <w:between w:val="nil"/>
            </w:pBdr>
            <w:tabs>
              <w:tab w:val="right" w:leader="dot" w:pos="9019"/>
            </w:tabs>
            <w:spacing w:before="120"/>
            <w:rPr>
              <w:rFonts w:asciiTheme="majorHAnsi" w:hAnsiTheme="majorHAnsi" w:cstheme="majorHAnsi"/>
              <w:color w:val="000000"/>
            </w:rPr>
          </w:pPr>
          <w:hyperlink w:anchor="_heading=h.v7q8aqxq1anl">
            <w:r w:rsidRPr="0036558D">
              <w:rPr>
                <w:rFonts w:asciiTheme="majorHAnsi" w:hAnsiTheme="majorHAnsi" w:cstheme="majorHAnsi"/>
                <w:color w:val="000000"/>
              </w:rPr>
              <w:t>Appendices</w:t>
            </w:r>
            <w:r w:rsidRPr="0036558D">
              <w:rPr>
                <w:rFonts w:asciiTheme="majorHAnsi" w:hAnsiTheme="majorHAnsi" w:cstheme="majorHAnsi"/>
                <w:color w:val="000000"/>
              </w:rPr>
              <w:tab/>
              <w:t>36</w:t>
            </w:r>
          </w:hyperlink>
        </w:p>
        <w:p w14:paraId="5172E1C6"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l1zbaze75wex">
            <w:r w:rsidRPr="0036558D">
              <w:rPr>
                <w:rFonts w:asciiTheme="majorHAnsi" w:hAnsiTheme="majorHAnsi" w:cstheme="majorHAnsi"/>
                <w:color w:val="000000"/>
              </w:rPr>
              <w:t>Appendix A: Sources of Incident Timeline</w:t>
            </w:r>
            <w:r w:rsidRPr="0036558D">
              <w:rPr>
                <w:rFonts w:asciiTheme="majorHAnsi" w:hAnsiTheme="majorHAnsi" w:cstheme="majorHAnsi"/>
                <w:color w:val="000000"/>
              </w:rPr>
              <w:tab/>
              <w:t>36</w:t>
            </w:r>
          </w:hyperlink>
        </w:p>
        <w:p w14:paraId="3F4C3D09"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24f3te1dcp6w">
            <w:r w:rsidRPr="0036558D">
              <w:rPr>
                <w:rFonts w:asciiTheme="majorHAnsi" w:hAnsiTheme="majorHAnsi" w:cstheme="majorHAnsi"/>
                <w:color w:val="000000"/>
              </w:rPr>
              <w:t>Appendix B: MITRE ATT&amp;CK Mapping</w:t>
            </w:r>
            <w:r w:rsidRPr="0036558D">
              <w:rPr>
                <w:rFonts w:asciiTheme="majorHAnsi" w:hAnsiTheme="majorHAnsi" w:cstheme="majorHAnsi"/>
                <w:color w:val="000000"/>
              </w:rPr>
              <w:tab/>
              <w:t>37</w:t>
            </w:r>
          </w:hyperlink>
        </w:p>
        <w:p w14:paraId="6ACE6B2B"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10jazykse1o9">
            <w:r w:rsidRPr="0036558D">
              <w:rPr>
                <w:rFonts w:asciiTheme="majorHAnsi" w:hAnsiTheme="majorHAnsi" w:cstheme="majorHAnsi"/>
                <w:color w:val="000000"/>
              </w:rPr>
              <w:t>Appendix C: Rules of Engagement (RoE)</w:t>
            </w:r>
            <w:r w:rsidRPr="0036558D">
              <w:rPr>
                <w:rFonts w:asciiTheme="majorHAnsi" w:hAnsiTheme="majorHAnsi" w:cstheme="majorHAnsi"/>
                <w:color w:val="000000"/>
              </w:rPr>
              <w:tab/>
              <w:t>39</w:t>
            </w:r>
          </w:hyperlink>
        </w:p>
        <w:p w14:paraId="0BF235DA"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jfb81setcm1r">
            <w:r w:rsidRPr="0036558D">
              <w:rPr>
                <w:rFonts w:asciiTheme="majorHAnsi" w:hAnsiTheme="majorHAnsi" w:cstheme="majorHAnsi"/>
                <w:color w:val="000000"/>
              </w:rPr>
              <w:t>Appendix D: Threat Emulation Plan</w:t>
            </w:r>
            <w:r w:rsidRPr="0036558D">
              <w:rPr>
                <w:rFonts w:asciiTheme="majorHAnsi" w:hAnsiTheme="majorHAnsi" w:cstheme="majorHAnsi"/>
                <w:color w:val="000000"/>
              </w:rPr>
              <w:tab/>
              <w:t>40</w:t>
            </w:r>
          </w:hyperlink>
        </w:p>
        <w:p w14:paraId="6608AEF4"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uw4m7fs5jenl">
            <w:r w:rsidRPr="0036558D">
              <w:rPr>
                <w:rFonts w:asciiTheme="majorHAnsi" w:hAnsiTheme="majorHAnsi" w:cstheme="majorHAnsi"/>
                <w:color w:val="000000"/>
              </w:rPr>
              <w:t>Appendix E: VM Configuration</w:t>
            </w:r>
            <w:r w:rsidRPr="0036558D">
              <w:rPr>
                <w:rFonts w:asciiTheme="majorHAnsi" w:hAnsiTheme="majorHAnsi" w:cstheme="majorHAnsi"/>
                <w:color w:val="000000"/>
              </w:rPr>
              <w:tab/>
              <w:t>41</w:t>
            </w:r>
          </w:hyperlink>
        </w:p>
        <w:p w14:paraId="762CC0C5"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ppt8exka7a40">
            <w:r w:rsidRPr="0036558D">
              <w:rPr>
                <w:rFonts w:asciiTheme="majorHAnsi" w:hAnsiTheme="majorHAnsi" w:cstheme="majorHAnsi"/>
                <w:color w:val="000000"/>
              </w:rPr>
              <w:t>Appendix F: Open-Source Intelligence (OSINT) Notes</w:t>
            </w:r>
            <w:r w:rsidRPr="0036558D">
              <w:rPr>
                <w:rFonts w:asciiTheme="majorHAnsi" w:hAnsiTheme="majorHAnsi" w:cstheme="majorHAnsi"/>
                <w:color w:val="000000"/>
              </w:rPr>
              <w:tab/>
              <w:t>46</w:t>
            </w:r>
          </w:hyperlink>
        </w:p>
        <w:p w14:paraId="2DEC489E" w14:textId="77777777" w:rsidR="00C35511" w:rsidRPr="0036558D" w:rsidRDefault="00C35511" w:rsidP="0036558D">
          <w:pPr>
            <w:pBdr>
              <w:top w:val="nil"/>
              <w:left w:val="nil"/>
              <w:bottom w:val="nil"/>
              <w:right w:val="nil"/>
              <w:between w:val="nil"/>
            </w:pBdr>
            <w:tabs>
              <w:tab w:val="right" w:leader="dot" w:pos="9019"/>
            </w:tabs>
            <w:spacing w:before="120"/>
            <w:ind w:left="240"/>
            <w:rPr>
              <w:rFonts w:asciiTheme="majorHAnsi" w:hAnsiTheme="majorHAnsi" w:cstheme="majorHAnsi"/>
              <w:color w:val="000000"/>
            </w:rPr>
          </w:pPr>
          <w:hyperlink w:anchor="_heading=h.u4mvia9cvs2i">
            <w:r w:rsidRPr="0036558D">
              <w:rPr>
                <w:rFonts w:asciiTheme="majorHAnsi" w:hAnsiTheme="majorHAnsi" w:cstheme="majorHAnsi"/>
                <w:color w:val="000000"/>
              </w:rPr>
              <w:t>Appendix G: Logs and Telemetry Evidence</w:t>
            </w:r>
            <w:r w:rsidRPr="0036558D">
              <w:rPr>
                <w:rFonts w:asciiTheme="majorHAnsi" w:hAnsiTheme="majorHAnsi" w:cstheme="majorHAnsi"/>
                <w:color w:val="000000"/>
              </w:rPr>
              <w:tab/>
              <w:t>47</w:t>
            </w:r>
          </w:hyperlink>
        </w:p>
        <w:p w14:paraId="5CAAA36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fldChar w:fldCharType="end"/>
          </w:r>
        </w:p>
      </w:sdtContent>
    </w:sdt>
    <w:p w14:paraId="194B5D45" w14:textId="77777777" w:rsidR="00C35511" w:rsidRPr="0036558D" w:rsidRDefault="00000000" w:rsidP="0036558D">
      <w:pPr>
        <w:rPr>
          <w:rFonts w:asciiTheme="majorHAnsi" w:hAnsiTheme="majorHAnsi" w:cstheme="majorHAnsi"/>
          <w:b/>
          <w:bCs/>
          <w:sz w:val="28"/>
          <w:szCs w:val="28"/>
        </w:rPr>
      </w:pPr>
      <w:r w:rsidRPr="0036558D">
        <w:rPr>
          <w:rFonts w:asciiTheme="majorHAnsi" w:hAnsiTheme="majorHAnsi" w:cstheme="majorHAnsi"/>
        </w:rPr>
        <w:br w:type="page"/>
      </w:r>
    </w:p>
    <w:p w14:paraId="7B45D20A" w14:textId="77777777" w:rsidR="00C35511" w:rsidRPr="0036558D" w:rsidRDefault="00000000" w:rsidP="0036558D">
      <w:pPr>
        <w:pStyle w:val="Heading1"/>
        <w:rPr>
          <w:rFonts w:asciiTheme="majorHAnsi" w:hAnsiTheme="majorHAnsi" w:cstheme="majorHAnsi"/>
        </w:rPr>
      </w:pPr>
      <w:bookmarkStart w:id="2" w:name="_heading=h.q347hx7ak8bw" w:colFirst="0" w:colLast="0"/>
      <w:bookmarkEnd w:id="2"/>
      <w:r w:rsidRPr="0036558D">
        <w:rPr>
          <w:rFonts w:asciiTheme="majorHAnsi" w:hAnsiTheme="majorHAnsi" w:cstheme="majorHAnsi"/>
        </w:rPr>
        <w:lastRenderedPageBreak/>
        <w:t>1. Introduction</w:t>
      </w:r>
    </w:p>
    <w:p w14:paraId="4097CFC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A complete cybersecurity review is highlighted, which is based on a strategic threat analysis and a practical Red Team engagement to test the security of an organisation and the latest forms of </w:t>
      </w:r>
      <w:proofErr w:type="spellStart"/>
      <w:r w:rsidRPr="0036558D">
        <w:rPr>
          <w:rFonts w:asciiTheme="majorHAnsi" w:hAnsiTheme="majorHAnsi" w:cstheme="majorHAnsi"/>
        </w:rPr>
        <w:t>cyber attack</w:t>
      </w:r>
      <w:proofErr w:type="spellEnd"/>
      <w:r w:rsidRPr="0036558D">
        <w:rPr>
          <w:rFonts w:asciiTheme="majorHAnsi" w:hAnsiTheme="majorHAnsi" w:cstheme="majorHAnsi"/>
        </w:rPr>
        <w:t xml:space="preserve">. Task 1 critically examines the 2025 </w:t>
      </w:r>
      <w:proofErr w:type="spellStart"/>
      <w:r w:rsidRPr="0036558D">
        <w:rPr>
          <w:rFonts w:asciiTheme="majorHAnsi" w:hAnsiTheme="majorHAnsi" w:cstheme="majorHAnsi"/>
        </w:rPr>
        <w:t>cyber attacks</w:t>
      </w:r>
      <w:proofErr w:type="spellEnd"/>
      <w:r w:rsidRPr="0036558D">
        <w:rPr>
          <w:rFonts w:asciiTheme="majorHAnsi" w:hAnsiTheme="majorHAnsi" w:cstheme="majorHAnsi"/>
        </w:rPr>
        <w:t xml:space="preserve"> on Marks &amp; Spencer (M&amp;S) and the Co-operative Group (Co-op) in relation to the attack timeline. Also, MITRE ATT&amp;CK tactics, the behaviour of the threat actor, failures of the security controls and security recommendations for the attacks are demonstrated. Task 2 is based on offensive security techniques in a contained virtual lab space using reconnaissance, controlled exploitation and security assessment. These two tasks are illustrated as a combination of strategy and technical views to improve organisations' cyber security and incident readiness.</w:t>
      </w:r>
    </w:p>
    <w:p w14:paraId="1B09FE5A" w14:textId="77777777" w:rsidR="00C35511" w:rsidRPr="0036558D" w:rsidRDefault="00000000" w:rsidP="0036558D">
      <w:pPr>
        <w:pStyle w:val="Heading1"/>
        <w:rPr>
          <w:rFonts w:asciiTheme="majorHAnsi" w:hAnsiTheme="majorHAnsi" w:cstheme="majorHAnsi"/>
        </w:rPr>
      </w:pPr>
      <w:bookmarkStart w:id="3" w:name="_heading=h.nvcx56fk110n" w:colFirst="0" w:colLast="0"/>
      <w:bookmarkEnd w:id="3"/>
      <w:r w:rsidRPr="0036558D">
        <w:rPr>
          <w:rFonts w:asciiTheme="majorHAnsi" w:hAnsiTheme="majorHAnsi" w:cstheme="majorHAnsi"/>
        </w:rPr>
        <w:t xml:space="preserve">2. Task 1: Strategic Threat Analysis- M&amp;S and Co-op UK Cyber Attack </w:t>
      </w:r>
    </w:p>
    <w:p w14:paraId="696F7100" w14:textId="77777777" w:rsidR="00C35511" w:rsidRPr="0036558D" w:rsidRDefault="00000000" w:rsidP="0036558D">
      <w:pPr>
        <w:pStyle w:val="Heading2"/>
        <w:rPr>
          <w:rFonts w:asciiTheme="majorHAnsi" w:hAnsiTheme="majorHAnsi" w:cstheme="majorHAnsi"/>
        </w:rPr>
      </w:pPr>
      <w:bookmarkStart w:id="4" w:name="_heading=h.gynqfycsg6kl" w:colFirst="0" w:colLast="0"/>
      <w:bookmarkEnd w:id="4"/>
      <w:r w:rsidRPr="0036558D">
        <w:rPr>
          <w:rFonts w:asciiTheme="majorHAnsi" w:hAnsiTheme="majorHAnsi" w:cstheme="majorHAnsi"/>
        </w:rPr>
        <w:t xml:space="preserve">2.1 Executive summary </w:t>
      </w:r>
    </w:p>
    <w:p w14:paraId="734EF09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This paper contains a strategic threat assessment of the 2025 cyber events targeting Marks &amp; Spencer (M&amp;S) and the Co-operative Group (Co-op), which are two prominent UK-based retail companies. This analysis takes into account the timeline of the attack, TTPs of the attacker, failure of the security controls, and the effectiveness of the detection and incident response activities carried out by the affected entities. Information from publicly available incident reporting, threat intelligence, and the MITRE ATT&amp;CK framework was utilised in carrying out the assessment. The research reveals that the attack campaign fits the modus operandi of a financially motivated ransomware campaign that involved extensive use of social engineering, credential compromise, privilege escalation, lateral movement, and data access before any disruptive operations were launched. Mapping the behaviour to the MITRE ATT&amp;CK Enterprise Matrix reveals important attack techniques in initial access, persistence, credential access, discovery, lateral movement, exfiltration, and impact. The results reveal that identity compromise and lack of adequate monitoring are essential enabling factors of the attack campaign.</w:t>
      </w:r>
    </w:p>
    <w:p w14:paraId="367046F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study further points out several human, technical, and organisational deficiencies that exacerbated the effects of the attacks. Poor phishing-resistant authentication, insufficient privilege controls, low security visibility, lack of network segmentation, and late containment all contributed to the increased dwell time and scope of the attacks. Comparative analysis shows that faster detection and containment activities helped to mitigate the total damage </w:t>
      </w:r>
      <w:r w:rsidRPr="0036558D">
        <w:rPr>
          <w:rFonts w:asciiTheme="majorHAnsi" w:hAnsiTheme="majorHAnsi" w:cstheme="majorHAnsi"/>
        </w:rPr>
        <w:lastRenderedPageBreak/>
        <w:t>incurred by Co-op to a greater degree than it did in the case of M&amp;S. The conclusions drawn by the research show that contemporary retail organisations need to build a defence-in-depth approach to cybersecurity that will focus on identity protection, Zero-Trust network infrastructure, constant monitoring, resilient backup, and well-planned incident response processes. The strategic recommendations offered in this report are aimed at enhancing organisational resilience, reducing ransomware risk, and increasing the readiness of retail organisations to counteract future cyberattacks.</w:t>
      </w:r>
    </w:p>
    <w:p w14:paraId="0C5F4C79" w14:textId="77777777" w:rsidR="00C35511" w:rsidRPr="0036558D" w:rsidRDefault="00000000" w:rsidP="0036558D">
      <w:pPr>
        <w:pStyle w:val="Heading2"/>
        <w:rPr>
          <w:rFonts w:asciiTheme="majorHAnsi" w:hAnsiTheme="majorHAnsi" w:cstheme="majorHAnsi"/>
        </w:rPr>
      </w:pPr>
      <w:bookmarkStart w:id="5" w:name="_heading=h.bgnllxkdvez0" w:colFirst="0" w:colLast="0"/>
      <w:bookmarkEnd w:id="5"/>
      <w:r w:rsidRPr="0036558D">
        <w:rPr>
          <w:rFonts w:asciiTheme="majorHAnsi" w:hAnsiTheme="majorHAnsi" w:cstheme="majorHAnsi"/>
        </w:rPr>
        <w:t>2.2 Incident Overview and Timeline</w:t>
      </w:r>
    </w:p>
    <w:p w14:paraId="3F057029"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Incident Overview</w:t>
      </w:r>
    </w:p>
    <w:p w14:paraId="4EACA33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attacks on Marks &amp; Spencer (M&amp;S) and the Co-operative Group (Co-op) in 2025 are among the most notable in terms of the ransomware campaign on the United Kingdom retail industry. The incidents illustrate the various ways a financially-driven threat actor is able to exploit social engineering, compromised credentials, and inadequate security controls to gain access to enterprise environments. The operational disruptions had a substantial impact on payment processing, online ordering, and Click and Collect services, while significantly increasing concerns regarding customer data security, business continuity, and organisational resilience (Admass </w:t>
      </w:r>
      <w:r w:rsidRPr="0036558D">
        <w:rPr>
          <w:rFonts w:asciiTheme="majorHAnsi" w:hAnsiTheme="majorHAnsi" w:cstheme="majorHAnsi"/>
          <w:i/>
          <w:iCs/>
        </w:rPr>
        <w:t>et al</w:t>
      </w:r>
      <w:r w:rsidRPr="0036558D">
        <w:rPr>
          <w:rFonts w:asciiTheme="majorHAnsi" w:hAnsiTheme="majorHAnsi" w:cstheme="majorHAnsi"/>
        </w:rPr>
        <w:t xml:space="preserve">. 2024). </w:t>
      </w:r>
    </w:p>
    <w:p w14:paraId="4FFD87E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While both organisations witnessed attacks result from the same type of adversary behaviour, the overall impact on operations was affected by the organisation’s ability to detect attacks and respond to them. The chronological context of events can help understand the evolution of the attackers' actions. </w:t>
      </w:r>
    </w:p>
    <w:p w14:paraId="4C52D752"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06F415BF" wp14:editId="5CF2FD74">
            <wp:extent cx="5839907" cy="2443369"/>
            <wp:effectExtent l="12700" t="12700" r="12700" b="12700"/>
            <wp:docPr id="137643013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839907" cy="2443369"/>
                    </a:xfrm>
                    <a:prstGeom prst="rect">
                      <a:avLst/>
                    </a:prstGeom>
                    <a:ln w="12700">
                      <a:solidFill>
                        <a:srgbClr val="000000"/>
                      </a:solidFill>
                      <a:prstDash val="solid"/>
                    </a:ln>
                  </pic:spPr>
                </pic:pic>
              </a:graphicData>
            </a:graphic>
          </wp:inline>
        </w:drawing>
      </w:r>
    </w:p>
    <w:p w14:paraId="211B460C"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1: Timeline of the M&amp;S and Co-op Cyber Attack Campaign (April–June 2025)</w:t>
      </w:r>
    </w:p>
    <w:p w14:paraId="2E5B0B5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The timeline presented above shows the chronological order of the 2025 M&amp;S and Co-op cyber-attack campaign from early April 2025 up to June 2025. The campaign started with reconnaissance and credential theft at the beginning of April. Then proceeded with unauthorised access, disruption of operations from 19–21 April, exposure on 22 April, ransomware release on 24 April, and containment activities from 25–30 April. Further in the timeline was the forensic analysis, the discovery of customers’ data breach in mid-May, the issue of national security advice, increased monitoring, improved security controls, and the gradual return of retail services in June 2025.</w:t>
      </w:r>
    </w:p>
    <w:p w14:paraId="75CF8975" w14:textId="77777777" w:rsidR="00C35511" w:rsidRPr="0036558D" w:rsidRDefault="00000000" w:rsidP="0036558D">
      <w:pPr>
        <w:pStyle w:val="Heading2"/>
        <w:rPr>
          <w:rFonts w:asciiTheme="majorHAnsi" w:hAnsiTheme="majorHAnsi" w:cstheme="majorHAnsi"/>
        </w:rPr>
      </w:pPr>
      <w:bookmarkStart w:id="6" w:name="_heading=h.2sgahybdmbkm" w:colFirst="0" w:colLast="0"/>
      <w:bookmarkEnd w:id="6"/>
      <w:r w:rsidRPr="0036558D">
        <w:rPr>
          <w:rFonts w:asciiTheme="majorHAnsi" w:hAnsiTheme="majorHAnsi" w:cstheme="majorHAnsi"/>
        </w:rPr>
        <w:t xml:space="preserve">2.3 Adversary Tactics, Techniques and Procedures (MITRE ATT&amp;CK Mapping) </w:t>
      </w:r>
    </w:p>
    <w:p w14:paraId="35D940D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w:t>
      </w:r>
      <w:proofErr w:type="spellStart"/>
      <w:r w:rsidRPr="0036558D">
        <w:rPr>
          <w:rFonts w:asciiTheme="majorHAnsi" w:hAnsiTheme="majorHAnsi" w:cstheme="majorHAnsi"/>
        </w:rPr>
        <w:t>cyber attack</w:t>
      </w:r>
      <w:proofErr w:type="spellEnd"/>
      <w:r w:rsidRPr="0036558D">
        <w:rPr>
          <w:rFonts w:asciiTheme="majorHAnsi" w:hAnsiTheme="majorHAnsi" w:cstheme="majorHAnsi"/>
        </w:rPr>
        <w:t xml:space="preserve"> carried out against Marks &amp; Spencer (M&amp;S) and Co-operative Group (Co-op) shows how an elaborate ransomware attack is carried out that fits well within the MITRE ATT&amp;CK Enterprise Matrix. From available information in the public domain, the attackers used a series of attacks aimed at gaining access, maintaining persistence, escalating privileges, moving laterally within the network, and deploying ransomware.</w:t>
      </w:r>
    </w:p>
    <w:p w14:paraId="6A9880BE"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70F22667" wp14:editId="14B82067">
            <wp:extent cx="5559746" cy="1476460"/>
            <wp:effectExtent l="0" t="0" r="0" b="0"/>
            <wp:docPr id="137643013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srcRect/>
                    <a:stretch>
                      <a:fillRect/>
                    </a:stretch>
                  </pic:blipFill>
                  <pic:spPr>
                    <a:xfrm>
                      <a:off x="0" y="0"/>
                      <a:ext cx="5559746" cy="1476460"/>
                    </a:xfrm>
                    <a:prstGeom prst="rect">
                      <a:avLst/>
                    </a:prstGeom>
                    <a:ln/>
                  </pic:spPr>
                </pic:pic>
              </a:graphicData>
            </a:graphic>
          </wp:inline>
        </w:drawing>
      </w:r>
    </w:p>
    <w:p w14:paraId="778FEBA9"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 xml:space="preserve">Figure 2: Adversary Attack Flow of </w:t>
      </w:r>
      <w:proofErr w:type="spellStart"/>
      <w:r w:rsidRPr="0036558D">
        <w:rPr>
          <w:rFonts w:asciiTheme="majorHAnsi" w:hAnsiTheme="majorHAnsi" w:cstheme="majorHAnsi"/>
          <w:b/>
          <w:bCs/>
        </w:rPr>
        <w:t>DragonForce</w:t>
      </w:r>
      <w:proofErr w:type="spellEnd"/>
    </w:p>
    <w:p w14:paraId="6750AF2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Figure 2 presents the adversary attack lifecycle in relation to the MITRE ATT&amp;CK Enterprise Matrix. The diagram clearly shows how the initial access through phishing was carried out, followed by persistence, privilege escalation, discovery, credential access, lateral movement, data collection, data exfiltration, command and control activity, leading to ransomware and resulting disruption.</w:t>
      </w:r>
    </w:p>
    <w:p w14:paraId="1D5C2F48"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Initial Access- Phishing (T1566)</w:t>
      </w:r>
    </w:p>
    <w:p w14:paraId="748E94E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Intrusion is presumed to have begun through a social engineering attack that would allow the attackers to gather user credentials. Phishing continues to be a very effective means of gaining access since it relies on exploitation of trust, not vulnerability in technical terms. This is an indication that there is poor phishing-proof authentication and user awareness.</w:t>
      </w:r>
    </w:p>
    <w:p w14:paraId="1CF34128"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lastRenderedPageBreak/>
        <w:t>Persistence- Valid Accounts (T1078)</w:t>
      </w:r>
    </w:p>
    <w:p w14:paraId="3B1749E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After the initial compromise, the adversaries were found to have used their legitimate credentials to remain inside the network. The use of legitimate credentials enables the bad guys to disguise their activities as regular user actions and hence become undetectable (</w:t>
      </w:r>
      <w:proofErr w:type="spellStart"/>
      <w:r w:rsidRPr="0036558D">
        <w:rPr>
          <w:rFonts w:asciiTheme="majorHAnsi" w:hAnsiTheme="majorHAnsi" w:cstheme="majorHAnsi"/>
        </w:rPr>
        <w:t>Mijwil</w:t>
      </w:r>
      <w:proofErr w:type="spellEnd"/>
      <w:r w:rsidRPr="0036558D">
        <w:rPr>
          <w:rFonts w:asciiTheme="majorHAnsi" w:hAnsiTheme="majorHAnsi" w:cstheme="majorHAnsi"/>
        </w:rPr>
        <w:t xml:space="preserve"> </w:t>
      </w:r>
      <w:r w:rsidRPr="0036558D">
        <w:rPr>
          <w:rFonts w:asciiTheme="majorHAnsi" w:hAnsiTheme="majorHAnsi" w:cstheme="majorHAnsi"/>
          <w:i/>
          <w:iCs/>
        </w:rPr>
        <w:t>et al</w:t>
      </w:r>
      <w:r w:rsidRPr="0036558D">
        <w:rPr>
          <w:rFonts w:asciiTheme="majorHAnsi" w:hAnsiTheme="majorHAnsi" w:cstheme="majorHAnsi"/>
        </w:rPr>
        <w:t>. 2023). The inadequacy in identity and behavioural analytics led to the successful persistence of attackers.</w:t>
      </w:r>
    </w:p>
    <w:p w14:paraId="077B5A32"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Privilege Escalation- Exploitation for Privilege Escalation (T1068)</w:t>
      </w:r>
    </w:p>
    <w:p w14:paraId="223FEEE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There is an indication that the attackers were granted admin privileges after the initial intrusion. The attackers gained access to critical infrastructure components such as Active Directory services and virtual machines. Inadequate patching and ineffective privilege management gave attackers more chances to get elevated permissions.</w:t>
      </w:r>
    </w:p>
    <w:p w14:paraId="09BC08DB"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Discovery- Account Discovery (T1087)</w:t>
      </w:r>
    </w:p>
    <w:p w14:paraId="0DAC683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After gaining access to the network, the intruders performed reconnaissance to discover user accounts, privileged groups, and valuable resources. This is an important step that enables future lateral movement and targeting. The fact that enumeration was not being monitored prevented understanding this stage of the attack.</w:t>
      </w:r>
    </w:p>
    <w:p w14:paraId="2A27CC38"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Credential Access- OS Credential Dumping (T1003)</w:t>
      </w:r>
    </w:p>
    <w:p w14:paraId="53D254F0"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Theft of Active Directory credentials, such as the </w:t>
      </w:r>
      <w:proofErr w:type="spellStart"/>
      <w:r w:rsidRPr="0036558D">
        <w:rPr>
          <w:rFonts w:asciiTheme="majorHAnsi" w:hAnsiTheme="majorHAnsi" w:cstheme="majorHAnsi"/>
        </w:rPr>
        <w:t>NTDS.dit</w:t>
      </w:r>
      <w:proofErr w:type="spellEnd"/>
      <w:r w:rsidRPr="0036558D">
        <w:rPr>
          <w:rFonts w:asciiTheme="majorHAnsi" w:hAnsiTheme="majorHAnsi" w:cstheme="majorHAnsi"/>
        </w:rPr>
        <w:t xml:space="preserve"> file, is an indication of the credential dumping process. The possession of passwords allows the attacker greater access to the domain environment (</w:t>
      </w:r>
      <w:proofErr w:type="spellStart"/>
      <w:r w:rsidRPr="0036558D">
        <w:rPr>
          <w:rFonts w:asciiTheme="majorHAnsi" w:hAnsiTheme="majorHAnsi" w:cstheme="majorHAnsi"/>
        </w:rPr>
        <w:t>Mijwil</w:t>
      </w:r>
      <w:proofErr w:type="spellEnd"/>
      <w:r w:rsidRPr="0036558D">
        <w:rPr>
          <w:rFonts w:asciiTheme="majorHAnsi" w:hAnsiTheme="majorHAnsi" w:cstheme="majorHAnsi"/>
        </w:rPr>
        <w:t xml:space="preserve"> </w:t>
      </w:r>
      <w:r w:rsidRPr="0036558D">
        <w:rPr>
          <w:rFonts w:asciiTheme="majorHAnsi" w:hAnsiTheme="majorHAnsi" w:cstheme="majorHAnsi"/>
          <w:i/>
          <w:iCs/>
        </w:rPr>
        <w:t>et al</w:t>
      </w:r>
      <w:r w:rsidRPr="0036558D">
        <w:rPr>
          <w:rFonts w:asciiTheme="majorHAnsi" w:hAnsiTheme="majorHAnsi" w:cstheme="majorHAnsi"/>
        </w:rPr>
        <w:t>. 2023). Poor security of the credential store was the weakness in this phase of the attack.</w:t>
      </w:r>
    </w:p>
    <w:p w14:paraId="471157CC"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Lateral Movement- Remote Services (T1021)</w:t>
      </w:r>
    </w:p>
    <w:p w14:paraId="7F621A6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disruption experienced by payment and retail systems indicates that the attackers used remote access services to travel from one system to another. The lack of proper network segmentation, coupled with free communication within the network, made the penetration very rapid.</w:t>
      </w:r>
    </w:p>
    <w:p w14:paraId="719CC852"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Collection- Data from Local System (T1005)</w:t>
      </w:r>
    </w:p>
    <w:p w14:paraId="26BDF46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Before the execution of the ransomware attack, it is believed that the perpetrators obtained access to data belonging to customers and the organisation. This is because of the way that extortion via ransomware works in the present day.</w:t>
      </w:r>
    </w:p>
    <w:p w14:paraId="60556AE1"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Exfiltration- Exfiltration Over Web Services (T1567)</w:t>
      </w:r>
    </w:p>
    <w:p w14:paraId="47F22FA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The transfer of collected data was probably transmitted using typical web protocols, which means that the malicious data transfer will be hard to distinguish from normal HTTPS traffic. Since there is no outbound inspection, detecting the exfiltration process will be very difficult.</w:t>
      </w:r>
    </w:p>
    <w:p w14:paraId="311BD5F1"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Command and Control- Application Layer Protocol (T1071)</w:t>
      </w:r>
    </w:p>
    <w:p w14:paraId="13EB4D1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attackers are also said to have continued their command and control communications using application layer protocols (</w:t>
      </w:r>
      <w:proofErr w:type="spellStart"/>
      <w:r w:rsidRPr="0036558D">
        <w:rPr>
          <w:rFonts w:asciiTheme="majorHAnsi" w:hAnsiTheme="majorHAnsi" w:cstheme="majorHAnsi"/>
        </w:rPr>
        <w:t>Aloqaily</w:t>
      </w:r>
      <w:proofErr w:type="spellEnd"/>
      <w:r w:rsidRPr="0036558D">
        <w:rPr>
          <w:rFonts w:asciiTheme="majorHAnsi" w:hAnsiTheme="majorHAnsi" w:cstheme="majorHAnsi"/>
        </w:rPr>
        <w:t xml:space="preserve"> </w:t>
      </w:r>
      <w:r w:rsidRPr="0036558D">
        <w:rPr>
          <w:rFonts w:asciiTheme="majorHAnsi" w:hAnsiTheme="majorHAnsi" w:cstheme="majorHAnsi"/>
          <w:i/>
          <w:iCs/>
        </w:rPr>
        <w:t>et al</w:t>
      </w:r>
      <w:r w:rsidRPr="0036558D">
        <w:rPr>
          <w:rFonts w:asciiTheme="majorHAnsi" w:hAnsiTheme="majorHAnsi" w:cstheme="majorHAnsi"/>
        </w:rPr>
        <w:t>. 2022). Encrypted communications hide malicious packets within legitimate network communications, especially where deep packet inspections are lacking.</w:t>
      </w:r>
    </w:p>
    <w:p w14:paraId="44F8B987"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 xml:space="preserve">Impact- Data Encrypted for Impact (T1486) </w:t>
      </w:r>
    </w:p>
    <w:p w14:paraId="14F251E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ransomware called </w:t>
      </w:r>
      <w:proofErr w:type="spellStart"/>
      <w:r w:rsidRPr="0036558D">
        <w:rPr>
          <w:rFonts w:asciiTheme="majorHAnsi" w:hAnsiTheme="majorHAnsi" w:cstheme="majorHAnsi"/>
        </w:rPr>
        <w:t>DragonForce</w:t>
      </w:r>
      <w:proofErr w:type="spellEnd"/>
      <w:r w:rsidRPr="0036558D">
        <w:rPr>
          <w:rFonts w:asciiTheme="majorHAnsi" w:hAnsiTheme="majorHAnsi" w:cstheme="majorHAnsi"/>
        </w:rPr>
        <w:t xml:space="preserve"> was deployed, which encrypted the critical infrastructure and interfered with the retail process and payment services. Lack of proper backups and insufficient segmentation added to the operational damage and recovery time.</w:t>
      </w:r>
    </w:p>
    <w:tbl>
      <w:tblPr>
        <w:tblStyle w:val="a7"/>
        <w:tblW w:w="6854" w:type="dxa"/>
        <w:jc w:val="center"/>
        <w:tblBorders>
          <w:top w:val="nil"/>
          <w:left w:val="nil"/>
          <w:bottom w:val="nil"/>
          <w:right w:val="nil"/>
          <w:insideH w:val="nil"/>
          <w:insideV w:val="nil"/>
        </w:tblBorders>
        <w:tblLayout w:type="fixed"/>
        <w:tblLook w:val="0600" w:firstRow="0" w:lastRow="0" w:firstColumn="0" w:lastColumn="0" w:noHBand="1" w:noVBand="1"/>
      </w:tblPr>
      <w:tblGrid>
        <w:gridCol w:w="3440"/>
        <w:gridCol w:w="1254"/>
        <w:gridCol w:w="2160"/>
      </w:tblGrid>
      <w:tr w:rsidR="00C35511" w:rsidRPr="0036558D" w14:paraId="585692B0"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shd w:val="clear" w:color="auto" w:fill="C6D9F1"/>
            <w:tcMar>
              <w:top w:w="100" w:type="dxa"/>
              <w:left w:w="100" w:type="dxa"/>
              <w:bottom w:w="100" w:type="dxa"/>
              <w:right w:w="100" w:type="dxa"/>
            </w:tcMar>
          </w:tcPr>
          <w:p w14:paraId="2F3CC6F0" w14:textId="77777777" w:rsidR="00C35511" w:rsidRPr="0036558D" w:rsidRDefault="00000000" w:rsidP="0036558D">
            <w:pPr>
              <w:spacing w:after="240"/>
              <w:jc w:val="center"/>
              <w:rPr>
                <w:rFonts w:asciiTheme="majorHAnsi" w:hAnsiTheme="majorHAnsi" w:cstheme="majorHAnsi"/>
                <w:b/>
                <w:bCs/>
              </w:rPr>
            </w:pPr>
            <w:r w:rsidRPr="0036558D">
              <w:rPr>
                <w:rFonts w:asciiTheme="majorHAnsi" w:hAnsiTheme="majorHAnsi" w:cstheme="majorHAnsi"/>
                <w:b/>
                <w:bCs/>
              </w:rPr>
              <w:t>Observed Behaviour</w:t>
            </w:r>
          </w:p>
        </w:tc>
        <w:tc>
          <w:tcPr>
            <w:tcW w:w="1254" w:type="dxa"/>
            <w:tcBorders>
              <w:top w:val="single" w:sz="8" w:space="0" w:color="000000"/>
              <w:left w:val="single" w:sz="8" w:space="0" w:color="000000"/>
              <w:bottom w:val="single" w:sz="8" w:space="0" w:color="000000"/>
              <w:right w:val="single" w:sz="8" w:space="0" w:color="000000"/>
            </w:tcBorders>
            <w:shd w:val="clear" w:color="auto" w:fill="C6D9F1"/>
            <w:tcMar>
              <w:top w:w="100" w:type="dxa"/>
              <w:left w:w="100" w:type="dxa"/>
              <w:bottom w:w="100" w:type="dxa"/>
              <w:right w:w="100" w:type="dxa"/>
            </w:tcMar>
          </w:tcPr>
          <w:p w14:paraId="49A8AB9F" w14:textId="77777777" w:rsidR="00C35511" w:rsidRPr="0036558D" w:rsidRDefault="00000000" w:rsidP="0036558D">
            <w:pPr>
              <w:spacing w:after="240"/>
              <w:jc w:val="center"/>
              <w:rPr>
                <w:rFonts w:asciiTheme="majorHAnsi" w:hAnsiTheme="majorHAnsi" w:cstheme="majorHAnsi"/>
                <w:b/>
                <w:bCs/>
              </w:rPr>
            </w:pPr>
            <w:r w:rsidRPr="0036558D">
              <w:rPr>
                <w:rFonts w:asciiTheme="majorHAnsi" w:hAnsiTheme="majorHAnsi" w:cstheme="majorHAnsi"/>
                <w:b/>
                <w:bCs/>
              </w:rPr>
              <w:t>M&amp;S</w:t>
            </w:r>
          </w:p>
        </w:tc>
        <w:tc>
          <w:tcPr>
            <w:tcW w:w="2160" w:type="dxa"/>
            <w:tcBorders>
              <w:top w:val="single" w:sz="8" w:space="0" w:color="000000"/>
              <w:left w:val="single" w:sz="8" w:space="0" w:color="000000"/>
              <w:bottom w:val="single" w:sz="8" w:space="0" w:color="000000"/>
              <w:right w:val="single" w:sz="8" w:space="0" w:color="000000"/>
            </w:tcBorders>
            <w:shd w:val="clear" w:color="auto" w:fill="C6D9F1"/>
            <w:tcMar>
              <w:top w:w="100" w:type="dxa"/>
              <w:left w:w="100" w:type="dxa"/>
              <w:bottom w:w="100" w:type="dxa"/>
              <w:right w:w="100" w:type="dxa"/>
            </w:tcMar>
          </w:tcPr>
          <w:p w14:paraId="66CCC2B5" w14:textId="77777777" w:rsidR="00C35511" w:rsidRPr="0036558D" w:rsidRDefault="00000000" w:rsidP="0036558D">
            <w:pPr>
              <w:spacing w:after="240"/>
              <w:jc w:val="center"/>
              <w:rPr>
                <w:rFonts w:asciiTheme="majorHAnsi" w:hAnsiTheme="majorHAnsi" w:cstheme="majorHAnsi"/>
                <w:b/>
                <w:bCs/>
              </w:rPr>
            </w:pPr>
            <w:r w:rsidRPr="0036558D">
              <w:rPr>
                <w:rFonts w:asciiTheme="majorHAnsi" w:hAnsiTheme="majorHAnsi" w:cstheme="majorHAnsi"/>
                <w:b/>
                <w:bCs/>
              </w:rPr>
              <w:t>Co-op</w:t>
            </w:r>
          </w:p>
        </w:tc>
      </w:tr>
      <w:tr w:rsidR="00C35511" w:rsidRPr="0036558D" w14:paraId="4527F800"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64A39"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Credential compromise suspected</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A2FD7"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Yes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2A41B7"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Yes</w:t>
            </w:r>
          </w:p>
        </w:tc>
      </w:tr>
      <w:tr w:rsidR="00C35511" w:rsidRPr="0036558D" w14:paraId="0B03147D"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1EEC5"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Use of valid accounts</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11BC15"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Yes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69342B"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Yes</w:t>
            </w:r>
          </w:p>
        </w:tc>
      </w:tr>
      <w:tr w:rsidR="00C35511" w:rsidRPr="0036558D" w14:paraId="4D97AB32"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5C219"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Privilege escalation indicators</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405E1"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Observed</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428FEA"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Observed</w:t>
            </w:r>
          </w:p>
        </w:tc>
      </w:tr>
      <w:tr w:rsidR="00C35511" w:rsidRPr="0036558D" w14:paraId="127A066C"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F76ED"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Lateral movement activity</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D25329"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Extensive</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CD4FC5"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Limited to moderate</w:t>
            </w:r>
          </w:p>
        </w:tc>
      </w:tr>
      <w:tr w:rsidR="00C35511" w:rsidRPr="0036558D" w14:paraId="6FE1726F"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550625"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Access to identity infrastructure</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D99A06"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Likely</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6B744"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Likely</w:t>
            </w:r>
          </w:p>
        </w:tc>
      </w:tr>
      <w:tr w:rsidR="00C35511" w:rsidRPr="0036558D" w14:paraId="071D24FB"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EFF826"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Data collection indicators</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0F8BF8"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Observed</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796B7C"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Observed</w:t>
            </w:r>
          </w:p>
        </w:tc>
      </w:tr>
      <w:tr w:rsidR="00C35511" w:rsidRPr="0036558D" w14:paraId="3D1411C2"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2055C1"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Data exfiltration concerns</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8689CB"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High</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126A3"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Moderate</w:t>
            </w:r>
          </w:p>
        </w:tc>
      </w:tr>
      <w:tr w:rsidR="00C35511" w:rsidRPr="0036558D" w14:paraId="674D1CE4"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A1173"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lastRenderedPageBreak/>
              <w:t>Ransomware deployment impact</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C37AE"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Significant</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0CBF4"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Limited</w:t>
            </w:r>
          </w:p>
        </w:tc>
      </w:tr>
      <w:tr w:rsidR="00C35511" w:rsidRPr="0036558D" w14:paraId="1D565321"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A3B16"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Business service disruption</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996FD1"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Severe</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380EF"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Moderate</w:t>
            </w:r>
          </w:p>
        </w:tc>
      </w:tr>
      <w:tr w:rsidR="00C35511" w:rsidRPr="0036558D" w14:paraId="57AA24F2" w14:textId="77777777">
        <w:trPr>
          <w:trHeight w:val="500"/>
          <w:jc w:val="center"/>
        </w:trPr>
        <w:tc>
          <w:tcPr>
            <w:tcW w:w="3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BFC7AC"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Recovery duration</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5BCB2E"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Extended</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8E784E"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Shorter</w:t>
            </w:r>
          </w:p>
        </w:tc>
      </w:tr>
    </w:tbl>
    <w:p w14:paraId="3558453C"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Table 1: Observed Attack Behaviours Across the M&amp;S and Co-op Incidents</w:t>
      </w:r>
    </w:p>
    <w:p w14:paraId="1664E92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These techniques and table show a well-thought-out and financially driven ransomware attack campaign that has been carried out step-by-step throughout the stages of an attack lifecycle. Mapping of this event according to the MITRE ATT&amp;CK framework explains clearly how the lack of certain security controls allowed the adversary to persist, escalate privileges, move laterally, steal data, and disrupt operations.</w:t>
      </w:r>
    </w:p>
    <w:p w14:paraId="3851A5FB" w14:textId="77777777" w:rsidR="00C35511" w:rsidRPr="0036558D" w:rsidRDefault="00000000" w:rsidP="0036558D">
      <w:pPr>
        <w:pStyle w:val="Heading2"/>
        <w:rPr>
          <w:rFonts w:asciiTheme="majorHAnsi" w:hAnsiTheme="majorHAnsi" w:cstheme="majorHAnsi"/>
        </w:rPr>
      </w:pPr>
      <w:bookmarkStart w:id="7" w:name="_heading=h.172mwyda2g8l" w:colFirst="0" w:colLast="0"/>
      <w:bookmarkEnd w:id="7"/>
      <w:r w:rsidRPr="0036558D">
        <w:rPr>
          <w:rFonts w:asciiTheme="majorHAnsi" w:hAnsiTheme="majorHAnsi" w:cstheme="majorHAnsi"/>
        </w:rPr>
        <w:t xml:space="preserve">2.4 Root Cause and Security Control Failures </w:t>
      </w:r>
    </w:p>
    <w:p w14:paraId="2F59711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An analysis of the causes behind the M&amp;S and Co-op hack is required to determine what made the companies vulnerable to the hack. The section examines the various reasons behind the breach involving humans, technical errors, and organisation, and assesses how inadequate control measures have led to operational problems.</w:t>
      </w:r>
    </w:p>
    <w:p w14:paraId="15545035"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76BFC0F1" wp14:editId="3559E03A">
            <wp:extent cx="5731200" cy="1676400"/>
            <wp:effectExtent l="0" t="0" r="0" b="0"/>
            <wp:docPr id="137643013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1200" cy="1676400"/>
                    </a:xfrm>
                    <a:prstGeom prst="rect">
                      <a:avLst/>
                    </a:prstGeom>
                    <a:ln/>
                  </pic:spPr>
                </pic:pic>
              </a:graphicData>
            </a:graphic>
          </wp:inline>
        </w:drawing>
      </w:r>
    </w:p>
    <w:p w14:paraId="5E95B45A"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3: Root Cause and Security Control Failures</w:t>
      </w:r>
    </w:p>
    <w:p w14:paraId="3034DC4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causes and effects of the security issues that resulted in the ransomware attack are illustrated in figure 3. This diagram demonstrates how the vulnerabilities of the human element, technology, and organisation interacted, enabling the ransomware attack to take place due to the absence of proper authentication, access control, monitoring, and governance.</w:t>
      </w:r>
    </w:p>
    <w:p w14:paraId="76F2713E"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Human and Technical Failures</w:t>
      </w:r>
    </w:p>
    <w:p w14:paraId="4DEF4A3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 xml:space="preserve">The M&amp;S and Co-op cyber breaches have not been a result of one vulnerability; they have been caused by a set of human vulnerabilities and technical deficiencies. According to public sources, the initial breach was associated with social engineering activities designed to steal user credentials (Sharif and Mohammed, 2022). This implies poor training of employees and weak phishing defence. The lack of MFA that is immune to phishing has enabled hackers to log in using stolen credentials. </w:t>
      </w:r>
    </w:p>
    <w:p w14:paraId="6FFFE39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Other technical weaknesses contributed to the incident. Stolen Active Directory credential information is evidence of weak credential storage and poor credential hardening. Having administrative credentials, hackers have gained the ability to escalate their privileges and penetrate even deeper into corporate network infrastructure. Poor detection also reflects poorly on identity monitoring and behavioural analytics.</w:t>
      </w:r>
    </w:p>
    <w:p w14:paraId="46CB2B77" w14:textId="77777777" w:rsidR="00C35511" w:rsidRPr="0036558D" w:rsidRDefault="00C35511" w:rsidP="0036558D">
      <w:pPr>
        <w:rPr>
          <w:rFonts w:asciiTheme="majorHAnsi" w:hAnsiTheme="majorHAnsi" w:cstheme="majorHAnsi"/>
          <w:b/>
          <w:bCs/>
          <w:i/>
          <w:iCs/>
        </w:rPr>
      </w:pPr>
    </w:p>
    <w:p w14:paraId="7B4F47C6" w14:textId="77777777" w:rsidR="00C35511" w:rsidRPr="0036558D" w:rsidRDefault="00C35511" w:rsidP="0036558D">
      <w:pPr>
        <w:rPr>
          <w:rFonts w:asciiTheme="majorHAnsi" w:hAnsiTheme="majorHAnsi" w:cstheme="majorHAnsi"/>
          <w:b/>
          <w:bCs/>
          <w:i/>
          <w:iCs/>
        </w:rPr>
      </w:pPr>
    </w:p>
    <w:p w14:paraId="2B816513"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Organisational and Governance Weaknesses</w:t>
      </w:r>
    </w:p>
    <w:p w14:paraId="1E0F645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Organisational deficiencies played a big part in enabling the attack to evolve as such. Deficiencies in network segmentation resulted in lateral movement, hence expanding the scope of disruption. Access governance inadequacies and elevated privileges negated any efforts to achieve least-privilege practices. Moreover, the occurrences indicate vulnerabilities in security governance, insufficient adherence to security policies, and inadequate privileged access management.</w:t>
      </w:r>
    </w:p>
    <w:p w14:paraId="4F8940A9"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Lack of adequate incident response preparedness is also evident from the incidents. Inadequate containment efforts provided opportunities for attackers to be persistent and deploy ransomware. This means that all these inadequacies contributed to the failure of the defence-in-depth strategy, which implies multiple levels of preventive, detective, and responsive controls failing at once (</w:t>
      </w:r>
      <w:proofErr w:type="spellStart"/>
      <w:r w:rsidRPr="0036558D">
        <w:rPr>
          <w:rFonts w:asciiTheme="majorHAnsi" w:hAnsiTheme="majorHAnsi" w:cstheme="majorHAnsi"/>
        </w:rPr>
        <w:t>Roshanaei</w:t>
      </w:r>
      <w:proofErr w:type="spellEnd"/>
      <w:r w:rsidRPr="0036558D">
        <w:rPr>
          <w:rFonts w:asciiTheme="majorHAnsi" w:hAnsiTheme="majorHAnsi" w:cstheme="majorHAnsi"/>
        </w:rPr>
        <w:t xml:space="preserve"> </w:t>
      </w:r>
      <w:r w:rsidRPr="0036558D">
        <w:rPr>
          <w:rFonts w:asciiTheme="majorHAnsi" w:hAnsiTheme="majorHAnsi" w:cstheme="majorHAnsi"/>
          <w:i/>
          <w:iCs/>
        </w:rPr>
        <w:t>et al</w:t>
      </w:r>
      <w:r w:rsidRPr="0036558D">
        <w:rPr>
          <w:rFonts w:asciiTheme="majorHAnsi" w:hAnsiTheme="majorHAnsi" w:cstheme="majorHAnsi"/>
        </w:rPr>
        <w:t>. 2024). Therefore, the occurrences serve to emphasise the significance of security governance, identity protection, monitoring, and fast containment capability in mitigating the effects of modern ransomware attacks.</w:t>
      </w:r>
    </w:p>
    <w:p w14:paraId="5F82722D" w14:textId="77777777" w:rsidR="00C35511" w:rsidRPr="0036558D" w:rsidRDefault="00000000" w:rsidP="0036558D">
      <w:pPr>
        <w:pStyle w:val="Heading2"/>
        <w:rPr>
          <w:rFonts w:asciiTheme="majorHAnsi" w:hAnsiTheme="majorHAnsi" w:cstheme="majorHAnsi"/>
        </w:rPr>
      </w:pPr>
      <w:bookmarkStart w:id="8" w:name="_heading=h.rplhw5u4v6ei" w:colFirst="0" w:colLast="0"/>
      <w:bookmarkEnd w:id="8"/>
      <w:r w:rsidRPr="0036558D">
        <w:rPr>
          <w:rFonts w:asciiTheme="majorHAnsi" w:hAnsiTheme="majorHAnsi" w:cstheme="majorHAnsi"/>
        </w:rPr>
        <w:t xml:space="preserve">2.5 Threat Actor Profile and Attack Motivation </w:t>
      </w:r>
    </w:p>
    <w:p w14:paraId="2A631FEF"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A review of the characteristics and motives of the threat actor is important to understanding the nature of the campaign. The following analysis discusses the potential profile of the </w:t>
      </w:r>
      <w:r w:rsidRPr="0036558D">
        <w:rPr>
          <w:rFonts w:asciiTheme="majorHAnsi" w:hAnsiTheme="majorHAnsi" w:cstheme="majorHAnsi"/>
        </w:rPr>
        <w:lastRenderedPageBreak/>
        <w:t>attacker, his capabilities and behavioural tendencies in relation to the attack, as well as the motivations behind the attacks on big retailers.</w:t>
      </w:r>
    </w:p>
    <w:p w14:paraId="37CCE9C5" w14:textId="77777777" w:rsidR="00C35511" w:rsidRPr="0036558D" w:rsidRDefault="00000000" w:rsidP="0036558D">
      <w:pPr>
        <w:rPr>
          <w:rFonts w:asciiTheme="majorHAnsi" w:hAnsiTheme="majorHAnsi" w:cstheme="majorHAnsi"/>
        </w:rPr>
      </w:pPr>
      <w:r w:rsidRPr="0036558D">
        <w:rPr>
          <w:rFonts w:asciiTheme="majorHAnsi" w:hAnsiTheme="majorHAnsi" w:cstheme="majorHAnsi"/>
          <w:b/>
          <w:bCs/>
          <w:i/>
          <w:iCs/>
        </w:rPr>
        <w:t>Threat Actor Characteristics</w:t>
      </w:r>
    </w:p>
    <w:p w14:paraId="4B30EB2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Evidence collected points towards a financially motivated cybercriminal group, which is proficient operationally. The industry reports have correlated the activity with the cyber actors affiliated with Scattered Spider and the </w:t>
      </w:r>
      <w:proofErr w:type="spellStart"/>
      <w:r w:rsidRPr="0036558D">
        <w:rPr>
          <w:rFonts w:asciiTheme="majorHAnsi" w:hAnsiTheme="majorHAnsi" w:cstheme="majorHAnsi"/>
        </w:rPr>
        <w:t>DragonForce</w:t>
      </w:r>
      <w:proofErr w:type="spellEnd"/>
      <w:r w:rsidRPr="0036558D">
        <w:rPr>
          <w:rFonts w:asciiTheme="majorHAnsi" w:hAnsiTheme="majorHAnsi" w:cstheme="majorHAnsi"/>
        </w:rPr>
        <w:t xml:space="preserve"> ransomware family. The attribution, however, should be seen as an educated guess rather than an absolute certainty (Chowdhury </w:t>
      </w:r>
      <w:r w:rsidRPr="0036558D">
        <w:rPr>
          <w:rFonts w:asciiTheme="majorHAnsi" w:hAnsiTheme="majorHAnsi" w:cstheme="majorHAnsi"/>
          <w:i/>
          <w:iCs/>
        </w:rPr>
        <w:t>et al</w:t>
      </w:r>
      <w:r w:rsidRPr="0036558D">
        <w:rPr>
          <w:rFonts w:asciiTheme="majorHAnsi" w:hAnsiTheme="majorHAnsi" w:cstheme="majorHAnsi"/>
        </w:rPr>
        <w:t xml:space="preserve">. 2025). It was evident from the attacks that the attackers had skills in such things as social engineering, credential harvesting, privilege escalation, and lateral movement in the enterprise environment. </w:t>
      </w:r>
    </w:p>
    <w:p w14:paraId="2EBA270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campaign possessed some features that are typical for organised ransomware gangs. Such features are the usage of harvested credentials, focusing on the identity infrastructure, movement within interconnected systems, and disrupting business services at once. The capability to penetrate the authentication system and stay there demonstrates the attackers' advanced planning. Additionally, it seems that they had the capability to adjust to new targets, which implies access to specialised tooling, procedures, and infrastructure. The attacks occurred at a time of busy retail trading. </w:t>
      </w:r>
    </w:p>
    <w:p w14:paraId="3678656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Retail businesses are most vulnerable during such times as their disruption may cause both financial and reputational pressure.</w:t>
      </w:r>
    </w:p>
    <w:p w14:paraId="43D5FD4D"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Financial Motivation and Strategic Objectives</w:t>
      </w:r>
    </w:p>
    <w:p w14:paraId="03633C4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main goal of the attack was financial extortion. The current practice in modern ransomware operations involves using the double extortion approach, where cybercriminals first steal the sensitive data and then use encryption to apply additional pressure on the target. Information about data leaks is consistent with this approach and suggests that stealing data was used as an attempt to make the ransom demands more reasonable. In addition to receiving ransoms, there is a possibility that the criminals planned to sell the stolen credentials and data on criminal marketplaces. Disruption of payment services, online ordering systems, and retail systems added more costs for recovery and therefore made the victim even more interested in negotiating. Despite this being the most reasonable motive for the attack, other motives should be considered. </w:t>
      </w:r>
    </w:p>
    <w:p w14:paraId="110B55D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This could affect customer trust, invite regulatory attention, and raise future business costs. Hence, this incident has been attacked not just from a technological perspective, but also from that of organisational assurance and brand reputation. Attribution must be handled carefully, however (Triplett, 2022). Information available to the public is incomplete, and cybercrime gangs frequently use shared infrastructure and tools. Definitive attribution would need forensic evidence that is not publicly available. But based on tactics used and level of sophistication involved, there is no doubt about the campaign being carried out by a financially motivated threat actor.</w:t>
      </w:r>
    </w:p>
    <w:p w14:paraId="7AE80259" w14:textId="77777777" w:rsidR="00C35511" w:rsidRPr="0036558D" w:rsidRDefault="00000000" w:rsidP="0036558D">
      <w:pPr>
        <w:pStyle w:val="Heading2"/>
        <w:rPr>
          <w:rFonts w:asciiTheme="majorHAnsi" w:hAnsiTheme="majorHAnsi" w:cstheme="majorHAnsi"/>
        </w:rPr>
      </w:pPr>
      <w:bookmarkStart w:id="9" w:name="_heading=h.dr1me1k2rf96" w:colFirst="0" w:colLast="0"/>
      <w:bookmarkEnd w:id="9"/>
      <w:r w:rsidRPr="0036558D">
        <w:rPr>
          <w:rFonts w:asciiTheme="majorHAnsi" w:hAnsiTheme="majorHAnsi" w:cstheme="majorHAnsi"/>
        </w:rPr>
        <w:t xml:space="preserve">2.6 Detection and Incident Response Analysis </w:t>
      </w:r>
    </w:p>
    <w:p w14:paraId="31AEFED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Detection and response are vital to ensure that the damage caused by the ransomware attacks is minimised. This part analyses the monitoring, alerting, and response measures that were used in the M&amp;S and Co-op attacks, highlights major weaknesses of visibility, and considers how timely containment affected the outcome.</w:t>
      </w:r>
    </w:p>
    <w:p w14:paraId="2173C80A"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Detection Gaps and Monitoring Weaknesses</w:t>
      </w:r>
    </w:p>
    <w:p w14:paraId="71CDEF1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events demonstrate serious gaps in detection mechanisms. The first breach is reported to have gone undetected for some time, which means there was inadequate visibility into authentication processes and suspicious identities. The presence of authentic identities meant the activities could be hard to spot amidst typical users' actions without using </w:t>
      </w:r>
      <w:proofErr w:type="spellStart"/>
      <w:r w:rsidRPr="0036558D">
        <w:rPr>
          <w:rFonts w:asciiTheme="majorHAnsi" w:hAnsiTheme="majorHAnsi" w:cstheme="majorHAnsi"/>
        </w:rPr>
        <w:t>behavioral</w:t>
      </w:r>
      <w:proofErr w:type="spellEnd"/>
      <w:r w:rsidRPr="0036558D">
        <w:rPr>
          <w:rFonts w:asciiTheme="majorHAnsi" w:hAnsiTheme="majorHAnsi" w:cstheme="majorHAnsi"/>
        </w:rPr>
        <w:t xml:space="preserve"> analysis and continuous identity monitoring. Further information suggests that there might be deficiencies in logging and event correlation. Proper Security Information and Event Management (SIEM) solutions require detailed telemetry data from authentication systems, endpoint devices, and network appliances. Apparently, the hackers were able to engage in credential access, reconnaissance, and lateral movement before proper containment steps were taken, meaning that monitoring mechanisms available to the company did not perform well enough.</w:t>
      </w:r>
    </w:p>
    <w:p w14:paraId="045B1051"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Incident Response Effectiveness</w:t>
      </w:r>
    </w:p>
    <w:p w14:paraId="348DB2B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reaction measures undertaken by the organizations under attack were marked by advantages and disadvantages. M&amp;S, for example, was able to isolate systems, stop the affected services, and use incident response services from outside, measures that helped mitigate further harm. On the other hand, the way these measures were executed implies that there was some delay because the containment was carried out when the perpetrators </w:t>
      </w:r>
      <w:r w:rsidRPr="0036558D">
        <w:rPr>
          <w:rFonts w:asciiTheme="majorHAnsi" w:hAnsiTheme="majorHAnsi" w:cstheme="majorHAnsi"/>
        </w:rPr>
        <w:lastRenderedPageBreak/>
        <w:t>were already deep into the system and had used the ransomware. Co-op is reported to be faster in identifying the problem and isolating its systems early on in the lifecycle of the attack. It is clear that this has led to less disruption and minimised the impact of the incident.</w:t>
      </w:r>
    </w:p>
    <w:p w14:paraId="3B0EE928" w14:textId="77777777" w:rsidR="00C35511" w:rsidRPr="0036558D" w:rsidRDefault="00000000" w:rsidP="0036558D">
      <w:pPr>
        <w:pStyle w:val="Heading2"/>
        <w:rPr>
          <w:rFonts w:asciiTheme="majorHAnsi" w:hAnsiTheme="majorHAnsi" w:cstheme="majorHAnsi"/>
        </w:rPr>
      </w:pPr>
      <w:bookmarkStart w:id="10" w:name="_heading=h.3mu63gd1ry0w" w:colFirst="0" w:colLast="0"/>
      <w:bookmarkEnd w:id="10"/>
      <w:r w:rsidRPr="0036558D">
        <w:rPr>
          <w:rFonts w:asciiTheme="majorHAnsi" w:hAnsiTheme="majorHAnsi" w:cstheme="majorHAnsi"/>
        </w:rPr>
        <w:t xml:space="preserve">2.7 Strategic Recommendations </w:t>
      </w:r>
    </w:p>
    <w:p w14:paraId="46137DF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M&amp;S and Co-op cyber incidents demonstrate that resilience against modern ransomware campaigns requires coordinated improvements in identity security, network architecture, monitoring, incident response, and organisational governance. The following recommendations are prioritised according to the weaknesses identified during the strategic analysis.</w:t>
      </w:r>
    </w:p>
    <w:p w14:paraId="74D47625"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Strengthen Identity and Access Security</w:t>
      </w:r>
    </w:p>
    <w:p w14:paraId="15C56E9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Compromised identity was one of the main drivers of this campaign; thus, phishing-resistant multi-factor authentication is highly recommended for privileged, administrative, and remote access accounts. The use of hardware FIDO2 authentication can substantially decrease the effectiveness of phishing attacks since authentication will not be possible using only stolen passwords (</w:t>
      </w:r>
      <w:proofErr w:type="spellStart"/>
      <w:r w:rsidRPr="0036558D">
        <w:rPr>
          <w:rFonts w:asciiTheme="majorHAnsi" w:hAnsiTheme="majorHAnsi" w:cstheme="majorHAnsi"/>
        </w:rPr>
        <w:t>Bharadiya</w:t>
      </w:r>
      <w:proofErr w:type="spellEnd"/>
      <w:r w:rsidRPr="0036558D">
        <w:rPr>
          <w:rFonts w:asciiTheme="majorHAnsi" w:hAnsiTheme="majorHAnsi" w:cstheme="majorHAnsi"/>
        </w:rPr>
        <w:t>, 2023). Moreover, privileged access management must be adopted for controlling administrative sessions and least privilege.</w:t>
      </w:r>
    </w:p>
    <w:p w14:paraId="52306827"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Improve Network Segmentation and Zero-Trust Controls</w:t>
      </w:r>
    </w:p>
    <w:p w14:paraId="26187D15"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disruption faced by M&amp;S suggests that there was an ability for hackers to traverse from one system to another within their network connections. Network segmentation needs to be improved in order to keep the payment systems, retail services, corporate network, and other important infrastructure separate. The adoption of Zero Trust architecture would make sure that every access request is verified with regards to identity, device status, and contextual risk factors instead of trusting the internal network.</w:t>
      </w:r>
    </w:p>
    <w:p w14:paraId="14834B19"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Enhance Detection, Logging, and Monitoring</w:t>
      </w:r>
    </w:p>
    <w:p w14:paraId="0BE4C7F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fact that there was a delay in detection meant that the attackers could operate for an extended period of time. The Security Information and Event Management system (SIEM) ought to be centrally deployed for collecting in real time all of the authentication, endpoint, Active Directory, and network telemetry. The Endpoint Detection and Response (EDR) systems should be properly configured for detecting credential dumping, privilege escalation, unusual remote access activities, and activities related to ransomware.</w:t>
      </w:r>
    </w:p>
    <w:p w14:paraId="62D805F3"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Strengthen Incident Response and Recovery Capability</w:t>
      </w:r>
    </w:p>
    <w:p w14:paraId="1469367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These incidents demonstrate the need for effective containment and recovery mechanisms. Organisations need to have documented plans in relation to ransomware and undertake tabletop exercises with representatives from various departments. Backups that are offline and immutable are essential and should be regularly tested for their effectiveness. Effective escalation policies and existing relations with third-party incident response providers would further enhance the process.</w:t>
      </w:r>
    </w:p>
    <w:p w14:paraId="235B1806"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Develop Security Culture and Governance</w:t>
      </w:r>
    </w:p>
    <w:p w14:paraId="78B558C5"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human element played a role in the first compromise; therefore, security awareness should be considered an ongoing programme within the organisation as opposed to a once-off effort. Role-based training, phishing simulations, and coaching of vulnerable users could go a long way in increasing resilience against social engineering attempts (Kaur and Ramkumar, 2022). At a governance level, periodic security audits, privileged access reviews, and reporting on cyber risks to the executives need to be incorporated into organisational processes.</w:t>
      </w:r>
    </w:p>
    <w:p w14:paraId="601B7F6A" w14:textId="77777777" w:rsidR="00C35511" w:rsidRPr="0036558D" w:rsidRDefault="00000000" w:rsidP="0036558D">
      <w:pPr>
        <w:pStyle w:val="Heading2"/>
        <w:rPr>
          <w:rFonts w:asciiTheme="majorHAnsi" w:hAnsiTheme="majorHAnsi" w:cstheme="majorHAnsi"/>
        </w:rPr>
      </w:pPr>
      <w:bookmarkStart w:id="11" w:name="_heading=h.pj58tys9r8yq" w:colFirst="0" w:colLast="0"/>
      <w:bookmarkEnd w:id="11"/>
      <w:r w:rsidRPr="0036558D">
        <w:rPr>
          <w:rFonts w:asciiTheme="majorHAnsi" w:hAnsiTheme="majorHAnsi" w:cstheme="majorHAnsi"/>
        </w:rPr>
        <w:t xml:space="preserve">2.8 Summary </w:t>
      </w:r>
    </w:p>
    <w:p w14:paraId="19F3FD7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strategic analysis of </w:t>
      </w:r>
      <w:proofErr w:type="spellStart"/>
      <w:r w:rsidRPr="0036558D">
        <w:rPr>
          <w:rFonts w:asciiTheme="majorHAnsi" w:hAnsiTheme="majorHAnsi" w:cstheme="majorHAnsi"/>
        </w:rPr>
        <w:t>cyber attacks</w:t>
      </w:r>
      <w:proofErr w:type="spellEnd"/>
      <w:r w:rsidRPr="0036558D">
        <w:rPr>
          <w:rFonts w:asciiTheme="majorHAnsi" w:hAnsiTheme="majorHAnsi" w:cstheme="majorHAnsi"/>
        </w:rPr>
        <w:t xml:space="preserve"> on M&amp;S and Co-op has highlighted the ways through which a ransomware-based operation aimed at financial gains can exploit the vulnerabilities in terms of humans, technology, and organisation to disrupt operations. When mapped against the MITRE ATT&amp;CK framework, it becomes clear that there was a systematic approach from social engineering for initial access through to gaining credentials, escalation of privileges, lateral movement, stealing of data, and execution of ransomware. The analysis brought out key gaps in identity management, network segregation, monitoring, and incident response.</w:t>
      </w:r>
    </w:p>
    <w:p w14:paraId="404FB70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analysis revealed that different levels of detection speed and containment efficacy played a role in how disrupted each organisation became as well. Such insights further support the significance of security defence-in-depth policies, which include effective identity management, Zero-Trust networking, continuous monitoring, swift incident response, robust backup systems, and security awareness training programs. Utilising such an approach will certainly enhance organisational resilience and minimise the threat of any further ransomware attacks on big retail businesses.</w:t>
      </w:r>
    </w:p>
    <w:p w14:paraId="4D2CE6CD" w14:textId="77777777" w:rsidR="00C35511" w:rsidRPr="0036558D" w:rsidRDefault="00000000" w:rsidP="0036558D">
      <w:pPr>
        <w:pStyle w:val="Heading1"/>
        <w:rPr>
          <w:rFonts w:asciiTheme="majorHAnsi" w:hAnsiTheme="majorHAnsi" w:cstheme="majorHAnsi"/>
        </w:rPr>
      </w:pPr>
      <w:bookmarkStart w:id="12" w:name="_heading=h.svjunfwur60d" w:colFirst="0" w:colLast="0"/>
      <w:bookmarkEnd w:id="12"/>
      <w:r w:rsidRPr="0036558D">
        <w:rPr>
          <w:rFonts w:asciiTheme="majorHAnsi" w:hAnsiTheme="majorHAnsi" w:cstheme="majorHAnsi"/>
        </w:rPr>
        <w:br w:type="page"/>
      </w:r>
    </w:p>
    <w:p w14:paraId="4E9F11DA" w14:textId="77777777" w:rsidR="00C35511" w:rsidRPr="0036558D" w:rsidRDefault="00000000" w:rsidP="0036558D">
      <w:pPr>
        <w:pStyle w:val="Heading1"/>
        <w:rPr>
          <w:rFonts w:asciiTheme="majorHAnsi" w:hAnsiTheme="majorHAnsi" w:cstheme="majorHAnsi"/>
        </w:rPr>
      </w:pPr>
      <w:bookmarkStart w:id="13" w:name="_heading=h.wi7xz6ohi2kd" w:colFirst="0" w:colLast="0"/>
      <w:bookmarkEnd w:id="13"/>
      <w:r w:rsidRPr="0036558D">
        <w:rPr>
          <w:rFonts w:asciiTheme="majorHAnsi" w:hAnsiTheme="majorHAnsi" w:cstheme="majorHAnsi"/>
        </w:rPr>
        <w:lastRenderedPageBreak/>
        <w:t xml:space="preserve">3. Task 2: Red Team Engagement – ABCD Ltd Penetration Testing </w:t>
      </w:r>
    </w:p>
    <w:p w14:paraId="477CA7B2" w14:textId="77777777" w:rsidR="00C35511" w:rsidRPr="0036558D" w:rsidRDefault="00000000" w:rsidP="0036558D">
      <w:pPr>
        <w:pStyle w:val="Heading2"/>
        <w:rPr>
          <w:rFonts w:asciiTheme="majorHAnsi" w:hAnsiTheme="majorHAnsi" w:cstheme="majorHAnsi"/>
        </w:rPr>
      </w:pPr>
      <w:bookmarkStart w:id="14" w:name="_heading=h.p2kwmth4afea" w:colFirst="0" w:colLast="0"/>
      <w:bookmarkEnd w:id="14"/>
      <w:r w:rsidRPr="0036558D">
        <w:rPr>
          <w:rFonts w:asciiTheme="majorHAnsi" w:hAnsiTheme="majorHAnsi" w:cstheme="majorHAnsi"/>
        </w:rPr>
        <w:t xml:space="preserve">3.1 Executive Summary </w:t>
      </w:r>
    </w:p>
    <w:p w14:paraId="143A26CB"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Red Team engagement aims to assess the security resilience of the organisation by allowing a controlled engagement with offensive security testing in a laboratory setting. A graduated attack strategy is used to mimic realistic attacks and full adherence to accepted ethical hacking principles and assessment criteria. Extensive reconnaissance efforts are undertaken to find active hosts, vulnerable services, operating systems and target vectors throughout the target infrastructure. Vulnerability assessment techniques are then used to confirm exploitable vulnerabilities on web applications, Windows services and Active Directory components. </w:t>
      </w:r>
    </w:p>
    <w:p w14:paraId="15EEE60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Three independent exploits are performed on different virtual machines and attack surfaces, in order to showcase various means of attacking a system unauthorisedly. The first exploitation scenario involves exploiting a web application with SQL injection to steal sensitive information from the database. The second exploitation scenario is using controlled remote code execution techniques to validate the </w:t>
      </w:r>
      <w:proofErr w:type="spellStart"/>
      <w:r w:rsidRPr="0036558D">
        <w:rPr>
          <w:rFonts w:asciiTheme="majorHAnsi" w:hAnsiTheme="majorHAnsi" w:cstheme="majorHAnsi"/>
        </w:rPr>
        <w:t>EternalBlue</w:t>
      </w:r>
      <w:proofErr w:type="spellEnd"/>
      <w:r w:rsidRPr="0036558D">
        <w:rPr>
          <w:rFonts w:asciiTheme="majorHAnsi" w:hAnsiTheme="majorHAnsi" w:cstheme="majorHAnsi"/>
        </w:rPr>
        <w:t xml:space="preserve"> vulnerability in the Windows Server Message Block service. The third exploit scenario conducts a legitimate LDAP enumeration to be able to discover users, domain objects and organisational security configurations in Active Directory. To ensure the integrity and technical traceability of the assessment, evidence of successful exploitation is carefully collected by screenshots, command outputs and security artefacts.</w:t>
      </w:r>
    </w:p>
    <w:p w14:paraId="08FB81C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effects on operations of each exploit are evaluated to determine possible risks to the assets of the organisation with respect to their confidentiality, integrity and availability. At the same time, detection capabilities are evaluated throughout the engagement to see if the monitoring controls are effective at detecting simulated adversary activity. There are numerous gaps identified from endpoint monitoring, web application logging, network visibility and Active Directory security auditing mechanisms. </w:t>
      </w:r>
    </w:p>
    <w:p w14:paraId="33AF2E20"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identified security vulnerabilities are then evaluated to identify potential areas for improvement in terms of enhancing an organisation's ability to defend against more advanced attacks. Suitable mitigation measures are recommended, such as vulnerability remediation, multi-factor authentication, network segmentation, endpoint detection and continuous security monitoring improvements. Security Offensive Tools that have been </w:t>
      </w:r>
      <w:r w:rsidRPr="0036558D">
        <w:rPr>
          <w:rFonts w:asciiTheme="majorHAnsi" w:hAnsiTheme="majorHAnsi" w:cstheme="majorHAnsi"/>
        </w:rPr>
        <w:lastRenderedPageBreak/>
        <w:t>recognised by the industry are used appropriately to facilitate reconnaissance, exploitation and directory service assessment in compliance with ethical and operational standards.</w:t>
      </w:r>
    </w:p>
    <w:p w14:paraId="6289523F" w14:textId="77777777" w:rsidR="00C35511" w:rsidRPr="0036558D" w:rsidRDefault="00000000" w:rsidP="0036558D">
      <w:pPr>
        <w:pStyle w:val="Heading2"/>
        <w:rPr>
          <w:rFonts w:asciiTheme="majorHAnsi" w:hAnsiTheme="majorHAnsi" w:cstheme="majorHAnsi"/>
        </w:rPr>
      </w:pPr>
      <w:bookmarkStart w:id="15" w:name="_heading=h.wkrxxgnzru0i" w:colFirst="0" w:colLast="0"/>
      <w:bookmarkEnd w:id="15"/>
      <w:r w:rsidRPr="0036558D">
        <w:rPr>
          <w:rFonts w:asciiTheme="majorHAnsi" w:hAnsiTheme="majorHAnsi" w:cstheme="majorHAnsi"/>
        </w:rPr>
        <w:br w:type="page"/>
      </w:r>
    </w:p>
    <w:p w14:paraId="492525CF" w14:textId="77777777" w:rsidR="00C35511" w:rsidRPr="0036558D" w:rsidRDefault="00000000" w:rsidP="0036558D">
      <w:pPr>
        <w:pStyle w:val="Heading2"/>
        <w:rPr>
          <w:rFonts w:asciiTheme="majorHAnsi" w:hAnsiTheme="majorHAnsi" w:cstheme="majorHAnsi"/>
        </w:rPr>
      </w:pPr>
      <w:bookmarkStart w:id="16" w:name="_heading=h.pkfh42vp2d6y" w:colFirst="0" w:colLast="0"/>
      <w:bookmarkEnd w:id="16"/>
      <w:r w:rsidRPr="0036558D">
        <w:rPr>
          <w:rFonts w:asciiTheme="majorHAnsi" w:hAnsiTheme="majorHAnsi" w:cstheme="majorHAnsi"/>
        </w:rPr>
        <w:lastRenderedPageBreak/>
        <w:t>3.2 Introduction to the Engagement</w:t>
      </w:r>
    </w:p>
    <w:p w14:paraId="312857C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Red Team engagement is designed to test the effectiveness of the security controls in place in the organisation by simulating an adversary attack in a controlled, laboratory setting. Realistic attack scenarios are reproduced to evaluate the resistance of network infrastructure, operating systems and Web applications to current threats. Systematic reconnaissance, vulnerability assessment, exploitation, and post-exploitation are carried out, with strict adherence to the Rules of Engagement.</w:t>
      </w:r>
    </w:p>
    <w:p w14:paraId="73BB73FB"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Three separate exploits are carried out on three different attack surfaces to show that weaknesses in web applications, network services and operating systems can be exploited by threat actors. All security observations across each assessment phase are recorded, thus proving the successful exploitation and determining the security weaknesses in defensive controls. The evidence can be used to perform an in-depth assessment of an organisation's exposure and attack viability. The overall assessment is carried out to offer practical knowledge about offensive security methods and defensive improvements.</w:t>
      </w:r>
    </w:p>
    <w:p w14:paraId="795D6176" w14:textId="77777777" w:rsidR="00C35511" w:rsidRPr="0036558D" w:rsidRDefault="00000000" w:rsidP="0036558D">
      <w:pPr>
        <w:pStyle w:val="Heading2"/>
        <w:rPr>
          <w:rFonts w:asciiTheme="majorHAnsi" w:hAnsiTheme="majorHAnsi" w:cstheme="majorHAnsi"/>
        </w:rPr>
      </w:pPr>
      <w:bookmarkStart w:id="17" w:name="_heading=h.pvwhcpmsfcj1" w:colFirst="0" w:colLast="0"/>
      <w:bookmarkEnd w:id="17"/>
      <w:r w:rsidRPr="0036558D">
        <w:rPr>
          <w:rFonts w:asciiTheme="majorHAnsi" w:hAnsiTheme="majorHAnsi" w:cstheme="majorHAnsi"/>
        </w:rPr>
        <w:t>3.3 Rules of Engagement (</w:t>
      </w:r>
      <w:proofErr w:type="spellStart"/>
      <w:r w:rsidRPr="0036558D">
        <w:rPr>
          <w:rFonts w:asciiTheme="majorHAnsi" w:hAnsiTheme="majorHAnsi" w:cstheme="majorHAnsi"/>
        </w:rPr>
        <w:t>RoE</w:t>
      </w:r>
      <w:proofErr w:type="spellEnd"/>
      <w:r w:rsidRPr="0036558D">
        <w:rPr>
          <w:rFonts w:asciiTheme="majorHAnsi" w:hAnsiTheme="majorHAnsi" w:cstheme="majorHAnsi"/>
        </w:rPr>
        <w:t>)</w:t>
      </w:r>
    </w:p>
    <w:p w14:paraId="0E70E0AF"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Rules of Engagement are agreed for the Red Team engagement to ensure that all assessment activities are authorised, controlled and ethical. Only a virtual lab setup (Kali Linux, </w:t>
      </w:r>
      <w:proofErr w:type="spellStart"/>
      <w:r w:rsidRPr="0036558D">
        <w:rPr>
          <w:rFonts w:asciiTheme="majorHAnsi" w:hAnsiTheme="majorHAnsi" w:cstheme="majorHAnsi"/>
        </w:rPr>
        <w:t>Metasploitable</w:t>
      </w:r>
      <w:proofErr w:type="spellEnd"/>
      <w:r w:rsidRPr="0036558D">
        <w:rPr>
          <w:rFonts w:asciiTheme="majorHAnsi" w:hAnsiTheme="majorHAnsi" w:cstheme="majorHAnsi"/>
        </w:rPr>
        <w:t xml:space="preserve"> 2 and the Windows target system) is used for testing activities. The scope of assessment does not include any external networks, production infrastructure or unauthorised systems (Maurer </w:t>
      </w:r>
      <w:r w:rsidRPr="0036558D">
        <w:rPr>
          <w:rFonts w:asciiTheme="majorHAnsi" w:hAnsiTheme="majorHAnsi" w:cstheme="majorHAnsi"/>
          <w:i/>
          <w:iCs/>
        </w:rPr>
        <w:t>et al.</w:t>
      </w:r>
      <w:r w:rsidRPr="0036558D">
        <w:rPr>
          <w:rFonts w:asciiTheme="majorHAnsi" w:hAnsiTheme="majorHAnsi" w:cstheme="majorHAnsi"/>
        </w:rPr>
        <w:t xml:space="preserve"> 2023). Only target machines approved for the reconnaissance, vulnerability assessment, exploitation, and evidence collection activities are targeted. Destructive operations that can result in permanent denial of services, loss of data or irreversible system damage are expressly forbidden during the engagement. </w:t>
      </w:r>
    </w:p>
    <w:p w14:paraId="1B6853F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There is no weaponised malware, persistence, or uncontrolled payload execution in the laboratory environment. Exploitation is restricted to the demonstration of authorised proof-of-concept access without affecting the integrity of the assessment and/or the operation of the systems. Any sensitive information that is gathered as a result of testing is maintained confidential and only for academic documentation. A detailed log of activities, screenshots of problematic activities and outputs of commands are captured to ensure assessment traceability and evidential integrity. The engagement is terminated immediately after successful validation of each exploit</w:t>
      </w:r>
    </w:p>
    <w:p w14:paraId="0C693180" w14:textId="77777777" w:rsidR="00C35511" w:rsidRPr="0036558D" w:rsidRDefault="00000000" w:rsidP="0036558D">
      <w:pPr>
        <w:pStyle w:val="Heading2"/>
        <w:rPr>
          <w:rFonts w:asciiTheme="majorHAnsi" w:hAnsiTheme="majorHAnsi" w:cstheme="majorHAnsi"/>
        </w:rPr>
      </w:pPr>
      <w:bookmarkStart w:id="18" w:name="_heading=h.l2fy4jyve83b" w:colFirst="0" w:colLast="0"/>
      <w:bookmarkEnd w:id="18"/>
      <w:r w:rsidRPr="0036558D">
        <w:rPr>
          <w:rFonts w:asciiTheme="majorHAnsi" w:hAnsiTheme="majorHAnsi" w:cstheme="majorHAnsi"/>
        </w:rPr>
        <w:lastRenderedPageBreak/>
        <w:t xml:space="preserve">3.4 Threat Emulation Plan </w:t>
      </w:r>
    </w:p>
    <w:p w14:paraId="3A9CB30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Purpose of the threat emulation plan is to emulate an attacker's actions in the manner of a structured </w:t>
      </w:r>
      <w:proofErr w:type="spellStart"/>
      <w:r w:rsidRPr="0036558D">
        <w:rPr>
          <w:rFonts w:asciiTheme="majorHAnsi" w:hAnsiTheme="majorHAnsi" w:cstheme="majorHAnsi"/>
        </w:rPr>
        <w:t>cyber attack</w:t>
      </w:r>
      <w:proofErr w:type="spellEnd"/>
      <w:r w:rsidRPr="0036558D">
        <w:rPr>
          <w:rFonts w:asciiTheme="majorHAnsi" w:hAnsiTheme="majorHAnsi" w:cstheme="majorHAnsi"/>
        </w:rPr>
        <w:t xml:space="preserve"> lifecycle in the authorised laboratory environment (Holm and Sommestad, 2025. Adversary activities begin with reconnaissance to determine active hosts, exposed services, operating systems and attack vectors on the target infrastructure. </w:t>
      </w:r>
    </w:p>
    <w:p w14:paraId="288CB783"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Objectives</w:t>
      </w:r>
    </w:p>
    <w:p w14:paraId="3968D742" w14:textId="77777777" w:rsidR="00C35511" w:rsidRPr="0036558D" w:rsidRDefault="00000000" w:rsidP="0036558D">
      <w:pPr>
        <w:numPr>
          <w:ilvl w:val="0"/>
          <w:numId w:val="6"/>
        </w:numPr>
        <w:rPr>
          <w:rFonts w:asciiTheme="majorHAnsi" w:hAnsiTheme="majorHAnsi" w:cstheme="majorHAnsi"/>
        </w:rPr>
      </w:pPr>
      <w:r w:rsidRPr="0036558D">
        <w:rPr>
          <w:rFonts w:asciiTheme="majorHAnsi" w:hAnsiTheme="majorHAnsi" w:cstheme="majorHAnsi"/>
        </w:rPr>
        <w:t>To verify vulnerabilities at various virtual machines and attack surfaces.</w:t>
      </w:r>
    </w:p>
    <w:p w14:paraId="0616E170" w14:textId="77777777" w:rsidR="00C35511" w:rsidRPr="0036558D" w:rsidRDefault="00000000" w:rsidP="0036558D">
      <w:pPr>
        <w:numPr>
          <w:ilvl w:val="0"/>
          <w:numId w:val="6"/>
        </w:numPr>
        <w:rPr>
          <w:rFonts w:asciiTheme="majorHAnsi" w:hAnsiTheme="majorHAnsi" w:cstheme="majorHAnsi"/>
        </w:rPr>
      </w:pPr>
      <w:r w:rsidRPr="0036558D">
        <w:rPr>
          <w:rFonts w:asciiTheme="majorHAnsi" w:hAnsiTheme="majorHAnsi" w:cstheme="majorHAnsi"/>
        </w:rPr>
        <w:t>To evaluate current security controls and detection capabilities.</w:t>
      </w:r>
    </w:p>
    <w:p w14:paraId="36D32CBA" w14:textId="77777777" w:rsidR="00C35511" w:rsidRPr="0036558D" w:rsidRDefault="00000000" w:rsidP="0036558D">
      <w:pPr>
        <w:numPr>
          <w:ilvl w:val="0"/>
          <w:numId w:val="6"/>
        </w:numPr>
        <w:rPr>
          <w:rFonts w:asciiTheme="majorHAnsi" w:hAnsiTheme="majorHAnsi" w:cstheme="majorHAnsi"/>
        </w:rPr>
      </w:pPr>
      <w:r w:rsidRPr="0036558D">
        <w:rPr>
          <w:rFonts w:asciiTheme="majorHAnsi" w:hAnsiTheme="majorHAnsi" w:cstheme="majorHAnsi"/>
        </w:rPr>
        <w:t>To show safe use of resources in the laboratory.</w:t>
      </w:r>
    </w:p>
    <w:p w14:paraId="5E67A765"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MITRE ATT&amp;CK TTP Mapping</w:t>
      </w:r>
    </w:p>
    <w:p w14:paraId="498DC700" w14:textId="77777777" w:rsidR="00C35511" w:rsidRPr="0036558D" w:rsidRDefault="00000000" w:rsidP="0036558D">
      <w:pPr>
        <w:numPr>
          <w:ilvl w:val="0"/>
          <w:numId w:val="3"/>
        </w:numPr>
        <w:rPr>
          <w:rFonts w:asciiTheme="majorHAnsi" w:hAnsiTheme="majorHAnsi" w:cstheme="majorHAnsi"/>
        </w:rPr>
      </w:pPr>
      <w:r w:rsidRPr="0036558D">
        <w:rPr>
          <w:rFonts w:asciiTheme="majorHAnsi" w:hAnsiTheme="majorHAnsi" w:cstheme="majorHAnsi"/>
          <w:b/>
          <w:bCs/>
        </w:rPr>
        <w:t>Reconnaissance (TA0043)</w:t>
      </w:r>
      <w:r w:rsidRPr="0036558D">
        <w:rPr>
          <w:rFonts w:asciiTheme="majorHAnsi" w:hAnsiTheme="majorHAnsi" w:cstheme="majorHAnsi"/>
        </w:rPr>
        <w:t>: Active host and service discovery using Nmap.</w:t>
      </w:r>
    </w:p>
    <w:p w14:paraId="5F1827C2" w14:textId="77777777" w:rsidR="00C35511" w:rsidRPr="0036558D" w:rsidRDefault="00000000" w:rsidP="0036558D">
      <w:pPr>
        <w:numPr>
          <w:ilvl w:val="0"/>
          <w:numId w:val="3"/>
        </w:numPr>
        <w:rPr>
          <w:rFonts w:asciiTheme="majorHAnsi" w:hAnsiTheme="majorHAnsi" w:cstheme="majorHAnsi"/>
        </w:rPr>
      </w:pPr>
      <w:r w:rsidRPr="0036558D">
        <w:rPr>
          <w:rFonts w:asciiTheme="majorHAnsi" w:hAnsiTheme="majorHAnsi" w:cstheme="majorHAnsi"/>
          <w:b/>
          <w:bCs/>
        </w:rPr>
        <w:t>Initial Access (TA0001)</w:t>
      </w:r>
      <w:r w:rsidRPr="0036558D">
        <w:rPr>
          <w:rFonts w:asciiTheme="majorHAnsi" w:hAnsiTheme="majorHAnsi" w:cstheme="majorHAnsi"/>
        </w:rPr>
        <w:t>: SQL Injection (T1190 – Exploit Public-Facing Application).</w:t>
      </w:r>
    </w:p>
    <w:p w14:paraId="3CBA38BC" w14:textId="77777777" w:rsidR="00C35511" w:rsidRPr="0036558D" w:rsidRDefault="00000000" w:rsidP="0036558D">
      <w:pPr>
        <w:numPr>
          <w:ilvl w:val="0"/>
          <w:numId w:val="3"/>
        </w:numPr>
        <w:rPr>
          <w:rFonts w:asciiTheme="majorHAnsi" w:hAnsiTheme="majorHAnsi" w:cstheme="majorHAnsi"/>
        </w:rPr>
      </w:pPr>
      <w:r w:rsidRPr="0036558D">
        <w:rPr>
          <w:rFonts w:asciiTheme="majorHAnsi" w:hAnsiTheme="majorHAnsi" w:cstheme="majorHAnsi"/>
          <w:b/>
          <w:bCs/>
        </w:rPr>
        <w:t>TA0002</w:t>
      </w:r>
      <w:r w:rsidRPr="0036558D">
        <w:rPr>
          <w:rFonts w:asciiTheme="majorHAnsi" w:hAnsiTheme="majorHAnsi" w:cstheme="majorHAnsi"/>
        </w:rPr>
        <w:t xml:space="preserve">: Execution (TA0002- </w:t>
      </w:r>
      <w:proofErr w:type="spellStart"/>
      <w:r w:rsidRPr="0036558D">
        <w:rPr>
          <w:rFonts w:asciiTheme="majorHAnsi" w:hAnsiTheme="majorHAnsi" w:cstheme="majorHAnsi"/>
        </w:rPr>
        <w:t>EternalBlue</w:t>
      </w:r>
      <w:proofErr w:type="spellEnd"/>
      <w:r w:rsidRPr="0036558D">
        <w:rPr>
          <w:rFonts w:asciiTheme="majorHAnsi" w:hAnsiTheme="majorHAnsi" w:cstheme="majorHAnsi"/>
        </w:rPr>
        <w:t xml:space="preserve"> exploitation through SMB (T1210- Exploitation of Remote Services)).</w:t>
      </w:r>
    </w:p>
    <w:p w14:paraId="4F1F566B" w14:textId="77777777" w:rsidR="00C35511" w:rsidRPr="0036558D" w:rsidRDefault="00000000" w:rsidP="0036558D">
      <w:pPr>
        <w:numPr>
          <w:ilvl w:val="0"/>
          <w:numId w:val="3"/>
        </w:numPr>
        <w:rPr>
          <w:rFonts w:asciiTheme="majorHAnsi" w:hAnsiTheme="majorHAnsi" w:cstheme="majorHAnsi"/>
        </w:rPr>
      </w:pPr>
      <w:r w:rsidRPr="0036558D">
        <w:rPr>
          <w:rFonts w:asciiTheme="majorHAnsi" w:hAnsiTheme="majorHAnsi" w:cstheme="majorHAnsi"/>
          <w:b/>
          <w:bCs/>
        </w:rPr>
        <w:t>Discovery (TA0007)</w:t>
      </w:r>
      <w:r w:rsidRPr="0036558D">
        <w:rPr>
          <w:rFonts w:asciiTheme="majorHAnsi" w:hAnsiTheme="majorHAnsi" w:cstheme="majorHAnsi"/>
        </w:rPr>
        <w:t>: LDAP enumeration (T1087- Account Discovery).</w:t>
      </w:r>
    </w:p>
    <w:p w14:paraId="004323B6"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Success Criteria</w:t>
      </w:r>
    </w:p>
    <w:p w14:paraId="2ABDB29E" w14:textId="77777777" w:rsidR="00C35511" w:rsidRPr="0036558D" w:rsidRDefault="00000000" w:rsidP="0036558D">
      <w:pPr>
        <w:numPr>
          <w:ilvl w:val="0"/>
          <w:numId w:val="2"/>
        </w:numPr>
        <w:rPr>
          <w:rFonts w:asciiTheme="majorHAnsi" w:hAnsiTheme="majorHAnsi" w:cstheme="majorHAnsi"/>
        </w:rPr>
      </w:pPr>
      <w:r w:rsidRPr="0036558D">
        <w:rPr>
          <w:rFonts w:asciiTheme="majorHAnsi" w:hAnsiTheme="majorHAnsi" w:cstheme="majorHAnsi"/>
        </w:rPr>
        <w:t>Exploit of 3 separate attack surfaces was successful.</w:t>
      </w:r>
    </w:p>
    <w:p w14:paraId="4A7A2566" w14:textId="77777777" w:rsidR="00C35511" w:rsidRPr="0036558D" w:rsidRDefault="00000000" w:rsidP="0036558D">
      <w:pPr>
        <w:numPr>
          <w:ilvl w:val="0"/>
          <w:numId w:val="2"/>
        </w:numPr>
        <w:rPr>
          <w:rFonts w:asciiTheme="majorHAnsi" w:hAnsiTheme="majorHAnsi" w:cstheme="majorHAnsi"/>
        </w:rPr>
      </w:pPr>
      <w:r w:rsidRPr="0036558D">
        <w:rPr>
          <w:rFonts w:asciiTheme="majorHAnsi" w:hAnsiTheme="majorHAnsi" w:cstheme="majorHAnsi"/>
        </w:rPr>
        <w:t>Capture of evidence using screenshots, logs and command outputs.</w:t>
      </w:r>
    </w:p>
    <w:p w14:paraId="4AF9A5A7" w14:textId="77777777" w:rsidR="00C35511" w:rsidRPr="0036558D" w:rsidRDefault="00000000" w:rsidP="0036558D">
      <w:pPr>
        <w:numPr>
          <w:ilvl w:val="0"/>
          <w:numId w:val="2"/>
        </w:numPr>
        <w:rPr>
          <w:rFonts w:asciiTheme="majorHAnsi" w:hAnsiTheme="majorHAnsi" w:cstheme="majorHAnsi"/>
        </w:rPr>
      </w:pPr>
      <w:r w:rsidRPr="0036558D">
        <w:rPr>
          <w:rFonts w:asciiTheme="majorHAnsi" w:hAnsiTheme="majorHAnsi" w:cstheme="majorHAnsi"/>
        </w:rPr>
        <w:t>Validation of identified vulnerabilities without affecting the availability of the laboratory.</w:t>
      </w:r>
    </w:p>
    <w:p w14:paraId="6654CB36"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Attack Phases</w:t>
      </w:r>
    </w:p>
    <w:p w14:paraId="5E04C4C3" w14:textId="77777777" w:rsidR="00C35511" w:rsidRPr="0036558D" w:rsidRDefault="00000000" w:rsidP="0036558D">
      <w:pPr>
        <w:numPr>
          <w:ilvl w:val="0"/>
          <w:numId w:val="5"/>
        </w:numPr>
        <w:rPr>
          <w:rFonts w:asciiTheme="majorHAnsi" w:hAnsiTheme="majorHAnsi" w:cstheme="majorHAnsi"/>
        </w:rPr>
      </w:pPr>
      <w:r w:rsidRPr="0036558D">
        <w:rPr>
          <w:rFonts w:asciiTheme="majorHAnsi" w:hAnsiTheme="majorHAnsi" w:cstheme="majorHAnsi"/>
        </w:rPr>
        <w:t>Reconnaissance and enumeration.</w:t>
      </w:r>
    </w:p>
    <w:p w14:paraId="77FD4720" w14:textId="77777777" w:rsidR="00C35511" w:rsidRPr="0036558D" w:rsidRDefault="00000000" w:rsidP="0036558D">
      <w:pPr>
        <w:numPr>
          <w:ilvl w:val="0"/>
          <w:numId w:val="5"/>
        </w:numPr>
        <w:rPr>
          <w:rFonts w:asciiTheme="majorHAnsi" w:hAnsiTheme="majorHAnsi" w:cstheme="majorHAnsi"/>
        </w:rPr>
      </w:pPr>
      <w:r w:rsidRPr="0036558D">
        <w:rPr>
          <w:rFonts w:asciiTheme="majorHAnsi" w:hAnsiTheme="majorHAnsi" w:cstheme="majorHAnsi"/>
        </w:rPr>
        <w:t>Vulnerability identification.</w:t>
      </w:r>
    </w:p>
    <w:p w14:paraId="4A9E921B" w14:textId="77777777" w:rsidR="00C35511" w:rsidRPr="0036558D" w:rsidRDefault="00000000" w:rsidP="0036558D">
      <w:pPr>
        <w:numPr>
          <w:ilvl w:val="0"/>
          <w:numId w:val="5"/>
        </w:numPr>
        <w:rPr>
          <w:rFonts w:asciiTheme="majorHAnsi" w:hAnsiTheme="majorHAnsi" w:cstheme="majorHAnsi"/>
        </w:rPr>
      </w:pPr>
      <w:r w:rsidRPr="0036558D">
        <w:rPr>
          <w:rFonts w:asciiTheme="majorHAnsi" w:hAnsiTheme="majorHAnsi" w:cstheme="majorHAnsi"/>
        </w:rPr>
        <w:t>Exploitation execution.</w:t>
      </w:r>
    </w:p>
    <w:p w14:paraId="4057FCD6" w14:textId="77777777" w:rsidR="00C35511" w:rsidRPr="0036558D" w:rsidRDefault="00000000" w:rsidP="0036558D">
      <w:pPr>
        <w:numPr>
          <w:ilvl w:val="0"/>
          <w:numId w:val="5"/>
        </w:numPr>
        <w:rPr>
          <w:rFonts w:asciiTheme="majorHAnsi" w:hAnsiTheme="majorHAnsi" w:cstheme="majorHAnsi"/>
        </w:rPr>
      </w:pPr>
      <w:r w:rsidRPr="0036558D">
        <w:rPr>
          <w:rFonts w:asciiTheme="majorHAnsi" w:hAnsiTheme="majorHAnsi" w:cstheme="majorHAnsi"/>
        </w:rPr>
        <w:t>Evidence collection.</w:t>
      </w:r>
    </w:p>
    <w:p w14:paraId="0A8B6E38" w14:textId="77777777" w:rsidR="00C35511" w:rsidRPr="0036558D" w:rsidRDefault="00000000" w:rsidP="0036558D">
      <w:pPr>
        <w:numPr>
          <w:ilvl w:val="0"/>
          <w:numId w:val="5"/>
        </w:numPr>
        <w:rPr>
          <w:rFonts w:asciiTheme="majorHAnsi" w:hAnsiTheme="majorHAnsi" w:cstheme="majorHAnsi"/>
        </w:rPr>
      </w:pPr>
      <w:r w:rsidRPr="0036558D">
        <w:rPr>
          <w:rFonts w:asciiTheme="majorHAnsi" w:hAnsiTheme="majorHAnsi" w:cstheme="majorHAnsi"/>
        </w:rPr>
        <w:t>Security impact assessment.</w:t>
      </w:r>
    </w:p>
    <w:p w14:paraId="221010F8" w14:textId="77777777" w:rsidR="00C35511" w:rsidRPr="0036558D" w:rsidRDefault="00000000" w:rsidP="0036558D">
      <w:pPr>
        <w:pStyle w:val="Heading2"/>
        <w:rPr>
          <w:rFonts w:asciiTheme="majorHAnsi" w:hAnsiTheme="majorHAnsi" w:cstheme="majorHAnsi"/>
        </w:rPr>
      </w:pPr>
      <w:bookmarkStart w:id="19" w:name="_heading=h.3x4fn2ewli3h" w:colFirst="0" w:colLast="0"/>
      <w:bookmarkEnd w:id="19"/>
      <w:r w:rsidRPr="0036558D">
        <w:rPr>
          <w:rFonts w:asciiTheme="majorHAnsi" w:hAnsiTheme="majorHAnsi" w:cstheme="majorHAnsi"/>
        </w:rPr>
        <w:lastRenderedPageBreak/>
        <w:t>3.5 Virtual Lab Environment Design</w:t>
      </w:r>
    </w:p>
    <w:p w14:paraId="5D67BD87"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53FBE284" wp14:editId="012DCCCE">
            <wp:extent cx="5919788" cy="2892184"/>
            <wp:effectExtent l="12700" t="12700" r="12700" b="12700"/>
            <wp:docPr id="137643014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5919788" cy="2892184"/>
                    </a:xfrm>
                    <a:prstGeom prst="rect">
                      <a:avLst/>
                    </a:prstGeom>
                    <a:ln w="12700">
                      <a:solidFill>
                        <a:srgbClr val="000000"/>
                      </a:solidFill>
                      <a:prstDash val="solid"/>
                    </a:ln>
                  </pic:spPr>
                </pic:pic>
              </a:graphicData>
            </a:graphic>
          </wp:inline>
        </w:drawing>
      </w:r>
      <w:r w:rsidRPr="0036558D">
        <w:rPr>
          <w:rFonts w:asciiTheme="majorHAnsi" w:hAnsiTheme="majorHAnsi" w:cstheme="majorHAnsi"/>
        </w:rPr>
        <w:t xml:space="preserve"> </w:t>
      </w:r>
    </w:p>
    <w:p w14:paraId="6FDED029"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 xml:space="preserve">Figure 4: Virtual Laboratory Environment </w:t>
      </w:r>
    </w:p>
    <w:p w14:paraId="51E4B93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overall virtual laboratory architecture for the Red Team engagement is highlighted in this figure. It is an environment consisting of a Kali Linux attacker machine, Windows Server Domain Controller (DC01), and a Windows 7 client workstation (CLIENT01) (</w:t>
      </w:r>
      <w:proofErr w:type="spellStart"/>
      <w:r w:rsidRPr="0036558D">
        <w:rPr>
          <w:rFonts w:asciiTheme="majorHAnsi" w:hAnsiTheme="majorHAnsi" w:cstheme="majorHAnsi"/>
        </w:rPr>
        <w:t>Sapriati</w:t>
      </w:r>
      <w:proofErr w:type="spellEnd"/>
      <w:r w:rsidRPr="0036558D">
        <w:rPr>
          <w:rFonts w:asciiTheme="majorHAnsi" w:hAnsiTheme="majorHAnsi" w:cstheme="majorHAnsi"/>
        </w:rPr>
        <w:t xml:space="preserve"> </w:t>
      </w:r>
      <w:r w:rsidRPr="0036558D">
        <w:rPr>
          <w:rFonts w:asciiTheme="majorHAnsi" w:hAnsiTheme="majorHAnsi" w:cstheme="majorHAnsi"/>
          <w:i/>
          <w:iCs/>
        </w:rPr>
        <w:t>et al.</w:t>
      </w:r>
      <w:r w:rsidRPr="0036558D">
        <w:rPr>
          <w:rFonts w:asciiTheme="majorHAnsi" w:hAnsiTheme="majorHAnsi" w:cstheme="majorHAnsi"/>
        </w:rPr>
        <w:t xml:space="preserve"> 2023). Also, a </w:t>
      </w:r>
      <w:proofErr w:type="spellStart"/>
      <w:r w:rsidRPr="0036558D">
        <w:rPr>
          <w:rFonts w:asciiTheme="majorHAnsi" w:hAnsiTheme="majorHAnsi" w:cstheme="majorHAnsi"/>
        </w:rPr>
        <w:t>Metasploitable</w:t>
      </w:r>
      <w:proofErr w:type="spellEnd"/>
      <w:r w:rsidRPr="0036558D">
        <w:rPr>
          <w:rFonts w:asciiTheme="majorHAnsi" w:hAnsiTheme="majorHAnsi" w:cstheme="majorHAnsi"/>
        </w:rPr>
        <w:t xml:space="preserve"> 2 server and a common network storage system are connected using a dedicated </w:t>
      </w:r>
      <w:proofErr w:type="spellStart"/>
      <w:r w:rsidRPr="0036558D">
        <w:rPr>
          <w:rFonts w:asciiTheme="majorHAnsi" w:hAnsiTheme="majorHAnsi" w:cstheme="majorHAnsi"/>
        </w:rPr>
        <w:t>LabNet</w:t>
      </w:r>
      <w:proofErr w:type="spellEnd"/>
      <w:r w:rsidRPr="0036558D">
        <w:rPr>
          <w:rFonts w:asciiTheme="majorHAnsi" w:hAnsiTheme="majorHAnsi" w:cstheme="majorHAnsi"/>
        </w:rPr>
        <w:t xml:space="preserve"> switch in the 192.168.100.0/24 subnet. </w:t>
      </w:r>
    </w:p>
    <w:p w14:paraId="4EA26AC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To ensure safe and controlled experimentation, Internet connectivity is deliberately omitted. The architecture allows for realistic reconnaissance, exploitation, Active Directory (AD) enumeration and post-exploitation activities without compromising assessment isolation, operational integrity, repeatability, or fulfilling authorised ethical hacking requirements.</w:t>
      </w:r>
    </w:p>
    <w:p w14:paraId="47E7B23B" w14:textId="77777777" w:rsidR="00C35511" w:rsidRPr="0036558D" w:rsidRDefault="00000000" w:rsidP="0036558D">
      <w:pPr>
        <w:pStyle w:val="Heading2"/>
        <w:rPr>
          <w:rFonts w:asciiTheme="majorHAnsi" w:hAnsiTheme="majorHAnsi" w:cstheme="majorHAnsi"/>
        </w:rPr>
      </w:pPr>
      <w:bookmarkStart w:id="20" w:name="_heading=h.ww0dx4wawkc" w:colFirst="0" w:colLast="0"/>
      <w:bookmarkEnd w:id="20"/>
      <w:r w:rsidRPr="0036558D">
        <w:rPr>
          <w:rFonts w:asciiTheme="majorHAnsi" w:hAnsiTheme="majorHAnsi" w:cstheme="majorHAnsi"/>
        </w:rPr>
        <w:t xml:space="preserve">3.6 Offensive Tools and Techniques </w:t>
      </w:r>
    </w:p>
    <w:p w14:paraId="1EAD5C0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offensive security tools used throughout the Red Team engagement are summarised to show the function for the implementation.</w:t>
      </w:r>
    </w:p>
    <w:tbl>
      <w:tblPr>
        <w:tblStyle w:val="a8"/>
        <w:tblW w:w="9009" w:type="dxa"/>
        <w:jc w:val="center"/>
        <w:tblBorders>
          <w:top w:val="nil"/>
          <w:left w:val="nil"/>
          <w:bottom w:val="nil"/>
          <w:right w:val="nil"/>
          <w:insideH w:val="nil"/>
          <w:insideV w:val="nil"/>
        </w:tblBorders>
        <w:tblLayout w:type="fixed"/>
        <w:tblLook w:val="0600" w:firstRow="0" w:lastRow="0" w:firstColumn="0" w:lastColumn="0" w:noHBand="1" w:noVBand="1"/>
      </w:tblPr>
      <w:tblGrid>
        <w:gridCol w:w="1721"/>
        <w:gridCol w:w="2410"/>
        <w:gridCol w:w="1174"/>
        <w:gridCol w:w="3704"/>
      </w:tblGrid>
      <w:tr w:rsidR="00C35511" w:rsidRPr="0036558D" w14:paraId="24B9E3C5" w14:textId="77777777">
        <w:trPr>
          <w:trHeight w:val="515"/>
          <w:jc w:val="center"/>
        </w:trPr>
        <w:tc>
          <w:tcPr>
            <w:tcW w:w="1721" w:type="dxa"/>
            <w:tcBorders>
              <w:top w:val="single" w:sz="8" w:space="0" w:color="000000"/>
              <w:left w:val="single" w:sz="8" w:space="0" w:color="000000"/>
              <w:bottom w:val="single" w:sz="8" w:space="0" w:color="000000"/>
              <w:right w:val="single" w:sz="8" w:space="0" w:color="000000"/>
            </w:tcBorders>
            <w:shd w:val="clear" w:color="auto" w:fill="FABF8F"/>
            <w:tcMar>
              <w:top w:w="100" w:type="dxa"/>
              <w:left w:w="100" w:type="dxa"/>
              <w:bottom w:w="100" w:type="dxa"/>
              <w:right w:w="100" w:type="dxa"/>
            </w:tcMar>
          </w:tcPr>
          <w:p w14:paraId="7BB01CCE"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Tool / Technique</w:t>
            </w:r>
          </w:p>
        </w:tc>
        <w:tc>
          <w:tcPr>
            <w:tcW w:w="2410" w:type="dxa"/>
            <w:tcBorders>
              <w:top w:val="single" w:sz="8" w:space="0" w:color="000000"/>
              <w:left w:val="single" w:sz="8" w:space="0" w:color="000000"/>
              <w:bottom w:val="single" w:sz="8" w:space="0" w:color="000000"/>
              <w:right w:val="single" w:sz="8" w:space="0" w:color="000000"/>
            </w:tcBorders>
            <w:shd w:val="clear" w:color="auto" w:fill="FABF8F"/>
            <w:tcMar>
              <w:top w:w="100" w:type="dxa"/>
              <w:left w:w="100" w:type="dxa"/>
              <w:bottom w:w="100" w:type="dxa"/>
              <w:right w:w="100" w:type="dxa"/>
            </w:tcMar>
          </w:tcPr>
          <w:p w14:paraId="2E4E07BE"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Purpose</w:t>
            </w:r>
          </w:p>
        </w:tc>
        <w:tc>
          <w:tcPr>
            <w:tcW w:w="1174" w:type="dxa"/>
            <w:tcBorders>
              <w:top w:val="single" w:sz="8" w:space="0" w:color="000000"/>
              <w:left w:val="single" w:sz="8" w:space="0" w:color="000000"/>
              <w:bottom w:val="single" w:sz="8" w:space="0" w:color="000000"/>
              <w:right w:val="single" w:sz="8" w:space="0" w:color="000000"/>
            </w:tcBorders>
            <w:shd w:val="clear" w:color="auto" w:fill="FABF8F"/>
            <w:tcMar>
              <w:top w:w="100" w:type="dxa"/>
              <w:left w:w="100" w:type="dxa"/>
              <w:bottom w:w="100" w:type="dxa"/>
              <w:right w:w="100" w:type="dxa"/>
            </w:tcMar>
          </w:tcPr>
          <w:p w14:paraId="028BD613"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Status</w:t>
            </w:r>
          </w:p>
        </w:tc>
        <w:tc>
          <w:tcPr>
            <w:tcW w:w="3704" w:type="dxa"/>
            <w:tcBorders>
              <w:top w:val="single" w:sz="8" w:space="0" w:color="000000"/>
              <w:left w:val="single" w:sz="8" w:space="0" w:color="000000"/>
              <w:bottom w:val="single" w:sz="8" w:space="0" w:color="000000"/>
              <w:right w:val="single" w:sz="8" w:space="0" w:color="000000"/>
            </w:tcBorders>
            <w:shd w:val="clear" w:color="auto" w:fill="FABF8F"/>
            <w:tcMar>
              <w:top w:w="100" w:type="dxa"/>
              <w:left w:w="100" w:type="dxa"/>
              <w:bottom w:w="100" w:type="dxa"/>
              <w:right w:w="100" w:type="dxa"/>
            </w:tcMar>
          </w:tcPr>
          <w:p w14:paraId="49A04668"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Justification</w:t>
            </w:r>
          </w:p>
        </w:tc>
      </w:tr>
      <w:tr w:rsidR="00C35511" w:rsidRPr="0036558D" w14:paraId="00E499D1" w14:textId="77777777">
        <w:trPr>
          <w:trHeight w:val="785"/>
          <w:jc w:val="center"/>
        </w:trPr>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63BAD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Nmap</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03550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Host and service discovery</w:t>
            </w:r>
          </w:p>
        </w:tc>
        <w:tc>
          <w:tcPr>
            <w:tcW w:w="11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274C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Real</w:t>
            </w:r>
          </w:p>
        </w:tc>
        <w:tc>
          <w:tcPr>
            <w:tcW w:w="3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66103"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Enumerates hosts, ports, and services.</w:t>
            </w:r>
          </w:p>
        </w:tc>
      </w:tr>
      <w:tr w:rsidR="00C35511" w:rsidRPr="0036558D" w14:paraId="10C31FC8" w14:textId="77777777">
        <w:trPr>
          <w:trHeight w:val="515"/>
          <w:jc w:val="center"/>
        </w:trPr>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DA5B7" w14:textId="77777777" w:rsidR="00C35511" w:rsidRPr="0036558D" w:rsidRDefault="00000000" w:rsidP="0036558D">
            <w:pPr>
              <w:rPr>
                <w:rFonts w:asciiTheme="majorHAnsi" w:hAnsiTheme="majorHAnsi" w:cstheme="majorHAnsi"/>
              </w:rPr>
            </w:pPr>
            <w:proofErr w:type="spellStart"/>
            <w:r w:rsidRPr="0036558D">
              <w:rPr>
                <w:rFonts w:asciiTheme="majorHAnsi" w:hAnsiTheme="majorHAnsi" w:cstheme="majorHAnsi"/>
              </w:rPr>
              <w:lastRenderedPageBreak/>
              <w:t>SQLMap</w:t>
            </w:r>
            <w:proofErr w:type="spellEnd"/>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FB3F9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SQL injection testing</w:t>
            </w:r>
          </w:p>
        </w:tc>
        <w:tc>
          <w:tcPr>
            <w:tcW w:w="11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253B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Real</w:t>
            </w:r>
          </w:p>
        </w:tc>
        <w:tc>
          <w:tcPr>
            <w:tcW w:w="3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11D27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Validates database vulnerabilities.</w:t>
            </w:r>
          </w:p>
        </w:tc>
      </w:tr>
      <w:tr w:rsidR="00C35511" w:rsidRPr="0036558D" w14:paraId="0380D5FF" w14:textId="77777777">
        <w:trPr>
          <w:trHeight w:val="785"/>
          <w:jc w:val="center"/>
        </w:trPr>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6F04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Metasploit</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BDB1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Exploitation framework</w:t>
            </w:r>
          </w:p>
        </w:tc>
        <w:tc>
          <w:tcPr>
            <w:tcW w:w="11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F09CEF"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Real</w:t>
            </w:r>
          </w:p>
        </w:tc>
        <w:tc>
          <w:tcPr>
            <w:tcW w:w="3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C12A4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Executes </w:t>
            </w:r>
            <w:proofErr w:type="spellStart"/>
            <w:r w:rsidRPr="0036558D">
              <w:rPr>
                <w:rFonts w:asciiTheme="majorHAnsi" w:hAnsiTheme="majorHAnsi" w:cstheme="majorHAnsi"/>
              </w:rPr>
              <w:t>EternalBlue</w:t>
            </w:r>
            <w:proofErr w:type="spellEnd"/>
            <w:r w:rsidRPr="0036558D">
              <w:rPr>
                <w:rFonts w:asciiTheme="majorHAnsi" w:hAnsiTheme="majorHAnsi" w:cstheme="majorHAnsi"/>
              </w:rPr>
              <w:t xml:space="preserve"> and LDAP modules.</w:t>
            </w:r>
          </w:p>
        </w:tc>
      </w:tr>
      <w:tr w:rsidR="00C35511" w:rsidRPr="0036558D" w14:paraId="006DBE70" w14:textId="77777777">
        <w:trPr>
          <w:trHeight w:val="785"/>
          <w:jc w:val="center"/>
        </w:trPr>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E3B3B"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Burp Suite</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304A0"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Web traffic analysis</w:t>
            </w:r>
          </w:p>
        </w:tc>
        <w:tc>
          <w:tcPr>
            <w:tcW w:w="11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53ED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Simulated</w:t>
            </w:r>
          </w:p>
        </w:tc>
        <w:tc>
          <w:tcPr>
            <w:tcW w:w="3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A7FBA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Demonstrates request inspection methodology.</w:t>
            </w:r>
          </w:p>
        </w:tc>
      </w:tr>
      <w:tr w:rsidR="00C35511" w:rsidRPr="0036558D" w14:paraId="4202EDBD" w14:textId="77777777">
        <w:trPr>
          <w:trHeight w:val="785"/>
          <w:jc w:val="center"/>
        </w:trPr>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2F8BD5"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Responder</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4263F"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Credential attack simulation</w:t>
            </w:r>
          </w:p>
        </w:tc>
        <w:tc>
          <w:tcPr>
            <w:tcW w:w="11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C293F"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Simulated</w:t>
            </w:r>
          </w:p>
        </w:tc>
        <w:tc>
          <w:tcPr>
            <w:tcW w:w="3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973CC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Demonstrates credential capture concepts.</w:t>
            </w:r>
          </w:p>
        </w:tc>
      </w:tr>
    </w:tbl>
    <w:p w14:paraId="056750E4" w14:textId="77777777" w:rsidR="00C35511" w:rsidRPr="0036558D" w:rsidRDefault="00000000" w:rsidP="0036558D">
      <w:pPr>
        <w:spacing w:before="200"/>
        <w:jc w:val="center"/>
        <w:rPr>
          <w:rFonts w:asciiTheme="majorHAnsi" w:hAnsiTheme="majorHAnsi" w:cstheme="majorHAnsi"/>
          <w:b/>
          <w:bCs/>
        </w:rPr>
      </w:pPr>
      <w:r w:rsidRPr="0036558D">
        <w:rPr>
          <w:rFonts w:asciiTheme="majorHAnsi" w:hAnsiTheme="majorHAnsi" w:cstheme="majorHAnsi"/>
          <w:b/>
          <w:bCs/>
        </w:rPr>
        <w:t>Table 2: Offensive Tools and Techniques</w:t>
      </w:r>
    </w:p>
    <w:p w14:paraId="6796FD83"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Both real and simulated tools used for attacking are considered appropriate for the controlled Red Team engagement for reconnaissance, exploitation, Active Directory assessment, and Stealth emulation.</w:t>
      </w:r>
    </w:p>
    <w:p w14:paraId="26887DC2" w14:textId="77777777" w:rsidR="00C35511" w:rsidRPr="0036558D" w:rsidRDefault="00000000" w:rsidP="0036558D">
      <w:pPr>
        <w:pStyle w:val="Heading2"/>
        <w:rPr>
          <w:rFonts w:asciiTheme="majorHAnsi" w:hAnsiTheme="majorHAnsi" w:cstheme="majorHAnsi"/>
        </w:rPr>
      </w:pPr>
      <w:bookmarkStart w:id="21" w:name="_heading=h.16q4f4fhcp9t" w:colFirst="0" w:colLast="0"/>
      <w:bookmarkEnd w:id="21"/>
      <w:r w:rsidRPr="0036558D">
        <w:rPr>
          <w:rFonts w:asciiTheme="majorHAnsi" w:hAnsiTheme="majorHAnsi" w:cstheme="majorHAnsi"/>
        </w:rPr>
        <w:t xml:space="preserve">3.7 Exploitation (Three Exploits) </w:t>
      </w:r>
    </w:p>
    <w:p w14:paraId="5D4D35EB"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Exploit 1- SQL Injection</w:t>
      </w:r>
    </w:p>
    <w:p w14:paraId="761A6C48"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Target VM</w:t>
      </w:r>
      <w:r w:rsidRPr="0036558D">
        <w:rPr>
          <w:rFonts w:asciiTheme="majorHAnsi" w:hAnsiTheme="majorHAnsi" w:cstheme="majorHAnsi"/>
        </w:rPr>
        <w:t xml:space="preserve">: </w:t>
      </w:r>
      <w:proofErr w:type="spellStart"/>
      <w:r w:rsidRPr="0036558D">
        <w:rPr>
          <w:rFonts w:asciiTheme="majorHAnsi" w:hAnsiTheme="majorHAnsi" w:cstheme="majorHAnsi"/>
        </w:rPr>
        <w:t>Metasploitable</w:t>
      </w:r>
      <w:proofErr w:type="spellEnd"/>
      <w:r w:rsidRPr="0036558D">
        <w:rPr>
          <w:rFonts w:asciiTheme="majorHAnsi" w:hAnsiTheme="majorHAnsi" w:cstheme="majorHAnsi"/>
        </w:rPr>
        <w:t xml:space="preserve"> 2 (VM-2)</w:t>
      </w:r>
    </w:p>
    <w:p w14:paraId="6EB90648"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Target Operating System</w:t>
      </w:r>
      <w:r w:rsidRPr="0036558D">
        <w:rPr>
          <w:rFonts w:asciiTheme="majorHAnsi" w:hAnsiTheme="majorHAnsi" w:cstheme="majorHAnsi"/>
        </w:rPr>
        <w:t>: Ubuntu Linux 8.04 (</w:t>
      </w:r>
      <w:proofErr w:type="spellStart"/>
      <w:r w:rsidRPr="0036558D">
        <w:rPr>
          <w:rFonts w:asciiTheme="majorHAnsi" w:hAnsiTheme="majorHAnsi" w:cstheme="majorHAnsi"/>
        </w:rPr>
        <w:t>Metasploitable</w:t>
      </w:r>
      <w:proofErr w:type="spellEnd"/>
      <w:r w:rsidRPr="0036558D">
        <w:rPr>
          <w:rFonts w:asciiTheme="majorHAnsi" w:hAnsiTheme="majorHAnsi" w:cstheme="majorHAnsi"/>
        </w:rPr>
        <w:t xml:space="preserve"> 2)</w:t>
      </w:r>
    </w:p>
    <w:p w14:paraId="4B32E95F"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Target IP Address</w:t>
      </w:r>
      <w:r w:rsidRPr="0036558D">
        <w:rPr>
          <w:rFonts w:asciiTheme="majorHAnsi" w:hAnsiTheme="majorHAnsi" w:cstheme="majorHAnsi"/>
        </w:rPr>
        <w:t>: 192.168.100.40</w:t>
      </w:r>
    </w:p>
    <w:p w14:paraId="7B2FCD08"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Target Service</w:t>
      </w:r>
      <w:r w:rsidRPr="0036558D">
        <w:rPr>
          <w:rFonts w:asciiTheme="majorHAnsi" w:hAnsiTheme="majorHAnsi" w:cstheme="majorHAnsi"/>
        </w:rPr>
        <w:t>: Apache HTTP Server</w:t>
      </w:r>
    </w:p>
    <w:p w14:paraId="73D99ED8"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Target Port</w:t>
      </w:r>
      <w:r w:rsidRPr="0036558D">
        <w:rPr>
          <w:rFonts w:asciiTheme="majorHAnsi" w:hAnsiTheme="majorHAnsi" w:cstheme="majorHAnsi"/>
        </w:rPr>
        <w:t>: TCP 80 (HTTP)</w:t>
      </w:r>
    </w:p>
    <w:p w14:paraId="7EAFB6E1"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Target Application</w:t>
      </w:r>
      <w:r w:rsidRPr="0036558D">
        <w:rPr>
          <w:rFonts w:asciiTheme="majorHAnsi" w:hAnsiTheme="majorHAnsi" w:cstheme="majorHAnsi"/>
        </w:rPr>
        <w:t>: Damn Vulnerable Web Application (DVWA)</w:t>
      </w:r>
    </w:p>
    <w:p w14:paraId="3607E407"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Attack Surface</w:t>
      </w:r>
      <w:r w:rsidRPr="0036558D">
        <w:rPr>
          <w:rFonts w:asciiTheme="majorHAnsi" w:hAnsiTheme="majorHAnsi" w:cstheme="majorHAnsi"/>
        </w:rPr>
        <w:t>: SQL Injection functionality within the DVWA web application.</w:t>
      </w:r>
    </w:p>
    <w:p w14:paraId="67C3B7FB"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Associated Vulnerability</w:t>
      </w:r>
      <w:r w:rsidRPr="0036558D">
        <w:rPr>
          <w:rFonts w:asciiTheme="majorHAnsi" w:hAnsiTheme="majorHAnsi" w:cstheme="majorHAnsi"/>
        </w:rPr>
        <w:t>: SQL Injection (CWE-89- Improper Neutralisation of Special Elements used in an SQL Command).</w:t>
      </w:r>
    </w:p>
    <w:p w14:paraId="5A761769"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Exploitation Tool</w:t>
      </w:r>
      <w:r w:rsidRPr="0036558D">
        <w:rPr>
          <w:rFonts w:asciiTheme="majorHAnsi" w:hAnsiTheme="majorHAnsi" w:cstheme="majorHAnsi"/>
        </w:rPr>
        <w:t xml:space="preserve">: </w:t>
      </w:r>
      <w:proofErr w:type="spellStart"/>
      <w:r w:rsidRPr="0036558D">
        <w:rPr>
          <w:rFonts w:asciiTheme="majorHAnsi" w:hAnsiTheme="majorHAnsi" w:cstheme="majorHAnsi"/>
        </w:rPr>
        <w:t>SQLMap</w:t>
      </w:r>
      <w:proofErr w:type="spellEnd"/>
    </w:p>
    <w:p w14:paraId="7F6D0150"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Attack Category</w:t>
      </w:r>
      <w:r w:rsidRPr="0036558D">
        <w:rPr>
          <w:rFonts w:asciiTheme="majorHAnsi" w:hAnsiTheme="majorHAnsi" w:cstheme="majorHAnsi"/>
        </w:rPr>
        <w:t>: Web Application Exploitation- SQL Injection</w:t>
      </w:r>
    </w:p>
    <w:p w14:paraId="13D86907" w14:textId="77777777" w:rsidR="00C35511" w:rsidRPr="0036558D" w:rsidRDefault="00000000" w:rsidP="0036558D">
      <w:pPr>
        <w:numPr>
          <w:ilvl w:val="0"/>
          <w:numId w:val="4"/>
        </w:numPr>
        <w:rPr>
          <w:rFonts w:asciiTheme="majorHAnsi" w:hAnsiTheme="majorHAnsi" w:cstheme="majorHAnsi"/>
        </w:rPr>
      </w:pPr>
      <w:r w:rsidRPr="0036558D">
        <w:rPr>
          <w:rFonts w:asciiTheme="majorHAnsi" w:hAnsiTheme="majorHAnsi" w:cstheme="majorHAnsi"/>
          <w:b/>
          <w:bCs/>
        </w:rPr>
        <w:t>Exploitation Objective</w:t>
      </w:r>
      <w:r w:rsidRPr="0036558D">
        <w:rPr>
          <w:rFonts w:asciiTheme="majorHAnsi" w:hAnsiTheme="majorHAnsi" w:cstheme="majorHAnsi"/>
        </w:rPr>
        <w:t>: To validate the SQL injection vulnerability and demonstrate authorised extraction of database records from the DVWA application within the controlled laboratory environment.</w:t>
      </w:r>
    </w:p>
    <w:p w14:paraId="7041FAE5"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lastRenderedPageBreak/>
        <w:drawing>
          <wp:inline distT="114300" distB="114300" distL="114300" distR="114300" wp14:anchorId="5516AF0F" wp14:editId="6246C371">
            <wp:extent cx="5731200" cy="2070100"/>
            <wp:effectExtent l="0" t="0" r="0" b="0"/>
            <wp:docPr id="1376430139"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2"/>
                    <a:srcRect/>
                    <a:stretch>
                      <a:fillRect/>
                    </a:stretch>
                  </pic:blipFill>
                  <pic:spPr>
                    <a:xfrm>
                      <a:off x="0" y="0"/>
                      <a:ext cx="5731200" cy="2070100"/>
                    </a:xfrm>
                    <a:prstGeom prst="rect">
                      <a:avLst/>
                    </a:prstGeom>
                    <a:ln/>
                  </pic:spPr>
                </pic:pic>
              </a:graphicData>
            </a:graphic>
          </wp:inline>
        </w:drawing>
      </w:r>
    </w:p>
    <w:p w14:paraId="2E431CBA"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5: ARP Scan Results for Live Host Discovery</w:t>
      </w:r>
    </w:p>
    <w:p w14:paraId="5FB1D70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Network reconnaissance is done using an ARP scanning utility to detect the active devices in the local subnet before vulnerability assessment. One responsive host is detected successfully, and it confirms the target virtual machine. The IP discovered sets the stage for further service discovery and exploitation.</w:t>
      </w:r>
    </w:p>
    <w:p w14:paraId="4492D7A6"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drawing>
          <wp:inline distT="114300" distB="114300" distL="114300" distR="114300" wp14:anchorId="4FC4A80E" wp14:editId="46701167">
            <wp:extent cx="5121567" cy="4391275"/>
            <wp:effectExtent l="0" t="0" r="0" b="0"/>
            <wp:docPr id="137643014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121567" cy="4391275"/>
                    </a:xfrm>
                    <a:prstGeom prst="rect">
                      <a:avLst/>
                    </a:prstGeom>
                    <a:ln/>
                  </pic:spPr>
                </pic:pic>
              </a:graphicData>
            </a:graphic>
          </wp:inline>
        </w:drawing>
      </w:r>
    </w:p>
    <w:p w14:paraId="5067C64F"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6: Initial Nmap TCP Port Enumeration</w:t>
      </w:r>
    </w:p>
    <w:p w14:paraId="382F97B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An in-depth TCP port scan is performed to discover all services that are accessible to the outside world on the target. Several network services such as HTTP, FTP, SSH, SMB, MySQL, PostgreSQL and Tomcat are properly recognised. The attack surface discovered is valuable intelligence that can be used to choose appropriate attacks in the penetration testing process.</w:t>
      </w:r>
    </w:p>
    <w:p w14:paraId="14DC5194"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drawing>
          <wp:inline distT="114300" distB="114300" distL="114300" distR="114300" wp14:anchorId="545880F9" wp14:editId="6258A127">
            <wp:extent cx="5731200" cy="6210300"/>
            <wp:effectExtent l="0" t="0" r="0" b="0"/>
            <wp:docPr id="137643014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5731200" cy="6210300"/>
                    </a:xfrm>
                    <a:prstGeom prst="rect">
                      <a:avLst/>
                    </a:prstGeom>
                    <a:ln/>
                  </pic:spPr>
                </pic:pic>
              </a:graphicData>
            </a:graphic>
          </wp:inline>
        </w:drawing>
      </w:r>
    </w:p>
    <w:p w14:paraId="6332452C"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7: Detailed Service and Version Detection</w:t>
      </w:r>
    </w:p>
    <w:p w14:paraId="1A94A1D9"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An advanced service fingerprinting is carried out to discover software revisions and configuration information of the network services exposed. Legacy applications are marked with precise information, such as the Apache HTTP Server, </w:t>
      </w:r>
      <w:proofErr w:type="spellStart"/>
      <w:r w:rsidRPr="0036558D">
        <w:rPr>
          <w:rFonts w:asciiTheme="majorHAnsi" w:hAnsiTheme="majorHAnsi" w:cstheme="majorHAnsi"/>
        </w:rPr>
        <w:t>vsFTPd</w:t>
      </w:r>
      <w:proofErr w:type="spellEnd"/>
      <w:r w:rsidRPr="0036558D">
        <w:rPr>
          <w:rFonts w:asciiTheme="majorHAnsi" w:hAnsiTheme="majorHAnsi" w:cstheme="majorHAnsi"/>
        </w:rPr>
        <w:t xml:space="preserve">, OpenSSH and BIND DNS. </w:t>
      </w:r>
      <w:r w:rsidRPr="0036558D">
        <w:rPr>
          <w:rFonts w:asciiTheme="majorHAnsi" w:hAnsiTheme="majorHAnsi" w:cstheme="majorHAnsi"/>
        </w:rPr>
        <w:lastRenderedPageBreak/>
        <w:t>The gathered intelligence helps in prioritising potential areas of exploitation and vulnerability mapping.</w:t>
      </w:r>
    </w:p>
    <w:p w14:paraId="5311B4C8"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drawing>
          <wp:inline distT="114300" distB="114300" distL="114300" distR="114300" wp14:anchorId="7D2B470E" wp14:editId="0051E7E4">
            <wp:extent cx="5731200" cy="6223000"/>
            <wp:effectExtent l="0" t="0" r="0" b="0"/>
            <wp:docPr id="137643014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5"/>
                    <a:srcRect/>
                    <a:stretch>
                      <a:fillRect/>
                    </a:stretch>
                  </pic:blipFill>
                  <pic:spPr>
                    <a:xfrm>
                      <a:off x="0" y="0"/>
                      <a:ext cx="5731200" cy="6223000"/>
                    </a:xfrm>
                    <a:prstGeom prst="rect">
                      <a:avLst/>
                    </a:prstGeom>
                    <a:ln/>
                  </pic:spPr>
                </pic:pic>
              </a:graphicData>
            </a:graphic>
          </wp:inline>
        </w:drawing>
      </w:r>
    </w:p>
    <w:p w14:paraId="69514A46"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8: Extended Enumeration of Network Services</w:t>
      </w:r>
    </w:p>
    <w:p w14:paraId="6E9B55A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Other enumeration includes the detection of remote procedure call services, Samba services, database platforms and file-sharing protocols running on the environment. Many legacy services are known to have publicly documented security issues. The accurate identification of all services, before the start of exploitation, is enhanced by comprehensive service identification.</w:t>
      </w:r>
    </w:p>
    <w:p w14:paraId="58324CB9"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lastRenderedPageBreak/>
        <w:drawing>
          <wp:inline distT="114300" distB="114300" distL="114300" distR="114300" wp14:anchorId="6139B66C" wp14:editId="7E182799">
            <wp:extent cx="5731200" cy="6718300"/>
            <wp:effectExtent l="0" t="0" r="0" b="0"/>
            <wp:docPr id="137643014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5731200" cy="6718300"/>
                    </a:xfrm>
                    <a:prstGeom prst="rect">
                      <a:avLst/>
                    </a:prstGeom>
                    <a:ln/>
                  </pic:spPr>
                </pic:pic>
              </a:graphicData>
            </a:graphic>
          </wp:inline>
        </w:drawing>
      </w:r>
    </w:p>
    <w:p w14:paraId="1CB639B0"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9: Operating System and Host Fingerprinting Results</w:t>
      </w:r>
    </w:p>
    <w:p w14:paraId="15CFDEAB"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OS fingerprinting is completed to determine the features of the kernel, the configuration of the network and host-specific information that will help the target environment (Sommervoll </w:t>
      </w:r>
      <w:r w:rsidRPr="0036558D">
        <w:rPr>
          <w:rFonts w:asciiTheme="majorHAnsi" w:hAnsiTheme="majorHAnsi" w:cstheme="majorHAnsi"/>
          <w:i/>
          <w:iCs/>
        </w:rPr>
        <w:t>et al.</w:t>
      </w:r>
      <w:r w:rsidRPr="0036558D">
        <w:rPr>
          <w:rFonts w:asciiTheme="majorHAnsi" w:hAnsiTheme="majorHAnsi" w:cstheme="majorHAnsi"/>
        </w:rPr>
        <w:t xml:space="preserve"> 2024). The infrastructure used is based on Linux, and the Samba services and Apache Tomcat parts are successfully recognised. The platform characteristics identified help select an accurate platform in the following assessment phases for attacks.</w:t>
      </w:r>
    </w:p>
    <w:p w14:paraId="629E15C5"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lastRenderedPageBreak/>
        <w:drawing>
          <wp:inline distT="114300" distB="114300" distL="114300" distR="114300" wp14:anchorId="7FB4030D" wp14:editId="37E60E46">
            <wp:extent cx="5540693" cy="3172007"/>
            <wp:effectExtent l="0" t="0" r="0" b="0"/>
            <wp:docPr id="137643015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7"/>
                    <a:srcRect/>
                    <a:stretch>
                      <a:fillRect/>
                    </a:stretch>
                  </pic:blipFill>
                  <pic:spPr>
                    <a:xfrm>
                      <a:off x="0" y="0"/>
                      <a:ext cx="5540693" cy="3172007"/>
                    </a:xfrm>
                    <a:prstGeom prst="rect">
                      <a:avLst/>
                    </a:prstGeom>
                    <a:ln/>
                  </pic:spPr>
                </pic:pic>
              </a:graphicData>
            </a:graphic>
          </wp:inline>
        </w:drawing>
      </w:r>
    </w:p>
    <w:p w14:paraId="65B603A0"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10: SQL Injection Vulnerability Identification</w:t>
      </w:r>
    </w:p>
    <w:p w14:paraId="12B601E5"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Automated SQL injection assessment confirms that the vulnerable web app actually has multiple parameters that are vulnerable to SQL injection attack. The application is still vulnerable to database manipulation attacks, as evidenced by the backend database identification information, operating system information and successful payload validation. The confirmed vulnerability provides an avenue for legitimate database extraction efforts to be executed.</w:t>
      </w:r>
    </w:p>
    <w:p w14:paraId="6B736FD4"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drawing>
          <wp:inline distT="114300" distB="114300" distL="114300" distR="114300" wp14:anchorId="0FBE5359" wp14:editId="13902E7D">
            <wp:extent cx="5597846" cy="2905292"/>
            <wp:effectExtent l="0" t="0" r="0" b="0"/>
            <wp:docPr id="137643014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5597846" cy="2905292"/>
                    </a:xfrm>
                    <a:prstGeom prst="rect">
                      <a:avLst/>
                    </a:prstGeom>
                    <a:ln/>
                  </pic:spPr>
                </pic:pic>
              </a:graphicData>
            </a:graphic>
          </wp:inline>
        </w:drawing>
      </w:r>
    </w:p>
    <w:p w14:paraId="4695F65A"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11: Successful Database Extraction through SQL Injection</w:t>
      </w:r>
    </w:p>
    <w:p w14:paraId="0218A88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Contents of the database are successfully retrieved after successful identification of an SQL injection vulnerability in the target application. Records for users are retrieved, identifiers for accounts and hashes of passwords are retrieved, under controlled laboratory conditions, showing that unauthorised access to the database is possible. The results of the obtained evidence confirm successful exploitation and also illuminate the possible security threats due to poor input validation.</w:t>
      </w:r>
    </w:p>
    <w:p w14:paraId="0706D223"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 xml:space="preserve">Exploit 2- </w:t>
      </w:r>
      <w:proofErr w:type="spellStart"/>
      <w:r w:rsidRPr="0036558D">
        <w:rPr>
          <w:rFonts w:asciiTheme="majorHAnsi" w:hAnsiTheme="majorHAnsi" w:cstheme="majorHAnsi"/>
          <w:b/>
          <w:bCs/>
          <w:i/>
          <w:iCs/>
        </w:rPr>
        <w:t>EternalBlue</w:t>
      </w:r>
      <w:proofErr w:type="spellEnd"/>
      <w:r w:rsidRPr="0036558D">
        <w:rPr>
          <w:rFonts w:asciiTheme="majorHAnsi" w:hAnsiTheme="majorHAnsi" w:cstheme="majorHAnsi"/>
          <w:b/>
          <w:bCs/>
          <w:i/>
          <w:iCs/>
        </w:rPr>
        <w:t xml:space="preserve"> (MS17-010)</w:t>
      </w:r>
    </w:p>
    <w:p w14:paraId="2BB842F0"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Target Service</w:t>
      </w:r>
      <w:r w:rsidRPr="0036558D">
        <w:rPr>
          <w:rFonts w:asciiTheme="majorHAnsi" w:hAnsiTheme="majorHAnsi" w:cstheme="majorHAnsi"/>
        </w:rPr>
        <w:t>: VM / Attack Surface</w:t>
      </w:r>
    </w:p>
    <w:p w14:paraId="56ECC0D3"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Target VM</w:t>
      </w:r>
      <w:r w:rsidRPr="0036558D">
        <w:rPr>
          <w:rFonts w:asciiTheme="majorHAnsi" w:hAnsiTheme="majorHAnsi" w:cstheme="majorHAnsi"/>
        </w:rPr>
        <w:t>: Windows 7 Enterprise Virtual Machine (VM-1)</w:t>
      </w:r>
    </w:p>
    <w:p w14:paraId="53AE52D4"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Target Operating System</w:t>
      </w:r>
      <w:r w:rsidRPr="0036558D">
        <w:rPr>
          <w:rFonts w:asciiTheme="majorHAnsi" w:hAnsiTheme="majorHAnsi" w:cstheme="majorHAnsi"/>
        </w:rPr>
        <w:t>: Microsoft Windows 7 Enterprise Service Pack 1 (64-bit)</w:t>
      </w:r>
    </w:p>
    <w:p w14:paraId="61AC6E06"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Target IP Address</w:t>
      </w:r>
      <w:r w:rsidRPr="0036558D">
        <w:rPr>
          <w:rFonts w:asciiTheme="majorHAnsi" w:hAnsiTheme="majorHAnsi" w:cstheme="majorHAnsi"/>
        </w:rPr>
        <w:t>: 192.168.100.30</w:t>
      </w:r>
    </w:p>
    <w:p w14:paraId="2F05C24F"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Target Service</w:t>
      </w:r>
      <w:r w:rsidRPr="0036558D">
        <w:rPr>
          <w:rFonts w:asciiTheme="majorHAnsi" w:hAnsiTheme="majorHAnsi" w:cstheme="majorHAnsi"/>
        </w:rPr>
        <w:t>: Server Message Block (SMB)</w:t>
      </w:r>
    </w:p>
    <w:p w14:paraId="0AFC1A48"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Target Port</w:t>
      </w:r>
      <w:r w:rsidRPr="0036558D">
        <w:rPr>
          <w:rFonts w:asciiTheme="majorHAnsi" w:hAnsiTheme="majorHAnsi" w:cstheme="majorHAnsi"/>
        </w:rPr>
        <w:t>: TCP 445</w:t>
      </w:r>
    </w:p>
    <w:p w14:paraId="0488FDDF"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Attack Surface</w:t>
      </w:r>
      <w:r w:rsidRPr="0036558D">
        <w:rPr>
          <w:rFonts w:asciiTheme="majorHAnsi" w:hAnsiTheme="majorHAnsi" w:cstheme="majorHAnsi"/>
        </w:rPr>
        <w:t>: SMBv1 network file-sharing service exposed through the Windows operating system.</w:t>
      </w:r>
    </w:p>
    <w:p w14:paraId="168012F4"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Associated Vulnerability</w:t>
      </w:r>
      <w:r w:rsidRPr="0036558D">
        <w:rPr>
          <w:rFonts w:asciiTheme="majorHAnsi" w:hAnsiTheme="majorHAnsi" w:cstheme="majorHAnsi"/>
        </w:rPr>
        <w:t>: MS17-010 (CVE-2017-0144) – Microsoft SMBv1 Remote Code Execution Vulnerability.</w:t>
      </w:r>
    </w:p>
    <w:p w14:paraId="4A63E44B"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Exploitation Tool</w:t>
      </w:r>
      <w:r w:rsidRPr="0036558D">
        <w:rPr>
          <w:rFonts w:asciiTheme="majorHAnsi" w:hAnsiTheme="majorHAnsi" w:cstheme="majorHAnsi"/>
        </w:rPr>
        <w:t>: Metasploit Framework (</w:t>
      </w:r>
      <w:proofErr w:type="spellStart"/>
      <w:r w:rsidRPr="0036558D">
        <w:rPr>
          <w:rFonts w:asciiTheme="majorHAnsi" w:hAnsiTheme="majorHAnsi" w:cstheme="majorHAnsi"/>
        </w:rPr>
        <w:t>EternalBlue</w:t>
      </w:r>
      <w:proofErr w:type="spellEnd"/>
      <w:r w:rsidRPr="0036558D">
        <w:rPr>
          <w:rFonts w:asciiTheme="majorHAnsi" w:hAnsiTheme="majorHAnsi" w:cstheme="majorHAnsi"/>
        </w:rPr>
        <w:t xml:space="preserve"> module).</w:t>
      </w:r>
    </w:p>
    <w:p w14:paraId="753A0049"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Attack Category</w:t>
      </w:r>
      <w:r w:rsidRPr="0036558D">
        <w:rPr>
          <w:rFonts w:asciiTheme="majorHAnsi" w:hAnsiTheme="majorHAnsi" w:cstheme="majorHAnsi"/>
        </w:rPr>
        <w:t>: Remote Code Execution (RCE).</w:t>
      </w:r>
    </w:p>
    <w:p w14:paraId="4D29F810" w14:textId="77777777" w:rsidR="00C35511" w:rsidRPr="0036558D" w:rsidRDefault="00000000" w:rsidP="0036558D">
      <w:pPr>
        <w:numPr>
          <w:ilvl w:val="0"/>
          <w:numId w:val="8"/>
        </w:numPr>
        <w:rPr>
          <w:rFonts w:asciiTheme="majorHAnsi" w:hAnsiTheme="majorHAnsi" w:cstheme="majorHAnsi"/>
        </w:rPr>
      </w:pPr>
      <w:r w:rsidRPr="0036558D">
        <w:rPr>
          <w:rFonts w:asciiTheme="majorHAnsi" w:hAnsiTheme="majorHAnsi" w:cstheme="majorHAnsi"/>
          <w:b/>
          <w:bCs/>
        </w:rPr>
        <w:t>Exploitation Objective</w:t>
      </w:r>
      <w:r w:rsidRPr="0036558D">
        <w:rPr>
          <w:rFonts w:asciiTheme="majorHAnsi" w:hAnsiTheme="majorHAnsi" w:cstheme="majorHAnsi"/>
        </w:rPr>
        <w:t>: To validate the presence of the SMBv1 vulnerability and demonstrate authorised remote code execution against the Windows target within the controlled laboratory environment.</w:t>
      </w:r>
    </w:p>
    <w:p w14:paraId="5E1E6E47"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lastRenderedPageBreak/>
        <w:drawing>
          <wp:inline distT="114300" distB="114300" distL="114300" distR="114300" wp14:anchorId="1D542AE2" wp14:editId="40FDDFCA">
            <wp:extent cx="5616895" cy="3619706"/>
            <wp:effectExtent l="0" t="0" r="0" b="0"/>
            <wp:docPr id="1376430149"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9"/>
                    <a:srcRect/>
                    <a:stretch>
                      <a:fillRect/>
                    </a:stretch>
                  </pic:blipFill>
                  <pic:spPr>
                    <a:xfrm>
                      <a:off x="0" y="0"/>
                      <a:ext cx="5616895" cy="3619706"/>
                    </a:xfrm>
                    <a:prstGeom prst="rect">
                      <a:avLst/>
                    </a:prstGeom>
                    <a:ln/>
                  </pic:spPr>
                </pic:pic>
              </a:graphicData>
            </a:graphic>
          </wp:inline>
        </w:drawing>
      </w:r>
    </w:p>
    <w:p w14:paraId="50798C48"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 xml:space="preserve">Figure 12: Windows Service Enumeration for </w:t>
      </w:r>
      <w:proofErr w:type="spellStart"/>
      <w:r w:rsidRPr="0036558D">
        <w:rPr>
          <w:rFonts w:asciiTheme="majorHAnsi" w:hAnsiTheme="majorHAnsi" w:cstheme="majorHAnsi"/>
          <w:b/>
          <w:bCs/>
        </w:rPr>
        <w:t>EternalBlue</w:t>
      </w:r>
      <w:proofErr w:type="spellEnd"/>
      <w:r w:rsidRPr="0036558D">
        <w:rPr>
          <w:rFonts w:asciiTheme="majorHAnsi" w:hAnsiTheme="majorHAnsi" w:cstheme="majorHAnsi"/>
          <w:b/>
          <w:bCs/>
        </w:rPr>
        <w:t xml:space="preserve"> </w:t>
      </w:r>
    </w:p>
    <w:p w14:paraId="620794F9"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A thorough scan of the Windows target is done to discover network services exposed and allowing remote access (Aditya </w:t>
      </w:r>
      <w:r w:rsidRPr="0036558D">
        <w:rPr>
          <w:rFonts w:asciiTheme="majorHAnsi" w:hAnsiTheme="majorHAnsi" w:cstheme="majorHAnsi"/>
          <w:i/>
          <w:iCs/>
        </w:rPr>
        <w:t>et al.</w:t>
      </w:r>
      <w:r w:rsidRPr="0036558D">
        <w:rPr>
          <w:rFonts w:asciiTheme="majorHAnsi" w:hAnsiTheme="majorHAnsi" w:cstheme="majorHAnsi"/>
        </w:rPr>
        <w:t xml:space="preserve"> 2025). Through Nmap scanning, we detect the services of SMB, RPC, NetBIOS and HTTP, and through OS fingerprinting can be detected as a compatible Windows platform. </w:t>
      </w:r>
    </w:p>
    <w:p w14:paraId="57EB0719"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drawing>
          <wp:inline distT="114300" distB="114300" distL="114300" distR="114300" wp14:anchorId="667F315B" wp14:editId="38955C41">
            <wp:extent cx="5731200" cy="2451100"/>
            <wp:effectExtent l="0" t="0" r="0" b="0"/>
            <wp:docPr id="137643015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a:srcRect/>
                    <a:stretch>
                      <a:fillRect/>
                    </a:stretch>
                  </pic:blipFill>
                  <pic:spPr>
                    <a:xfrm>
                      <a:off x="0" y="0"/>
                      <a:ext cx="5731200" cy="2451100"/>
                    </a:xfrm>
                    <a:prstGeom prst="rect">
                      <a:avLst/>
                    </a:prstGeom>
                    <a:ln/>
                  </pic:spPr>
                </pic:pic>
              </a:graphicData>
            </a:graphic>
          </wp:inline>
        </w:drawing>
      </w:r>
    </w:p>
    <w:p w14:paraId="6E7C2079"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13: MS17-010 Vulnerability Verification Results</w:t>
      </w:r>
    </w:p>
    <w:p w14:paraId="2AF6AC5B"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Target vulnerability assessment considers CVE-2017-0144 (MS17-010) to be present in the Microsoft SMBv1 remote code execution vulnerability. The automatic verification classifies </w:t>
      </w:r>
      <w:r w:rsidRPr="0036558D">
        <w:rPr>
          <w:rFonts w:asciiTheme="majorHAnsi" w:hAnsiTheme="majorHAnsi" w:cstheme="majorHAnsi"/>
        </w:rPr>
        <w:lastRenderedPageBreak/>
        <w:t xml:space="preserve">the host as having a High risk. The validated security flaw shows that the Windows system can be exploited under controlled lab conditions by using </w:t>
      </w:r>
      <w:proofErr w:type="spellStart"/>
      <w:r w:rsidRPr="0036558D">
        <w:rPr>
          <w:rFonts w:asciiTheme="majorHAnsi" w:hAnsiTheme="majorHAnsi" w:cstheme="majorHAnsi"/>
        </w:rPr>
        <w:t>EternalBlue</w:t>
      </w:r>
      <w:proofErr w:type="spellEnd"/>
      <w:r w:rsidRPr="0036558D">
        <w:rPr>
          <w:rFonts w:asciiTheme="majorHAnsi" w:hAnsiTheme="majorHAnsi" w:cstheme="majorHAnsi"/>
        </w:rPr>
        <w:t>.</w:t>
      </w:r>
    </w:p>
    <w:p w14:paraId="543EF633"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drawing>
          <wp:inline distT="114300" distB="114300" distL="114300" distR="114300" wp14:anchorId="55010E8A" wp14:editId="2497B7AD">
            <wp:extent cx="5635946" cy="3295838"/>
            <wp:effectExtent l="0" t="0" r="0" b="0"/>
            <wp:docPr id="137643015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1"/>
                    <a:srcRect/>
                    <a:stretch>
                      <a:fillRect/>
                    </a:stretch>
                  </pic:blipFill>
                  <pic:spPr>
                    <a:xfrm>
                      <a:off x="0" y="0"/>
                      <a:ext cx="5635946" cy="3295838"/>
                    </a:xfrm>
                    <a:prstGeom prst="rect">
                      <a:avLst/>
                    </a:prstGeom>
                    <a:ln/>
                  </pic:spPr>
                </pic:pic>
              </a:graphicData>
            </a:graphic>
          </wp:inline>
        </w:drawing>
      </w:r>
    </w:p>
    <w:p w14:paraId="0E77E5E3"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 xml:space="preserve">Figure 14: Metasploit Module Selection for </w:t>
      </w:r>
      <w:proofErr w:type="spellStart"/>
      <w:r w:rsidRPr="0036558D">
        <w:rPr>
          <w:rFonts w:asciiTheme="majorHAnsi" w:hAnsiTheme="majorHAnsi" w:cstheme="majorHAnsi"/>
          <w:b/>
          <w:bCs/>
        </w:rPr>
        <w:t>EternalBlue</w:t>
      </w:r>
      <w:proofErr w:type="spellEnd"/>
    </w:p>
    <w:p w14:paraId="28BAE36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Controlled </w:t>
      </w:r>
      <w:proofErr w:type="spellStart"/>
      <w:r w:rsidRPr="0036558D">
        <w:rPr>
          <w:rFonts w:asciiTheme="majorHAnsi" w:hAnsiTheme="majorHAnsi" w:cstheme="majorHAnsi"/>
        </w:rPr>
        <w:t>EternalBlue</w:t>
      </w:r>
      <w:proofErr w:type="spellEnd"/>
      <w:r w:rsidRPr="0036558D">
        <w:rPr>
          <w:rFonts w:asciiTheme="majorHAnsi" w:hAnsiTheme="majorHAnsi" w:cstheme="majorHAnsi"/>
        </w:rPr>
        <w:t xml:space="preserve"> assessment is facilitated by identifying modules for the framework using the search functionality of the Metasploit modules. Several different exploits are provided for the selection of the appropriate one for Microsoft SMB services. Target configuration parameters are then set up in advance prior to the running of the exploits in the isolated penetration testing environment.</w:t>
      </w:r>
    </w:p>
    <w:p w14:paraId="24B280CB"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noProof/>
        </w:rPr>
        <w:lastRenderedPageBreak/>
        <w:drawing>
          <wp:inline distT="114300" distB="114300" distL="114300" distR="114300" wp14:anchorId="6B6E1EC5" wp14:editId="7A9F4ADF">
            <wp:extent cx="5569267" cy="3391093"/>
            <wp:effectExtent l="0" t="0" r="0" b="0"/>
            <wp:docPr id="137643015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2"/>
                    <a:srcRect/>
                    <a:stretch>
                      <a:fillRect/>
                    </a:stretch>
                  </pic:blipFill>
                  <pic:spPr>
                    <a:xfrm>
                      <a:off x="0" y="0"/>
                      <a:ext cx="5569267" cy="3391093"/>
                    </a:xfrm>
                    <a:prstGeom prst="rect">
                      <a:avLst/>
                    </a:prstGeom>
                    <a:ln/>
                  </pic:spPr>
                </pic:pic>
              </a:graphicData>
            </a:graphic>
          </wp:inline>
        </w:drawing>
      </w:r>
    </w:p>
    <w:p w14:paraId="6F03C32F"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 xml:space="preserve">Figure 15: Controlled </w:t>
      </w:r>
      <w:proofErr w:type="spellStart"/>
      <w:r w:rsidRPr="0036558D">
        <w:rPr>
          <w:rFonts w:asciiTheme="majorHAnsi" w:hAnsiTheme="majorHAnsi" w:cstheme="majorHAnsi"/>
          <w:b/>
          <w:bCs/>
        </w:rPr>
        <w:t>EternalBlue</w:t>
      </w:r>
      <w:proofErr w:type="spellEnd"/>
      <w:r w:rsidRPr="0036558D">
        <w:rPr>
          <w:rFonts w:asciiTheme="majorHAnsi" w:hAnsiTheme="majorHAnsi" w:cstheme="majorHAnsi"/>
          <w:b/>
          <w:bCs/>
        </w:rPr>
        <w:t xml:space="preserve"> Exploitation Attempt</w:t>
      </w:r>
    </w:p>
    <w:p w14:paraId="7E63E14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operation of the exploitation is started with the </w:t>
      </w:r>
      <w:proofErr w:type="spellStart"/>
      <w:r w:rsidRPr="0036558D">
        <w:rPr>
          <w:rFonts w:asciiTheme="majorHAnsi" w:hAnsiTheme="majorHAnsi" w:cstheme="majorHAnsi"/>
        </w:rPr>
        <w:t>EternalBlue</w:t>
      </w:r>
      <w:proofErr w:type="spellEnd"/>
      <w:r w:rsidRPr="0036558D">
        <w:rPr>
          <w:rFonts w:asciiTheme="majorHAnsi" w:hAnsiTheme="majorHAnsi" w:cstheme="majorHAnsi"/>
        </w:rPr>
        <w:t xml:space="preserve"> module configured for controlled exploitation, as soon as the vulnerability is confirmed and the target is configured. Communication with the remote SMB service is established during the process of the execution of the exploit at several different validation points. Execution logs give indication to exploit the system during the assessment, which can be used to help with technical analysis of system behaviour.</w:t>
      </w:r>
    </w:p>
    <w:p w14:paraId="58C7314B" w14:textId="77777777" w:rsidR="00C35511" w:rsidRPr="0036558D" w:rsidRDefault="00000000" w:rsidP="0036558D">
      <w:pPr>
        <w:rPr>
          <w:rFonts w:asciiTheme="majorHAnsi" w:hAnsiTheme="majorHAnsi" w:cstheme="majorHAnsi"/>
          <w:b/>
          <w:bCs/>
          <w:i/>
          <w:iCs/>
        </w:rPr>
      </w:pPr>
      <w:r w:rsidRPr="0036558D">
        <w:rPr>
          <w:rFonts w:asciiTheme="majorHAnsi" w:hAnsiTheme="majorHAnsi" w:cstheme="majorHAnsi"/>
          <w:b/>
          <w:bCs/>
          <w:i/>
          <w:iCs/>
        </w:rPr>
        <w:t>Exploit 3- AD User Enumeration</w:t>
      </w:r>
    </w:p>
    <w:p w14:paraId="6CBB00DB"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t>Target VM</w:t>
      </w:r>
      <w:r w:rsidRPr="0036558D">
        <w:rPr>
          <w:rFonts w:asciiTheme="majorHAnsi" w:hAnsiTheme="majorHAnsi" w:cstheme="majorHAnsi"/>
        </w:rPr>
        <w:t>: Windows Server 2019 Domain Controller (VM-3)</w:t>
      </w:r>
    </w:p>
    <w:p w14:paraId="5D1CC000"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t>Target Operating System</w:t>
      </w:r>
      <w:r w:rsidRPr="0036558D">
        <w:rPr>
          <w:rFonts w:asciiTheme="majorHAnsi" w:hAnsiTheme="majorHAnsi" w:cstheme="majorHAnsi"/>
        </w:rPr>
        <w:t>: Microsoft Windows Server 2019 Standard Evaluation</w:t>
      </w:r>
    </w:p>
    <w:p w14:paraId="32FEB650"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t>Target IP Address</w:t>
      </w:r>
      <w:r w:rsidRPr="0036558D">
        <w:rPr>
          <w:rFonts w:asciiTheme="majorHAnsi" w:hAnsiTheme="majorHAnsi" w:cstheme="majorHAnsi"/>
        </w:rPr>
        <w:t>: 192.168.100.20</w:t>
      </w:r>
    </w:p>
    <w:p w14:paraId="70A4EDA1"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t>Target Service</w:t>
      </w:r>
      <w:r w:rsidRPr="0036558D">
        <w:rPr>
          <w:rFonts w:asciiTheme="majorHAnsi" w:hAnsiTheme="majorHAnsi" w:cstheme="majorHAnsi"/>
        </w:rPr>
        <w:t>: Lightweight Directory Access Protocol (LDAP)</w:t>
      </w:r>
    </w:p>
    <w:p w14:paraId="023D4023"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t>Target Port</w:t>
      </w:r>
      <w:r w:rsidRPr="0036558D">
        <w:rPr>
          <w:rFonts w:asciiTheme="majorHAnsi" w:hAnsiTheme="majorHAnsi" w:cstheme="majorHAnsi"/>
        </w:rPr>
        <w:t>: TCP 389</w:t>
      </w:r>
    </w:p>
    <w:p w14:paraId="02D241EE"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t>Attack Surface</w:t>
      </w:r>
      <w:r w:rsidRPr="0036558D">
        <w:rPr>
          <w:rFonts w:asciiTheme="majorHAnsi" w:hAnsiTheme="majorHAnsi" w:cstheme="majorHAnsi"/>
        </w:rPr>
        <w:t>: Active Directory Domain Services (AD DS) exposed through the LDAP directory service.</w:t>
      </w:r>
    </w:p>
    <w:p w14:paraId="5737F851"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t>Associated Activity</w:t>
      </w:r>
      <w:r w:rsidRPr="0036558D">
        <w:rPr>
          <w:rFonts w:asciiTheme="majorHAnsi" w:hAnsiTheme="majorHAnsi" w:cstheme="majorHAnsi"/>
        </w:rPr>
        <w:t>: Active Directory User Enumeration using LDAP queries.</w:t>
      </w:r>
    </w:p>
    <w:p w14:paraId="193E1663"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t>Exploitation Tool</w:t>
      </w:r>
      <w:r w:rsidRPr="0036558D">
        <w:rPr>
          <w:rFonts w:asciiTheme="majorHAnsi" w:hAnsiTheme="majorHAnsi" w:cstheme="majorHAnsi"/>
        </w:rPr>
        <w:t>: Metasploit Framework (LDAP Query Auxiliary Module).</w:t>
      </w:r>
    </w:p>
    <w:p w14:paraId="7DED936D"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t>Attack Category</w:t>
      </w:r>
      <w:r w:rsidRPr="0036558D">
        <w:rPr>
          <w:rFonts w:asciiTheme="majorHAnsi" w:hAnsiTheme="majorHAnsi" w:cstheme="majorHAnsi"/>
        </w:rPr>
        <w:t>: Active Directory Enumeration / Information Disclosure.</w:t>
      </w:r>
    </w:p>
    <w:p w14:paraId="1E3DB708" w14:textId="77777777" w:rsidR="00C35511" w:rsidRPr="0036558D" w:rsidRDefault="00000000" w:rsidP="0036558D">
      <w:pPr>
        <w:numPr>
          <w:ilvl w:val="0"/>
          <w:numId w:val="1"/>
        </w:numPr>
        <w:rPr>
          <w:rFonts w:asciiTheme="majorHAnsi" w:hAnsiTheme="majorHAnsi" w:cstheme="majorHAnsi"/>
        </w:rPr>
      </w:pPr>
      <w:r w:rsidRPr="0036558D">
        <w:rPr>
          <w:rFonts w:asciiTheme="majorHAnsi" w:hAnsiTheme="majorHAnsi" w:cstheme="majorHAnsi"/>
          <w:b/>
          <w:bCs/>
        </w:rPr>
        <w:lastRenderedPageBreak/>
        <w:t>Exploitation Objective</w:t>
      </w:r>
      <w:r w:rsidRPr="0036558D">
        <w:rPr>
          <w:rFonts w:asciiTheme="majorHAnsi" w:hAnsiTheme="majorHAnsi" w:cstheme="majorHAnsi"/>
        </w:rPr>
        <w:t>: To enumerate Active Directory users, domain objects, organisational units, and security policies through authorised LDAP queries, thereby demonstrating the exposure of directory information within the controlled laboratory environment.</w:t>
      </w:r>
    </w:p>
    <w:p w14:paraId="40A38041"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4C084F03" wp14:editId="75CC059F">
            <wp:extent cx="5600389" cy="3059436"/>
            <wp:effectExtent l="0" t="0" r="0" b="0"/>
            <wp:docPr id="137643015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5600389" cy="3059436"/>
                    </a:xfrm>
                    <a:prstGeom prst="rect">
                      <a:avLst/>
                    </a:prstGeom>
                    <a:ln/>
                  </pic:spPr>
                </pic:pic>
              </a:graphicData>
            </a:graphic>
          </wp:inline>
        </w:drawing>
      </w:r>
    </w:p>
    <w:p w14:paraId="5B7C08FD"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16: LDAP Query Module Configuration</w:t>
      </w:r>
    </w:p>
    <w:p w14:paraId="4071C7C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Active Directory enumeration is started after the target domain, account of the administrator and remote host are set in the Metasploit LDAP enumeration module. Authentication parameters are set up to enable legitimate interrogation of the directory service.</w:t>
      </w:r>
    </w:p>
    <w:p w14:paraId="6809C60D"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lastRenderedPageBreak/>
        <w:drawing>
          <wp:inline distT="114300" distB="114300" distL="114300" distR="114300" wp14:anchorId="2F00954E" wp14:editId="446CA495">
            <wp:extent cx="5635950" cy="3048176"/>
            <wp:effectExtent l="0" t="0" r="0" b="0"/>
            <wp:docPr id="137643015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4"/>
                    <a:srcRect/>
                    <a:stretch>
                      <a:fillRect/>
                    </a:stretch>
                  </pic:blipFill>
                  <pic:spPr>
                    <a:xfrm>
                      <a:off x="0" y="0"/>
                      <a:ext cx="5635950" cy="3048176"/>
                    </a:xfrm>
                    <a:prstGeom prst="rect">
                      <a:avLst/>
                    </a:prstGeom>
                    <a:ln/>
                  </pic:spPr>
                </pic:pic>
              </a:graphicData>
            </a:graphic>
          </wp:inline>
        </w:drawing>
      </w:r>
    </w:p>
    <w:p w14:paraId="59FFD9BB"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17: Active Directory User Enumeration Results</w:t>
      </w:r>
    </w:p>
    <w:p w14:paraId="4750C22F"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Successful LDAP enumeration retrieves the attributes of the administrator and guest accounts for the Active Directory environment if the login credentials supplied are correct (KEKÜL </w:t>
      </w:r>
      <w:r w:rsidRPr="0036558D">
        <w:rPr>
          <w:rFonts w:asciiTheme="majorHAnsi" w:hAnsiTheme="majorHAnsi" w:cstheme="majorHAnsi"/>
          <w:i/>
          <w:iCs/>
        </w:rPr>
        <w:t>et al.</w:t>
      </w:r>
      <w:r w:rsidRPr="0036558D">
        <w:rPr>
          <w:rFonts w:asciiTheme="majorHAnsi" w:hAnsiTheme="majorHAnsi" w:cstheme="majorHAnsi"/>
        </w:rPr>
        <w:t xml:space="preserve"> 2022). Details of the user, group membership and account configuration are then revealed for security assessment.</w:t>
      </w:r>
    </w:p>
    <w:p w14:paraId="00366A75"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16F2BA67" wp14:editId="78E5C5D3">
            <wp:extent cx="5731200" cy="4025900"/>
            <wp:effectExtent l="0" t="0" r="0" b="0"/>
            <wp:docPr id="137643015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5"/>
                    <a:srcRect/>
                    <a:stretch>
                      <a:fillRect/>
                    </a:stretch>
                  </pic:blipFill>
                  <pic:spPr>
                    <a:xfrm>
                      <a:off x="0" y="0"/>
                      <a:ext cx="5731200" cy="4025900"/>
                    </a:xfrm>
                    <a:prstGeom prst="rect">
                      <a:avLst/>
                    </a:prstGeom>
                    <a:ln/>
                  </pic:spPr>
                </pic:pic>
              </a:graphicData>
            </a:graphic>
          </wp:inline>
        </w:drawing>
      </w:r>
    </w:p>
    <w:p w14:paraId="429EB4C3"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lastRenderedPageBreak/>
        <w:t>Figure 18: Domain Controller Information Enumeration</w:t>
      </w:r>
    </w:p>
    <w:p w14:paraId="5D8987C3"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directory enumeration is a discovery method used to find the domain controller, registered hostnames, service principal names and operating system attributes in the Active Directory infrastructure. Systematic collection of enterprise asset information for further privilege assessment and attack path analysis.</w:t>
      </w:r>
    </w:p>
    <w:p w14:paraId="002A33C9"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21E329A3" wp14:editId="22C120F7">
            <wp:extent cx="5731200" cy="2349500"/>
            <wp:effectExtent l="0" t="0" r="0" b="0"/>
            <wp:docPr id="1376430159"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6"/>
                    <a:srcRect/>
                    <a:stretch>
                      <a:fillRect/>
                    </a:stretch>
                  </pic:blipFill>
                  <pic:spPr>
                    <a:xfrm>
                      <a:off x="0" y="0"/>
                      <a:ext cx="5731200" cy="2349500"/>
                    </a:xfrm>
                    <a:prstGeom prst="rect">
                      <a:avLst/>
                    </a:prstGeom>
                    <a:ln/>
                  </pic:spPr>
                </pic:pic>
              </a:graphicData>
            </a:graphic>
          </wp:inline>
        </w:drawing>
      </w:r>
    </w:p>
    <w:p w14:paraId="6E1167BB" w14:textId="77777777" w:rsidR="00C35511" w:rsidRPr="0036558D" w:rsidRDefault="00000000" w:rsidP="0036558D">
      <w:pPr>
        <w:jc w:val="center"/>
        <w:rPr>
          <w:rFonts w:asciiTheme="majorHAnsi" w:hAnsiTheme="majorHAnsi" w:cstheme="majorHAnsi"/>
          <w:b/>
          <w:bCs/>
        </w:rPr>
      </w:pPr>
      <w:r w:rsidRPr="0036558D">
        <w:rPr>
          <w:rFonts w:asciiTheme="majorHAnsi" w:hAnsiTheme="majorHAnsi" w:cstheme="majorHAnsi"/>
          <w:b/>
          <w:bCs/>
        </w:rPr>
        <w:t>Figure 19: Active Directory Domain Policy Enumeration</w:t>
      </w:r>
    </w:p>
    <w:p w14:paraId="2CC5563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LDAP queries to get domain-wide security policy information are successful after authorised authentication to the directory service. The authentication security controls are assessed using parameters such as password policy settings, lockout configurations and account management parameters.</w:t>
      </w:r>
    </w:p>
    <w:p w14:paraId="298A3A34" w14:textId="77777777" w:rsidR="00C35511" w:rsidRPr="0036558D" w:rsidRDefault="00000000" w:rsidP="0036558D">
      <w:pPr>
        <w:pStyle w:val="Heading2"/>
        <w:rPr>
          <w:rFonts w:asciiTheme="majorHAnsi" w:hAnsiTheme="majorHAnsi" w:cstheme="majorHAnsi"/>
        </w:rPr>
      </w:pPr>
      <w:bookmarkStart w:id="22" w:name="_heading=h.dz71my3zefnt" w:colFirst="0" w:colLast="0"/>
      <w:bookmarkEnd w:id="22"/>
      <w:r w:rsidRPr="0036558D">
        <w:rPr>
          <w:rFonts w:asciiTheme="majorHAnsi" w:hAnsiTheme="majorHAnsi" w:cstheme="majorHAnsi"/>
        </w:rPr>
        <w:t xml:space="preserve">3.8 Detection Gap Analysis </w:t>
      </w:r>
    </w:p>
    <w:p w14:paraId="36E7A0C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There are a number of detection gaps that have been identified throughout the laboratory environment after exploiting all attack surfaces successfully by the Red Team. Web application monitoring is found to be limited in its ability to monitor for SQL injections, and poor SMB monitoring allows remote exploitation without detection. Active Directory enumeration activities are also performed with very little generation of security alerts, which suggests there is not much monitoring of the directory service. The need for endpoint logging, network traffic inspection, and intrusion detection is all grouped as "requiring improvement. Also, to increase detection accuracy and minimise attacker dwell time, enhanced security information and event management (SIEM), endpoint detection and response (EDR), and continuous log correlation are recommended.</w:t>
      </w:r>
    </w:p>
    <w:p w14:paraId="6F0FBB7F" w14:textId="77777777" w:rsidR="00C35511" w:rsidRPr="0036558D" w:rsidRDefault="00000000" w:rsidP="0036558D">
      <w:pPr>
        <w:pStyle w:val="Heading2"/>
        <w:rPr>
          <w:rFonts w:asciiTheme="majorHAnsi" w:hAnsiTheme="majorHAnsi" w:cstheme="majorHAnsi"/>
        </w:rPr>
      </w:pPr>
      <w:bookmarkStart w:id="23" w:name="_heading=h.q8mpkx8v7bkw" w:colFirst="0" w:colLast="0"/>
      <w:bookmarkEnd w:id="23"/>
      <w:r w:rsidRPr="0036558D">
        <w:rPr>
          <w:rFonts w:asciiTheme="majorHAnsi" w:hAnsiTheme="majorHAnsi" w:cstheme="majorHAnsi"/>
        </w:rPr>
        <w:lastRenderedPageBreak/>
        <w:t xml:space="preserve">3.9 Security Recommendations </w:t>
      </w:r>
    </w:p>
    <w:p w14:paraId="4998E2B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identified security weaknesses suggest that there is a need for multiple defensive changes to be made to enhance the resilience of the organisation to similar </w:t>
      </w:r>
      <w:proofErr w:type="spellStart"/>
      <w:r w:rsidRPr="0036558D">
        <w:rPr>
          <w:rFonts w:asciiTheme="majorHAnsi" w:hAnsiTheme="majorHAnsi" w:cstheme="majorHAnsi"/>
        </w:rPr>
        <w:t>cyber attacks</w:t>
      </w:r>
      <w:proofErr w:type="spellEnd"/>
      <w:r w:rsidRPr="0036558D">
        <w:rPr>
          <w:rFonts w:asciiTheme="majorHAnsi" w:hAnsiTheme="majorHAnsi" w:cstheme="majorHAnsi"/>
        </w:rPr>
        <w:t xml:space="preserve">. </w:t>
      </w:r>
    </w:p>
    <w:p w14:paraId="093F19D8" w14:textId="77777777" w:rsidR="00C35511" w:rsidRPr="0036558D" w:rsidRDefault="00000000" w:rsidP="0036558D">
      <w:pPr>
        <w:numPr>
          <w:ilvl w:val="0"/>
          <w:numId w:val="7"/>
        </w:numPr>
        <w:rPr>
          <w:rFonts w:asciiTheme="majorHAnsi" w:hAnsiTheme="majorHAnsi" w:cstheme="majorHAnsi"/>
        </w:rPr>
      </w:pPr>
      <w:r w:rsidRPr="0036558D">
        <w:rPr>
          <w:rFonts w:asciiTheme="majorHAnsi" w:hAnsiTheme="majorHAnsi" w:cstheme="majorHAnsi"/>
        </w:rPr>
        <w:t>Apply security patches as needed to fix known software vulnerabilities.</w:t>
      </w:r>
    </w:p>
    <w:p w14:paraId="54CF3B40" w14:textId="77777777" w:rsidR="00C35511" w:rsidRPr="0036558D" w:rsidRDefault="00000000" w:rsidP="0036558D">
      <w:pPr>
        <w:numPr>
          <w:ilvl w:val="0"/>
          <w:numId w:val="7"/>
        </w:numPr>
        <w:rPr>
          <w:rFonts w:asciiTheme="majorHAnsi" w:hAnsiTheme="majorHAnsi" w:cstheme="majorHAnsi"/>
        </w:rPr>
      </w:pPr>
      <w:r w:rsidRPr="0036558D">
        <w:rPr>
          <w:rFonts w:asciiTheme="majorHAnsi" w:hAnsiTheme="majorHAnsi" w:cstheme="majorHAnsi"/>
        </w:rPr>
        <w:t>Implement two-factor and three-factor authentication for privileged and remote users.</w:t>
      </w:r>
    </w:p>
    <w:p w14:paraId="2D20E08A" w14:textId="77777777" w:rsidR="00C35511" w:rsidRPr="0036558D" w:rsidRDefault="00000000" w:rsidP="0036558D">
      <w:pPr>
        <w:numPr>
          <w:ilvl w:val="0"/>
          <w:numId w:val="7"/>
        </w:numPr>
        <w:rPr>
          <w:rFonts w:asciiTheme="majorHAnsi" w:hAnsiTheme="majorHAnsi" w:cstheme="majorHAnsi"/>
        </w:rPr>
      </w:pPr>
      <w:r w:rsidRPr="0036558D">
        <w:rPr>
          <w:rFonts w:asciiTheme="majorHAnsi" w:hAnsiTheme="majorHAnsi" w:cstheme="majorHAnsi"/>
        </w:rPr>
        <w:t xml:space="preserve">Enhance input validation for web applications to defend against SQL injection attacks better (Gao </w:t>
      </w:r>
      <w:r w:rsidRPr="0036558D">
        <w:rPr>
          <w:rFonts w:asciiTheme="majorHAnsi" w:hAnsiTheme="majorHAnsi" w:cstheme="majorHAnsi"/>
          <w:i/>
          <w:iCs/>
        </w:rPr>
        <w:t>et al.</w:t>
      </w:r>
      <w:r w:rsidRPr="0036558D">
        <w:rPr>
          <w:rFonts w:asciiTheme="majorHAnsi" w:hAnsiTheme="majorHAnsi" w:cstheme="majorHAnsi"/>
        </w:rPr>
        <w:t xml:space="preserve"> 2024).</w:t>
      </w:r>
    </w:p>
    <w:p w14:paraId="6152E340" w14:textId="77777777" w:rsidR="00C35511" w:rsidRPr="0036558D" w:rsidRDefault="00000000" w:rsidP="0036558D">
      <w:pPr>
        <w:numPr>
          <w:ilvl w:val="0"/>
          <w:numId w:val="7"/>
        </w:numPr>
        <w:rPr>
          <w:rFonts w:asciiTheme="majorHAnsi" w:hAnsiTheme="majorHAnsi" w:cstheme="majorHAnsi"/>
        </w:rPr>
      </w:pPr>
      <w:r w:rsidRPr="0036558D">
        <w:rPr>
          <w:rFonts w:asciiTheme="majorHAnsi" w:hAnsiTheme="majorHAnsi" w:cstheme="majorHAnsi"/>
        </w:rPr>
        <w:t>Implement SIEM and EDR solutions for ongoing monitoring and speedy threat identification.</w:t>
      </w:r>
    </w:p>
    <w:p w14:paraId="43E4F547" w14:textId="77777777" w:rsidR="00C35511" w:rsidRPr="0036558D" w:rsidRDefault="00000000" w:rsidP="0036558D">
      <w:pPr>
        <w:numPr>
          <w:ilvl w:val="0"/>
          <w:numId w:val="7"/>
        </w:numPr>
        <w:rPr>
          <w:rFonts w:asciiTheme="majorHAnsi" w:hAnsiTheme="majorHAnsi" w:cstheme="majorHAnsi"/>
        </w:rPr>
      </w:pPr>
      <w:r w:rsidRPr="0036558D">
        <w:rPr>
          <w:rFonts w:asciiTheme="majorHAnsi" w:hAnsiTheme="majorHAnsi" w:cstheme="majorHAnsi"/>
        </w:rPr>
        <w:t>Implement network segmentation to reduce lateral flow of traffic within networks.</w:t>
      </w:r>
    </w:p>
    <w:p w14:paraId="41A27544" w14:textId="77777777" w:rsidR="00C35511" w:rsidRPr="0036558D" w:rsidRDefault="00000000" w:rsidP="0036558D">
      <w:pPr>
        <w:pStyle w:val="Heading2"/>
        <w:rPr>
          <w:rFonts w:asciiTheme="majorHAnsi" w:hAnsiTheme="majorHAnsi" w:cstheme="majorHAnsi"/>
        </w:rPr>
      </w:pPr>
      <w:bookmarkStart w:id="24" w:name="_heading=h.rpn8aq904jmn" w:colFirst="0" w:colLast="0"/>
      <w:bookmarkEnd w:id="24"/>
      <w:r w:rsidRPr="0036558D">
        <w:rPr>
          <w:rFonts w:asciiTheme="majorHAnsi" w:hAnsiTheme="majorHAnsi" w:cstheme="majorHAnsi"/>
        </w:rPr>
        <w:t>3.10 Summary</w:t>
      </w:r>
    </w:p>
    <w:p w14:paraId="10798EB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Red Team engagement successfully applied offensive security methodologies in a laboratory setting, which is controlled and authorised. Reconnaissance and Vulnerability Assessment (VA) are conducted systematically to discover vulnerabilities in several VMs and attack surfaces. Three independent attacks are carried out successfully to exploit a vulnerable web app, Windows SMB service and an Active Directory infrastructure, confirming the existence of major security weaknesses. Command outputs, screenshots, and system artefacts to validate the successful exploitation and ensure integrity. Limits in existing defence controls are then discovered in web application monitoring, network visibility, and endpoint logging, leading to identification of detection gaps. The relevant security recommendations are accordingly made to further enhance the vulnerability management, authentication, network segmentation and continuous monitoring functions. </w:t>
      </w:r>
    </w:p>
    <w:p w14:paraId="2263DFBD" w14:textId="77777777" w:rsidR="00C35511" w:rsidRPr="0036558D" w:rsidRDefault="00000000" w:rsidP="0036558D">
      <w:pPr>
        <w:pStyle w:val="Heading1"/>
        <w:rPr>
          <w:rFonts w:asciiTheme="majorHAnsi" w:hAnsiTheme="majorHAnsi" w:cstheme="majorHAnsi"/>
        </w:rPr>
      </w:pPr>
      <w:bookmarkStart w:id="25" w:name="_heading=h.aibh8zlafskn" w:colFirst="0" w:colLast="0"/>
      <w:bookmarkEnd w:id="25"/>
      <w:r w:rsidRPr="0036558D">
        <w:rPr>
          <w:rFonts w:asciiTheme="majorHAnsi" w:hAnsiTheme="majorHAnsi" w:cstheme="majorHAnsi"/>
        </w:rPr>
        <w:t xml:space="preserve">4. Overall Conclusion </w:t>
      </w:r>
    </w:p>
    <w:p w14:paraId="6C8B1B6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Strategic threat intelligence is essential to consider the changing nature of cyber threats. Task 1 focuses on the factors that enabled identity compromise, poor monitoring and ineffective security controls to be present in both the M&amp;S and Co-op cyber incidents. It reflects the need to use a defence-in-depth approach. Task 2 is based on a controlled Red Team engagement where these concepts are successfully demonstrated in an authorised laboratory environment, supporting reconnaissance, exploitation, detection gap analysis and security recommendations. The need for conducting proactive security assessments, ongoing </w:t>
      </w:r>
      <w:r w:rsidRPr="0036558D">
        <w:rPr>
          <w:rFonts w:asciiTheme="majorHAnsi" w:hAnsiTheme="majorHAnsi" w:cstheme="majorHAnsi"/>
        </w:rPr>
        <w:lastRenderedPageBreak/>
        <w:t>monitoring, vulnerability management, and robust defensive measures is highlighted in the report to enhance an organisation's cyber resilience.</w:t>
      </w:r>
    </w:p>
    <w:p w14:paraId="2FA7B5D5" w14:textId="77777777" w:rsidR="00C35511" w:rsidRPr="0036558D" w:rsidRDefault="00C35511" w:rsidP="0036558D">
      <w:pPr>
        <w:rPr>
          <w:rFonts w:asciiTheme="majorHAnsi" w:hAnsiTheme="majorHAnsi" w:cstheme="majorHAnsi"/>
        </w:rPr>
      </w:pPr>
    </w:p>
    <w:p w14:paraId="4FF77DD3" w14:textId="77777777" w:rsidR="00C35511" w:rsidRPr="0036558D" w:rsidRDefault="00C35511" w:rsidP="0036558D">
      <w:pPr>
        <w:rPr>
          <w:rFonts w:asciiTheme="majorHAnsi" w:hAnsiTheme="majorHAnsi" w:cstheme="majorHAnsi"/>
        </w:rPr>
      </w:pPr>
    </w:p>
    <w:p w14:paraId="64A2F280" w14:textId="77777777" w:rsidR="00C35511" w:rsidRPr="0036558D" w:rsidRDefault="00000000" w:rsidP="0036558D">
      <w:pPr>
        <w:pStyle w:val="Heading1"/>
        <w:rPr>
          <w:rFonts w:asciiTheme="majorHAnsi" w:hAnsiTheme="majorHAnsi" w:cstheme="majorHAnsi"/>
        </w:rPr>
      </w:pPr>
      <w:bookmarkStart w:id="26" w:name="_heading=h.6fo09spl6uh0" w:colFirst="0" w:colLast="0"/>
      <w:bookmarkEnd w:id="26"/>
      <w:r w:rsidRPr="0036558D">
        <w:rPr>
          <w:rFonts w:asciiTheme="majorHAnsi" w:hAnsiTheme="majorHAnsi" w:cstheme="majorHAnsi"/>
        </w:rPr>
        <w:br w:type="page"/>
      </w:r>
    </w:p>
    <w:p w14:paraId="5A3DF316" w14:textId="77777777" w:rsidR="00C35511" w:rsidRPr="0036558D" w:rsidRDefault="00000000" w:rsidP="0036558D">
      <w:pPr>
        <w:pStyle w:val="Heading1"/>
        <w:rPr>
          <w:rFonts w:asciiTheme="majorHAnsi" w:hAnsiTheme="majorHAnsi" w:cstheme="majorHAnsi"/>
        </w:rPr>
      </w:pPr>
      <w:bookmarkStart w:id="27" w:name="_heading=h.6n7csho2ln4l" w:colFirst="0" w:colLast="0"/>
      <w:bookmarkEnd w:id="27"/>
      <w:r w:rsidRPr="0036558D">
        <w:rPr>
          <w:rFonts w:asciiTheme="majorHAnsi" w:hAnsiTheme="majorHAnsi" w:cstheme="majorHAnsi"/>
        </w:rPr>
        <w:lastRenderedPageBreak/>
        <w:t>References</w:t>
      </w:r>
    </w:p>
    <w:p w14:paraId="15A383F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Aditya, F., Mahrani, A. and Rahman, R., 2025. </w:t>
      </w:r>
      <w:proofErr w:type="spellStart"/>
      <w:r w:rsidRPr="0036558D">
        <w:rPr>
          <w:rFonts w:asciiTheme="majorHAnsi" w:hAnsiTheme="majorHAnsi" w:cstheme="majorHAnsi"/>
        </w:rPr>
        <w:t>Pengujian</w:t>
      </w:r>
      <w:proofErr w:type="spellEnd"/>
      <w:r w:rsidRPr="0036558D">
        <w:rPr>
          <w:rFonts w:asciiTheme="majorHAnsi" w:hAnsiTheme="majorHAnsi" w:cstheme="majorHAnsi"/>
        </w:rPr>
        <w:t xml:space="preserve"> </w:t>
      </w:r>
      <w:proofErr w:type="spellStart"/>
      <w:r w:rsidRPr="0036558D">
        <w:rPr>
          <w:rFonts w:asciiTheme="majorHAnsi" w:hAnsiTheme="majorHAnsi" w:cstheme="majorHAnsi"/>
        </w:rPr>
        <w:t>Penetrasi</w:t>
      </w:r>
      <w:proofErr w:type="spellEnd"/>
      <w:r w:rsidRPr="0036558D">
        <w:rPr>
          <w:rFonts w:asciiTheme="majorHAnsi" w:hAnsiTheme="majorHAnsi" w:cstheme="majorHAnsi"/>
        </w:rPr>
        <w:t xml:space="preserve"> </w:t>
      </w:r>
      <w:proofErr w:type="spellStart"/>
      <w:r w:rsidRPr="0036558D">
        <w:rPr>
          <w:rFonts w:asciiTheme="majorHAnsi" w:hAnsiTheme="majorHAnsi" w:cstheme="majorHAnsi"/>
        </w:rPr>
        <w:t>Jaringan</w:t>
      </w:r>
      <w:proofErr w:type="spellEnd"/>
      <w:r w:rsidRPr="0036558D">
        <w:rPr>
          <w:rFonts w:asciiTheme="majorHAnsi" w:hAnsiTheme="majorHAnsi" w:cstheme="majorHAnsi"/>
        </w:rPr>
        <w:t xml:space="preserve"> Lokal </w:t>
      </w:r>
      <w:proofErr w:type="spellStart"/>
      <w:r w:rsidRPr="0036558D">
        <w:rPr>
          <w:rFonts w:asciiTheme="majorHAnsi" w:hAnsiTheme="majorHAnsi" w:cstheme="majorHAnsi"/>
        </w:rPr>
        <w:t>dengan</w:t>
      </w:r>
      <w:proofErr w:type="spellEnd"/>
      <w:r w:rsidRPr="0036558D">
        <w:rPr>
          <w:rFonts w:asciiTheme="majorHAnsi" w:hAnsiTheme="majorHAnsi" w:cstheme="majorHAnsi"/>
        </w:rPr>
        <w:t xml:space="preserve"> Metasploit Framework. </w:t>
      </w:r>
      <w:r w:rsidRPr="0036558D">
        <w:rPr>
          <w:rFonts w:asciiTheme="majorHAnsi" w:hAnsiTheme="majorHAnsi" w:cstheme="majorHAnsi"/>
          <w:i/>
          <w:iCs/>
        </w:rPr>
        <w:t xml:space="preserve">Jejak digital: </w:t>
      </w:r>
      <w:proofErr w:type="spellStart"/>
      <w:r w:rsidRPr="0036558D">
        <w:rPr>
          <w:rFonts w:asciiTheme="majorHAnsi" w:hAnsiTheme="majorHAnsi" w:cstheme="majorHAnsi"/>
          <w:i/>
          <w:iCs/>
        </w:rPr>
        <w:t>Jurnal</w:t>
      </w:r>
      <w:proofErr w:type="spellEnd"/>
      <w:r w:rsidRPr="0036558D">
        <w:rPr>
          <w:rFonts w:asciiTheme="majorHAnsi" w:hAnsiTheme="majorHAnsi" w:cstheme="majorHAnsi"/>
          <w:i/>
          <w:iCs/>
        </w:rPr>
        <w:t xml:space="preserve"> </w:t>
      </w:r>
      <w:proofErr w:type="spellStart"/>
      <w:r w:rsidRPr="0036558D">
        <w:rPr>
          <w:rFonts w:asciiTheme="majorHAnsi" w:hAnsiTheme="majorHAnsi" w:cstheme="majorHAnsi"/>
          <w:i/>
          <w:iCs/>
        </w:rPr>
        <w:t>Ilmiah</w:t>
      </w:r>
      <w:proofErr w:type="spellEnd"/>
      <w:r w:rsidRPr="0036558D">
        <w:rPr>
          <w:rFonts w:asciiTheme="majorHAnsi" w:hAnsiTheme="majorHAnsi" w:cstheme="majorHAnsi"/>
          <w:i/>
          <w:iCs/>
        </w:rPr>
        <w:t xml:space="preserve"> Multidisiplin</w:t>
      </w:r>
      <w:r w:rsidRPr="0036558D">
        <w:rPr>
          <w:rFonts w:asciiTheme="majorHAnsi" w:hAnsiTheme="majorHAnsi" w:cstheme="majorHAnsi"/>
        </w:rPr>
        <w:t xml:space="preserve">, </w:t>
      </w:r>
      <w:r w:rsidRPr="0036558D">
        <w:rPr>
          <w:rFonts w:asciiTheme="majorHAnsi" w:hAnsiTheme="majorHAnsi" w:cstheme="majorHAnsi"/>
          <w:i/>
          <w:iCs/>
        </w:rPr>
        <w:t>1</w:t>
      </w:r>
      <w:r w:rsidRPr="0036558D">
        <w:rPr>
          <w:rFonts w:asciiTheme="majorHAnsi" w:hAnsiTheme="majorHAnsi" w:cstheme="majorHAnsi"/>
        </w:rPr>
        <w:t>(4), pp.2127-2137.</w:t>
      </w:r>
      <w:hyperlink r:id="rId27">
        <w:r w:rsidR="00C35511" w:rsidRPr="0036558D">
          <w:rPr>
            <w:rFonts w:asciiTheme="majorHAnsi" w:hAnsiTheme="majorHAnsi" w:cstheme="majorHAnsi"/>
            <w:u w:val="single"/>
          </w:rPr>
          <w:t>https://indojurnal.com/index.php/jejakdigital/article/download/549/466</w:t>
        </w:r>
      </w:hyperlink>
      <w:r w:rsidRPr="0036558D">
        <w:rPr>
          <w:rFonts w:asciiTheme="majorHAnsi" w:hAnsiTheme="majorHAnsi" w:cstheme="majorHAnsi"/>
        </w:rPr>
        <w:t xml:space="preserve"> </w:t>
      </w:r>
    </w:p>
    <w:p w14:paraId="3D0B311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Admass, W.S., </w:t>
      </w:r>
      <w:proofErr w:type="spellStart"/>
      <w:r w:rsidRPr="0036558D">
        <w:rPr>
          <w:rFonts w:asciiTheme="majorHAnsi" w:hAnsiTheme="majorHAnsi" w:cstheme="majorHAnsi"/>
        </w:rPr>
        <w:t>Munaye</w:t>
      </w:r>
      <w:proofErr w:type="spellEnd"/>
      <w:r w:rsidRPr="0036558D">
        <w:rPr>
          <w:rFonts w:asciiTheme="majorHAnsi" w:hAnsiTheme="majorHAnsi" w:cstheme="majorHAnsi"/>
        </w:rPr>
        <w:t xml:space="preserve">, Y.Y. and </w:t>
      </w:r>
      <w:proofErr w:type="spellStart"/>
      <w:r w:rsidRPr="0036558D">
        <w:rPr>
          <w:rFonts w:asciiTheme="majorHAnsi" w:hAnsiTheme="majorHAnsi" w:cstheme="majorHAnsi"/>
        </w:rPr>
        <w:t>Diro</w:t>
      </w:r>
      <w:proofErr w:type="spellEnd"/>
      <w:r w:rsidRPr="0036558D">
        <w:rPr>
          <w:rFonts w:asciiTheme="majorHAnsi" w:hAnsiTheme="majorHAnsi" w:cstheme="majorHAnsi"/>
        </w:rPr>
        <w:t xml:space="preserve">, A.A., 2024. Cyber security: State of the art, challenges and future directions. Cyber Security and Applications, 2, p.100031. </w:t>
      </w:r>
      <w:hyperlink r:id="rId28">
        <w:r w:rsidR="00C35511" w:rsidRPr="0036558D">
          <w:rPr>
            <w:rFonts w:asciiTheme="majorHAnsi" w:hAnsiTheme="majorHAnsi" w:cstheme="majorHAnsi"/>
            <w:u w:val="single"/>
          </w:rPr>
          <w:t>https://www.sciencedirect.com/science/article/pii/S2772918423000188</w:t>
        </w:r>
      </w:hyperlink>
    </w:p>
    <w:p w14:paraId="71671153" w14:textId="77777777" w:rsidR="00C35511" w:rsidRPr="0036558D" w:rsidRDefault="00000000" w:rsidP="0036558D">
      <w:pPr>
        <w:rPr>
          <w:rFonts w:asciiTheme="majorHAnsi" w:hAnsiTheme="majorHAnsi" w:cstheme="majorHAnsi"/>
        </w:rPr>
      </w:pPr>
      <w:proofErr w:type="spellStart"/>
      <w:r w:rsidRPr="0036558D">
        <w:rPr>
          <w:rFonts w:asciiTheme="majorHAnsi" w:hAnsiTheme="majorHAnsi" w:cstheme="majorHAnsi"/>
        </w:rPr>
        <w:t>Aloqaily</w:t>
      </w:r>
      <w:proofErr w:type="spellEnd"/>
      <w:r w:rsidRPr="0036558D">
        <w:rPr>
          <w:rFonts w:asciiTheme="majorHAnsi" w:hAnsiTheme="majorHAnsi" w:cstheme="majorHAnsi"/>
        </w:rPr>
        <w:t xml:space="preserve">, M., Kanhere, S., Bellavista, P. and Nogueira, M., 2022. Special issue on cybersecurity management in the era of AI. Journal of Network and Systems Management, 30(3), p.39. </w:t>
      </w:r>
      <w:hyperlink r:id="rId29">
        <w:r w:rsidR="00C35511" w:rsidRPr="0036558D">
          <w:rPr>
            <w:rFonts w:asciiTheme="majorHAnsi" w:hAnsiTheme="majorHAnsi" w:cstheme="majorHAnsi"/>
            <w:u w:val="single"/>
          </w:rPr>
          <w:t>https://www.researchgate.net/profile/Md-Haris-Sharif/publication/362363620_A_literature_review_of_financial_losses_statistics_for_cyber_security_and_future_trend/links/62edad4f505511283e94b5ed/A-literature-review-of-financial-losses-statistics-for-cyber-security-and-future-trend.pdf</w:t>
        </w:r>
      </w:hyperlink>
    </w:p>
    <w:p w14:paraId="1A10926B" w14:textId="77777777" w:rsidR="00C35511" w:rsidRPr="0036558D" w:rsidRDefault="00000000" w:rsidP="0036558D">
      <w:pPr>
        <w:rPr>
          <w:rFonts w:asciiTheme="majorHAnsi" w:hAnsiTheme="majorHAnsi" w:cstheme="majorHAnsi"/>
        </w:rPr>
      </w:pPr>
      <w:proofErr w:type="spellStart"/>
      <w:r w:rsidRPr="0036558D">
        <w:rPr>
          <w:rFonts w:asciiTheme="majorHAnsi" w:hAnsiTheme="majorHAnsi" w:cstheme="majorHAnsi"/>
        </w:rPr>
        <w:t>Bharadiya</w:t>
      </w:r>
      <w:proofErr w:type="spellEnd"/>
      <w:r w:rsidRPr="0036558D">
        <w:rPr>
          <w:rFonts w:asciiTheme="majorHAnsi" w:hAnsiTheme="majorHAnsi" w:cstheme="majorHAnsi"/>
        </w:rPr>
        <w:t xml:space="preserve">, J., 2023. Machine learning in cybersecurity: Techniques and challenges. European Journal of Technology, 7(2), pp.1-14. </w:t>
      </w:r>
      <w:hyperlink r:id="rId30">
        <w:r w:rsidR="00C35511" w:rsidRPr="0036558D">
          <w:rPr>
            <w:rFonts w:asciiTheme="majorHAnsi" w:hAnsiTheme="majorHAnsi" w:cstheme="majorHAnsi"/>
            <w:u w:val="single"/>
          </w:rPr>
          <w:t>https://www.academia.edu/download/103844772/1609.pdf</w:t>
        </w:r>
      </w:hyperlink>
    </w:p>
    <w:p w14:paraId="08CDD0B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Chowdhury, R.H., Prince, N.U., Abdullah, S.M. and Mim, L.A., 2024. The role of predictive analytics in cybersecurity: Detecting and preventing threats. World Journal of Advanced Research and Reviews, 23(2), pp.1615-1623. </w:t>
      </w:r>
      <w:hyperlink r:id="rId31">
        <w:r w:rsidR="00C35511" w:rsidRPr="0036558D">
          <w:rPr>
            <w:rFonts w:asciiTheme="majorHAnsi" w:hAnsiTheme="majorHAnsi" w:cstheme="majorHAnsi"/>
            <w:u w:val="single"/>
          </w:rPr>
          <w:t>https://www.researchgate.net/profile/Nayem-Uddin-Prince-2/publication/384018715_The_role_of_predictive_analytics_in_cybersecurity_Detecting_and_preventing_threats/links/66e504dab1606e24c228d394/The-role-of-predictive-analytics-in-cybersecurity-Detecting-and-preventing-threats.pdf</w:t>
        </w:r>
      </w:hyperlink>
    </w:p>
    <w:p w14:paraId="5ACBC42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Gao, S., Lin, R., Fu, Y., Li, H. and Cao, J., 2024. Security threats, requirements and recommendations on creating 5G network slicing system: A survey. </w:t>
      </w:r>
      <w:r w:rsidRPr="0036558D">
        <w:rPr>
          <w:rFonts w:asciiTheme="majorHAnsi" w:hAnsiTheme="majorHAnsi" w:cstheme="majorHAnsi"/>
          <w:i/>
          <w:iCs/>
        </w:rPr>
        <w:t>Electronics</w:t>
      </w:r>
      <w:r w:rsidRPr="0036558D">
        <w:rPr>
          <w:rFonts w:asciiTheme="majorHAnsi" w:hAnsiTheme="majorHAnsi" w:cstheme="majorHAnsi"/>
        </w:rPr>
        <w:t xml:space="preserve">, </w:t>
      </w:r>
      <w:r w:rsidRPr="0036558D">
        <w:rPr>
          <w:rFonts w:asciiTheme="majorHAnsi" w:hAnsiTheme="majorHAnsi" w:cstheme="majorHAnsi"/>
          <w:i/>
          <w:iCs/>
        </w:rPr>
        <w:t>13</w:t>
      </w:r>
      <w:r w:rsidRPr="0036558D">
        <w:rPr>
          <w:rFonts w:asciiTheme="majorHAnsi" w:hAnsiTheme="majorHAnsi" w:cstheme="majorHAnsi"/>
        </w:rPr>
        <w:t>(10), p.1860.</w:t>
      </w:r>
      <w:hyperlink r:id="rId32">
        <w:r w:rsidR="00C35511" w:rsidRPr="0036558D">
          <w:rPr>
            <w:rFonts w:asciiTheme="majorHAnsi" w:hAnsiTheme="majorHAnsi" w:cstheme="majorHAnsi"/>
            <w:u w:val="single"/>
          </w:rPr>
          <w:t>https://www.mdpi.com/2079-9292/13/10/1860</w:t>
        </w:r>
      </w:hyperlink>
      <w:r w:rsidRPr="0036558D">
        <w:rPr>
          <w:rFonts w:asciiTheme="majorHAnsi" w:hAnsiTheme="majorHAnsi" w:cstheme="majorHAnsi"/>
        </w:rPr>
        <w:t xml:space="preserve"> </w:t>
      </w:r>
    </w:p>
    <w:p w14:paraId="563112A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Holm, H. and Sommestad, T., 2025. Realistic and balanced automated threat emulation. </w:t>
      </w:r>
      <w:r w:rsidRPr="0036558D">
        <w:rPr>
          <w:rFonts w:asciiTheme="majorHAnsi" w:hAnsiTheme="majorHAnsi" w:cstheme="majorHAnsi"/>
          <w:i/>
          <w:iCs/>
        </w:rPr>
        <w:t>Computers &amp; Security</w:t>
      </w:r>
      <w:r w:rsidRPr="0036558D">
        <w:rPr>
          <w:rFonts w:asciiTheme="majorHAnsi" w:hAnsiTheme="majorHAnsi" w:cstheme="majorHAnsi"/>
        </w:rPr>
        <w:t xml:space="preserve">, </w:t>
      </w:r>
      <w:r w:rsidRPr="0036558D">
        <w:rPr>
          <w:rFonts w:asciiTheme="majorHAnsi" w:hAnsiTheme="majorHAnsi" w:cstheme="majorHAnsi"/>
          <w:i/>
          <w:iCs/>
        </w:rPr>
        <w:t>151</w:t>
      </w:r>
      <w:r w:rsidRPr="0036558D">
        <w:rPr>
          <w:rFonts w:asciiTheme="majorHAnsi" w:hAnsiTheme="majorHAnsi" w:cstheme="majorHAnsi"/>
        </w:rPr>
        <w:t>, p.104351.</w:t>
      </w:r>
      <w:hyperlink r:id="rId33">
        <w:r w:rsidR="00C35511" w:rsidRPr="0036558D">
          <w:rPr>
            <w:rFonts w:asciiTheme="majorHAnsi" w:hAnsiTheme="majorHAnsi" w:cstheme="majorHAnsi"/>
            <w:u w:val="single"/>
          </w:rPr>
          <w:t>https://www.sciencedirect.com/science/article/pii/S0167404825000409</w:t>
        </w:r>
      </w:hyperlink>
      <w:r w:rsidRPr="0036558D">
        <w:rPr>
          <w:rFonts w:asciiTheme="majorHAnsi" w:hAnsiTheme="majorHAnsi" w:cstheme="majorHAnsi"/>
        </w:rPr>
        <w:t xml:space="preserve"> </w:t>
      </w:r>
    </w:p>
    <w:p w14:paraId="33A5DF5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 xml:space="preserve">Kaur, J. and Ramkumar, K.R., 2022. The recent trends in cyber security: A review. Journal of King Saud University-Computer and Information Sciences, 34(8), pp.5766-5781. </w:t>
      </w:r>
      <w:hyperlink r:id="rId34">
        <w:r w:rsidR="00C35511" w:rsidRPr="0036558D">
          <w:rPr>
            <w:rFonts w:asciiTheme="majorHAnsi" w:hAnsiTheme="majorHAnsi" w:cstheme="majorHAnsi"/>
            <w:u w:val="single"/>
          </w:rPr>
          <w:t>https://www.sciencedirect.com/science/article/pii/S1319157821000203</w:t>
        </w:r>
      </w:hyperlink>
    </w:p>
    <w:p w14:paraId="7D75254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KEKÜL, H., ERGEN, B. and ARSLAN, H., 2022. Comparison and analysis of software vulnerability databases. </w:t>
      </w:r>
      <w:r w:rsidRPr="0036558D">
        <w:rPr>
          <w:rFonts w:asciiTheme="majorHAnsi" w:hAnsiTheme="majorHAnsi" w:cstheme="majorHAnsi"/>
          <w:i/>
          <w:iCs/>
        </w:rPr>
        <w:t>International Journal of Engineering and Manufacturing</w:t>
      </w:r>
      <w:r w:rsidRPr="0036558D">
        <w:rPr>
          <w:rFonts w:asciiTheme="majorHAnsi" w:hAnsiTheme="majorHAnsi" w:cstheme="majorHAnsi"/>
        </w:rPr>
        <w:t xml:space="preserve">, </w:t>
      </w:r>
      <w:r w:rsidRPr="0036558D">
        <w:rPr>
          <w:rFonts w:asciiTheme="majorHAnsi" w:hAnsiTheme="majorHAnsi" w:cstheme="majorHAnsi"/>
          <w:i/>
          <w:iCs/>
        </w:rPr>
        <w:t>12</w:t>
      </w:r>
      <w:r w:rsidRPr="0036558D">
        <w:rPr>
          <w:rFonts w:asciiTheme="majorHAnsi" w:hAnsiTheme="majorHAnsi" w:cstheme="majorHAnsi"/>
        </w:rPr>
        <w:t>(4), p.1.</w:t>
      </w:r>
      <w:hyperlink r:id="rId35">
        <w:r w:rsidR="00C35511" w:rsidRPr="0036558D">
          <w:rPr>
            <w:rFonts w:asciiTheme="majorHAnsi" w:hAnsiTheme="majorHAnsi" w:cstheme="majorHAnsi"/>
            <w:u w:val="single"/>
          </w:rPr>
          <w:t>https://www.academia.edu/download/109048221/IJEM-V12-N4-1.pdf</w:t>
        </w:r>
      </w:hyperlink>
      <w:r w:rsidRPr="0036558D">
        <w:rPr>
          <w:rFonts w:asciiTheme="majorHAnsi" w:hAnsiTheme="majorHAnsi" w:cstheme="majorHAnsi"/>
        </w:rPr>
        <w:t xml:space="preserve"> </w:t>
      </w:r>
    </w:p>
    <w:p w14:paraId="1224027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Maurer, D., 2023. Congress and the Operational Disciplining of the Use of Armed Forces: Are Rules of Engagement within the Preclusive Core of the President's War Powers?. </w:t>
      </w:r>
      <w:r w:rsidRPr="0036558D">
        <w:rPr>
          <w:rFonts w:asciiTheme="majorHAnsi" w:hAnsiTheme="majorHAnsi" w:cstheme="majorHAnsi"/>
          <w:i/>
          <w:iCs/>
        </w:rPr>
        <w:t>Ohio St. LJ</w:t>
      </w:r>
      <w:r w:rsidRPr="0036558D">
        <w:rPr>
          <w:rFonts w:asciiTheme="majorHAnsi" w:hAnsiTheme="majorHAnsi" w:cstheme="majorHAnsi"/>
        </w:rPr>
        <w:t xml:space="preserve">, </w:t>
      </w:r>
      <w:r w:rsidRPr="0036558D">
        <w:rPr>
          <w:rFonts w:asciiTheme="majorHAnsi" w:hAnsiTheme="majorHAnsi" w:cstheme="majorHAnsi"/>
          <w:i/>
          <w:iCs/>
        </w:rPr>
        <w:t>84</w:t>
      </w:r>
      <w:r w:rsidRPr="0036558D">
        <w:rPr>
          <w:rFonts w:asciiTheme="majorHAnsi" w:hAnsiTheme="majorHAnsi" w:cstheme="majorHAnsi"/>
        </w:rPr>
        <w:t>, p.1393.</w:t>
      </w:r>
      <w:hyperlink r:id="rId36">
        <w:r w:rsidR="00C35511" w:rsidRPr="0036558D">
          <w:rPr>
            <w:rFonts w:asciiTheme="majorHAnsi" w:hAnsiTheme="majorHAnsi" w:cstheme="majorHAnsi"/>
            <w:u w:val="single"/>
          </w:rPr>
          <w:t>https://papers.ssrn.com/sol3/Delivery.cfm?abstractid=4751949</w:t>
        </w:r>
      </w:hyperlink>
      <w:r w:rsidRPr="0036558D">
        <w:rPr>
          <w:rFonts w:asciiTheme="majorHAnsi" w:hAnsiTheme="majorHAnsi" w:cstheme="majorHAnsi"/>
        </w:rPr>
        <w:t xml:space="preserve"> </w:t>
      </w:r>
    </w:p>
    <w:p w14:paraId="0A804C41" w14:textId="77777777" w:rsidR="00C35511" w:rsidRPr="0036558D" w:rsidRDefault="00000000" w:rsidP="0036558D">
      <w:pPr>
        <w:rPr>
          <w:rFonts w:asciiTheme="majorHAnsi" w:hAnsiTheme="majorHAnsi" w:cstheme="majorHAnsi"/>
        </w:rPr>
      </w:pPr>
      <w:proofErr w:type="spellStart"/>
      <w:r w:rsidRPr="0036558D">
        <w:rPr>
          <w:rFonts w:asciiTheme="majorHAnsi" w:hAnsiTheme="majorHAnsi" w:cstheme="majorHAnsi"/>
        </w:rPr>
        <w:t>Mijwil</w:t>
      </w:r>
      <w:proofErr w:type="spellEnd"/>
      <w:r w:rsidRPr="0036558D">
        <w:rPr>
          <w:rFonts w:asciiTheme="majorHAnsi" w:hAnsiTheme="majorHAnsi" w:cstheme="majorHAnsi"/>
        </w:rPr>
        <w:t xml:space="preserve">, M., Aljanabi, M. and Ali, A.H., 2023. ChatGPT: exploring the role of cybersecurity in the protection of medical information. Mesopotamian journal of cybersecurity, 2023, pp.18-21. </w:t>
      </w:r>
      <w:hyperlink r:id="rId37">
        <w:r w:rsidR="00C35511" w:rsidRPr="0036558D">
          <w:rPr>
            <w:rFonts w:asciiTheme="majorHAnsi" w:hAnsiTheme="majorHAnsi" w:cstheme="majorHAnsi"/>
            <w:u w:val="single"/>
          </w:rPr>
          <w:t>https://journals.mesopotamian.press/index.php/CyberSecurity/article/download/29/52</w:t>
        </w:r>
      </w:hyperlink>
    </w:p>
    <w:p w14:paraId="76FA2118" w14:textId="77777777" w:rsidR="00C35511" w:rsidRPr="0036558D" w:rsidRDefault="00000000" w:rsidP="0036558D">
      <w:pPr>
        <w:rPr>
          <w:rFonts w:asciiTheme="majorHAnsi" w:hAnsiTheme="majorHAnsi" w:cstheme="majorHAnsi"/>
        </w:rPr>
      </w:pPr>
      <w:proofErr w:type="spellStart"/>
      <w:r w:rsidRPr="0036558D">
        <w:rPr>
          <w:rFonts w:asciiTheme="majorHAnsi" w:hAnsiTheme="majorHAnsi" w:cstheme="majorHAnsi"/>
        </w:rPr>
        <w:t>Mijwil</w:t>
      </w:r>
      <w:proofErr w:type="spellEnd"/>
      <w:r w:rsidRPr="0036558D">
        <w:rPr>
          <w:rFonts w:asciiTheme="majorHAnsi" w:hAnsiTheme="majorHAnsi" w:cstheme="majorHAnsi"/>
        </w:rPr>
        <w:t xml:space="preserve">, M., </w:t>
      </w:r>
      <w:proofErr w:type="spellStart"/>
      <w:r w:rsidRPr="0036558D">
        <w:rPr>
          <w:rFonts w:asciiTheme="majorHAnsi" w:hAnsiTheme="majorHAnsi" w:cstheme="majorHAnsi"/>
        </w:rPr>
        <w:t>Unogwu</w:t>
      </w:r>
      <w:proofErr w:type="spellEnd"/>
      <w:r w:rsidRPr="0036558D">
        <w:rPr>
          <w:rFonts w:asciiTheme="majorHAnsi" w:hAnsiTheme="majorHAnsi" w:cstheme="majorHAnsi"/>
        </w:rPr>
        <w:t xml:space="preserve">, O.J., Filali, Y. and Bala, I., 2023. Exploring the top five evolving threats in cybersecurity: An in-depth overview. Mesopotamian journal of cybersecurity, 3(1), pp.57-63. </w:t>
      </w:r>
      <w:hyperlink r:id="rId38">
        <w:r w:rsidR="00C35511" w:rsidRPr="0036558D">
          <w:rPr>
            <w:rFonts w:asciiTheme="majorHAnsi" w:hAnsiTheme="majorHAnsi" w:cstheme="majorHAnsi"/>
            <w:u w:val="single"/>
          </w:rPr>
          <w:t>https://www.academia.edu/download/110625489/10.pdf_filename_UTF-810.pdf</w:t>
        </w:r>
      </w:hyperlink>
    </w:p>
    <w:p w14:paraId="74D47A7F"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Roshanaei, M., Khan, M.R. and Sylvester, N.N., 2024. Enhancing cybersecurity through AI and ML: Strategies, challenges, and future directions. Journal of Information Security, 15(3), pp.320-339. </w:t>
      </w:r>
      <w:hyperlink r:id="rId39">
        <w:r w:rsidR="00C35511" w:rsidRPr="0036558D">
          <w:rPr>
            <w:rFonts w:asciiTheme="majorHAnsi" w:hAnsiTheme="majorHAnsi" w:cstheme="majorHAnsi"/>
            <w:u w:val="single"/>
          </w:rPr>
          <w:t>https://www.scirp.net/pdf/jis2024153_37801018.pdf</w:t>
        </w:r>
      </w:hyperlink>
    </w:p>
    <w:p w14:paraId="166C3FD1" w14:textId="77777777" w:rsidR="00C35511" w:rsidRPr="0036558D" w:rsidRDefault="00000000" w:rsidP="0036558D">
      <w:pPr>
        <w:rPr>
          <w:rFonts w:asciiTheme="majorHAnsi" w:hAnsiTheme="majorHAnsi" w:cstheme="majorHAnsi"/>
        </w:rPr>
      </w:pPr>
      <w:proofErr w:type="spellStart"/>
      <w:r w:rsidRPr="0036558D">
        <w:rPr>
          <w:rFonts w:asciiTheme="majorHAnsi" w:hAnsiTheme="majorHAnsi" w:cstheme="majorHAnsi"/>
        </w:rPr>
        <w:t>Sapriati</w:t>
      </w:r>
      <w:proofErr w:type="spellEnd"/>
      <w:r w:rsidRPr="0036558D">
        <w:rPr>
          <w:rFonts w:asciiTheme="majorHAnsi" w:hAnsiTheme="majorHAnsi" w:cstheme="majorHAnsi"/>
        </w:rPr>
        <w:t xml:space="preserve">, A., </w:t>
      </w:r>
      <w:proofErr w:type="spellStart"/>
      <w:r w:rsidRPr="0036558D">
        <w:rPr>
          <w:rFonts w:asciiTheme="majorHAnsi" w:hAnsiTheme="majorHAnsi" w:cstheme="majorHAnsi"/>
        </w:rPr>
        <w:t>Suhandoko</w:t>
      </w:r>
      <w:proofErr w:type="spellEnd"/>
      <w:r w:rsidRPr="0036558D">
        <w:rPr>
          <w:rFonts w:asciiTheme="majorHAnsi" w:hAnsiTheme="majorHAnsi" w:cstheme="majorHAnsi"/>
        </w:rPr>
        <w:t xml:space="preserve">, A.D.J., </w:t>
      </w:r>
      <w:proofErr w:type="spellStart"/>
      <w:r w:rsidRPr="0036558D">
        <w:rPr>
          <w:rFonts w:asciiTheme="majorHAnsi" w:hAnsiTheme="majorHAnsi" w:cstheme="majorHAnsi"/>
        </w:rPr>
        <w:t>Yundayani</w:t>
      </w:r>
      <w:proofErr w:type="spellEnd"/>
      <w:r w:rsidRPr="0036558D">
        <w:rPr>
          <w:rFonts w:asciiTheme="majorHAnsi" w:hAnsiTheme="majorHAnsi" w:cstheme="majorHAnsi"/>
        </w:rPr>
        <w:t xml:space="preserve">, A., Karim, R.A., </w:t>
      </w:r>
      <w:proofErr w:type="spellStart"/>
      <w:r w:rsidRPr="0036558D">
        <w:rPr>
          <w:rFonts w:asciiTheme="majorHAnsi" w:hAnsiTheme="majorHAnsi" w:cstheme="majorHAnsi"/>
        </w:rPr>
        <w:t>Kusmawan</w:t>
      </w:r>
      <w:proofErr w:type="spellEnd"/>
      <w:r w:rsidRPr="0036558D">
        <w:rPr>
          <w:rFonts w:asciiTheme="majorHAnsi" w:hAnsiTheme="majorHAnsi" w:cstheme="majorHAnsi"/>
        </w:rPr>
        <w:t xml:space="preserve">, U., Mohd Adnan, A.H. and </w:t>
      </w:r>
      <w:proofErr w:type="spellStart"/>
      <w:r w:rsidRPr="0036558D">
        <w:rPr>
          <w:rFonts w:asciiTheme="majorHAnsi" w:hAnsiTheme="majorHAnsi" w:cstheme="majorHAnsi"/>
        </w:rPr>
        <w:t>Suhandoko</w:t>
      </w:r>
      <w:proofErr w:type="spellEnd"/>
      <w:r w:rsidRPr="0036558D">
        <w:rPr>
          <w:rFonts w:asciiTheme="majorHAnsi" w:hAnsiTheme="majorHAnsi" w:cstheme="majorHAnsi"/>
        </w:rPr>
        <w:t xml:space="preserve">, A.A., 2023. The effect of virtual laboratories on improving students’ SRL: an umbrella systematic review. </w:t>
      </w:r>
      <w:r w:rsidRPr="0036558D">
        <w:rPr>
          <w:rFonts w:asciiTheme="majorHAnsi" w:hAnsiTheme="majorHAnsi" w:cstheme="majorHAnsi"/>
          <w:i/>
          <w:iCs/>
        </w:rPr>
        <w:t>Education sciences</w:t>
      </w:r>
      <w:r w:rsidRPr="0036558D">
        <w:rPr>
          <w:rFonts w:asciiTheme="majorHAnsi" w:hAnsiTheme="majorHAnsi" w:cstheme="majorHAnsi"/>
        </w:rPr>
        <w:t xml:space="preserve">, </w:t>
      </w:r>
      <w:r w:rsidRPr="0036558D">
        <w:rPr>
          <w:rFonts w:asciiTheme="majorHAnsi" w:hAnsiTheme="majorHAnsi" w:cstheme="majorHAnsi"/>
          <w:i/>
          <w:iCs/>
        </w:rPr>
        <w:t>13</w:t>
      </w:r>
      <w:r w:rsidRPr="0036558D">
        <w:rPr>
          <w:rFonts w:asciiTheme="majorHAnsi" w:hAnsiTheme="majorHAnsi" w:cstheme="majorHAnsi"/>
        </w:rPr>
        <w:t>(3), p.222.</w:t>
      </w:r>
      <w:hyperlink r:id="rId40">
        <w:r w:rsidR="00C35511" w:rsidRPr="0036558D">
          <w:rPr>
            <w:rFonts w:asciiTheme="majorHAnsi" w:hAnsiTheme="majorHAnsi" w:cstheme="majorHAnsi"/>
            <w:u w:val="single"/>
          </w:rPr>
          <w:t>https://www.mdpi.com/2227-7102/13/3/222</w:t>
        </w:r>
      </w:hyperlink>
      <w:r w:rsidRPr="0036558D">
        <w:rPr>
          <w:rFonts w:asciiTheme="majorHAnsi" w:hAnsiTheme="majorHAnsi" w:cstheme="majorHAnsi"/>
        </w:rPr>
        <w:t xml:space="preserve"> </w:t>
      </w:r>
    </w:p>
    <w:p w14:paraId="51D8FB22"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Sharif, M.H.U. and Mohammed, M.A., 2022. A literature review of financial losses statistics for cyber security and future trend. World Journal of Advanced Research and Reviews, 15(1), pp.138-156. </w:t>
      </w:r>
      <w:hyperlink r:id="rId41">
        <w:r w:rsidR="00C35511" w:rsidRPr="0036558D">
          <w:rPr>
            <w:rFonts w:asciiTheme="majorHAnsi" w:hAnsiTheme="majorHAnsi" w:cstheme="majorHAnsi"/>
            <w:u w:val="single"/>
          </w:rPr>
          <w:t>https://www.researchgate.net/profile/Md-Haris-Sharif/publication/362363620_A_literature_review_of_financial_losses_statistics_for_cyber_security_and_future_trend/links/62edad4f505511283e94b5ed/A-literature-review-of-financial-losses-statistics-for-cyber-security-and-future-trend.pdf</w:t>
        </w:r>
      </w:hyperlink>
    </w:p>
    <w:p w14:paraId="0C2728C3"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Sommervoll, Å.Å., Erdődi, L. and </w:t>
      </w:r>
      <w:proofErr w:type="spellStart"/>
      <w:r w:rsidRPr="0036558D">
        <w:rPr>
          <w:rFonts w:asciiTheme="majorHAnsi" w:hAnsiTheme="majorHAnsi" w:cstheme="majorHAnsi"/>
        </w:rPr>
        <w:t>Zennaro</w:t>
      </w:r>
      <w:proofErr w:type="spellEnd"/>
      <w:r w:rsidRPr="0036558D">
        <w:rPr>
          <w:rFonts w:asciiTheme="majorHAnsi" w:hAnsiTheme="majorHAnsi" w:cstheme="majorHAnsi"/>
        </w:rPr>
        <w:t xml:space="preserve">, F.M., 2024. Simulating all archetypes of SQL injection vulnerability exploitation using reinforcement learning agents: ÅÅ Sommervoll et al. </w:t>
      </w:r>
      <w:r w:rsidRPr="0036558D">
        <w:rPr>
          <w:rFonts w:asciiTheme="majorHAnsi" w:hAnsiTheme="majorHAnsi" w:cstheme="majorHAnsi"/>
          <w:i/>
          <w:iCs/>
        </w:rPr>
        <w:lastRenderedPageBreak/>
        <w:t>International Journal of Information Security</w:t>
      </w:r>
      <w:r w:rsidRPr="0036558D">
        <w:rPr>
          <w:rFonts w:asciiTheme="majorHAnsi" w:hAnsiTheme="majorHAnsi" w:cstheme="majorHAnsi"/>
        </w:rPr>
        <w:t xml:space="preserve">, </w:t>
      </w:r>
      <w:r w:rsidRPr="0036558D">
        <w:rPr>
          <w:rFonts w:asciiTheme="majorHAnsi" w:hAnsiTheme="majorHAnsi" w:cstheme="majorHAnsi"/>
          <w:i/>
          <w:iCs/>
        </w:rPr>
        <w:t>23</w:t>
      </w:r>
      <w:r w:rsidRPr="0036558D">
        <w:rPr>
          <w:rFonts w:asciiTheme="majorHAnsi" w:hAnsiTheme="majorHAnsi" w:cstheme="majorHAnsi"/>
        </w:rPr>
        <w:t>(1), pp.225-246.</w:t>
      </w:r>
      <w:hyperlink r:id="rId42">
        <w:r w:rsidR="00C35511" w:rsidRPr="0036558D">
          <w:rPr>
            <w:rFonts w:asciiTheme="majorHAnsi" w:hAnsiTheme="majorHAnsi" w:cstheme="majorHAnsi"/>
            <w:u w:val="single"/>
          </w:rPr>
          <w:t>https://link.springer.com/content/pdf/10.1007/s10207-023-00738-3.pdf</w:t>
        </w:r>
      </w:hyperlink>
      <w:r w:rsidRPr="0036558D">
        <w:rPr>
          <w:rFonts w:asciiTheme="majorHAnsi" w:hAnsiTheme="majorHAnsi" w:cstheme="majorHAnsi"/>
        </w:rPr>
        <w:t xml:space="preserve"> </w:t>
      </w:r>
    </w:p>
    <w:p w14:paraId="55537969"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Triplett, W.J., 2022. Addressing human factors in cybersecurity leadership. Journal of Cybersecurity and Privacy, 2(3), pp.573-586. </w:t>
      </w:r>
      <w:hyperlink r:id="rId43">
        <w:r w:rsidR="00C35511" w:rsidRPr="0036558D">
          <w:rPr>
            <w:rFonts w:asciiTheme="majorHAnsi" w:hAnsiTheme="majorHAnsi" w:cstheme="majorHAnsi"/>
            <w:u w:val="single"/>
          </w:rPr>
          <w:t>https://www.mdpi.com/2624-800X/2/3/29</w:t>
        </w:r>
      </w:hyperlink>
    </w:p>
    <w:p w14:paraId="7E65904D" w14:textId="77777777" w:rsidR="00C35511" w:rsidRPr="0036558D" w:rsidRDefault="00C35511" w:rsidP="0036558D">
      <w:pPr>
        <w:rPr>
          <w:rFonts w:asciiTheme="majorHAnsi" w:hAnsiTheme="majorHAnsi" w:cstheme="majorHAnsi"/>
        </w:rPr>
      </w:pPr>
    </w:p>
    <w:p w14:paraId="195DCE0A" w14:textId="77777777" w:rsidR="00C35511" w:rsidRPr="0036558D" w:rsidRDefault="00C35511" w:rsidP="0036558D">
      <w:pPr>
        <w:rPr>
          <w:rFonts w:asciiTheme="majorHAnsi" w:hAnsiTheme="majorHAnsi" w:cstheme="majorHAnsi"/>
        </w:rPr>
      </w:pPr>
    </w:p>
    <w:p w14:paraId="3EB6170C" w14:textId="77777777" w:rsidR="00C35511" w:rsidRPr="0036558D" w:rsidRDefault="00C35511" w:rsidP="0036558D">
      <w:pPr>
        <w:rPr>
          <w:rFonts w:asciiTheme="majorHAnsi" w:hAnsiTheme="majorHAnsi" w:cstheme="majorHAnsi"/>
        </w:rPr>
      </w:pPr>
    </w:p>
    <w:p w14:paraId="6A9EF0C9" w14:textId="77777777" w:rsidR="00C35511" w:rsidRPr="0036558D" w:rsidRDefault="00000000" w:rsidP="0036558D">
      <w:pPr>
        <w:pStyle w:val="Heading1"/>
        <w:rPr>
          <w:rFonts w:asciiTheme="majorHAnsi" w:hAnsiTheme="majorHAnsi" w:cstheme="majorHAnsi"/>
        </w:rPr>
      </w:pPr>
      <w:bookmarkStart w:id="28" w:name="_heading=h.v7q8aqxq1anl" w:colFirst="0" w:colLast="0"/>
      <w:bookmarkEnd w:id="28"/>
      <w:r w:rsidRPr="0036558D">
        <w:rPr>
          <w:rFonts w:asciiTheme="majorHAnsi" w:hAnsiTheme="majorHAnsi" w:cstheme="majorHAnsi"/>
        </w:rPr>
        <w:t>Appendices</w:t>
      </w:r>
    </w:p>
    <w:p w14:paraId="6E884F85" w14:textId="77777777" w:rsidR="00C35511" w:rsidRPr="0036558D" w:rsidRDefault="00000000" w:rsidP="0036558D">
      <w:pPr>
        <w:pStyle w:val="Heading2"/>
        <w:rPr>
          <w:rFonts w:asciiTheme="majorHAnsi" w:hAnsiTheme="majorHAnsi" w:cstheme="majorHAnsi"/>
        </w:rPr>
      </w:pPr>
      <w:bookmarkStart w:id="29" w:name="_heading=h.l1zbaze75wex" w:colFirst="0" w:colLast="0"/>
      <w:bookmarkEnd w:id="29"/>
      <w:r w:rsidRPr="0036558D">
        <w:rPr>
          <w:rFonts w:asciiTheme="majorHAnsi" w:hAnsiTheme="majorHAnsi" w:cstheme="majorHAnsi"/>
        </w:rPr>
        <w:t>Appendix A: Sources of Incident Timeline</w:t>
      </w:r>
    </w:p>
    <w:tbl>
      <w:tblPr>
        <w:tblStyle w:val="a9"/>
        <w:tblW w:w="9009" w:type="dxa"/>
        <w:jc w:val="center"/>
        <w:tblBorders>
          <w:top w:val="nil"/>
          <w:left w:val="nil"/>
          <w:bottom w:val="nil"/>
          <w:right w:val="nil"/>
          <w:insideH w:val="nil"/>
          <w:insideV w:val="nil"/>
        </w:tblBorders>
        <w:tblLayout w:type="fixed"/>
        <w:tblLook w:val="0600" w:firstRow="0" w:lastRow="0" w:firstColumn="0" w:lastColumn="0" w:noHBand="1" w:noVBand="1"/>
      </w:tblPr>
      <w:tblGrid>
        <w:gridCol w:w="1313"/>
        <w:gridCol w:w="2013"/>
        <w:gridCol w:w="5683"/>
      </w:tblGrid>
      <w:tr w:rsidR="00C35511" w:rsidRPr="0036558D" w14:paraId="082FFC5D" w14:textId="77777777">
        <w:trPr>
          <w:trHeight w:val="515"/>
          <w:jc w:val="center"/>
        </w:trPr>
        <w:tc>
          <w:tcPr>
            <w:tcW w:w="131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E5F8EDC"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Source</w:t>
            </w:r>
          </w:p>
        </w:tc>
        <w:tc>
          <w:tcPr>
            <w:tcW w:w="201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32F87D57"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Information Used</w:t>
            </w:r>
          </w:p>
        </w:tc>
        <w:tc>
          <w:tcPr>
            <w:tcW w:w="568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01ED5058"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URL</w:t>
            </w:r>
          </w:p>
        </w:tc>
      </w:tr>
      <w:tr w:rsidR="00C35511" w:rsidRPr="0036558D" w14:paraId="371994E6" w14:textId="77777777">
        <w:trPr>
          <w:trHeight w:val="1070"/>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F13EB3"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ICAEW</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FF2B5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Overview of the M&amp;S and Co-op cyber incidents</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F7148" w14:textId="77777777" w:rsidR="00C35511" w:rsidRPr="0036558D" w:rsidRDefault="00C35511" w:rsidP="0036558D">
            <w:pPr>
              <w:rPr>
                <w:rFonts w:asciiTheme="majorHAnsi" w:hAnsiTheme="majorHAnsi" w:cstheme="majorHAnsi"/>
              </w:rPr>
            </w:pPr>
            <w:hyperlink r:id="rId44">
              <w:r w:rsidRPr="0036558D">
                <w:rPr>
                  <w:rFonts w:asciiTheme="majorHAnsi" w:hAnsiTheme="majorHAnsi" w:cstheme="majorHAnsi"/>
                  <w:color w:val="1155CC"/>
                  <w:u w:val="single"/>
                </w:rPr>
                <w:t>https://www.icaew.com/technical/technology/webinars-and-publications/webinars/m-and-s-and-co-op-cyber-incidents</w:t>
              </w:r>
            </w:hyperlink>
          </w:p>
        </w:tc>
      </w:tr>
      <w:tr w:rsidR="00C35511" w:rsidRPr="0036558D" w14:paraId="791E1741" w14:textId="77777777">
        <w:trPr>
          <w:trHeight w:val="1355"/>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208C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Marks &amp; Spencer News</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8B97B"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Official incident updates and recovery announcements</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8053DC" w14:textId="77777777" w:rsidR="00C35511" w:rsidRPr="0036558D" w:rsidRDefault="00C35511" w:rsidP="0036558D">
            <w:pPr>
              <w:rPr>
                <w:rFonts w:asciiTheme="majorHAnsi" w:hAnsiTheme="majorHAnsi" w:cstheme="majorHAnsi"/>
              </w:rPr>
            </w:pPr>
            <w:hyperlink r:id="rId45">
              <w:r w:rsidRPr="0036558D">
                <w:rPr>
                  <w:rFonts w:asciiTheme="majorHAnsi" w:hAnsiTheme="majorHAnsi" w:cstheme="majorHAnsi"/>
                  <w:color w:val="1155CC"/>
                  <w:u w:val="single"/>
                </w:rPr>
                <w:t>https://corporate.marksandspencer.com/media</w:t>
              </w:r>
            </w:hyperlink>
          </w:p>
        </w:tc>
      </w:tr>
      <w:tr w:rsidR="00C35511" w:rsidRPr="0036558D" w14:paraId="51584C60" w14:textId="77777777">
        <w:trPr>
          <w:trHeight w:val="1355"/>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6F0E0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Co-op Newsroom</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79EE4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Official cyber incident statements and customer updates</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B7A596" w14:textId="77777777" w:rsidR="00C35511" w:rsidRPr="0036558D" w:rsidRDefault="00C35511" w:rsidP="0036558D">
            <w:pPr>
              <w:rPr>
                <w:rFonts w:asciiTheme="majorHAnsi" w:hAnsiTheme="majorHAnsi" w:cstheme="majorHAnsi"/>
              </w:rPr>
            </w:pPr>
            <w:hyperlink r:id="rId46">
              <w:r w:rsidRPr="0036558D">
                <w:rPr>
                  <w:rFonts w:asciiTheme="majorHAnsi" w:hAnsiTheme="majorHAnsi" w:cstheme="majorHAnsi"/>
                  <w:color w:val="1155CC"/>
                  <w:u w:val="single"/>
                </w:rPr>
                <w:t>https://newsroom.coop.co.uk/</w:t>
              </w:r>
            </w:hyperlink>
          </w:p>
        </w:tc>
      </w:tr>
      <w:tr w:rsidR="00C35511" w:rsidRPr="0036558D" w14:paraId="497930C7" w14:textId="77777777">
        <w:trPr>
          <w:trHeight w:val="1625"/>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6D365"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National Cyber Security Centre (NCSC)</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89F5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Ransomware guidance and cyber defence recommendations</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57152" w14:textId="77777777" w:rsidR="00C35511" w:rsidRPr="0036558D" w:rsidRDefault="00C35511" w:rsidP="0036558D">
            <w:pPr>
              <w:rPr>
                <w:rFonts w:asciiTheme="majorHAnsi" w:hAnsiTheme="majorHAnsi" w:cstheme="majorHAnsi"/>
              </w:rPr>
            </w:pPr>
            <w:hyperlink r:id="rId47">
              <w:r w:rsidRPr="0036558D">
                <w:rPr>
                  <w:rFonts w:asciiTheme="majorHAnsi" w:hAnsiTheme="majorHAnsi" w:cstheme="majorHAnsi"/>
                  <w:color w:val="1155CC"/>
                  <w:u w:val="single"/>
                </w:rPr>
                <w:t>https://www.ncsc.gov.uk/</w:t>
              </w:r>
            </w:hyperlink>
          </w:p>
        </w:tc>
      </w:tr>
      <w:tr w:rsidR="00C35511" w:rsidRPr="0036558D" w14:paraId="68B777E0" w14:textId="77777777">
        <w:trPr>
          <w:trHeight w:val="1070"/>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5121E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Computer Weekly</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8E6C1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Timeline, attack progression, and technical reporting</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49727" w14:textId="77777777" w:rsidR="00C35511" w:rsidRPr="0036558D" w:rsidRDefault="00C35511" w:rsidP="0036558D">
            <w:pPr>
              <w:rPr>
                <w:rFonts w:asciiTheme="majorHAnsi" w:hAnsiTheme="majorHAnsi" w:cstheme="majorHAnsi"/>
              </w:rPr>
            </w:pPr>
            <w:hyperlink r:id="rId48">
              <w:r w:rsidRPr="0036558D">
                <w:rPr>
                  <w:rFonts w:asciiTheme="majorHAnsi" w:hAnsiTheme="majorHAnsi" w:cstheme="majorHAnsi"/>
                  <w:color w:val="1155CC"/>
                  <w:u w:val="single"/>
                </w:rPr>
                <w:t>https://www.computerweekly.com/</w:t>
              </w:r>
            </w:hyperlink>
          </w:p>
        </w:tc>
      </w:tr>
      <w:tr w:rsidR="00C35511" w:rsidRPr="0036558D" w14:paraId="7BFCFD45" w14:textId="77777777">
        <w:trPr>
          <w:trHeight w:val="1355"/>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EBBD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BBC News</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FA184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Public reporting of operational disruption and recovery</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23375" w14:textId="77777777" w:rsidR="00C35511" w:rsidRPr="0036558D" w:rsidRDefault="00C35511" w:rsidP="0036558D">
            <w:pPr>
              <w:rPr>
                <w:rFonts w:asciiTheme="majorHAnsi" w:hAnsiTheme="majorHAnsi" w:cstheme="majorHAnsi"/>
              </w:rPr>
            </w:pPr>
            <w:hyperlink r:id="rId49">
              <w:r w:rsidRPr="0036558D">
                <w:rPr>
                  <w:rFonts w:asciiTheme="majorHAnsi" w:hAnsiTheme="majorHAnsi" w:cstheme="majorHAnsi"/>
                  <w:color w:val="1155CC"/>
                  <w:u w:val="single"/>
                </w:rPr>
                <w:t>https://www.bbc.com/news</w:t>
              </w:r>
            </w:hyperlink>
          </w:p>
        </w:tc>
      </w:tr>
      <w:tr w:rsidR="00C35511" w:rsidRPr="0036558D" w14:paraId="0763B9CB" w14:textId="77777777">
        <w:trPr>
          <w:trHeight w:val="1070"/>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8D445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Reuters</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2A1D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Incident disclosure and organisational response</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72A05" w14:textId="77777777" w:rsidR="00C35511" w:rsidRPr="0036558D" w:rsidRDefault="00C35511" w:rsidP="0036558D">
            <w:pPr>
              <w:rPr>
                <w:rFonts w:asciiTheme="majorHAnsi" w:hAnsiTheme="majorHAnsi" w:cstheme="majorHAnsi"/>
              </w:rPr>
            </w:pPr>
            <w:hyperlink r:id="rId50">
              <w:r w:rsidRPr="0036558D">
                <w:rPr>
                  <w:rFonts w:asciiTheme="majorHAnsi" w:hAnsiTheme="majorHAnsi" w:cstheme="majorHAnsi"/>
                  <w:color w:val="1155CC"/>
                  <w:u w:val="single"/>
                </w:rPr>
                <w:t>https://www.reuters.com/</w:t>
              </w:r>
            </w:hyperlink>
          </w:p>
        </w:tc>
      </w:tr>
      <w:tr w:rsidR="00C35511" w:rsidRPr="0036558D" w14:paraId="2B3EF812" w14:textId="77777777">
        <w:trPr>
          <w:trHeight w:val="1355"/>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B4829"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MITRE ATT&amp;CK Enterprise</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C1533"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Adversary tactics, techniques, and procedures mapping</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762A3C" w14:textId="77777777" w:rsidR="00C35511" w:rsidRPr="0036558D" w:rsidRDefault="00C35511" w:rsidP="0036558D">
            <w:pPr>
              <w:rPr>
                <w:rFonts w:asciiTheme="majorHAnsi" w:hAnsiTheme="majorHAnsi" w:cstheme="majorHAnsi"/>
              </w:rPr>
            </w:pPr>
            <w:hyperlink r:id="rId51">
              <w:r w:rsidRPr="0036558D">
                <w:rPr>
                  <w:rFonts w:asciiTheme="majorHAnsi" w:hAnsiTheme="majorHAnsi" w:cstheme="majorHAnsi"/>
                  <w:color w:val="1155CC"/>
                  <w:u w:val="single"/>
                </w:rPr>
                <w:t>https://attack.mitre.org/</w:t>
              </w:r>
            </w:hyperlink>
          </w:p>
        </w:tc>
      </w:tr>
      <w:tr w:rsidR="00C35511" w:rsidRPr="0036558D" w14:paraId="068FEC77" w14:textId="77777777">
        <w:trPr>
          <w:trHeight w:val="1355"/>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BF8DD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Microsoft Security</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B0B5D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MS17-010 vulnerability and ransomware guidance</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CB8F1" w14:textId="77777777" w:rsidR="00C35511" w:rsidRPr="0036558D" w:rsidRDefault="00C35511" w:rsidP="0036558D">
            <w:pPr>
              <w:rPr>
                <w:rFonts w:asciiTheme="majorHAnsi" w:hAnsiTheme="majorHAnsi" w:cstheme="majorHAnsi"/>
              </w:rPr>
            </w:pPr>
            <w:hyperlink r:id="rId52">
              <w:r w:rsidRPr="0036558D">
                <w:rPr>
                  <w:rFonts w:asciiTheme="majorHAnsi" w:hAnsiTheme="majorHAnsi" w:cstheme="majorHAnsi"/>
                  <w:color w:val="1155CC"/>
                  <w:u w:val="single"/>
                </w:rPr>
                <w:t>https://www.microsoft.com/security/blog/</w:t>
              </w:r>
            </w:hyperlink>
          </w:p>
        </w:tc>
      </w:tr>
      <w:tr w:rsidR="00C35511" w:rsidRPr="0036558D" w14:paraId="65C096C9" w14:textId="77777777">
        <w:trPr>
          <w:trHeight w:val="1355"/>
          <w:jc w:val="center"/>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6F4EE5"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MTI</w:t>
            </w:r>
          </w:p>
        </w:tc>
        <w:tc>
          <w:tcPr>
            <w:tcW w:w="2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293D6"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Industry analysis and lessons learned from the M&amp;S and Co-op attacks</w:t>
            </w:r>
          </w:p>
        </w:tc>
        <w:tc>
          <w:tcPr>
            <w:tcW w:w="5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E611E" w14:textId="77777777" w:rsidR="00C35511" w:rsidRPr="0036558D" w:rsidRDefault="00C35511" w:rsidP="0036558D">
            <w:pPr>
              <w:rPr>
                <w:rFonts w:asciiTheme="majorHAnsi" w:hAnsiTheme="majorHAnsi" w:cstheme="majorHAnsi"/>
              </w:rPr>
            </w:pPr>
            <w:hyperlink r:id="rId53">
              <w:r w:rsidRPr="0036558D">
                <w:rPr>
                  <w:rFonts w:asciiTheme="majorHAnsi" w:hAnsiTheme="majorHAnsi" w:cstheme="majorHAnsi"/>
                  <w:color w:val="1155CC"/>
                  <w:u w:val="single"/>
                </w:rPr>
                <w:t>https://mti.com/ms-and-coop-2025-cyber-attacks-lessons-learned/</w:t>
              </w:r>
            </w:hyperlink>
          </w:p>
        </w:tc>
      </w:tr>
    </w:tbl>
    <w:p w14:paraId="28658386" w14:textId="77777777" w:rsidR="00C35511" w:rsidRPr="0036558D" w:rsidRDefault="00C35511" w:rsidP="0036558D">
      <w:pPr>
        <w:rPr>
          <w:rFonts w:asciiTheme="majorHAnsi" w:hAnsiTheme="majorHAnsi" w:cstheme="majorHAnsi"/>
        </w:rPr>
      </w:pPr>
    </w:p>
    <w:p w14:paraId="597371BD" w14:textId="77777777" w:rsidR="00C35511" w:rsidRPr="0036558D" w:rsidRDefault="00000000" w:rsidP="0036558D">
      <w:pPr>
        <w:pStyle w:val="Heading2"/>
        <w:rPr>
          <w:rFonts w:asciiTheme="majorHAnsi" w:hAnsiTheme="majorHAnsi" w:cstheme="majorHAnsi"/>
        </w:rPr>
      </w:pPr>
      <w:bookmarkStart w:id="30" w:name="_heading=h.24f3te1dcp6w" w:colFirst="0" w:colLast="0"/>
      <w:bookmarkEnd w:id="30"/>
      <w:r w:rsidRPr="0036558D">
        <w:rPr>
          <w:rFonts w:asciiTheme="majorHAnsi" w:hAnsiTheme="majorHAnsi" w:cstheme="majorHAnsi"/>
        </w:rPr>
        <w:lastRenderedPageBreak/>
        <w:t>Appendix B: MITRE ATT&amp;CK Mapping</w:t>
      </w:r>
    </w:p>
    <w:tbl>
      <w:tblPr>
        <w:tblStyle w:val="aa"/>
        <w:tblW w:w="9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86"/>
        <w:gridCol w:w="2119"/>
        <w:gridCol w:w="1337"/>
        <w:gridCol w:w="3967"/>
      </w:tblGrid>
      <w:tr w:rsidR="00C35511" w:rsidRPr="0036558D" w14:paraId="5F4D3DD5" w14:textId="77777777">
        <w:trPr>
          <w:jc w:val="center"/>
        </w:trPr>
        <w:tc>
          <w:tcPr>
            <w:tcW w:w="1586" w:type="dxa"/>
            <w:shd w:val="clear" w:color="auto" w:fill="D6E3BC"/>
            <w:tcMar>
              <w:top w:w="100" w:type="dxa"/>
              <w:left w:w="100" w:type="dxa"/>
              <w:bottom w:w="100" w:type="dxa"/>
              <w:right w:w="100" w:type="dxa"/>
            </w:tcMar>
          </w:tcPr>
          <w:p w14:paraId="3CDF3321" w14:textId="77777777" w:rsidR="00C35511" w:rsidRPr="0036558D" w:rsidRDefault="00000000" w:rsidP="0036558D">
            <w:pPr>
              <w:widowControl w:val="0"/>
              <w:jc w:val="center"/>
              <w:rPr>
                <w:rFonts w:asciiTheme="majorHAnsi" w:hAnsiTheme="majorHAnsi" w:cstheme="majorHAnsi"/>
              </w:rPr>
            </w:pPr>
            <w:r w:rsidRPr="0036558D">
              <w:rPr>
                <w:rFonts w:asciiTheme="majorHAnsi" w:hAnsiTheme="majorHAnsi" w:cstheme="majorHAnsi"/>
                <w:b/>
                <w:bCs/>
              </w:rPr>
              <w:t>Attack Stage</w:t>
            </w:r>
          </w:p>
        </w:tc>
        <w:tc>
          <w:tcPr>
            <w:tcW w:w="2119" w:type="dxa"/>
            <w:shd w:val="clear" w:color="auto" w:fill="D6E3BC"/>
            <w:tcMar>
              <w:top w:w="100" w:type="dxa"/>
              <w:left w:w="100" w:type="dxa"/>
              <w:bottom w:w="100" w:type="dxa"/>
              <w:right w:w="100" w:type="dxa"/>
            </w:tcMar>
          </w:tcPr>
          <w:p w14:paraId="59B9602A" w14:textId="77777777" w:rsidR="00C35511" w:rsidRPr="0036558D" w:rsidRDefault="00000000" w:rsidP="0036558D">
            <w:pPr>
              <w:widowControl w:val="0"/>
              <w:jc w:val="center"/>
              <w:rPr>
                <w:rFonts w:asciiTheme="majorHAnsi" w:hAnsiTheme="majorHAnsi" w:cstheme="majorHAnsi"/>
              </w:rPr>
            </w:pPr>
            <w:r w:rsidRPr="0036558D">
              <w:rPr>
                <w:rFonts w:asciiTheme="majorHAnsi" w:hAnsiTheme="majorHAnsi" w:cstheme="majorHAnsi"/>
                <w:b/>
                <w:bCs/>
              </w:rPr>
              <w:t>MITRE ATT&amp;CK Technique</w:t>
            </w:r>
          </w:p>
        </w:tc>
        <w:tc>
          <w:tcPr>
            <w:tcW w:w="1337" w:type="dxa"/>
            <w:shd w:val="clear" w:color="auto" w:fill="D6E3BC"/>
            <w:tcMar>
              <w:top w:w="100" w:type="dxa"/>
              <w:left w:w="100" w:type="dxa"/>
              <w:bottom w:w="100" w:type="dxa"/>
              <w:right w:w="100" w:type="dxa"/>
            </w:tcMar>
          </w:tcPr>
          <w:p w14:paraId="37AB09AB" w14:textId="77777777" w:rsidR="00C35511" w:rsidRPr="0036558D" w:rsidRDefault="00000000" w:rsidP="0036558D">
            <w:pPr>
              <w:widowControl w:val="0"/>
              <w:jc w:val="center"/>
              <w:rPr>
                <w:rFonts w:asciiTheme="majorHAnsi" w:hAnsiTheme="majorHAnsi" w:cstheme="majorHAnsi"/>
              </w:rPr>
            </w:pPr>
            <w:r w:rsidRPr="0036558D">
              <w:rPr>
                <w:rFonts w:asciiTheme="majorHAnsi" w:hAnsiTheme="majorHAnsi" w:cstheme="majorHAnsi"/>
                <w:b/>
                <w:bCs/>
              </w:rPr>
              <w:t>ATT&amp;CK ID</w:t>
            </w:r>
          </w:p>
        </w:tc>
        <w:tc>
          <w:tcPr>
            <w:tcW w:w="3967" w:type="dxa"/>
            <w:shd w:val="clear" w:color="auto" w:fill="D6E3BC"/>
            <w:tcMar>
              <w:top w:w="100" w:type="dxa"/>
              <w:left w:w="100" w:type="dxa"/>
              <w:bottom w:w="100" w:type="dxa"/>
              <w:right w:w="100" w:type="dxa"/>
            </w:tcMar>
          </w:tcPr>
          <w:p w14:paraId="379EB9DE" w14:textId="77777777" w:rsidR="00C35511" w:rsidRPr="0036558D" w:rsidRDefault="00000000" w:rsidP="0036558D">
            <w:pPr>
              <w:widowControl w:val="0"/>
              <w:jc w:val="center"/>
              <w:rPr>
                <w:rFonts w:asciiTheme="majorHAnsi" w:hAnsiTheme="majorHAnsi" w:cstheme="majorHAnsi"/>
              </w:rPr>
            </w:pPr>
            <w:r w:rsidRPr="0036558D">
              <w:rPr>
                <w:rFonts w:asciiTheme="majorHAnsi" w:hAnsiTheme="majorHAnsi" w:cstheme="majorHAnsi"/>
                <w:b/>
                <w:bCs/>
              </w:rPr>
              <w:t>Relevance to the Incident</w:t>
            </w:r>
          </w:p>
        </w:tc>
      </w:tr>
      <w:tr w:rsidR="00C35511" w:rsidRPr="0036558D" w14:paraId="21C963A4" w14:textId="77777777">
        <w:trPr>
          <w:jc w:val="center"/>
        </w:trPr>
        <w:tc>
          <w:tcPr>
            <w:tcW w:w="1586" w:type="dxa"/>
            <w:tcMar>
              <w:top w:w="100" w:type="dxa"/>
              <w:left w:w="100" w:type="dxa"/>
              <w:bottom w:w="100" w:type="dxa"/>
              <w:right w:w="100" w:type="dxa"/>
            </w:tcMar>
          </w:tcPr>
          <w:p w14:paraId="3149F975"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Initial Access</w:t>
            </w:r>
          </w:p>
        </w:tc>
        <w:tc>
          <w:tcPr>
            <w:tcW w:w="2119" w:type="dxa"/>
            <w:tcMar>
              <w:top w:w="100" w:type="dxa"/>
              <w:left w:w="100" w:type="dxa"/>
              <w:bottom w:w="100" w:type="dxa"/>
              <w:right w:w="100" w:type="dxa"/>
            </w:tcMar>
          </w:tcPr>
          <w:p w14:paraId="7DF3D89D" w14:textId="77777777" w:rsidR="00C35511" w:rsidRPr="0036558D" w:rsidRDefault="00000000" w:rsidP="0036558D">
            <w:pPr>
              <w:widowControl w:val="0"/>
              <w:jc w:val="left"/>
              <w:rPr>
                <w:rFonts w:asciiTheme="majorHAnsi" w:hAnsiTheme="majorHAnsi" w:cstheme="majorHAnsi"/>
              </w:rPr>
            </w:pPr>
            <w:proofErr w:type="spellStart"/>
            <w:r w:rsidRPr="0036558D">
              <w:rPr>
                <w:rFonts w:asciiTheme="majorHAnsi" w:hAnsiTheme="majorHAnsi" w:cstheme="majorHAnsi"/>
              </w:rPr>
              <w:t>Spearphishing</w:t>
            </w:r>
            <w:proofErr w:type="spellEnd"/>
            <w:r w:rsidRPr="0036558D">
              <w:rPr>
                <w:rFonts w:asciiTheme="majorHAnsi" w:hAnsiTheme="majorHAnsi" w:cstheme="majorHAnsi"/>
              </w:rPr>
              <w:t xml:space="preserve"> Attachment</w:t>
            </w:r>
          </w:p>
        </w:tc>
        <w:tc>
          <w:tcPr>
            <w:tcW w:w="1337" w:type="dxa"/>
            <w:tcMar>
              <w:top w:w="100" w:type="dxa"/>
              <w:left w:w="100" w:type="dxa"/>
              <w:bottom w:w="100" w:type="dxa"/>
              <w:right w:w="100" w:type="dxa"/>
            </w:tcMar>
          </w:tcPr>
          <w:p w14:paraId="0EC9FA72"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T1566.001</w:t>
            </w:r>
          </w:p>
        </w:tc>
        <w:tc>
          <w:tcPr>
            <w:tcW w:w="3967" w:type="dxa"/>
            <w:tcMar>
              <w:top w:w="100" w:type="dxa"/>
              <w:left w:w="100" w:type="dxa"/>
              <w:bottom w:w="100" w:type="dxa"/>
              <w:right w:w="100" w:type="dxa"/>
            </w:tcMar>
          </w:tcPr>
          <w:p w14:paraId="7599A12E"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Targeted phishing messages were used to obtain employee credentials and establish the initial foothold.</w:t>
            </w:r>
          </w:p>
        </w:tc>
      </w:tr>
      <w:tr w:rsidR="00C35511" w:rsidRPr="0036558D" w14:paraId="0E31243A" w14:textId="77777777">
        <w:trPr>
          <w:jc w:val="center"/>
        </w:trPr>
        <w:tc>
          <w:tcPr>
            <w:tcW w:w="1586" w:type="dxa"/>
            <w:tcMar>
              <w:top w:w="100" w:type="dxa"/>
              <w:left w:w="100" w:type="dxa"/>
              <w:bottom w:w="100" w:type="dxa"/>
              <w:right w:w="100" w:type="dxa"/>
            </w:tcMar>
          </w:tcPr>
          <w:p w14:paraId="46003CDB"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Execution</w:t>
            </w:r>
          </w:p>
        </w:tc>
        <w:tc>
          <w:tcPr>
            <w:tcW w:w="2119" w:type="dxa"/>
            <w:tcMar>
              <w:top w:w="100" w:type="dxa"/>
              <w:left w:w="100" w:type="dxa"/>
              <w:bottom w:w="100" w:type="dxa"/>
              <w:right w:w="100" w:type="dxa"/>
            </w:tcMar>
          </w:tcPr>
          <w:p w14:paraId="122B72D5"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PowerShell</w:t>
            </w:r>
          </w:p>
        </w:tc>
        <w:tc>
          <w:tcPr>
            <w:tcW w:w="1337" w:type="dxa"/>
            <w:tcMar>
              <w:top w:w="100" w:type="dxa"/>
              <w:left w:w="100" w:type="dxa"/>
              <w:bottom w:w="100" w:type="dxa"/>
              <w:right w:w="100" w:type="dxa"/>
            </w:tcMar>
          </w:tcPr>
          <w:p w14:paraId="27E0FD9E"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T1059.001</w:t>
            </w:r>
          </w:p>
        </w:tc>
        <w:tc>
          <w:tcPr>
            <w:tcW w:w="3967" w:type="dxa"/>
            <w:tcMar>
              <w:top w:w="100" w:type="dxa"/>
              <w:left w:w="100" w:type="dxa"/>
              <w:bottom w:w="100" w:type="dxa"/>
              <w:right w:w="100" w:type="dxa"/>
            </w:tcMar>
          </w:tcPr>
          <w:p w14:paraId="7D6E5EA0"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Script-based execution enabled malicious commands to run on compromised systems.</w:t>
            </w:r>
          </w:p>
        </w:tc>
      </w:tr>
      <w:tr w:rsidR="00C35511" w:rsidRPr="0036558D" w14:paraId="1D130147" w14:textId="77777777">
        <w:trPr>
          <w:jc w:val="center"/>
        </w:trPr>
        <w:tc>
          <w:tcPr>
            <w:tcW w:w="1586" w:type="dxa"/>
            <w:tcMar>
              <w:top w:w="100" w:type="dxa"/>
              <w:left w:w="100" w:type="dxa"/>
              <w:bottom w:w="100" w:type="dxa"/>
              <w:right w:w="100" w:type="dxa"/>
            </w:tcMar>
          </w:tcPr>
          <w:p w14:paraId="0E47818A"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Persistence</w:t>
            </w:r>
          </w:p>
        </w:tc>
        <w:tc>
          <w:tcPr>
            <w:tcW w:w="2119" w:type="dxa"/>
            <w:tcMar>
              <w:top w:w="100" w:type="dxa"/>
              <w:left w:w="100" w:type="dxa"/>
              <w:bottom w:w="100" w:type="dxa"/>
              <w:right w:w="100" w:type="dxa"/>
            </w:tcMar>
          </w:tcPr>
          <w:p w14:paraId="68415503"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Valid Accounts</w:t>
            </w:r>
          </w:p>
        </w:tc>
        <w:tc>
          <w:tcPr>
            <w:tcW w:w="1337" w:type="dxa"/>
            <w:tcMar>
              <w:top w:w="100" w:type="dxa"/>
              <w:left w:w="100" w:type="dxa"/>
              <w:bottom w:w="100" w:type="dxa"/>
              <w:right w:w="100" w:type="dxa"/>
            </w:tcMar>
          </w:tcPr>
          <w:p w14:paraId="2D6731AD"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T1078</w:t>
            </w:r>
          </w:p>
        </w:tc>
        <w:tc>
          <w:tcPr>
            <w:tcW w:w="3967" w:type="dxa"/>
            <w:tcMar>
              <w:top w:w="100" w:type="dxa"/>
              <w:left w:w="100" w:type="dxa"/>
              <w:bottom w:w="100" w:type="dxa"/>
              <w:right w:w="100" w:type="dxa"/>
            </w:tcMar>
          </w:tcPr>
          <w:p w14:paraId="6AE98EAA"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Stolen credentials were reused to maintain access while appearing as legitimate user activity.</w:t>
            </w:r>
          </w:p>
        </w:tc>
      </w:tr>
      <w:tr w:rsidR="00C35511" w:rsidRPr="0036558D" w14:paraId="0BD0D53D" w14:textId="77777777">
        <w:trPr>
          <w:jc w:val="center"/>
        </w:trPr>
        <w:tc>
          <w:tcPr>
            <w:tcW w:w="1586" w:type="dxa"/>
            <w:tcMar>
              <w:top w:w="100" w:type="dxa"/>
              <w:left w:w="100" w:type="dxa"/>
              <w:bottom w:w="100" w:type="dxa"/>
              <w:right w:w="100" w:type="dxa"/>
            </w:tcMar>
          </w:tcPr>
          <w:p w14:paraId="7D24BB75"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Privilege Escalation</w:t>
            </w:r>
          </w:p>
        </w:tc>
        <w:tc>
          <w:tcPr>
            <w:tcW w:w="2119" w:type="dxa"/>
            <w:tcMar>
              <w:top w:w="100" w:type="dxa"/>
              <w:left w:w="100" w:type="dxa"/>
              <w:bottom w:w="100" w:type="dxa"/>
              <w:right w:w="100" w:type="dxa"/>
            </w:tcMar>
          </w:tcPr>
          <w:p w14:paraId="05388054"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Exploitation for Privilege Escalation</w:t>
            </w:r>
          </w:p>
        </w:tc>
        <w:tc>
          <w:tcPr>
            <w:tcW w:w="1337" w:type="dxa"/>
            <w:tcMar>
              <w:top w:w="100" w:type="dxa"/>
              <w:left w:w="100" w:type="dxa"/>
              <w:bottom w:w="100" w:type="dxa"/>
              <w:right w:w="100" w:type="dxa"/>
            </w:tcMar>
          </w:tcPr>
          <w:p w14:paraId="639FBDB4"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T1068</w:t>
            </w:r>
          </w:p>
        </w:tc>
        <w:tc>
          <w:tcPr>
            <w:tcW w:w="3967" w:type="dxa"/>
            <w:tcMar>
              <w:top w:w="100" w:type="dxa"/>
              <w:left w:w="100" w:type="dxa"/>
              <w:bottom w:w="100" w:type="dxa"/>
              <w:right w:w="100" w:type="dxa"/>
            </w:tcMar>
          </w:tcPr>
          <w:p w14:paraId="023D7C29"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Attackers elevated privileges after gaining initial access to critical infrastructure.</w:t>
            </w:r>
          </w:p>
        </w:tc>
      </w:tr>
      <w:tr w:rsidR="00C35511" w:rsidRPr="0036558D" w14:paraId="6716965E" w14:textId="77777777">
        <w:trPr>
          <w:jc w:val="center"/>
        </w:trPr>
        <w:tc>
          <w:tcPr>
            <w:tcW w:w="1586" w:type="dxa"/>
            <w:tcMar>
              <w:top w:w="100" w:type="dxa"/>
              <w:left w:w="100" w:type="dxa"/>
              <w:bottom w:w="100" w:type="dxa"/>
              <w:right w:w="100" w:type="dxa"/>
            </w:tcMar>
          </w:tcPr>
          <w:p w14:paraId="65913C4F"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Discovery</w:t>
            </w:r>
          </w:p>
        </w:tc>
        <w:tc>
          <w:tcPr>
            <w:tcW w:w="2119" w:type="dxa"/>
            <w:tcMar>
              <w:top w:w="100" w:type="dxa"/>
              <w:left w:w="100" w:type="dxa"/>
              <w:bottom w:w="100" w:type="dxa"/>
              <w:right w:w="100" w:type="dxa"/>
            </w:tcMar>
          </w:tcPr>
          <w:p w14:paraId="0FC3878C"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System Information Discovery</w:t>
            </w:r>
          </w:p>
        </w:tc>
        <w:tc>
          <w:tcPr>
            <w:tcW w:w="1337" w:type="dxa"/>
            <w:tcMar>
              <w:top w:w="100" w:type="dxa"/>
              <w:left w:w="100" w:type="dxa"/>
              <w:bottom w:w="100" w:type="dxa"/>
              <w:right w:w="100" w:type="dxa"/>
            </w:tcMar>
          </w:tcPr>
          <w:p w14:paraId="5B33BCC8"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T1082</w:t>
            </w:r>
          </w:p>
        </w:tc>
        <w:tc>
          <w:tcPr>
            <w:tcW w:w="3967" w:type="dxa"/>
            <w:tcMar>
              <w:top w:w="100" w:type="dxa"/>
              <w:left w:w="100" w:type="dxa"/>
              <w:bottom w:w="100" w:type="dxa"/>
              <w:right w:w="100" w:type="dxa"/>
            </w:tcMar>
          </w:tcPr>
          <w:p w14:paraId="6ADE23F6"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Internal reconnaissance identified operating systems, services, and valuable assets.</w:t>
            </w:r>
          </w:p>
        </w:tc>
      </w:tr>
      <w:tr w:rsidR="00C35511" w:rsidRPr="0036558D" w14:paraId="3FD4B52A" w14:textId="77777777">
        <w:trPr>
          <w:jc w:val="center"/>
        </w:trPr>
        <w:tc>
          <w:tcPr>
            <w:tcW w:w="1586" w:type="dxa"/>
            <w:tcMar>
              <w:top w:w="100" w:type="dxa"/>
              <w:left w:w="100" w:type="dxa"/>
              <w:bottom w:w="100" w:type="dxa"/>
              <w:right w:w="100" w:type="dxa"/>
            </w:tcMar>
          </w:tcPr>
          <w:p w14:paraId="689373AE"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Discovery</w:t>
            </w:r>
          </w:p>
        </w:tc>
        <w:tc>
          <w:tcPr>
            <w:tcW w:w="2119" w:type="dxa"/>
            <w:tcMar>
              <w:top w:w="100" w:type="dxa"/>
              <w:left w:w="100" w:type="dxa"/>
              <w:bottom w:w="100" w:type="dxa"/>
              <w:right w:w="100" w:type="dxa"/>
            </w:tcMar>
          </w:tcPr>
          <w:p w14:paraId="7BC9CAC0"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Network Service Scanning</w:t>
            </w:r>
          </w:p>
        </w:tc>
        <w:tc>
          <w:tcPr>
            <w:tcW w:w="1337" w:type="dxa"/>
            <w:tcMar>
              <w:top w:w="100" w:type="dxa"/>
              <w:left w:w="100" w:type="dxa"/>
              <w:bottom w:w="100" w:type="dxa"/>
              <w:right w:w="100" w:type="dxa"/>
            </w:tcMar>
          </w:tcPr>
          <w:p w14:paraId="07742136"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T1046</w:t>
            </w:r>
          </w:p>
        </w:tc>
        <w:tc>
          <w:tcPr>
            <w:tcW w:w="3967" w:type="dxa"/>
            <w:tcMar>
              <w:top w:w="100" w:type="dxa"/>
              <w:left w:w="100" w:type="dxa"/>
              <w:bottom w:w="100" w:type="dxa"/>
              <w:right w:w="100" w:type="dxa"/>
            </w:tcMar>
          </w:tcPr>
          <w:p w14:paraId="0D2AD908"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Network services were enumerated to identify additional targets within the enterprise environment.</w:t>
            </w:r>
          </w:p>
        </w:tc>
      </w:tr>
      <w:tr w:rsidR="00C35511" w:rsidRPr="0036558D" w14:paraId="7460955D" w14:textId="77777777">
        <w:trPr>
          <w:jc w:val="center"/>
        </w:trPr>
        <w:tc>
          <w:tcPr>
            <w:tcW w:w="1586" w:type="dxa"/>
            <w:tcMar>
              <w:top w:w="100" w:type="dxa"/>
              <w:left w:w="100" w:type="dxa"/>
              <w:bottom w:w="100" w:type="dxa"/>
              <w:right w:w="100" w:type="dxa"/>
            </w:tcMar>
          </w:tcPr>
          <w:p w14:paraId="5E36DB02"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Credential Access</w:t>
            </w:r>
          </w:p>
        </w:tc>
        <w:tc>
          <w:tcPr>
            <w:tcW w:w="2119" w:type="dxa"/>
            <w:tcMar>
              <w:top w:w="100" w:type="dxa"/>
              <w:left w:w="100" w:type="dxa"/>
              <w:bottom w:w="100" w:type="dxa"/>
              <w:right w:w="100" w:type="dxa"/>
            </w:tcMar>
          </w:tcPr>
          <w:p w14:paraId="797CB1E4"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OS Credential Dumping</w:t>
            </w:r>
          </w:p>
        </w:tc>
        <w:tc>
          <w:tcPr>
            <w:tcW w:w="1337" w:type="dxa"/>
            <w:tcMar>
              <w:top w:w="100" w:type="dxa"/>
              <w:left w:w="100" w:type="dxa"/>
              <w:bottom w:w="100" w:type="dxa"/>
              <w:right w:w="100" w:type="dxa"/>
            </w:tcMar>
          </w:tcPr>
          <w:p w14:paraId="3FC173AF"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T1003</w:t>
            </w:r>
          </w:p>
        </w:tc>
        <w:tc>
          <w:tcPr>
            <w:tcW w:w="3967" w:type="dxa"/>
            <w:tcMar>
              <w:top w:w="100" w:type="dxa"/>
              <w:left w:w="100" w:type="dxa"/>
              <w:bottom w:w="100" w:type="dxa"/>
              <w:right w:w="100" w:type="dxa"/>
            </w:tcMar>
          </w:tcPr>
          <w:p w14:paraId="7B7FE427"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Credential stores were accessed to obtain password hashes and authentication material.</w:t>
            </w:r>
          </w:p>
        </w:tc>
      </w:tr>
      <w:tr w:rsidR="00C35511" w:rsidRPr="0036558D" w14:paraId="11AD60E2" w14:textId="77777777">
        <w:trPr>
          <w:jc w:val="center"/>
        </w:trPr>
        <w:tc>
          <w:tcPr>
            <w:tcW w:w="1586" w:type="dxa"/>
            <w:tcMar>
              <w:top w:w="100" w:type="dxa"/>
              <w:left w:w="100" w:type="dxa"/>
              <w:bottom w:w="100" w:type="dxa"/>
              <w:right w:w="100" w:type="dxa"/>
            </w:tcMar>
          </w:tcPr>
          <w:p w14:paraId="384F11E3"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Lateral Movement</w:t>
            </w:r>
          </w:p>
        </w:tc>
        <w:tc>
          <w:tcPr>
            <w:tcW w:w="2119" w:type="dxa"/>
            <w:tcMar>
              <w:top w:w="100" w:type="dxa"/>
              <w:left w:w="100" w:type="dxa"/>
              <w:bottom w:w="100" w:type="dxa"/>
              <w:right w:w="100" w:type="dxa"/>
            </w:tcMar>
          </w:tcPr>
          <w:p w14:paraId="4C6E0A1B"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Remote Services</w:t>
            </w:r>
          </w:p>
        </w:tc>
        <w:tc>
          <w:tcPr>
            <w:tcW w:w="1337" w:type="dxa"/>
            <w:tcMar>
              <w:top w:w="100" w:type="dxa"/>
              <w:left w:w="100" w:type="dxa"/>
              <w:bottom w:w="100" w:type="dxa"/>
              <w:right w:w="100" w:type="dxa"/>
            </w:tcMar>
          </w:tcPr>
          <w:p w14:paraId="34868314"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T1021</w:t>
            </w:r>
          </w:p>
        </w:tc>
        <w:tc>
          <w:tcPr>
            <w:tcW w:w="3967" w:type="dxa"/>
            <w:tcMar>
              <w:top w:w="100" w:type="dxa"/>
              <w:left w:w="100" w:type="dxa"/>
              <w:bottom w:w="100" w:type="dxa"/>
              <w:right w:w="100" w:type="dxa"/>
            </w:tcMar>
          </w:tcPr>
          <w:p w14:paraId="275F64DE"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 xml:space="preserve">Remote administration protocols facilitated movement between </w:t>
            </w:r>
            <w:r w:rsidRPr="0036558D">
              <w:rPr>
                <w:rFonts w:asciiTheme="majorHAnsi" w:hAnsiTheme="majorHAnsi" w:cstheme="majorHAnsi"/>
              </w:rPr>
              <w:lastRenderedPageBreak/>
              <w:t>interconnected systems.</w:t>
            </w:r>
          </w:p>
        </w:tc>
      </w:tr>
      <w:tr w:rsidR="00C35511" w:rsidRPr="0036558D" w14:paraId="331953B7" w14:textId="77777777">
        <w:trPr>
          <w:jc w:val="center"/>
        </w:trPr>
        <w:tc>
          <w:tcPr>
            <w:tcW w:w="1586" w:type="dxa"/>
            <w:tcMar>
              <w:top w:w="100" w:type="dxa"/>
              <w:left w:w="100" w:type="dxa"/>
              <w:bottom w:w="100" w:type="dxa"/>
              <w:right w:w="100" w:type="dxa"/>
            </w:tcMar>
          </w:tcPr>
          <w:p w14:paraId="436A7579"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lastRenderedPageBreak/>
              <w:t>Collection</w:t>
            </w:r>
          </w:p>
        </w:tc>
        <w:tc>
          <w:tcPr>
            <w:tcW w:w="2119" w:type="dxa"/>
            <w:tcMar>
              <w:top w:w="100" w:type="dxa"/>
              <w:left w:w="100" w:type="dxa"/>
              <w:bottom w:w="100" w:type="dxa"/>
              <w:right w:w="100" w:type="dxa"/>
            </w:tcMar>
          </w:tcPr>
          <w:p w14:paraId="662985B6"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Data from Local System</w:t>
            </w:r>
          </w:p>
        </w:tc>
        <w:tc>
          <w:tcPr>
            <w:tcW w:w="1337" w:type="dxa"/>
            <w:tcMar>
              <w:top w:w="100" w:type="dxa"/>
              <w:left w:w="100" w:type="dxa"/>
              <w:bottom w:w="100" w:type="dxa"/>
              <w:right w:w="100" w:type="dxa"/>
            </w:tcMar>
          </w:tcPr>
          <w:p w14:paraId="61FB8064"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T1005</w:t>
            </w:r>
          </w:p>
        </w:tc>
        <w:tc>
          <w:tcPr>
            <w:tcW w:w="3967" w:type="dxa"/>
            <w:tcMar>
              <w:top w:w="100" w:type="dxa"/>
              <w:left w:w="100" w:type="dxa"/>
              <w:bottom w:w="100" w:type="dxa"/>
              <w:right w:w="100" w:type="dxa"/>
            </w:tcMar>
          </w:tcPr>
          <w:p w14:paraId="08795E0A"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Sensitive business and customer information was gathered from compromised hosts.</w:t>
            </w:r>
          </w:p>
        </w:tc>
      </w:tr>
      <w:tr w:rsidR="00C35511" w:rsidRPr="0036558D" w14:paraId="07CF9C8F" w14:textId="77777777">
        <w:trPr>
          <w:jc w:val="center"/>
        </w:trPr>
        <w:tc>
          <w:tcPr>
            <w:tcW w:w="1586" w:type="dxa"/>
            <w:tcMar>
              <w:top w:w="100" w:type="dxa"/>
              <w:left w:w="100" w:type="dxa"/>
              <w:bottom w:w="100" w:type="dxa"/>
              <w:right w:w="100" w:type="dxa"/>
            </w:tcMar>
          </w:tcPr>
          <w:p w14:paraId="6DAD6227"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Exfiltration</w:t>
            </w:r>
          </w:p>
        </w:tc>
        <w:tc>
          <w:tcPr>
            <w:tcW w:w="2119" w:type="dxa"/>
            <w:tcMar>
              <w:top w:w="100" w:type="dxa"/>
              <w:left w:w="100" w:type="dxa"/>
              <w:bottom w:w="100" w:type="dxa"/>
              <w:right w:w="100" w:type="dxa"/>
            </w:tcMar>
          </w:tcPr>
          <w:p w14:paraId="2F9B67BB"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Exfiltration Over Web Services</w:t>
            </w:r>
          </w:p>
        </w:tc>
        <w:tc>
          <w:tcPr>
            <w:tcW w:w="1337" w:type="dxa"/>
            <w:tcMar>
              <w:top w:w="100" w:type="dxa"/>
              <w:left w:w="100" w:type="dxa"/>
              <w:bottom w:w="100" w:type="dxa"/>
              <w:right w:w="100" w:type="dxa"/>
            </w:tcMar>
          </w:tcPr>
          <w:p w14:paraId="77E74A9F"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T1567</w:t>
            </w:r>
          </w:p>
        </w:tc>
        <w:tc>
          <w:tcPr>
            <w:tcW w:w="3967" w:type="dxa"/>
            <w:tcMar>
              <w:top w:w="100" w:type="dxa"/>
              <w:left w:w="100" w:type="dxa"/>
              <w:bottom w:w="100" w:type="dxa"/>
              <w:right w:w="100" w:type="dxa"/>
            </w:tcMar>
          </w:tcPr>
          <w:p w14:paraId="7F269FDB"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Data was transferred through common web protocols to reduce the likelihood of detection.</w:t>
            </w:r>
          </w:p>
        </w:tc>
      </w:tr>
      <w:tr w:rsidR="00C35511" w:rsidRPr="0036558D" w14:paraId="197DE72C" w14:textId="77777777">
        <w:trPr>
          <w:jc w:val="center"/>
        </w:trPr>
        <w:tc>
          <w:tcPr>
            <w:tcW w:w="1586" w:type="dxa"/>
            <w:tcMar>
              <w:top w:w="100" w:type="dxa"/>
              <w:left w:w="100" w:type="dxa"/>
              <w:bottom w:w="100" w:type="dxa"/>
              <w:right w:w="100" w:type="dxa"/>
            </w:tcMar>
          </w:tcPr>
          <w:p w14:paraId="42B5C123"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Command and Control</w:t>
            </w:r>
          </w:p>
        </w:tc>
        <w:tc>
          <w:tcPr>
            <w:tcW w:w="2119" w:type="dxa"/>
            <w:tcMar>
              <w:top w:w="100" w:type="dxa"/>
              <w:left w:w="100" w:type="dxa"/>
              <w:bottom w:w="100" w:type="dxa"/>
              <w:right w:w="100" w:type="dxa"/>
            </w:tcMar>
          </w:tcPr>
          <w:p w14:paraId="51BF357A"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Application Layer Protocol</w:t>
            </w:r>
          </w:p>
        </w:tc>
        <w:tc>
          <w:tcPr>
            <w:tcW w:w="1337" w:type="dxa"/>
            <w:tcMar>
              <w:top w:w="100" w:type="dxa"/>
              <w:left w:w="100" w:type="dxa"/>
              <w:bottom w:w="100" w:type="dxa"/>
              <w:right w:w="100" w:type="dxa"/>
            </w:tcMar>
          </w:tcPr>
          <w:p w14:paraId="2F737A63"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T1071</w:t>
            </w:r>
          </w:p>
        </w:tc>
        <w:tc>
          <w:tcPr>
            <w:tcW w:w="3967" w:type="dxa"/>
            <w:tcMar>
              <w:top w:w="100" w:type="dxa"/>
              <w:left w:w="100" w:type="dxa"/>
              <w:bottom w:w="100" w:type="dxa"/>
              <w:right w:w="100" w:type="dxa"/>
            </w:tcMar>
          </w:tcPr>
          <w:p w14:paraId="7C2B0579"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Standard application protocols were used to maintain covert communications with compromised systems.</w:t>
            </w:r>
          </w:p>
        </w:tc>
      </w:tr>
      <w:tr w:rsidR="00C35511" w:rsidRPr="0036558D" w14:paraId="6B1D344C" w14:textId="77777777">
        <w:trPr>
          <w:jc w:val="center"/>
        </w:trPr>
        <w:tc>
          <w:tcPr>
            <w:tcW w:w="1586" w:type="dxa"/>
            <w:tcMar>
              <w:top w:w="100" w:type="dxa"/>
              <w:left w:w="100" w:type="dxa"/>
              <w:bottom w:w="100" w:type="dxa"/>
              <w:right w:w="100" w:type="dxa"/>
            </w:tcMar>
          </w:tcPr>
          <w:p w14:paraId="0E1A5256"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Impact</w:t>
            </w:r>
          </w:p>
        </w:tc>
        <w:tc>
          <w:tcPr>
            <w:tcW w:w="2119" w:type="dxa"/>
            <w:tcMar>
              <w:top w:w="100" w:type="dxa"/>
              <w:left w:w="100" w:type="dxa"/>
              <w:bottom w:w="100" w:type="dxa"/>
              <w:right w:w="100" w:type="dxa"/>
            </w:tcMar>
          </w:tcPr>
          <w:p w14:paraId="22D56E6F"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Data Encrypted for Impact</w:t>
            </w:r>
          </w:p>
        </w:tc>
        <w:tc>
          <w:tcPr>
            <w:tcW w:w="1337" w:type="dxa"/>
            <w:tcMar>
              <w:top w:w="100" w:type="dxa"/>
              <w:left w:w="100" w:type="dxa"/>
              <w:bottom w:w="100" w:type="dxa"/>
              <w:right w:w="100" w:type="dxa"/>
            </w:tcMar>
          </w:tcPr>
          <w:p w14:paraId="70FA4CD9"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T1486</w:t>
            </w:r>
          </w:p>
        </w:tc>
        <w:tc>
          <w:tcPr>
            <w:tcW w:w="3967" w:type="dxa"/>
            <w:tcMar>
              <w:top w:w="100" w:type="dxa"/>
              <w:left w:w="100" w:type="dxa"/>
              <w:bottom w:w="100" w:type="dxa"/>
              <w:right w:w="100" w:type="dxa"/>
            </w:tcMar>
          </w:tcPr>
          <w:p w14:paraId="4D630755" w14:textId="77777777" w:rsidR="00C35511" w:rsidRPr="0036558D" w:rsidRDefault="00000000" w:rsidP="0036558D">
            <w:pPr>
              <w:widowControl w:val="0"/>
              <w:jc w:val="left"/>
              <w:rPr>
                <w:rFonts w:asciiTheme="majorHAnsi" w:hAnsiTheme="majorHAnsi" w:cstheme="majorHAnsi"/>
              </w:rPr>
            </w:pPr>
            <w:r w:rsidRPr="0036558D">
              <w:rPr>
                <w:rFonts w:asciiTheme="majorHAnsi" w:hAnsiTheme="majorHAnsi" w:cstheme="majorHAnsi"/>
              </w:rPr>
              <w:t>Ransomware encrypted critical systems, causing operational disruption and service outage.</w:t>
            </w:r>
          </w:p>
        </w:tc>
      </w:tr>
    </w:tbl>
    <w:p w14:paraId="5A6C4171" w14:textId="77777777" w:rsidR="00C35511" w:rsidRPr="0036558D" w:rsidRDefault="00C35511" w:rsidP="0036558D">
      <w:pPr>
        <w:rPr>
          <w:rFonts w:asciiTheme="majorHAnsi" w:hAnsiTheme="majorHAnsi" w:cstheme="majorHAnsi"/>
        </w:rPr>
      </w:pPr>
    </w:p>
    <w:p w14:paraId="06177361" w14:textId="77777777" w:rsidR="00C35511" w:rsidRPr="0036558D" w:rsidRDefault="00000000" w:rsidP="0036558D">
      <w:pPr>
        <w:pStyle w:val="Heading2"/>
        <w:rPr>
          <w:rFonts w:asciiTheme="majorHAnsi" w:hAnsiTheme="majorHAnsi" w:cstheme="majorHAnsi"/>
        </w:rPr>
      </w:pPr>
      <w:bookmarkStart w:id="31" w:name="_heading=h.10jazykse1o9" w:colFirst="0" w:colLast="0"/>
      <w:bookmarkEnd w:id="31"/>
      <w:r w:rsidRPr="0036558D">
        <w:rPr>
          <w:rFonts w:asciiTheme="majorHAnsi" w:hAnsiTheme="majorHAnsi" w:cstheme="majorHAnsi"/>
        </w:rPr>
        <w:t>Appendix C: Rules of Engagement (</w:t>
      </w:r>
      <w:proofErr w:type="spellStart"/>
      <w:r w:rsidRPr="0036558D">
        <w:rPr>
          <w:rFonts w:asciiTheme="majorHAnsi" w:hAnsiTheme="majorHAnsi" w:cstheme="majorHAnsi"/>
        </w:rPr>
        <w:t>RoE</w:t>
      </w:r>
      <w:proofErr w:type="spellEnd"/>
      <w:r w:rsidRPr="0036558D">
        <w:rPr>
          <w:rFonts w:asciiTheme="majorHAnsi" w:hAnsiTheme="majorHAnsi" w:cstheme="majorHAnsi"/>
        </w:rPr>
        <w:t>)</w:t>
      </w:r>
    </w:p>
    <w:tbl>
      <w:tblPr>
        <w:tblStyle w:val="ab"/>
        <w:tblW w:w="9009" w:type="dxa"/>
        <w:jc w:val="center"/>
        <w:tblBorders>
          <w:top w:val="nil"/>
          <w:left w:val="nil"/>
          <w:bottom w:val="nil"/>
          <w:right w:val="nil"/>
          <w:insideH w:val="nil"/>
          <w:insideV w:val="nil"/>
        </w:tblBorders>
        <w:tblLayout w:type="fixed"/>
        <w:tblLook w:val="0600" w:firstRow="0" w:lastRow="0" w:firstColumn="0" w:lastColumn="0" w:noHBand="1" w:noVBand="1"/>
      </w:tblPr>
      <w:tblGrid>
        <w:gridCol w:w="2044"/>
        <w:gridCol w:w="4204"/>
        <w:gridCol w:w="2761"/>
      </w:tblGrid>
      <w:tr w:rsidR="00C35511" w:rsidRPr="0036558D" w14:paraId="3B04A842" w14:textId="77777777">
        <w:trPr>
          <w:trHeight w:val="500"/>
          <w:jc w:val="center"/>
        </w:trPr>
        <w:tc>
          <w:tcPr>
            <w:tcW w:w="2044" w:type="dxa"/>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tcPr>
          <w:p w14:paraId="4CB21639" w14:textId="77777777" w:rsidR="00C35511" w:rsidRPr="0036558D" w:rsidRDefault="00000000" w:rsidP="0036558D">
            <w:pPr>
              <w:spacing w:after="240"/>
              <w:jc w:val="center"/>
              <w:rPr>
                <w:rFonts w:asciiTheme="majorHAnsi" w:hAnsiTheme="majorHAnsi" w:cstheme="majorHAnsi"/>
                <w:b/>
                <w:bCs/>
              </w:rPr>
            </w:pPr>
            <w:proofErr w:type="spellStart"/>
            <w:r w:rsidRPr="0036558D">
              <w:rPr>
                <w:rFonts w:asciiTheme="majorHAnsi" w:hAnsiTheme="majorHAnsi" w:cstheme="majorHAnsi"/>
                <w:b/>
                <w:bCs/>
              </w:rPr>
              <w:t>RoE</w:t>
            </w:r>
            <w:proofErr w:type="spellEnd"/>
            <w:r w:rsidRPr="0036558D">
              <w:rPr>
                <w:rFonts w:asciiTheme="majorHAnsi" w:hAnsiTheme="majorHAnsi" w:cstheme="majorHAnsi"/>
                <w:b/>
                <w:bCs/>
              </w:rPr>
              <w:t xml:space="preserve"> Area</w:t>
            </w:r>
          </w:p>
        </w:tc>
        <w:tc>
          <w:tcPr>
            <w:tcW w:w="4204" w:type="dxa"/>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tcPr>
          <w:p w14:paraId="670B5535" w14:textId="77777777" w:rsidR="00C35511" w:rsidRPr="0036558D" w:rsidRDefault="00000000" w:rsidP="0036558D">
            <w:pPr>
              <w:spacing w:after="240"/>
              <w:jc w:val="center"/>
              <w:rPr>
                <w:rFonts w:asciiTheme="majorHAnsi" w:hAnsiTheme="majorHAnsi" w:cstheme="majorHAnsi"/>
                <w:b/>
                <w:bCs/>
              </w:rPr>
            </w:pPr>
            <w:r w:rsidRPr="0036558D">
              <w:rPr>
                <w:rFonts w:asciiTheme="majorHAnsi" w:hAnsiTheme="majorHAnsi" w:cstheme="majorHAnsi"/>
                <w:b/>
                <w:bCs/>
              </w:rPr>
              <w:t>Requirement</w:t>
            </w:r>
          </w:p>
        </w:tc>
        <w:tc>
          <w:tcPr>
            <w:tcW w:w="2761" w:type="dxa"/>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tcPr>
          <w:p w14:paraId="38D0BD8D" w14:textId="77777777" w:rsidR="00C35511" w:rsidRPr="0036558D" w:rsidRDefault="00000000" w:rsidP="0036558D">
            <w:pPr>
              <w:spacing w:after="240"/>
              <w:jc w:val="center"/>
              <w:rPr>
                <w:rFonts w:asciiTheme="majorHAnsi" w:hAnsiTheme="majorHAnsi" w:cstheme="majorHAnsi"/>
                <w:b/>
                <w:bCs/>
              </w:rPr>
            </w:pPr>
            <w:r w:rsidRPr="0036558D">
              <w:rPr>
                <w:rFonts w:asciiTheme="majorHAnsi" w:hAnsiTheme="majorHAnsi" w:cstheme="majorHAnsi"/>
                <w:b/>
                <w:bCs/>
              </w:rPr>
              <w:t>Purpose</w:t>
            </w:r>
          </w:p>
        </w:tc>
      </w:tr>
      <w:tr w:rsidR="00C35511" w:rsidRPr="0036558D" w14:paraId="2A4FCC6D" w14:textId="77777777">
        <w:trPr>
          <w:trHeight w:val="1055"/>
          <w:jc w:val="center"/>
        </w:trPr>
        <w:tc>
          <w:tcPr>
            <w:tcW w:w="20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7C43E"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Assessment Scope</w:t>
            </w:r>
          </w:p>
        </w:tc>
        <w:tc>
          <w:tcPr>
            <w:tcW w:w="4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F05750"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Testing is limited to the authorised virtual machines (VM-1, VM-2, and VM-3) within the isolated laboratory network.</w:t>
            </w:r>
          </w:p>
        </w:tc>
        <w:tc>
          <w:tcPr>
            <w:tcW w:w="2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527B44"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Ensures all activities remain within approved boundaries.</w:t>
            </w:r>
          </w:p>
        </w:tc>
      </w:tr>
      <w:tr w:rsidR="00C35511" w:rsidRPr="0036558D" w14:paraId="4445B72A" w14:textId="77777777">
        <w:trPr>
          <w:trHeight w:val="1055"/>
          <w:jc w:val="center"/>
        </w:trPr>
        <w:tc>
          <w:tcPr>
            <w:tcW w:w="20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23A94"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Network Isolation</w:t>
            </w:r>
          </w:p>
        </w:tc>
        <w:tc>
          <w:tcPr>
            <w:tcW w:w="4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E1676"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All systems operate on a host-only network with no external Internet connectivity during testing.</w:t>
            </w:r>
          </w:p>
        </w:tc>
        <w:tc>
          <w:tcPr>
            <w:tcW w:w="2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0666A"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Prevents unintended interaction with external systems.</w:t>
            </w:r>
          </w:p>
        </w:tc>
      </w:tr>
      <w:tr w:rsidR="00C35511" w:rsidRPr="0036558D" w14:paraId="2080F1E6" w14:textId="77777777">
        <w:trPr>
          <w:trHeight w:val="1340"/>
          <w:jc w:val="center"/>
        </w:trPr>
        <w:tc>
          <w:tcPr>
            <w:tcW w:w="20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0AB1D"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lastRenderedPageBreak/>
              <w:t>Approved Activities</w:t>
            </w:r>
          </w:p>
        </w:tc>
        <w:tc>
          <w:tcPr>
            <w:tcW w:w="4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13DBE"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Reconnaissance, vulnerability assessment, controlled exploitation, privilege escalation demonstration, and evidence collection are permitted.</w:t>
            </w:r>
          </w:p>
        </w:tc>
        <w:tc>
          <w:tcPr>
            <w:tcW w:w="2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AA836E"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Allows realistic security assessment while maintaining control.</w:t>
            </w:r>
          </w:p>
        </w:tc>
      </w:tr>
      <w:tr w:rsidR="00C35511" w:rsidRPr="0036558D" w14:paraId="03B55229" w14:textId="77777777">
        <w:trPr>
          <w:trHeight w:val="1340"/>
          <w:jc w:val="center"/>
        </w:trPr>
        <w:tc>
          <w:tcPr>
            <w:tcW w:w="20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CCBD5B"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Prohibited Activities</w:t>
            </w:r>
          </w:p>
        </w:tc>
        <w:tc>
          <w:tcPr>
            <w:tcW w:w="4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8F366"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Denial-of-service attacks, destructive payloads, persistence mechanisms, and attacks against unauthorised systems are forbidden.</w:t>
            </w:r>
          </w:p>
        </w:tc>
        <w:tc>
          <w:tcPr>
            <w:tcW w:w="2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EE5164"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Protects system availability and integrity.</w:t>
            </w:r>
          </w:p>
        </w:tc>
      </w:tr>
      <w:tr w:rsidR="00C35511" w:rsidRPr="0036558D" w14:paraId="3A62E1DA" w14:textId="77777777">
        <w:trPr>
          <w:trHeight w:val="1340"/>
          <w:jc w:val="center"/>
        </w:trPr>
        <w:tc>
          <w:tcPr>
            <w:tcW w:w="20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D976E"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Credential Handling</w:t>
            </w:r>
          </w:p>
        </w:tc>
        <w:tc>
          <w:tcPr>
            <w:tcW w:w="4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473B11"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Any credentials obtained during testing must remain within the laboratory environment and must not be reused elsewhere.</w:t>
            </w:r>
          </w:p>
        </w:tc>
        <w:tc>
          <w:tcPr>
            <w:tcW w:w="2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1C86D"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Maintains confidentiality and ethical handling of sensitive data.</w:t>
            </w:r>
          </w:p>
        </w:tc>
      </w:tr>
      <w:tr w:rsidR="00C35511" w:rsidRPr="0036558D" w14:paraId="4F093180" w14:textId="77777777">
        <w:trPr>
          <w:trHeight w:val="1055"/>
          <w:jc w:val="center"/>
        </w:trPr>
        <w:tc>
          <w:tcPr>
            <w:tcW w:w="20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7F4361"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Data Protection</w:t>
            </w:r>
          </w:p>
        </w:tc>
        <w:tc>
          <w:tcPr>
            <w:tcW w:w="4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48E29C"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Extracted files, logs, screenshots, and evidence must be stored securely and used solely for academic reporting.</w:t>
            </w:r>
          </w:p>
        </w:tc>
        <w:tc>
          <w:tcPr>
            <w:tcW w:w="2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A7CF9"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Prevents misuse of assessment evidence.</w:t>
            </w:r>
          </w:p>
        </w:tc>
      </w:tr>
      <w:tr w:rsidR="00C35511" w:rsidRPr="0036558D" w14:paraId="42FC5F21" w14:textId="77777777">
        <w:trPr>
          <w:trHeight w:val="1340"/>
          <w:jc w:val="center"/>
        </w:trPr>
        <w:tc>
          <w:tcPr>
            <w:tcW w:w="20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CDB8F"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Communication and Escalation</w:t>
            </w:r>
          </w:p>
        </w:tc>
        <w:tc>
          <w:tcPr>
            <w:tcW w:w="4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FD18C"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Significant findings or unexpected system instability must be documented immediately and reported to the project supervisor.</w:t>
            </w:r>
          </w:p>
        </w:tc>
        <w:tc>
          <w:tcPr>
            <w:tcW w:w="2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569E1C"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Supports safe execution and timely decision-making.</w:t>
            </w:r>
          </w:p>
        </w:tc>
      </w:tr>
      <w:tr w:rsidR="00C35511" w:rsidRPr="0036558D" w14:paraId="65D89728" w14:textId="77777777">
        <w:trPr>
          <w:trHeight w:val="1340"/>
          <w:jc w:val="center"/>
        </w:trPr>
        <w:tc>
          <w:tcPr>
            <w:tcW w:w="20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DA4F5A"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Restoration and Closure</w:t>
            </w:r>
          </w:p>
        </w:tc>
        <w:tc>
          <w:tcPr>
            <w:tcW w:w="4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230BC8"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Virtual machine snapshots must be restored after testing, and all temporary attack artefacts must be removed before project completion.</w:t>
            </w:r>
          </w:p>
        </w:tc>
        <w:tc>
          <w:tcPr>
            <w:tcW w:w="27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87DA90" w14:textId="77777777" w:rsidR="00C35511" w:rsidRPr="0036558D" w:rsidRDefault="00000000" w:rsidP="0036558D">
            <w:pPr>
              <w:spacing w:after="240"/>
              <w:rPr>
                <w:rFonts w:asciiTheme="majorHAnsi" w:hAnsiTheme="majorHAnsi" w:cstheme="majorHAnsi"/>
              </w:rPr>
            </w:pPr>
            <w:r w:rsidRPr="0036558D">
              <w:rPr>
                <w:rFonts w:asciiTheme="majorHAnsi" w:hAnsiTheme="majorHAnsi" w:cstheme="majorHAnsi"/>
              </w:rPr>
              <w:t>Returns the environment to a known safe state and preserves repeatability.</w:t>
            </w:r>
          </w:p>
        </w:tc>
      </w:tr>
    </w:tbl>
    <w:p w14:paraId="412BD95C" w14:textId="77777777" w:rsidR="00C35511" w:rsidRPr="0036558D" w:rsidRDefault="00000000" w:rsidP="0036558D">
      <w:pPr>
        <w:pStyle w:val="Heading2"/>
        <w:rPr>
          <w:rFonts w:asciiTheme="majorHAnsi" w:hAnsiTheme="majorHAnsi" w:cstheme="majorHAnsi"/>
        </w:rPr>
      </w:pPr>
      <w:bookmarkStart w:id="32" w:name="_heading=h.jfb81setcm1r" w:colFirst="0" w:colLast="0"/>
      <w:bookmarkEnd w:id="32"/>
      <w:r w:rsidRPr="0036558D">
        <w:rPr>
          <w:rFonts w:asciiTheme="majorHAnsi" w:hAnsiTheme="majorHAnsi" w:cstheme="majorHAnsi"/>
        </w:rPr>
        <w:lastRenderedPageBreak/>
        <w:t>Appendix D: Threat Emulation Plan</w:t>
      </w:r>
    </w:p>
    <w:p w14:paraId="4A3E739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The threat emulation plan was formulated to emulate selected actions that characterize modern ransomware attacks within a controlled and isolated virtual lab environment. The engagement was based on the MITRE ATT&amp;CK framework and </w:t>
      </w:r>
      <w:proofErr w:type="spellStart"/>
      <w:r w:rsidRPr="0036558D">
        <w:rPr>
          <w:rFonts w:asciiTheme="majorHAnsi" w:hAnsiTheme="majorHAnsi" w:cstheme="majorHAnsi"/>
        </w:rPr>
        <w:t>centered</w:t>
      </w:r>
      <w:proofErr w:type="spellEnd"/>
      <w:r w:rsidRPr="0036558D">
        <w:rPr>
          <w:rFonts w:asciiTheme="majorHAnsi" w:hAnsiTheme="majorHAnsi" w:cstheme="majorHAnsi"/>
        </w:rPr>
        <w:t xml:space="preserve"> on demonstrating the evolution of the attacker from gaining initial access to impact realization. The attack started with reconnaissance to detect available hosts and services in the lab environment, and then the use of authorized test accounts to emulate account compromise. Privilege escalation actions were performed under controlled conditions to show the security risks of overprivileged accounts and poor access management. </w:t>
      </w:r>
    </w:p>
    <w:p w14:paraId="58E63C0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The following steps of the engagement included account discovery, credential access simulation, and lateral movement between virtual machines utilizing authorized remote administration services. The assessment also involved the controlled collection of sample files to simulate access to business data and a controlled exfiltration scenario designed exclusively to assess monitoring and detection mechanisms. Finally, a controlled ransomware impact simulation was performed to demonstrate possible impacts of a compromise while preventing any damage to the environment. Detection opportunities for each step of the emulation plan included authentication monitoring, endpoint notifications, network traffic analysis, privilege escalation events, and file access logging.</w:t>
      </w:r>
    </w:p>
    <w:p w14:paraId="1399CB43" w14:textId="77777777" w:rsidR="00C35511" w:rsidRPr="0036558D" w:rsidRDefault="00000000" w:rsidP="0036558D">
      <w:pPr>
        <w:pStyle w:val="Heading2"/>
        <w:rPr>
          <w:rFonts w:asciiTheme="majorHAnsi" w:hAnsiTheme="majorHAnsi" w:cstheme="majorHAnsi"/>
        </w:rPr>
      </w:pPr>
      <w:bookmarkStart w:id="33" w:name="_heading=h.uw4m7fs5jenl" w:colFirst="0" w:colLast="0"/>
      <w:bookmarkEnd w:id="33"/>
      <w:r w:rsidRPr="0036558D">
        <w:rPr>
          <w:rFonts w:asciiTheme="majorHAnsi" w:hAnsiTheme="majorHAnsi" w:cstheme="majorHAnsi"/>
        </w:rPr>
        <w:t>Appendix E: VM Configuration</w:t>
      </w:r>
    </w:p>
    <w:p w14:paraId="0E178057"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661A79E5" wp14:editId="20C3420D">
            <wp:extent cx="5731200" cy="3035300"/>
            <wp:effectExtent l="12700" t="12700" r="12700" b="12700"/>
            <wp:docPr id="137643016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4"/>
                    <a:srcRect/>
                    <a:stretch>
                      <a:fillRect/>
                    </a:stretch>
                  </pic:blipFill>
                  <pic:spPr>
                    <a:xfrm>
                      <a:off x="0" y="0"/>
                      <a:ext cx="5731200" cy="3035300"/>
                    </a:xfrm>
                    <a:prstGeom prst="rect">
                      <a:avLst/>
                    </a:prstGeom>
                    <a:ln w="12700">
                      <a:solidFill>
                        <a:srgbClr val="000000"/>
                      </a:solidFill>
                      <a:prstDash val="solid"/>
                    </a:ln>
                  </pic:spPr>
                </pic:pic>
              </a:graphicData>
            </a:graphic>
          </wp:inline>
        </w:drawing>
      </w:r>
    </w:p>
    <w:p w14:paraId="36A34985"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lastRenderedPageBreak/>
        <w:drawing>
          <wp:inline distT="114300" distB="114300" distL="114300" distR="114300" wp14:anchorId="7DC9A9DC" wp14:editId="3C866584">
            <wp:extent cx="5731200" cy="3517900"/>
            <wp:effectExtent l="12700" t="12700" r="12700" b="12700"/>
            <wp:docPr id="137643012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5"/>
                    <a:srcRect/>
                    <a:stretch>
                      <a:fillRect/>
                    </a:stretch>
                  </pic:blipFill>
                  <pic:spPr>
                    <a:xfrm>
                      <a:off x="0" y="0"/>
                      <a:ext cx="5731200" cy="3517900"/>
                    </a:xfrm>
                    <a:prstGeom prst="rect">
                      <a:avLst/>
                    </a:prstGeom>
                    <a:ln w="12700">
                      <a:solidFill>
                        <a:srgbClr val="000000"/>
                      </a:solidFill>
                      <a:prstDash val="solid"/>
                    </a:ln>
                  </pic:spPr>
                </pic:pic>
              </a:graphicData>
            </a:graphic>
          </wp:inline>
        </w:drawing>
      </w:r>
    </w:p>
    <w:p w14:paraId="31484AD5"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0AF157E4" wp14:editId="67C57E9F">
            <wp:extent cx="5731200" cy="4356100"/>
            <wp:effectExtent l="12700" t="12700" r="12700" b="12700"/>
            <wp:docPr id="137643012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6"/>
                    <a:srcRect/>
                    <a:stretch>
                      <a:fillRect/>
                    </a:stretch>
                  </pic:blipFill>
                  <pic:spPr>
                    <a:xfrm>
                      <a:off x="0" y="0"/>
                      <a:ext cx="5731200" cy="4356100"/>
                    </a:xfrm>
                    <a:prstGeom prst="rect">
                      <a:avLst/>
                    </a:prstGeom>
                    <a:ln w="12700">
                      <a:solidFill>
                        <a:srgbClr val="000000"/>
                      </a:solidFill>
                      <a:prstDash val="solid"/>
                    </a:ln>
                  </pic:spPr>
                </pic:pic>
              </a:graphicData>
            </a:graphic>
          </wp:inline>
        </w:drawing>
      </w:r>
    </w:p>
    <w:p w14:paraId="3D6BAD36"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lastRenderedPageBreak/>
        <w:drawing>
          <wp:inline distT="114300" distB="114300" distL="114300" distR="114300" wp14:anchorId="1E978DD4" wp14:editId="3728BF5B">
            <wp:extent cx="5731200" cy="3035300"/>
            <wp:effectExtent l="12700" t="12700" r="12700" b="12700"/>
            <wp:docPr id="137643012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7"/>
                    <a:srcRect/>
                    <a:stretch>
                      <a:fillRect/>
                    </a:stretch>
                  </pic:blipFill>
                  <pic:spPr>
                    <a:xfrm>
                      <a:off x="0" y="0"/>
                      <a:ext cx="5731200" cy="3035300"/>
                    </a:xfrm>
                    <a:prstGeom prst="rect">
                      <a:avLst/>
                    </a:prstGeom>
                    <a:ln w="12700">
                      <a:solidFill>
                        <a:srgbClr val="000000"/>
                      </a:solidFill>
                      <a:prstDash val="solid"/>
                    </a:ln>
                  </pic:spPr>
                </pic:pic>
              </a:graphicData>
            </a:graphic>
          </wp:inline>
        </w:drawing>
      </w:r>
    </w:p>
    <w:p w14:paraId="66E0D6AB"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3141C885" wp14:editId="43B67494">
            <wp:extent cx="5731200" cy="4292600"/>
            <wp:effectExtent l="12700" t="12700" r="12700" b="12700"/>
            <wp:docPr id="137643012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8"/>
                    <a:srcRect/>
                    <a:stretch>
                      <a:fillRect/>
                    </a:stretch>
                  </pic:blipFill>
                  <pic:spPr>
                    <a:xfrm>
                      <a:off x="0" y="0"/>
                      <a:ext cx="5731200" cy="4292600"/>
                    </a:xfrm>
                    <a:prstGeom prst="rect">
                      <a:avLst/>
                    </a:prstGeom>
                    <a:ln w="12700">
                      <a:solidFill>
                        <a:srgbClr val="000000"/>
                      </a:solidFill>
                      <a:prstDash val="solid"/>
                    </a:ln>
                  </pic:spPr>
                </pic:pic>
              </a:graphicData>
            </a:graphic>
          </wp:inline>
        </w:drawing>
      </w:r>
    </w:p>
    <w:p w14:paraId="5A984718"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lastRenderedPageBreak/>
        <w:drawing>
          <wp:inline distT="114300" distB="114300" distL="114300" distR="114300" wp14:anchorId="49A31893" wp14:editId="10F28BD5">
            <wp:extent cx="5731200" cy="3606800"/>
            <wp:effectExtent l="12700" t="12700" r="12700" b="12700"/>
            <wp:docPr id="137643013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9"/>
                    <a:srcRect/>
                    <a:stretch>
                      <a:fillRect/>
                    </a:stretch>
                  </pic:blipFill>
                  <pic:spPr>
                    <a:xfrm>
                      <a:off x="0" y="0"/>
                      <a:ext cx="5731200" cy="3606800"/>
                    </a:xfrm>
                    <a:prstGeom prst="rect">
                      <a:avLst/>
                    </a:prstGeom>
                    <a:ln w="12700">
                      <a:solidFill>
                        <a:srgbClr val="000000"/>
                      </a:solidFill>
                      <a:prstDash val="solid"/>
                    </a:ln>
                  </pic:spPr>
                </pic:pic>
              </a:graphicData>
            </a:graphic>
          </wp:inline>
        </w:drawing>
      </w:r>
    </w:p>
    <w:p w14:paraId="1EEC4FEB"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43EB2858" wp14:editId="2F779A20">
            <wp:extent cx="5731200" cy="4229100"/>
            <wp:effectExtent l="12700" t="12700" r="12700" b="12700"/>
            <wp:docPr id="137643013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60"/>
                    <a:srcRect/>
                    <a:stretch>
                      <a:fillRect/>
                    </a:stretch>
                  </pic:blipFill>
                  <pic:spPr>
                    <a:xfrm>
                      <a:off x="0" y="0"/>
                      <a:ext cx="5731200" cy="4229100"/>
                    </a:xfrm>
                    <a:prstGeom prst="rect">
                      <a:avLst/>
                    </a:prstGeom>
                    <a:ln w="12700">
                      <a:solidFill>
                        <a:srgbClr val="000000"/>
                      </a:solidFill>
                      <a:prstDash val="solid"/>
                    </a:ln>
                  </pic:spPr>
                </pic:pic>
              </a:graphicData>
            </a:graphic>
          </wp:inline>
        </w:drawing>
      </w:r>
    </w:p>
    <w:p w14:paraId="6AC2A8EF"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lastRenderedPageBreak/>
        <w:drawing>
          <wp:inline distT="114300" distB="114300" distL="114300" distR="114300" wp14:anchorId="1A609585" wp14:editId="0654C545">
            <wp:extent cx="5731200" cy="4292600"/>
            <wp:effectExtent l="12700" t="12700" r="12700" b="12700"/>
            <wp:docPr id="137643013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61"/>
                    <a:srcRect/>
                    <a:stretch>
                      <a:fillRect/>
                    </a:stretch>
                  </pic:blipFill>
                  <pic:spPr>
                    <a:xfrm>
                      <a:off x="0" y="0"/>
                      <a:ext cx="5731200" cy="4292600"/>
                    </a:xfrm>
                    <a:prstGeom prst="rect">
                      <a:avLst/>
                    </a:prstGeom>
                    <a:ln w="12700">
                      <a:solidFill>
                        <a:srgbClr val="000000"/>
                      </a:solidFill>
                      <a:prstDash val="solid"/>
                    </a:ln>
                  </pic:spPr>
                </pic:pic>
              </a:graphicData>
            </a:graphic>
          </wp:inline>
        </w:drawing>
      </w:r>
    </w:p>
    <w:p w14:paraId="48D7CC5D"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lastRenderedPageBreak/>
        <w:drawing>
          <wp:inline distT="114300" distB="114300" distL="114300" distR="114300" wp14:anchorId="7D209326" wp14:editId="65BA03A7">
            <wp:extent cx="5731200" cy="4470400"/>
            <wp:effectExtent l="0" t="0" r="0" b="0"/>
            <wp:docPr id="13764301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2"/>
                    <a:srcRect/>
                    <a:stretch>
                      <a:fillRect/>
                    </a:stretch>
                  </pic:blipFill>
                  <pic:spPr>
                    <a:xfrm>
                      <a:off x="0" y="0"/>
                      <a:ext cx="5731200" cy="4470400"/>
                    </a:xfrm>
                    <a:prstGeom prst="rect">
                      <a:avLst/>
                    </a:prstGeom>
                    <a:ln/>
                  </pic:spPr>
                </pic:pic>
              </a:graphicData>
            </a:graphic>
          </wp:inline>
        </w:drawing>
      </w:r>
    </w:p>
    <w:p w14:paraId="19C7E913"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2C2AF868" wp14:editId="0788865A">
            <wp:extent cx="5734050" cy="3359088"/>
            <wp:effectExtent l="0" t="0" r="0" b="0"/>
            <wp:docPr id="13764301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3"/>
                    <a:srcRect t="15429"/>
                    <a:stretch>
                      <a:fillRect/>
                    </a:stretch>
                  </pic:blipFill>
                  <pic:spPr>
                    <a:xfrm>
                      <a:off x="0" y="0"/>
                      <a:ext cx="5734050" cy="3359088"/>
                    </a:xfrm>
                    <a:prstGeom prst="rect">
                      <a:avLst/>
                    </a:prstGeom>
                    <a:ln/>
                  </pic:spPr>
                </pic:pic>
              </a:graphicData>
            </a:graphic>
          </wp:inline>
        </w:drawing>
      </w:r>
    </w:p>
    <w:p w14:paraId="254536DA" w14:textId="77777777" w:rsidR="00C35511" w:rsidRPr="0036558D" w:rsidRDefault="00C35511" w:rsidP="0036558D">
      <w:pPr>
        <w:jc w:val="center"/>
        <w:rPr>
          <w:rFonts w:asciiTheme="majorHAnsi" w:hAnsiTheme="majorHAnsi" w:cstheme="majorHAnsi"/>
        </w:rPr>
      </w:pPr>
    </w:p>
    <w:p w14:paraId="6B55FE78" w14:textId="77777777" w:rsidR="00C35511" w:rsidRPr="0036558D" w:rsidRDefault="00C35511" w:rsidP="0036558D">
      <w:pPr>
        <w:jc w:val="center"/>
        <w:rPr>
          <w:rFonts w:asciiTheme="majorHAnsi" w:hAnsiTheme="majorHAnsi" w:cstheme="majorHAnsi"/>
        </w:rPr>
      </w:pPr>
    </w:p>
    <w:p w14:paraId="5D10210D" w14:textId="77777777" w:rsidR="00C35511" w:rsidRPr="0036558D" w:rsidRDefault="00C35511" w:rsidP="0036558D">
      <w:pPr>
        <w:rPr>
          <w:rFonts w:asciiTheme="majorHAnsi" w:hAnsiTheme="majorHAnsi" w:cstheme="majorHAnsi"/>
        </w:rPr>
      </w:pPr>
    </w:p>
    <w:p w14:paraId="4ED0D972" w14:textId="77777777" w:rsidR="00C35511" w:rsidRPr="0036558D" w:rsidRDefault="00000000" w:rsidP="0036558D">
      <w:pPr>
        <w:pStyle w:val="Heading2"/>
        <w:rPr>
          <w:rFonts w:asciiTheme="majorHAnsi" w:hAnsiTheme="majorHAnsi" w:cstheme="majorHAnsi"/>
        </w:rPr>
      </w:pPr>
      <w:bookmarkStart w:id="34" w:name="_heading=h.ppt8exka7a40" w:colFirst="0" w:colLast="0"/>
      <w:bookmarkEnd w:id="34"/>
      <w:r w:rsidRPr="0036558D">
        <w:rPr>
          <w:rFonts w:asciiTheme="majorHAnsi" w:hAnsiTheme="majorHAnsi" w:cstheme="majorHAnsi"/>
        </w:rPr>
        <w:t>Appendix F: Open-Source Intelligence (OSINT) Notes</w:t>
      </w:r>
    </w:p>
    <w:tbl>
      <w:tblPr>
        <w:tblStyle w:val="ac"/>
        <w:tblW w:w="9009" w:type="dxa"/>
        <w:jc w:val="center"/>
        <w:tblBorders>
          <w:top w:val="nil"/>
          <w:left w:val="nil"/>
          <w:bottom w:val="nil"/>
          <w:right w:val="nil"/>
          <w:insideH w:val="nil"/>
          <w:insideV w:val="nil"/>
        </w:tblBorders>
        <w:tblLayout w:type="fixed"/>
        <w:tblLook w:val="0600" w:firstRow="0" w:lastRow="0" w:firstColumn="0" w:lastColumn="0" w:noHBand="1" w:noVBand="1"/>
      </w:tblPr>
      <w:tblGrid>
        <w:gridCol w:w="2450"/>
        <w:gridCol w:w="3293"/>
        <w:gridCol w:w="3266"/>
      </w:tblGrid>
      <w:tr w:rsidR="00C35511" w:rsidRPr="0036558D" w14:paraId="7114277C" w14:textId="77777777">
        <w:trPr>
          <w:trHeight w:val="515"/>
          <w:jc w:val="center"/>
        </w:trPr>
        <w:tc>
          <w:tcPr>
            <w:tcW w:w="2450" w:type="dxa"/>
            <w:tcBorders>
              <w:top w:val="single" w:sz="8" w:space="0" w:color="000000"/>
              <w:left w:val="single" w:sz="8" w:space="0" w:color="000000"/>
              <w:bottom w:val="single" w:sz="8" w:space="0" w:color="000000"/>
              <w:right w:val="single" w:sz="8" w:space="0" w:color="000000"/>
            </w:tcBorders>
            <w:shd w:val="clear" w:color="auto" w:fill="C3BD96"/>
            <w:tcMar>
              <w:top w:w="100" w:type="dxa"/>
              <w:left w:w="100" w:type="dxa"/>
              <w:bottom w:w="100" w:type="dxa"/>
              <w:right w:w="100" w:type="dxa"/>
            </w:tcMar>
          </w:tcPr>
          <w:p w14:paraId="3D32CF91"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OSINT Source</w:t>
            </w:r>
          </w:p>
        </w:tc>
        <w:tc>
          <w:tcPr>
            <w:tcW w:w="3293" w:type="dxa"/>
            <w:tcBorders>
              <w:top w:val="single" w:sz="8" w:space="0" w:color="000000"/>
              <w:left w:val="single" w:sz="8" w:space="0" w:color="000000"/>
              <w:bottom w:val="single" w:sz="8" w:space="0" w:color="000000"/>
              <w:right w:val="single" w:sz="8" w:space="0" w:color="000000"/>
            </w:tcBorders>
            <w:shd w:val="clear" w:color="auto" w:fill="C3BD96"/>
            <w:tcMar>
              <w:top w:w="100" w:type="dxa"/>
              <w:left w:w="100" w:type="dxa"/>
              <w:bottom w:w="100" w:type="dxa"/>
              <w:right w:w="100" w:type="dxa"/>
            </w:tcMar>
          </w:tcPr>
          <w:p w14:paraId="6151CFC1"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Information Collected</w:t>
            </w:r>
          </w:p>
        </w:tc>
        <w:tc>
          <w:tcPr>
            <w:tcW w:w="3266" w:type="dxa"/>
            <w:tcBorders>
              <w:top w:val="single" w:sz="8" w:space="0" w:color="000000"/>
              <w:left w:val="single" w:sz="8" w:space="0" w:color="000000"/>
              <w:bottom w:val="single" w:sz="8" w:space="0" w:color="000000"/>
              <w:right w:val="single" w:sz="8" w:space="0" w:color="000000"/>
            </w:tcBorders>
            <w:shd w:val="clear" w:color="auto" w:fill="C3BD96"/>
            <w:tcMar>
              <w:top w:w="100" w:type="dxa"/>
              <w:left w:w="100" w:type="dxa"/>
              <w:bottom w:w="100" w:type="dxa"/>
              <w:right w:w="100" w:type="dxa"/>
            </w:tcMar>
          </w:tcPr>
          <w:p w14:paraId="1A9C1667"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b/>
                <w:bCs/>
              </w:rPr>
              <w:t>Purpose</w:t>
            </w:r>
          </w:p>
        </w:tc>
      </w:tr>
      <w:tr w:rsidR="00C35511" w:rsidRPr="0036558D" w14:paraId="35F628E9" w14:textId="77777777">
        <w:trPr>
          <w:trHeight w:val="785"/>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BB77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Official M&amp;S Statements</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FAD833"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Service disruption, recovery updates, customer notifications</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4519A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Validated incident timeline and organisational response.</w:t>
            </w:r>
          </w:p>
        </w:tc>
      </w:tr>
      <w:tr w:rsidR="00C35511" w:rsidRPr="0036558D" w14:paraId="082A2AF7" w14:textId="77777777">
        <w:trPr>
          <w:trHeight w:val="1070"/>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8C352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Official Co-op Statements</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E10AF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Operational disruption, customer communication, recovery activities</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D823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Confirmed incident chronology and response measures.</w:t>
            </w:r>
          </w:p>
        </w:tc>
      </w:tr>
      <w:tr w:rsidR="00C35511" w:rsidRPr="0036558D" w14:paraId="3E9D9384" w14:textId="77777777">
        <w:trPr>
          <w:trHeight w:val="1070"/>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F0BA3"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National Cyber Security Centre (NCSC)</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2E581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Cybersecurity guidance and ransomware mitigation practices</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F7199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Supported strategic recommendations and defensive controls.</w:t>
            </w:r>
          </w:p>
        </w:tc>
      </w:tr>
      <w:tr w:rsidR="00C35511" w:rsidRPr="0036558D" w14:paraId="751224E9" w14:textId="77777777">
        <w:trPr>
          <w:trHeight w:val="1070"/>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310AB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MITRE ATT&amp;CK Enterprise</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75E20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Adversary tactics, techniques, and procedures (TTPs)</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E146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Mapped attacker behaviour to recognised ATT&amp;CK techniques.</w:t>
            </w:r>
          </w:p>
        </w:tc>
      </w:tr>
      <w:tr w:rsidR="00C35511" w:rsidRPr="0036558D" w14:paraId="00F1C637" w14:textId="77777777">
        <w:trPr>
          <w:trHeight w:val="785"/>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EE8E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Cybersecurity News Reports</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9628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Public incident reporting and attack progression</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66807"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Corroborated publicly available attack information.</w:t>
            </w:r>
          </w:p>
        </w:tc>
      </w:tr>
      <w:tr w:rsidR="00C35511" w:rsidRPr="0036558D" w14:paraId="10DCBE78" w14:textId="77777777">
        <w:trPr>
          <w:trHeight w:val="785"/>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4DCE39"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Microsoft Security Advisory (MS17-010)</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ED3AED"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SMB vulnerability information (CVE-2017-0144)</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FA495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 xml:space="preserve">Supported </w:t>
            </w:r>
            <w:proofErr w:type="spellStart"/>
            <w:r w:rsidRPr="0036558D">
              <w:rPr>
                <w:rFonts w:asciiTheme="majorHAnsi" w:hAnsiTheme="majorHAnsi" w:cstheme="majorHAnsi"/>
              </w:rPr>
              <w:t>EternalBlue</w:t>
            </w:r>
            <w:proofErr w:type="spellEnd"/>
            <w:r w:rsidRPr="0036558D">
              <w:rPr>
                <w:rFonts w:asciiTheme="majorHAnsi" w:hAnsiTheme="majorHAnsi" w:cstheme="majorHAnsi"/>
              </w:rPr>
              <w:t xml:space="preserve"> vulnerability validation.</w:t>
            </w:r>
          </w:p>
        </w:tc>
      </w:tr>
      <w:tr w:rsidR="00C35511" w:rsidRPr="0036558D" w14:paraId="74B8FEB7" w14:textId="77777777">
        <w:trPr>
          <w:trHeight w:val="785"/>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83B19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OWASP</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41AF2F"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SQL Injection guidance (CWE-89)</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A89E5"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Supported web application vulnerability classification.</w:t>
            </w:r>
          </w:p>
        </w:tc>
      </w:tr>
      <w:tr w:rsidR="00C35511" w:rsidRPr="0036558D" w14:paraId="08981535" w14:textId="77777777">
        <w:trPr>
          <w:trHeight w:val="785"/>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109B3A"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CVE Database</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1FFDE0"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Public vulnerability identifiers and severity information</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5B5350"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Verified vulnerability references used during exploitation.</w:t>
            </w:r>
          </w:p>
        </w:tc>
      </w:tr>
      <w:tr w:rsidR="00C35511" w:rsidRPr="0036558D" w14:paraId="31582D0C" w14:textId="77777777">
        <w:trPr>
          <w:trHeight w:val="785"/>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72505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Metasploit Documentation</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2163E"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Module descriptions and supported exploit information</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C182C"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Verified authorised exploitation methodology.</w:t>
            </w:r>
          </w:p>
        </w:tc>
      </w:tr>
      <w:tr w:rsidR="00C35511" w:rsidRPr="0036558D" w14:paraId="6B0685D3" w14:textId="77777777">
        <w:trPr>
          <w:trHeight w:val="785"/>
          <w:jc w:val="center"/>
        </w:trPr>
        <w:tc>
          <w:tcPr>
            <w:tcW w:w="2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C4EFC4"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lastRenderedPageBreak/>
              <w:t>Nmap Documentation</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2EF3D8"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Network scanning options and service detection techniques</w:t>
            </w:r>
          </w:p>
        </w:tc>
        <w:tc>
          <w:tcPr>
            <w:tcW w:w="3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4D5D71" w14:textId="77777777" w:rsidR="00C35511" w:rsidRPr="0036558D" w:rsidRDefault="00000000" w:rsidP="0036558D">
            <w:pPr>
              <w:rPr>
                <w:rFonts w:asciiTheme="majorHAnsi" w:hAnsiTheme="majorHAnsi" w:cstheme="majorHAnsi"/>
              </w:rPr>
            </w:pPr>
            <w:r w:rsidRPr="0036558D">
              <w:rPr>
                <w:rFonts w:asciiTheme="majorHAnsi" w:hAnsiTheme="majorHAnsi" w:cstheme="majorHAnsi"/>
              </w:rPr>
              <w:t>Supported reconnaissance and enumeration activities.</w:t>
            </w:r>
          </w:p>
        </w:tc>
      </w:tr>
    </w:tbl>
    <w:p w14:paraId="7448DE52" w14:textId="77777777" w:rsidR="00C35511" w:rsidRPr="0036558D" w:rsidRDefault="00C35511" w:rsidP="0036558D">
      <w:pPr>
        <w:rPr>
          <w:rFonts w:asciiTheme="majorHAnsi" w:hAnsiTheme="majorHAnsi" w:cstheme="majorHAnsi"/>
        </w:rPr>
      </w:pPr>
    </w:p>
    <w:p w14:paraId="2A85D492" w14:textId="77777777" w:rsidR="00C35511" w:rsidRPr="0036558D" w:rsidRDefault="00000000" w:rsidP="0036558D">
      <w:pPr>
        <w:pStyle w:val="Heading2"/>
        <w:rPr>
          <w:rFonts w:asciiTheme="majorHAnsi" w:hAnsiTheme="majorHAnsi" w:cstheme="majorHAnsi"/>
        </w:rPr>
      </w:pPr>
      <w:bookmarkStart w:id="35" w:name="_heading=h.u4mvia9cvs2i" w:colFirst="0" w:colLast="0"/>
      <w:bookmarkEnd w:id="35"/>
      <w:r w:rsidRPr="0036558D">
        <w:rPr>
          <w:rFonts w:asciiTheme="majorHAnsi" w:hAnsiTheme="majorHAnsi" w:cstheme="majorHAnsi"/>
        </w:rPr>
        <w:t>Appendix G: Logs and Telemetry Evidence</w:t>
      </w:r>
    </w:p>
    <w:p w14:paraId="6B38A45A"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1B96D2A2" wp14:editId="041B6394">
            <wp:extent cx="5731200" cy="3225800"/>
            <wp:effectExtent l="12700" t="12700" r="12700" b="12700"/>
            <wp:docPr id="137643013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4"/>
                    <a:srcRect/>
                    <a:stretch>
                      <a:fillRect/>
                    </a:stretch>
                  </pic:blipFill>
                  <pic:spPr>
                    <a:xfrm>
                      <a:off x="0" y="0"/>
                      <a:ext cx="5731200" cy="3225800"/>
                    </a:xfrm>
                    <a:prstGeom prst="rect">
                      <a:avLst/>
                    </a:prstGeom>
                    <a:ln w="12700">
                      <a:solidFill>
                        <a:srgbClr val="000000"/>
                      </a:solidFill>
                      <a:prstDash val="solid"/>
                    </a:ln>
                  </pic:spPr>
                </pic:pic>
              </a:graphicData>
            </a:graphic>
          </wp:inline>
        </w:drawing>
      </w:r>
    </w:p>
    <w:p w14:paraId="7705FD30"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29C7C643" wp14:editId="700DB33B">
            <wp:extent cx="5731200" cy="3073400"/>
            <wp:effectExtent l="12700" t="12700" r="12700" b="12700"/>
            <wp:docPr id="137643014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5"/>
                    <a:srcRect/>
                    <a:stretch>
                      <a:fillRect/>
                    </a:stretch>
                  </pic:blipFill>
                  <pic:spPr>
                    <a:xfrm>
                      <a:off x="0" y="0"/>
                      <a:ext cx="5731200" cy="3073400"/>
                    </a:xfrm>
                    <a:prstGeom prst="rect">
                      <a:avLst/>
                    </a:prstGeom>
                    <a:ln w="12700">
                      <a:solidFill>
                        <a:srgbClr val="000000"/>
                      </a:solidFill>
                      <a:prstDash val="solid"/>
                    </a:ln>
                  </pic:spPr>
                </pic:pic>
              </a:graphicData>
            </a:graphic>
          </wp:inline>
        </w:drawing>
      </w:r>
    </w:p>
    <w:p w14:paraId="3BCF1B3D"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lastRenderedPageBreak/>
        <w:drawing>
          <wp:inline distT="114300" distB="114300" distL="114300" distR="114300" wp14:anchorId="58A1D5CB" wp14:editId="5393B439">
            <wp:extent cx="5731200" cy="3022600"/>
            <wp:effectExtent l="12700" t="12700" r="12700" b="12700"/>
            <wp:docPr id="137643014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6"/>
                    <a:srcRect/>
                    <a:stretch>
                      <a:fillRect/>
                    </a:stretch>
                  </pic:blipFill>
                  <pic:spPr>
                    <a:xfrm>
                      <a:off x="0" y="0"/>
                      <a:ext cx="5731200" cy="3022600"/>
                    </a:xfrm>
                    <a:prstGeom prst="rect">
                      <a:avLst/>
                    </a:prstGeom>
                    <a:ln w="12700">
                      <a:solidFill>
                        <a:srgbClr val="000000"/>
                      </a:solidFill>
                      <a:prstDash val="solid"/>
                    </a:ln>
                  </pic:spPr>
                </pic:pic>
              </a:graphicData>
            </a:graphic>
          </wp:inline>
        </w:drawing>
      </w:r>
    </w:p>
    <w:p w14:paraId="1354D64B" w14:textId="77777777" w:rsidR="00C35511" w:rsidRPr="0036558D" w:rsidRDefault="00000000" w:rsidP="0036558D">
      <w:pPr>
        <w:jc w:val="center"/>
        <w:rPr>
          <w:rFonts w:asciiTheme="majorHAnsi" w:hAnsiTheme="majorHAnsi" w:cstheme="majorHAnsi"/>
        </w:rPr>
      </w:pPr>
      <w:r w:rsidRPr="0036558D">
        <w:rPr>
          <w:rFonts w:asciiTheme="majorHAnsi" w:hAnsiTheme="majorHAnsi" w:cstheme="majorHAnsi"/>
          <w:noProof/>
        </w:rPr>
        <w:drawing>
          <wp:inline distT="114300" distB="114300" distL="114300" distR="114300" wp14:anchorId="6475C2A0" wp14:editId="14B85EC0">
            <wp:extent cx="5731200" cy="3086100"/>
            <wp:effectExtent l="12700" t="12700" r="12700" b="12700"/>
            <wp:docPr id="137643014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7"/>
                    <a:srcRect/>
                    <a:stretch>
                      <a:fillRect/>
                    </a:stretch>
                  </pic:blipFill>
                  <pic:spPr>
                    <a:xfrm>
                      <a:off x="0" y="0"/>
                      <a:ext cx="5731200" cy="3086100"/>
                    </a:xfrm>
                    <a:prstGeom prst="rect">
                      <a:avLst/>
                    </a:prstGeom>
                    <a:ln w="12700">
                      <a:solidFill>
                        <a:srgbClr val="000000"/>
                      </a:solidFill>
                      <a:prstDash val="solid"/>
                    </a:ln>
                  </pic:spPr>
                </pic:pic>
              </a:graphicData>
            </a:graphic>
          </wp:inline>
        </w:drawing>
      </w:r>
    </w:p>
    <w:p w14:paraId="38ADBAA3" w14:textId="77777777" w:rsidR="00C35511" w:rsidRPr="0036558D" w:rsidRDefault="00C35511" w:rsidP="0036558D">
      <w:pPr>
        <w:jc w:val="center"/>
        <w:rPr>
          <w:rFonts w:asciiTheme="majorHAnsi" w:hAnsiTheme="majorHAnsi" w:cstheme="majorHAnsi"/>
        </w:rPr>
      </w:pPr>
    </w:p>
    <w:p w14:paraId="7BDDCC50" w14:textId="6C779974" w:rsidR="00C35511" w:rsidRPr="00533A77" w:rsidRDefault="00045002" w:rsidP="0036558D">
      <w:pPr>
        <w:rPr>
          <w:rFonts w:asciiTheme="majorHAnsi" w:hAnsiTheme="majorHAnsi" w:cstheme="majorHAnsi"/>
          <w:b/>
          <w:bCs/>
          <w:sz w:val="40"/>
          <w:szCs w:val="40"/>
        </w:rPr>
      </w:pPr>
      <w:r w:rsidRPr="00533A77">
        <w:rPr>
          <w:rFonts w:asciiTheme="majorHAnsi" w:hAnsiTheme="majorHAnsi" w:cstheme="majorHAnsi"/>
          <w:b/>
          <w:bCs/>
          <w:sz w:val="40"/>
          <w:szCs w:val="40"/>
        </w:rPr>
        <w:t>Video</w:t>
      </w:r>
    </w:p>
    <w:p w14:paraId="1307AE1A" w14:textId="49E6E676" w:rsidR="00045002" w:rsidRPr="00045002" w:rsidRDefault="00045002" w:rsidP="0036558D">
      <w:pPr>
        <w:rPr>
          <w:rFonts w:asciiTheme="majorHAnsi" w:hAnsiTheme="majorHAnsi" w:cstheme="majorHAnsi"/>
          <w:b/>
          <w:bCs/>
        </w:rPr>
      </w:pPr>
      <w:r>
        <w:rPr>
          <w:rFonts w:asciiTheme="majorHAnsi" w:hAnsiTheme="majorHAnsi" w:cstheme="majorHAnsi"/>
          <w:b/>
          <w:bCs/>
        </w:rPr>
        <w:object w:dxaOrig="1538" w:dyaOrig="993" w14:anchorId="3A2415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25pt;height:49.5pt" o:ole="">
            <v:imagedata r:id="rId68" o:title=""/>
          </v:shape>
          <o:OLEObject Type="Embed" ProgID="Package" ShapeID="_x0000_i1029" DrawAspect="Icon" ObjectID="_1848428202" r:id="rId69"/>
        </w:object>
      </w:r>
    </w:p>
    <w:sectPr w:rsidR="00045002" w:rsidRPr="00045002">
      <w:headerReference w:type="default" r:id="rId70"/>
      <w:footerReference w:type="default" r:id="rId71"/>
      <w:headerReference w:type="first" r:id="rId7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D29B9" w14:textId="77777777" w:rsidR="0038542F" w:rsidRDefault="0038542F">
      <w:pPr>
        <w:spacing w:line="240" w:lineRule="auto"/>
      </w:pPr>
      <w:r>
        <w:separator/>
      </w:r>
    </w:p>
  </w:endnote>
  <w:endnote w:type="continuationSeparator" w:id="0">
    <w:p w14:paraId="4C4A4467" w14:textId="77777777" w:rsidR="0038542F" w:rsidRDefault="003854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ADDCAEA-B5D5-4984-8D47-B5EB196667BD}"/>
    <w:embedBold r:id="rId2" w:fontKey="{D56FB84F-A981-4D7E-98C5-8619196A8B48}"/>
    <w:embedItalic r:id="rId3" w:fontKey="{DA6090F0-199B-4B29-A1B6-43A6EC388DAA}"/>
    <w:embedBoldItalic r:id="rId4" w:fontKey="{3F811933-9CB6-4C24-8ABF-372871544BE0}"/>
  </w:font>
  <w:font w:name="Cambria">
    <w:panose1 w:val="02040503050406030204"/>
    <w:charset w:val="00"/>
    <w:family w:val="roman"/>
    <w:pitch w:val="variable"/>
    <w:sig w:usb0="E00006FF" w:usb1="420024FF" w:usb2="02000000" w:usb3="00000000" w:csb0="0000019F" w:csb1="00000000"/>
    <w:embedRegular r:id="rId5" w:fontKey="{57876D05-60FA-401B-A72A-08DA74E8B1AB}"/>
    <w:embedBold r:id="rId6" w:fontKey="{6FC1A040-3449-470A-A797-C60AE0C8038E}"/>
    <w:embedBoldItalic r:id="rId7" w:fontKey="{B1BED44E-F2F1-4886-AE5E-E3C91F0BBA5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0E11A" w14:textId="77777777" w:rsidR="00C35511" w:rsidRDefault="00000000">
    <w:pPr>
      <w:jc w:val="right"/>
      <w:rPr>
        <w:sz w:val="16"/>
        <w:szCs w:val="16"/>
      </w:rPr>
    </w:pPr>
    <w:r>
      <w:rPr>
        <w:sz w:val="20"/>
        <w:szCs w:val="20"/>
      </w:rPr>
      <w:fldChar w:fldCharType="begin"/>
    </w:r>
    <w:r>
      <w:rPr>
        <w:sz w:val="20"/>
        <w:szCs w:val="20"/>
      </w:rPr>
      <w:instrText>PAGE</w:instrText>
    </w:r>
    <w:r>
      <w:rPr>
        <w:sz w:val="20"/>
        <w:szCs w:val="20"/>
      </w:rPr>
      <w:fldChar w:fldCharType="separate"/>
    </w:r>
    <w:r w:rsidR="0036558D">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B97E3" w14:textId="77777777" w:rsidR="0038542F" w:rsidRDefault="0038542F">
      <w:pPr>
        <w:spacing w:line="240" w:lineRule="auto"/>
      </w:pPr>
      <w:r>
        <w:separator/>
      </w:r>
    </w:p>
  </w:footnote>
  <w:footnote w:type="continuationSeparator" w:id="0">
    <w:p w14:paraId="60E1F744" w14:textId="77777777" w:rsidR="0038542F" w:rsidRDefault="003854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F3A48" w14:textId="77777777" w:rsidR="00C35511" w:rsidRDefault="00000000">
    <w:pPr>
      <w:tabs>
        <w:tab w:val="left" w:pos="240"/>
      </w:tabs>
    </w:pPr>
    <w:r>
      <w:rPr>
        <w:noProof/>
      </w:rPr>
      <w:drawing>
        <wp:inline distT="0" distB="0" distL="0" distR="0" wp14:anchorId="79C7E1E0" wp14:editId="04314238">
          <wp:extent cx="1370684" cy="552171"/>
          <wp:effectExtent l="0" t="0" r="0" b="0"/>
          <wp:docPr id="1376430150"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
                  <a:srcRect/>
                  <a:stretch>
                    <a:fillRect/>
                  </a:stretch>
                </pic:blipFill>
                <pic:spPr>
                  <a:xfrm>
                    <a:off x="0" y="0"/>
                    <a:ext cx="1370684" cy="552171"/>
                  </a:xfrm>
                  <a:prstGeom prst="rect">
                    <a:avLst/>
                  </a:prstGeom>
                  <a:ln/>
                </pic:spPr>
              </pic:pic>
            </a:graphicData>
          </a:graphic>
        </wp:inline>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A5C46" w14:textId="77777777" w:rsidR="00C35511" w:rsidRDefault="00000000">
    <w:pPr>
      <w:jc w:val="left"/>
    </w:pPr>
    <w:r>
      <w:rPr>
        <w:noProof/>
      </w:rPr>
      <w:drawing>
        <wp:inline distT="0" distB="0" distL="0" distR="0" wp14:anchorId="70C60AEC" wp14:editId="789E02DB">
          <wp:extent cx="1370684" cy="552171"/>
          <wp:effectExtent l="0" t="0" r="0" b="0"/>
          <wp:docPr id="137643015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
                  <a:srcRect/>
                  <a:stretch>
                    <a:fillRect/>
                  </a:stretch>
                </pic:blipFill>
                <pic:spPr>
                  <a:xfrm>
                    <a:off x="0" y="0"/>
                    <a:ext cx="1370684" cy="55217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40B9"/>
    <w:multiLevelType w:val="multilevel"/>
    <w:tmpl w:val="8C783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0C70DC"/>
    <w:multiLevelType w:val="multilevel"/>
    <w:tmpl w:val="F11EBE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6BD0301"/>
    <w:multiLevelType w:val="multilevel"/>
    <w:tmpl w:val="CB449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006046"/>
    <w:multiLevelType w:val="multilevel"/>
    <w:tmpl w:val="3566D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5078B1"/>
    <w:multiLevelType w:val="multilevel"/>
    <w:tmpl w:val="F0E88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610DB9"/>
    <w:multiLevelType w:val="multilevel"/>
    <w:tmpl w:val="D5861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7566EF"/>
    <w:multiLevelType w:val="multilevel"/>
    <w:tmpl w:val="6BC275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A9C2D6A"/>
    <w:multiLevelType w:val="multilevel"/>
    <w:tmpl w:val="E870B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49156979">
    <w:abstractNumId w:val="5"/>
  </w:num>
  <w:num w:numId="2" w16cid:durableId="779684207">
    <w:abstractNumId w:val="0"/>
  </w:num>
  <w:num w:numId="3" w16cid:durableId="351612182">
    <w:abstractNumId w:val="7"/>
  </w:num>
  <w:num w:numId="4" w16cid:durableId="665283908">
    <w:abstractNumId w:val="3"/>
  </w:num>
  <w:num w:numId="5" w16cid:durableId="1792087519">
    <w:abstractNumId w:val="1"/>
  </w:num>
  <w:num w:numId="6" w16cid:durableId="1571039777">
    <w:abstractNumId w:val="2"/>
  </w:num>
  <w:num w:numId="7" w16cid:durableId="1437867262">
    <w:abstractNumId w:val="6"/>
  </w:num>
  <w:num w:numId="8" w16cid:durableId="9796487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511"/>
    <w:rsid w:val="00045002"/>
    <w:rsid w:val="0036558D"/>
    <w:rsid w:val="0038542F"/>
    <w:rsid w:val="00533A77"/>
    <w:rsid w:val="00974566"/>
    <w:rsid w:val="00C35511"/>
    <w:rsid w:val="00E0568E"/>
    <w:rsid w:val="00FF4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691DE"/>
  <w15:docId w15:val="{DC34FC70-57D4-4CFA-9C6A-A75F53C0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paragraph" w:styleId="TOCHeading">
    <w:name w:val="TOC Heading"/>
    <w:basedOn w:val="Heading1"/>
    <w:next w:val="Normal"/>
    <w:uiPriority w:val="39"/>
    <w:unhideWhenUsed/>
    <w:qFormat/>
    <w:rsid w:val="0045212B"/>
    <w:pPr>
      <w:spacing w:before="480" w:line="276" w:lineRule="auto"/>
      <w:jc w:val="left"/>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45212B"/>
    <w:pPr>
      <w:spacing w:before="120"/>
      <w:jc w:val="left"/>
    </w:pPr>
    <w:rPr>
      <w:rFonts w:asciiTheme="minorHAnsi" w:hAnsiTheme="minorHAnsi"/>
      <w:b/>
      <w:bCs/>
      <w:i/>
      <w:iCs/>
    </w:rPr>
  </w:style>
  <w:style w:type="paragraph" w:styleId="TOC2">
    <w:name w:val="toc 2"/>
    <w:basedOn w:val="Normal"/>
    <w:next w:val="Normal"/>
    <w:autoRedefine/>
    <w:uiPriority w:val="39"/>
    <w:unhideWhenUsed/>
    <w:rsid w:val="0045212B"/>
    <w:pPr>
      <w:spacing w:before="120"/>
      <w:ind w:left="240"/>
      <w:jc w:val="left"/>
    </w:pPr>
    <w:rPr>
      <w:rFonts w:asciiTheme="minorHAnsi" w:hAnsiTheme="minorHAnsi"/>
      <w:b/>
      <w:bCs/>
      <w:sz w:val="22"/>
      <w:szCs w:val="22"/>
    </w:rPr>
  </w:style>
  <w:style w:type="character" w:styleId="Hyperlink">
    <w:name w:val="Hyperlink"/>
    <w:basedOn w:val="DefaultParagraphFont"/>
    <w:uiPriority w:val="99"/>
    <w:unhideWhenUsed/>
    <w:rsid w:val="0045212B"/>
    <w:rPr>
      <w:color w:val="0000FF" w:themeColor="hyperlink"/>
      <w:u w:val="single"/>
    </w:rPr>
  </w:style>
  <w:style w:type="paragraph" w:styleId="TOC3">
    <w:name w:val="toc 3"/>
    <w:basedOn w:val="Normal"/>
    <w:next w:val="Normal"/>
    <w:autoRedefine/>
    <w:uiPriority w:val="39"/>
    <w:semiHidden/>
    <w:unhideWhenUsed/>
    <w:rsid w:val="0045212B"/>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45212B"/>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45212B"/>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45212B"/>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45212B"/>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45212B"/>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45212B"/>
    <w:pPr>
      <w:ind w:left="1920"/>
      <w:jc w:val="left"/>
    </w:pPr>
    <w:rPr>
      <w:rFonts w:asciiTheme="minorHAnsi" w:hAnsiTheme="minorHAnsi"/>
      <w:sz w:val="20"/>
      <w:szCs w:val="20"/>
    </w:rPr>
  </w:style>
  <w:style w:type="paragraph" w:styleId="Header">
    <w:name w:val="header"/>
    <w:basedOn w:val="Normal"/>
    <w:link w:val="HeaderChar"/>
    <w:uiPriority w:val="99"/>
    <w:unhideWhenUsed/>
    <w:rsid w:val="00B36BCA"/>
    <w:pPr>
      <w:tabs>
        <w:tab w:val="center" w:pos="4513"/>
        <w:tab w:val="right" w:pos="9026"/>
      </w:tabs>
      <w:spacing w:line="240" w:lineRule="auto"/>
    </w:pPr>
  </w:style>
  <w:style w:type="character" w:customStyle="1" w:styleId="HeaderChar">
    <w:name w:val="Header Char"/>
    <w:basedOn w:val="DefaultParagraphFont"/>
    <w:link w:val="Header"/>
    <w:uiPriority w:val="99"/>
    <w:rsid w:val="00B36BCA"/>
  </w:style>
  <w:style w:type="paragraph" w:styleId="Footer">
    <w:name w:val="footer"/>
    <w:basedOn w:val="Normal"/>
    <w:link w:val="FooterChar"/>
    <w:uiPriority w:val="99"/>
    <w:unhideWhenUsed/>
    <w:rsid w:val="00B36BCA"/>
    <w:pPr>
      <w:tabs>
        <w:tab w:val="center" w:pos="4513"/>
        <w:tab w:val="right" w:pos="9026"/>
      </w:tabs>
      <w:spacing w:line="240" w:lineRule="auto"/>
    </w:pPr>
  </w:style>
  <w:style w:type="character" w:customStyle="1" w:styleId="FooterChar">
    <w:name w:val="Footer Char"/>
    <w:basedOn w:val="DefaultParagraphFont"/>
    <w:link w:val="Footer"/>
    <w:uiPriority w:val="99"/>
    <w:rsid w:val="00B36BCA"/>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link.springer.com/content/pdf/10.1007/s10207-023-00738-3.pdf" TargetMode="External"/><Relationship Id="rId47" Type="http://schemas.openxmlformats.org/officeDocument/2006/relationships/hyperlink" Target="https://www.ncsc.gov.uk/" TargetMode="External"/><Relationship Id="rId63" Type="http://schemas.openxmlformats.org/officeDocument/2006/relationships/image" Target="media/image29.png"/><Relationship Id="rId68" Type="http://schemas.openxmlformats.org/officeDocument/2006/relationships/image" Target="media/image34.emf"/><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researchgate.net/profile/Md-Haris-Sharif/publication/362363620_A_literature_review_of_financial_losses_statistics_for_cyber_security_and_future_trend/links/62edad4f505511283e94b5ed/A-literature-review-of-financial-losses-statistics-for-cyber-security-and-future-trend.pdf"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mdpi.com/2079-9292/13/10/1860" TargetMode="External"/><Relationship Id="rId37" Type="http://schemas.openxmlformats.org/officeDocument/2006/relationships/hyperlink" Target="https://journals.mesopotamian.press/index.php/CyberSecurity/article/download/29/52" TargetMode="External"/><Relationship Id="rId40" Type="http://schemas.openxmlformats.org/officeDocument/2006/relationships/hyperlink" Target="https://www.mdpi.com/2227-7102/13/3/222" TargetMode="External"/><Relationship Id="rId45" Type="http://schemas.openxmlformats.org/officeDocument/2006/relationships/hyperlink" Target="https://corporate.marksandspencer.com/media" TargetMode="External"/><Relationship Id="rId53" Type="http://schemas.openxmlformats.org/officeDocument/2006/relationships/hyperlink" Target="https://mti.com/ms-and-coop-2025-cyber-attacks-lessons-learned/" TargetMode="External"/><Relationship Id="rId58" Type="http://schemas.openxmlformats.org/officeDocument/2006/relationships/image" Target="media/image24.png"/><Relationship Id="rId66" Type="http://schemas.openxmlformats.org/officeDocument/2006/relationships/image" Target="media/image32.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7.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indojurnal.com/index.php/jejakdigital/article/download/549/466" TargetMode="External"/><Relationship Id="rId30" Type="http://schemas.openxmlformats.org/officeDocument/2006/relationships/hyperlink" Target="https://www.academia.edu/download/103844772/1609.pdf" TargetMode="External"/><Relationship Id="rId35" Type="http://schemas.openxmlformats.org/officeDocument/2006/relationships/hyperlink" Target="https://www.academia.edu/download/109048221/IJEM-V12-N4-1.pdf" TargetMode="External"/><Relationship Id="rId43" Type="http://schemas.openxmlformats.org/officeDocument/2006/relationships/hyperlink" Target="https://www.mdpi.com/2624-800X/2/3/29" TargetMode="External"/><Relationship Id="rId48" Type="http://schemas.openxmlformats.org/officeDocument/2006/relationships/hyperlink" Target="https://www.computerweekly.com/" TargetMode="External"/><Relationship Id="rId56" Type="http://schemas.openxmlformats.org/officeDocument/2006/relationships/image" Target="media/image22.png"/><Relationship Id="rId64" Type="http://schemas.openxmlformats.org/officeDocument/2006/relationships/image" Target="media/image30.png"/><Relationship Id="rId69" Type="http://schemas.openxmlformats.org/officeDocument/2006/relationships/oleObject" Target="embeddings/oleObject1.bin"/><Relationship Id="rId8" Type="http://schemas.openxmlformats.org/officeDocument/2006/relationships/image" Target="media/image1.png"/><Relationship Id="rId51" Type="http://schemas.openxmlformats.org/officeDocument/2006/relationships/hyperlink" Target="https://attack.mitre.org/" TargetMode="External"/><Relationship Id="rId72"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sciencedirect.com/science/article/pii/S0167404825000409" TargetMode="External"/><Relationship Id="rId38" Type="http://schemas.openxmlformats.org/officeDocument/2006/relationships/hyperlink" Target="https://www.academia.edu/download/110625489/10.pdf_filename_UTF-810.pdf" TargetMode="External"/><Relationship Id="rId46" Type="http://schemas.openxmlformats.org/officeDocument/2006/relationships/hyperlink" Target="https://newsroom.coop.co.uk/" TargetMode="External"/><Relationship Id="rId59" Type="http://schemas.openxmlformats.org/officeDocument/2006/relationships/image" Target="media/image25.png"/><Relationship Id="rId67" Type="http://schemas.openxmlformats.org/officeDocument/2006/relationships/image" Target="media/image33.png"/><Relationship Id="rId20" Type="http://schemas.openxmlformats.org/officeDocument/2006/relationships/image" Target="media/image13.png"/><Relationship Id="rId41" Type="http://schemas.openxmlformats.org/officeDocument/2006/relationships/hyperlink" Target="https://www.researchgate.net/profile/Md-Haris-Sharif/publication/362363620_A_literature_review_of_financial_losses_statistics_for_cyber_security_and_future_trend/links/62edad4f505511283e94b5ed/A-literature-review-of-financial-losses-statistics-for-cyber-security-and-future-trend.pdf" TargetMode="External"/><Relationship Id="rId54" Type="http://schemas.openxmlformats.org/officeDocument/2006/relationships/image" Target="media/image20.png"/><Relationship Id="rId62" Type="http://schemas.openxmlformats.org/officeDocument/2006/relationships/image" Target="media/image28.png"/><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sciencedirect.com/science/article/pii/S2772918423000188" TargetMode="External"/><Relationship Id="rId36" Type="http://schemas.openxmlformats.org/officeDocument/2006/relationships/hyperlink" Target="https://papers.ssrn.com/sol3/Delivery.cfm?abstractid=4751949" TargetMode="External"/><Relationship Id="rId49" Type="http://schemas.openxmlformats.org/officeDocument/2006/relationships/hyperlink" Target="https://www.bbc.com/news" TargetMode="External"/><Relationship Id="rId57" Type="http://schemas.openxmlformats.org/officeDocument/2006/relationships/image" Target="media/image23.png"/><Relationship Id="rId10" Type="http://schemas.openxmlformats.org/officeDocument/2006/relationships/image" Target="media/image3.png"/><Relationship Id="rId31" Type="http://schemas.openxmlformats.org/officeDocument/2006/relationships/hyperlink" Target="https://www.researchgate.net/profile/Nayem-Uddin-Prince-2/publication/384018715_The_role_of_predictive_analytics_in_cybersecurity_Detecting_and_preventing_threats/links/66e504dab1606e24c228d394/The-role-of-predictive-analytics-in-cybersecurity-Detecting-and-preventing-threats.pdf" TargetMode="External"/><Relationship Id="rId44" Type="http://schemas.openxmlformats.org/officeDocument/2006/relationships/hyperlink" Target="https://www.icaew.com/technical/technology/webinars-and-publications/webinars/m-and-s-and-co-op-cyber-incidents" TargetMode="External"/><Relationship Id="rId52" Type="http://schemas.openxmlformats.org/officeDocument/2006/relationships/hyperlink" Target="https://www.microsoft.com/security/blog/" TargetMode="External"/><Relationship Id="rId60" Type="http://schemas.openxmlformats.org/officeDocument/2006/relationships/image" Target="media/image26.png"/><Relationship Id="rId65" Type="http://schemas.openxmlformats.org/officeDocument/2006/relationships/image" Target="media/image31.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scirp.net/pdf/jis2024153_37801018.pdf" TargetMode="External"/><Relationship Id="rId34" Type="http://schemas.openxmlformats.org/officeDocument/2006/relationships/hyperlink" Target="https://www.sciencedirect.com/science/article/pii/S1319157821000203" TargetMode="External"/><Relationship Id="rId50" Type="http://schemas.openxmlformats.org/officeDocument/2006/relationships/hyperlink" Target="https://www.reuters.com/" TargetMode="External"/><Relationship Id="rId55" Type="http://schemas.openxmlformats.org/officeDocument/2006/relationships/image" Target="media/image21.png"/><Relationship Id="rId7" Type="http://schemas.openxmlformats.org/officeDocument/2006/relationships/endnotes" Target="endnotes.xml"/><Relationship Id="rId71"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5.png"/></Relationships>
</file>

<file path=word/_rels/header2.xml.rels><?xml version="1.0" encoding="UTF-8" standalone="yes"?>
<Relationships xmlns="http://schemas.openxmlformats.org/package/2006/relationships"><Relationship Id="rId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eYkVS+Pr2yBLl9Gd8uKE9UT8pQ==">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9415</Words>
  <Characters>53669</Characters>
  <Application>Microsoft Office Word</Application>
  <DocSecurity>0</DocSecurity>
  <Lines>447</Lines>
  <Paragraphs>125</Paragraphs>
  <ScaleCrop>false</ScaleCrop>
  <Company/>
  <LinksUpToDate>false</LinksUpToDate>
  <CharactersWithSpaces>62959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Jaiminkumar someshbhai Bhoi</cp:lastModifiedBy>
  <cp:revision>4</cp:revision>
  <dcterms:created xsi:type="dcterms:W3CDTF">2026-07-30T10:24:00Z</dcterms:created>
  <dcterms:modified xsi:type="dcterms:W3CDTF">2026-08-16T22:30:00Z</dcterms:modified>
</cp:coreProperties>
</file>