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6D8F7D8F" w:rsidR="00074402" w:rsidRPr="001D7FFE" w:rsidRDefault="00074402" w:rsidP="003E4ECF">
      <w:pPr>
        <w:tabs>
          <w:tab w:val="left" w:pos="6540"/>
        </w:tabs>
        <w:spacing w:line="360" w:lineRule="auto"/>
        <w:rPr>
          <w:rFonts w:ascii="Arial" w:hAnsi="Arial" w:cs="Arial"/>
          <w:b/>
          <w:bCs/>
          <w:sz w:val="28"/>
          <w:szCs w:val="28"/>
        </w:rPr>
      </w:pPr>
      <w:r w:rsidRPr="001D7FFE">
        <w:rPr>
          <w:rFonts w:ascii="Arial" w:hAnsi="Arial" w:cs="Arial"/>
          <w:b/>
          <w:bCs/>
          <w:sz w:val="28"/>
          <w:szCs w:val="28"/>
        </w:rPr>
        <w:t>Student name</w:t>
      </w:r>
      <w:r w:rsidRPr="001D7FFE">
        <w:rPr>
          <w:rFonts w:ascii="Arial" w:hAnsi="Arial" w:cs="Arial"/>
          <w:sz w:val="28"/>
          <w:szCs w:val="28"/>
        </w:rPr>
        <w:t>:</w:t>
      </w:r>
      <w:r w:rsidR="00A560F5" w:rsidRPr="001D7FFE">
        <w:rPr>
          <w:rFonts w:ascii="Arial" w:hAnsi="Arial" w:cs="Arial"/>
          <w:sz w:val="28"/>
          <w:szCs w:val="28"/>
        </w:rPr>
        <w:t xml:space="preserve"> </w:t>
      </w:r>
      <w:r w:rsidR="00A560F5" w:rsidRPr="001D7FFE">
        <w:rPr>
          <w:rFonts w:ascii="Arial" w:hAnsi="Arial" w:cs="Arial"/>
          <w:b/>
          <w:bCs/>
          <w:sz w:val="28"/>
          <w:szCs w:val="28"/>
        </w:rPr>
        <w:t>Mariya Georgieva</w:t>
      </w:r>
    </w:p>
    <w:p w14:paraId="5E81F6AD" w14:textId="3E108BA8" w:rsidR="00074402" w:rsidRDefault="00074402" w:rsidP="003E4ECF">
      <w:pPr>
        <w:tabs>
          <w:tab w:val="left" w:pos="6540"/>
        </w:tabs>
        <w:spacing w:line="360" w:lineRule="auto"/>
        <w:rPr>
          <w:rFonts w:ascii="Arial" w:hAnsi="Arial" w:cs="Arial"/>
          <w:b/>
          <w:bCs/>
          <w:sz w:val="28"/>
          <w:szCs w:val="28"/>
        </w:rPr>
      </w:pPr>
      <w:r w:rsidRPr="001D7FFE">
        <w:rPr>
          <w:rFonts w:ascii="Arial" w:hAnsi="Arial" w:cs="Arial"/>
          <w:b/>
          <w:bCs/>
          <w:sz w:val="28"/>
          <w:szCs w:val="28"/>
        </w:rPr>
        <w:t>Student ID</w:t>
      </w:r>
      <w:r w:rsidRPr="001D7FFE">
        <w:rPr>
          <w:rFonts w:ascii="Arial" w:hAnsi="Arial" w:cs="Arial"/>
          <w:sz w:val="28"/>
          <w:szCs w:val="28"/>
        </w:rPr>
        <w:t>:</w:t>
      </w:r>
      <w:r w:rsidR="00A560F5" w:rsidRPr="001D7FFE">
        <w:rPr>
          <w:rFonts w:ascii="Arial" w:hAnsi="Arial" w:cs="Arial"/>
          <w:sz w:val="28"/>
          <w:szCs w:val="28"/>
        </w:rPr>
        <w:t xml:space="preserve"> </w:t>
      </w:r>
      <w:r w:rsidR="00A560F5" w:rsidRPr="001D7FFE">
        <w:rPr>
          <w:rFonts w:ascii="Arial" w:hAnsi="Arial" w:cs="Arial"/>
          <w:b/>
          <w:bCs/>
          <w:sz w:val="28"/>
          <w:szCs w:val="28"/>
        </w:rPr>
        <w:t>1906952</w:t>
      </w:r>
    </w:p>
    <w:p w14:paraId="1BCA71F1" w14:textId="77777777" w:rsidR="001D7FFE" w:rsidRPr="001D7FFE" w:rsidRDefault="001D7FFE" w:rsidP="003E4ECF">
      <w:pPr>
        <w:tabs>
          <w:tab w:val="left" w:pos="6540"/>
        </w:tabs>
        <w:spacing w:line="360" w:lineRule="auto"/>
        <w:rPr>
          <w:rFonts w:ascii="Arial" w:hAnsi="Arial" w:cs="Arial"/>
          <w:b/>
          <w:bCs/>
          <w:sz w:val="28"/>
          <w:szCs w:val="28"/>
        </w:rPr>
      </w:pPr>
    </w:p>
    <w:p w14:paraId="76B6655A" w14:textId="3DFDFF13" w:rsidR="00074402" w:rsidRPr="001D7FFE" w:rsidRDefault="00074402" w:rsidP="003E4ECF">
      <w:pPr>
        <w:tabs>
          <w:tab w:val="left" w:pos="6540"/>
        </w:tabs>
        <w:spacing w:line="360" w:lineRule="auto"/>
        <w:rPr>
          <w:rFonts w:ascii="Arial" w:hAnsi="Arial" w:cs="Arial"/>
          <w:sz w:val="28"/>
          <w:szCs w:val="28"/>
        </w:rPr>
      </w:pPr>
      <w:r w:rsidRPr="001D7FFE">
        <w:rPr>
          <w:rFonts w:ascii="Arial" w:hAnsi="Arial" w:cs="Arial"/>
          <w:b/>
          <w:bCs/>
          <w:sz w:val="28"/>
          <w:szCs w:val="28"/>
        </w:rPr>
        <w:t>Module name</w:t>
      </w:r>
      <w:r w:rsidRPr="001D7FFE">
        <w:rPr>
          <w:rFonts w:ascii="Arial" w:hAnsi="Arial" w:cs="Arial"/>
          <w:sz w:val="28"/>
          <w:szCs w:val="28"/>
        </w:rPr>
        <w:t xml:space="preserve">: </w:t>
      </w:r>
      <w:r w:rsidR="00A560F5" w:rsidRPr="001D7FFE">
        <w:rPr>
          <w:rFonts w:ascii="Arial" w:hAnsi="Arial" w:cs="Arial"/>
          <w:b/>
          <w:bCs/>
          <w:sz w:val="28"/>
          <w:szCs w:val="28"/>
        </w:rPr>
        <w:t>Introduction to Research</w:t>
      </w:r>
    </w:p>
    <w:p w14:paraId="4E5B279A" w14:textId="5EFFA17A" w:rsidR="00074402" w:rsidRPr="00463ED4" w:rsidRDefault="00074402" w:rsidP="003E4ECF">
      <w:pPr>
        <w:tabs>
          <w:tab w:val="left" w:pos="6540"/>
        </w:tabs>
        <w:spacing w:line="360" w:lineRule="auto"/>
        <w:rPr>
          <w:rFonts w:ascii="Arial" w:hAnsi="Arial" w:cs="Arial"/>
          <w:sz w:val="28"/>
          <w:szCs w:val="28"/>
        </w:rPr>
      </w:pPr>
      <w:r w:rsidRPr="00463ED4">
        <w:rPr>
          <w:rFonts w:ascii="Arial" w:hAnsi="Arial" w:cs="Arial"/>
          <w:b/>
          <w:bCs/>
          <w:sz w:val="28"/>
          <w:szCs w:val="28"/>
        </w:rPr>
        <w:t>Module code:</w:t>
      </w:r>
      <w:r w:rsidR="00A560F5" w:rsidRPr="00463ED4">
        <w:rPr>
          <w:rFonts w:ascii="Arial" w:hAnsi="Arial" w:cs="Arial"/>
          <w:b/>
          <w:bCs/>
          <w:sz w:val="28"/>
          <w:szCs w:val="28"/>
        </w:rPr>
        <w:t xml:space="preserve"> BMHP 50</w:t>
      </w:r>
      <w:r w:rsidR="00463ED4" w:rsidRPr="00463ED4">
        <w:rPr>
          <w:rFonts w:ascii="Arial" w:hAnsi="Arial" w:cs="Arial"/>
          <w:b/>
          <w:bCs/>
          <w:sz w:val="28"/>
          <w:szCs w:val="28"/>
        </w:rPr>
        <w:t>0</w:t>
      </w:r>
      <w:r w:rsidR="00463ED4">
        <w:rPr>
          <w:rFonts w:ascii="Arial" w:hAnsi="Arial" w:cs="Arial"/>
          <w:b/>
          <w:bCs/>
          <w:sz w:val="28"/>
          <w:szCs w:val="28"/>
        </w:rPr>
        <w:t>5</w:t>
      </w:r>
    </w:p>
    <w:p w14:paraId="1A0B2D2B" w14:textId="74E17D9E" w:rsidR="00074402" w:rsidRPr="001D7FFE" w:rsidRDefault="00074402" w:rsidP="003E4ECF">
      <w:pPr>
        <w:tabs>
          <w:tab w:val="left" w:pos="6540"/>
        </w:tabs>
        <w:spacing w:line="360" w:lineRule="auto"/>
        <w:rPr>
          <w:rFonts w:ascii="Arial" w:hAnsi="Arial" w:cs="Arial"/>
          <w:sz w:val="28"/>
          <w:szCs w:val="28"/>
          <w:lang w:val="fr-FR"/>
        </w:rPr>
      </w:pPr>
      <w:r w:rsidRPr="001D7FFE">
        <w:rPr>
          <w:rFonts w:ascii="Arial" w:hAnsi="Arial" w:cs="Arial"/>
          <w:b/>
          <w:bCs/>
          <w:sz w:val="28"/>
          <w:szCs w:val="28"/>
          <w:lang w:val="fr-FR"/>
        </w:rPr>
        <w:t>Lecturer name</w:t>
      </w:r>
      <w:r w:rsidRPr="001D7FFE">
        <w:rPr>
          <w:rFonts w:ascii="Arial" w:hAnsi="Arial" w:cs="Arial"/>
          <w:sz w:val="28"/>
          <w:szCs w:val="28"/>
          <w:lang w:val="fr-FR"/>
        </w:rPr>
        <w:t>:</w:t>
      </w:r>
      <w:r w:rsidR="001D7FFE" w:rsidRPr="001D7FFE">
        <w:rPr>
          <w:rFonts w:ascii="Arial" w:hAnsi="Arial" w:cs="Arial"/>
          <w:sz w:val="28"/>
          <w:szCs w:val="28"/>
          <w:lang w:val="fr-FR"/>
        </w:rPr>
        <w:t xml:space="preserve"> </w:t>
      </w:r>
      <w:r w:rsidR="001D7FFE" w:rsidRPr="001D7FFE">
        <w:rPr>
          <w:rFonts w:ascii="Arial" w:hAnsi="Arial" w:cs="Arial"/>
          <w:b/>
          <w:bCs/>
          <w:sz w:val="28"/>
          <w:szCs w:val="28"/>
          <w:lang w:val="fr-FR"/>
        </w:rPr>
        <w:t>Laila Surani</w:t>
      </w:r>
    </w:p>
    <w:p w14:paraId="39D08584" w14:textId="77777777" w:rsidR="00074402" w:rsidRPr="001D7FFE" w:rsidRDefault="00074402" w:rsidP="003E4ECF">
      <w:pPr>
        <w:tabs>
          <w:tab w:val="left" w:pos="6540"/>
        </w:tabs>
        <w:spacing w:line="360" w:lineRule="auto"/>
        <w:rPr>
          <w:rFonts w:ascii="Arial" w:hAnsi="Arial" w:cs="Arial"/>
          <w:sz w:val="28"/>
          <w:szCs w:val="28"/>
          <w:lang w:val="fr-FR"/>
        </w:rPr>
      </w:pPr>
    </w:p>
    <w:p w14:paraId="5B66D125" w14:textId="77777777" w:rsidR="00074402" w:rsidRPr="001D7FFE" w:rsidRDefault="00074402" w:rsidP="003E4ECF">
      <w:pPr>
        <w:tabs>
          <w:tab w:val="left" w:pos="6540"/>
        </w:tabs>
        <w:spacing w:line="360" w:lineRule="auto"/>
        <w:rPr>
          <w:rFonts w:ascii="Arial" w:hAnsi="Arial" w:cs="Arial"/>
          <w:sz w:val="28"/>
          <w:szCs w:val="28"/>
          <w:lang w:val="fr-FR"/>
        </w:rPr>
      </w:pPr>
    </w:p>
    <w:p w14:paraId="291524A2" w14:textId="2CBFF360" w:rsidR="00074402" w:rsidRPr="001D7FFE" w:rsidRDefault="00074402" w:rsidP="003E4ECF">
      <w:pPr>
        <w:tabs>
          <w:tab w:val="left" w:pos="6540"/>
        </w:tabs>
        <w:spacing w:line="360" w:lineRule="auto"/>
        <w:rPr>
          <w:rFonts w:ascii="Arial" w:hAnsi="Arial" w:cs="Arial"/>
          <w:sz w:val="28"/>
          <w:szCs w:val="28"/>
          <w:lang w:val="fr-FR"/>
        </w:rPr>
      </w:pPr>
    </w:p>
    <w:p w14:paraId="5AE88297" w14:textId="24E6B718" w:rsidR="00B87E75" w:rsidRPr="001D7FFE" w:rsidRDefault="00B87E75" w:rsidP="003E4ECF">
      <w:pPr>
        <w:tabs>
          <w:tab w:val="left" w:pos="6540"/>
        </w:tabs>
        <w:spacing w:line="360" w:lineRule="auto"/>
        <w:rPr>
          <w:rFonts w:ascii="Arial" w:hAnsi="Arial" w:cs="Arial"/>
          <w:sz w:val="28"/>
          <w:szCs w:val="28"/>
          <w:lang w:val="fr-FR"/>
        </w:rPr>
      </w:pPr>
    </w:p>
    <w:p w14:paraId="38888D17" w14:textId="22BE5CA8" w:rsidR="00AB5BF0" w:rsidRPr="001D7FFE" w:rsidRDefault="00AB5BF0" w:rsidP="00AB5BF0">
      <w:pPr>
        <w:spacing w:line="360" w:lineRule="auto"/>
        <w:rPr>
          <w:rFonts w:ascii="Arial" w:hAnsi="Arial" w:cs="Arial"/>
          <w:sz w:val="28"/>
          <w:szCs w:val="28"/>
          <w:lang w:val="fr-FR"/>
        </w:rPr>
      </w:pPr>
    </w:p>
    <w:p w14:paraId="7BF54ED4" w14:textId="0CDE04E5" w:rsidR="00AB5BF0" w:rsidRPr="001D7FFE" w:rsidRDefault="00AB5BF0" w:rsidP="00AB5BF0">
      <w:pPr>
        <w:spacing w:line="360" w:lineRule="auto"/>
        <w:rPr>
          <w:rFonts w:ascii="Arial" w:hAnsi="Arial" w:cs="Arial"/>
          <w:sz w:val="28"/>
          <w:szCs w:val="28"/>
          <w:lang w:val="fr-FR"/>
        </w:rPr>
      </w:pPr>
    </w:p>
    <w:p w14:paraId="3C6E6BA1" w14:textId="7323E04B" w:rsidR="00AB5BF0" w:rsidRPr="001D7FFE" w:rsidRDefault="00AB5BF0" w:rsidP="00AB5BF0">
      <w:pPr>
        <w:spacing w:line="360" w:lineRule="auto"/>
        <w:rPr>
          <w:rFonts w:ascii="Arial" w:hAnsi="Arial" w:cs="Arial"/>
          <w:sz w:val="28"/>
          <w:szCs w:val="28"/>
          <w:lang w:val="fr-FR"/>
        </w:rPr>
      </w:pPr>
    </w:p>
    <w:p w14:paraId="42609129" w14:textId="0DADABBD" w:rsidR="00AB5BF0" w:rsidRPr="001D7FFE" w:rsidRDefault="00AB5BF0" w:rsidP="00AB5BF0">
      <w:pPr>
        <w:spacing w:line="360" w:lineRule="auto"/>
        <w:rPr>
          <w:rFonts w:ascii="Arial" w:hAnsi="Arial" w:cs="Arial"/>
          <w:sz w:val="28"/>
          <w:szCs w:val="28"/>
          <w:lang w:val="fr-FR"/>
        </w:rPr>
      </w:pPr>
    </w:p>
    <w:p w14:paraId="5AA21CF8" w14:textId="183E2F7C" w:rsidR="00AB5BF0" w:rsidRPr="001D7FFE" w:rsidRDefault="00AB5BF0" w:rsidP="00AB5BF0">
      <w:pPr>
        <w:spacing w:line="360" w:lineRule="auto"/>
        <w:rPr>
          <w:rFonts w:ascii="Arial" w:hAnsi="Arial" w:cs="Arial"/>
          <w:sz w:val="28"/>
          <w:szCs w:val="28"/>
          <w:lang w:val="fr-FR"/>
        </w:rPr>
      </w:pPr>
    </w:p>
    <w:p w14:paraId="24B07646" w14:textId="77777777" w:rsidR="00AB5BF0" w:rsidRPr="001D7FFE" w:rsidRDefault="00AB5BF0" w:rsidP="00AB5BF0">
      <w:pPr>
        <w:spacing w:line="360" w:lineRule="auto"/>
        <w:rPr>
          <w:rFonts w:ascii="Arial" w:hAnsi="Arial" w:cs="Arial"/>
          <w:sz w:val="28"/>
          <w:szCs w:val="28"/>
          <w:lang w:val="fr-FR"/>
        </w:rPr>
      </w:pPr>
    </w:p>
    <w:sdt>
      <w:sdtPr>
        <w:rPr>
          <w:rFonts w:ascii="Times New Roman" w:eastAsiaTheme="minorHAnsi" w:hAnsi="Times New Roman" w:cstheme="minorBidi"/>
          <w:b w:val="0"/>
          <w:bCs w:val="0"/>
          <w:color w:val="auto"/>
          <w:sz w:val="24"/>
          <w:szCs w:val="22"/>
          <w:lang w:val="en-GB"/>
        </w:rPr>
        <w:id w:val="-502580990"/>
        <w:docPartObj>
          <w:docPartGallery w:val="Table of Contents"/>
          <w:docPartUnique/>
        </w:docPartObj>
      </w:sdtPr>
      <w:sdtEndPr>
        <w:rPr>
          <w:noProof/>
        </w:rPr>
      </w:sdtEndPr>
      <w:sdtContent>
        <w:p w14:paraId="18CC3A57" w14:textId="275B0FC2" w:rsidR="00AB5BF0" w:rsidRPr="00AB5BF0" w:rsidRDefault="00AB5BF0">
          <w:pPr>
            <w:pStyle w:val="TOCHeading"/>
            <w:rPr>
              <w:sz w:val="32"/>
              <w:szCs w:val="32"/>
            </w:rPr>
          </w:pPr>
        </w:p>
        <w:p w14:paraId="01C870CE" w14:textId="7114E0A6" w:rsidR="00AB5BF0" w:rsidRPr="00AB5BF0" w:rsidRDefault="00AB5BF0" w:rsidP="00AB5BF0">
          <w:pPr>
            <w:pStyle w:val="TOC1"/>
            <w:tabs>
              <w:tab w:val="right" w:leader="dot" w:pos="9016"/>
            </w:tabs>
            <w:rPr>
              <w:noProof/>
              <w:color w:val="0563C1" w:themeColor="hyperlink"/>
              <w:sz w:val="28"/>
              <w:szCs w:val="28"/>
              <w:u w:val="single"/>
            </w:rPr>
          </w:pPr>
          <w:r w:rsidRPr="00AB5BF0">
            <w:rPr>
              <w:b w:val="0"/>
              <w:bCs w:val="0"/>
              <w:sz w:val="28"/>
              <w:szCs w:val="28"/>
            </w:rPr>
            <w:fldChar w:fldCharType="begin"/>
          </w:r>
          <w:r w:rsidRPr="00AB5BF0">
            <w:rPr>
              <w:sz w:val="28"/>
              <w:szCs w:val="28"/>
            </w:rPr>
            <w:instrText xml:space="preserve"> TOC \o "1-3" \h \z \u </w:instrText>
          </w:r>
          <w:r w:rsidRPr="00AB5BF0">
            <w:rPr>
              <w:b w:val="0"/>
              <w:bCs w:val="0"/>
              <w:sz w:val="28"/>
              <w:szCs w:val="28"/>
            </w:rPr>
            <w:fldChar w:fldCharType="separate"/>
          </w:r>
          <w:hyperlink w:anchor="_Toc92227555" w:history="1">
            <w:r w:rsidRPr="00AB5BF0">
              <w:rPr>
                <w:rStyle w:val="Hyperlink"/>
                <w:noProof/>
                <w:sz w:val="28"/>
                <w:szCs w:val="28"/>
              </w:rPr>
              <w:t>Table of contents</w:t>
            </w:r>
            <w:r w:rsidRPr="00AB5BF0">
              <w:rPr>
                <w:noProof/>
                <w:webHidden/>
                <w:sz w:val="28"/>
                <w:szCs w:val="28"/>
              </w:rPr>
              <w:tab/>
            </w:r>
            <w:r w:rsidRPr="00AB5BF0">
              <w:rPr>
                <w:noProof/>
                <w:webHidden/>
                <w:sz w:val="28"/>
                <w:szCs w:val="28"/>
              </w:rPr>
              <w:fldChar w:fldCharType="begin"/>
            </w:r>
            <w:r w:rsidRPr="00AB5BF0">
              <w:rPr>
                <w:noProof/>
                <w:webHidden/>
                <w:sz w:val="28"/>
                <w:szCs w:val="28"/>
              </w:rPr>
              <w:instrText xml:space="preserve"> PAGEREF _Toc92227555 \h </w:instrText>
            </w:r>
            <w:r w:rsidRPr="00AB5BF0">
              <w:rPr>
                <w:noProof/>
                <w:webHidden/>
                <w:sz w:val="28"/>
                <w:szCs w:val="28"/>
              </w:rPr>
            </w:r>
            <w:r w:rsidRPr="00AB5BF0">
              <w:rPr>
                <w:noProof/>
                <w:webHidden/>
                <w:sz w:val="28"/>
                <w:szCs w:val="28"/>
              </w:rPr>
              <w:fldChar w:fldCharType="separate"/>
            </w:r>
            <w:r w:rsidRPr="00AB5BF0">
              <w:rPr>
                <w:noProof/>
                <w:webHidden/>
                <w:sz w:val="28"/>
                <w:szCs w:val="28"/>
              </w:rPr>
              <w:t>2</w:t>
            </w:r>
            <w:r w:rsidRPr="00AB5BF0">
              <w:rPr>
                <w:noProof/>
                <w:webHidden/>
                <w:sz w:val="28"/>
                <w:szCs w:val="28"/>
              </w:rPr>
              <w:fldChar w:fldCharType="end"/>
            </w:r>
          </w:hyperlink>
        </w:p>
        <w:p w14:paraId="2C0DCE12" w14:textId="383B18C6" w:rsidR="00AB5BF0" w:rsidRPr="00AB5BF0" w:rsidRDefault="002719ED">
          <w:pPr>
            <w:pStyle w:val="TOC1"/>
            <w:tabs>
              <w:tab w:val="right" w:leader="dot" w:pos="9016"/>
            </w:tabs>
            <w:rPr>
              <w:noProof/>
              <w:sz w:val="28"/>
              <w:szCs w:val="28"/>
            </w:rPr>
          </w:pPr>
          <w:hyperlink w:anchor="_Toc92227556" w:history="1">
            <w:r w:rsidR="00AB5BF0" w:rsidRPr="00AB5BF0">
              <w:rPr>
                <w:rStyle w:val="Hyperlink"/>
                <w:noProof/>
                <w:sz w:val="28"/>
                <w:szCs w:val="28"/>
              </w:rPr>
              <w:t>1. Introduction</w:t>
            </w:r>
            <w:r w:rsidR="00AB5BF0" w:rsidRPr="00AB5BF0">
              <w:rPr>
                <w:noProof/>
                <w:webHidden/>
                <w:sz w:val="28"/>
                <w:szCs w:val="28"/>
              </w:rPr>
              <w:tab/>
            </w:r>
            <w:r w:rsidR="00AB5BF0" w:rsidRPr="00AB5BF0">
              <w:rPr>
                <w:noProof/>
                <w:webHidden/>
                <w:sz w:val="28"/>
                <w:szCs w:val="28"/>
              </w:rPr>
              <w:fldChar w:fldCharType="begin"/>
            </w:r>
            <w:r w:rsidR="00AB5BF0" w:rsidRPr="00AB5BF0">
              <w:rPr>
                <w:noProof/>
                <w:webHidden/>
                <w:sz w:val="28"/>
                <w:szCs w:val="28"/>
              </w:rPr>
              <w:instrText xml:space="preserve"> PAGEREF _Toc92227556 \h </w:instrText>
            </w:r>
            <w:r w:rsidR="00AB5BF0" w:rsidRPr="00AB5BF0">
              <w:rPr>
                <w:noProof/>
                <w:webHidden/>
                <w:sz w:val="28"/>
                <w:szCs w:val="28"/>
              </w:rPr>
            </w:r>
            <w:r w:rsidR="00AB5BF0" w:rsidRPr="00AB5BF0">
              <w:rPr>
                <w:noProof/>
                <w:webHidden/>
                <w:sz w:val="28"/>
                <w:szCs w:val="28"/>
              </w:rPr>
              <w:fldChar w:fldCharType="separate"/>
            </w:r>
            <w:r w:rsidR="00AB5BF0" w:rsidRPr="00AB5BF0">
              <w:rPr>
                <w:noProof/>
                <w:webHidden/>
                <w:sz w:val="28"/>
                <w:szCs w:val="28"/>
              </w:rPr>
              <w:t>3</w:t>
            </w:r>
            <w:r w:rsidR="00AB5BF0" w:rsidRPr="00AB5BF0">
              <w:rPr>
                <w:noProof/>
                <w:webHidden/>
                <w:sz w:val="28"/>
                <w:szCs w:val="28"/>
              </w:rPr>
              <w:fldChar w:fldCharType="end"/>
            </w:r>
          </w:hyperlink>
        </w:p>
        <w:p w14:paraId="28A75FE8" w14:textId="6CCA2843" w:rsidR="00AB5BF0" w:rsidRPr="00AB5BF0" w:rsidRDefault="002719ED">
          <w:pPr>
            <w:pStyle w:val="TOC1"/>
            <w:tabs>
              <w:tab w:val="right" w:leader="dot" w:pos="9016"/>
            </w:tabs>
            <w:rPr>
              <w:noProof/>
              <w:sz w:val="28"/>
              <w:szCs w:val="28"/>
            </w:rPr>
          </w:pPr>
          <w:hyperlink w:anchor="_Toc92227557" w:history="1">
            <w:r w:rsidR="00AB5BF0" w:rsidRPr="00AB5BF0">
              <w:rPr>
                <w:rStyle w:val="Hyperlink"/>
                <w:noProof/>
                <w:sz w:val="28"/>
                <w:szCs w:val="28"/>
              </w:rPr>
              <w:t>2. Background</w:t>
            </w:r>
            <w:r w:rsidR="00AB5BF0" w:rsidRPr="00AB5BF0">
              <w:rPr>
                <w:noProof/>
                <w:webHidden/>
                <w:sz w:val="28"/>
                <w:szCs w:val="28"/>
              </w:rPr>
              <w:tab/>
            </w:r>
            <w:r w:rsidR="00AB5BF0" w:rsidRPr="00AB5BF0">
              <w:rPr>
                <w:noProof/>
                <w:webHidden/>
                <w:sz w:val="28"/>
                <w:szCs w:val="28"/>
              </w:rPr>
              <w:fldChar w:fldCharType="begin"/>
            </w:r>
            <w:r w:rsidR="00AB5BF0" w:rsidRPr="00AB5BF0">
              <w:rPr>
                <w:noProof/>
                <w:webHidden/>
                <w:sz w:val="28"/>
                <w:szCs w:val="28"/>
              </w:rPr>
              <w:instrText xml:space="preserve"> PAGEREF _Toc92227557 \h </w:instrText>
            </w:r>
            <w:r w:rsidR="00AB5BF0" w:rsidRPr="00AB5BF0">
              <w:rPr>
                <w:noProof/>
                <w:webHidden/>
                <w:sz w:val="28"/>
                <w:szCs w:val="28"/>
              </w:rPr>
            </w:r>
            <w:r w:rsidR="00AB5BF0" w:rsidRPr="00AB5BF0">
              <w:rPr>
                <w:noProof/>
                <w:webHidden/>
                <w:sz w:val="28"/>
                <w:szCs w:val="28"/>
              </w:rPr>
              <w:fldChar w:fldCharType="separate"/>
            </w:r>
            <w:r w:rsidR="00AB5BF0" w:rsidRPr="00AB5BF0">
              <w:rPr>
                <w:noProof/>
                <w:webHidden/>
                <w:sz w:val="28"/>
                <w:szCs w:val="28"/>
              </w:rPr>
              <w:t>3</w:t>
            </w:r>
            <w:r w:rsidR="00AB5BF0" w:rsidRPr="00AB5BF0">
              <w:rPr>
                <w:noProof/>
                <w:webHidden/>
                <w:sz w:val="28"/>
                <w:szCs w:val="28"/>
              </w:rPr>
              <w:fldChar w:fldCharType="end"/>
            </w:r>
          </w:hyperlink>
        </w:p>
        <w:p w14:paraId="3817192E" w14:textId="3858368C" w:rsidR="00AB5BF0" w:rsidRPr="00AB5BF0" w:rsidRDefault="002719ED">
          <w:pPr>
            <w:pStyle w:val="TOC1"/>
            <w:tabs>
              <w:tab w:val="right" w:leader="dot" w:pos="9016"/>
            </w:tabs>
            <w:rPr>
              <w:noProof/>
              <w:sz w:val="28"/>
              <w:szCs w:val="28"/>
            </w:rPr>
          </w:pPr>
          <w:hyperlink w:anchor="_Toc92227558" w:history="1">
            <w:r w:rsidR="00AB5BF0" w:rsidRPr="00AB5BF0">
              <w:rPr>
                <w:rStyle w:val="Hyperlink"/>
                <w:noProof/>
                <w:sz w:val="28"/>
                <w:szCs w:val="28"/>
              </w:rPr>
              <w:t>3. Methods</w:t>
            </w:r>
            <w:r w:rsidR="00AB5BF0" w:rsidRPr="00AB5BF0">
              <w:rPr>
                <w:noProof/>
                <w:webHidden/>
                <w:sz w:val="28"/>
                <w:szCs w:val="28"/>
              </w:rPr>
              <w:tab/>
            </w:r>
            <w:r w:rsidR="00AB5BF0" w:rsidRPr="00AB5BF0">
              <w:rPr>
                <w:noProof/>
                <w:webHidden/>
                <w:sz w:val="28"/>
                <w:szCs w:val="28"/>
              </w:rPr>
              <w:fldChar w:fldCharType="begin"/>
            </w:r>
            <w:r w:rsidR="00AB5BF0" w:rsidRPr="00AB5BF0">
              <w:rPr>
                <w:noProof/>
                <w:webHidden/>
                <w:sz w:val="28"/>
                <w:szCs w:val="28"/>
              </w:rPr>
              <w:instrText xml:space="preserve"> PAGEREF _Toc92227558 \h </w:instrText>
            </w:r>
            <w:r w:rsidR="00AB5BF0" w:rsidRPr="00AB5BF0">
              <w:rPr>
                <w:noProof/>
                <w:webHidden/>
                <w:sz w:val="28"/>
                <w:szCs w:val="28"/>
              </w:rPr>
            </w:r>
            <w:r w:rsidR="00AB5BF0" w:rsidRPr="00AB5BF0">
              <w:rPr>
                <w:noProof/>
                <w:webHidden/>
                <w:sz w:val="28"/>
                <w:szCs w:val="28"/>
              </w:rPr>
              <w:fldChar w:fldCharType="separate"/>
            </w:r>
            <w:r w:rsidR="00AB5BF0" w:rsidRPr="00AB5BF0">
              <w:rPr>
                <w:noProof/>
                <w:webHidden/>
                <w:sz w:val="28"/>
                <w:szCs w:val="28"/>
              </w:rPr>
              <w:t>4</w:t>
            </w:r>
            <w:r w:rsidR="00AB5BF0" w:rsidRPr="00AB5BF0">
              <w:rPr>
                <w:noProof/>
                <w:webHidden/>
                <w:sz w:val="28"/>
                <w:szCs w:val="28"/>
              </w:rPr>
              <w:fldChar w:fldCharType="end"/>
            </w:r>
          </w:hyperlink>
        </w:p>
        <w:p w14:paraId="692DC1A4" w14:textId="21A4C6FB" w:rsidR="00AB5BF0" w:rsidRPr="00AB5BF0" w:rsidRDefault="002719ED">
          <w:pPr>
            <w:pStyle w:val="TOC1"/>
            <w:tabs>
              <w:tab w:val="right" w:leader="dot" w:pos="9016"/>
            </w:tabs>
            <w:rPr>
              <w:noProof/>
              <w:sz w:val="28"/>
              <w:szCs w:val="28"/>
            </w:rPr>
          </w:pPr>
          <w:hyperlink w:anchor="_Toc92227559" w:history="1">
            <w:r w:rsidR="00AB5BF0" w:rsidRPr="00AB5BF0">
              <w:rPr>
                <w:rStyle w:val="Hyperlink"/>
                <w:noProof/>
                <w:sz w:val="28"/>
                <w:szCs w:val="28"/>
              </w:rPr>
              <w:t>4. Results</w:t>
            </w:r>
            <w:r w:rsidR="00AB5BF0" w:rsidRPr="00AB5BF0">
              <w:rPr>
                <w:noProof/>
                <w:webHidden/>
                <w:sz w:val="28"/>
                <w:szCs w:val="28"/>
              </w:rPr>
              <w:tab/>
            </w:r>
            <w:r w:rsidR="00AB5BF0" w:rsidRPr="00AB5BF0">
              <w:rPr>
                <w:noProof/>
                <w:webHidden/>
                <w:sz w:val="28"/>
                <w:szCs w:val="28"/>
              </w:rPr>
              <w:fldChar w:fldCharType="begin"/>
            </w:r>
            <w:r w:rsidR="00AB5BF0" w:rsidRPr="00AB5BF0">
              <w:rPr>
                <w:noProof/>
                <w:webHidden/>
                <w:sz w:val="28"/>
                <w:szCs w:val="28"/>
              </w:rPr>
              <w:instrText xml:space="preserve"> PAGEREF _Toc92227559 \h </w:instrText>
            </w:r>
            <w:r w:rsidR="00AB5BF0" w:rsidRPr="00AB5BF0">
              <w:rPr>
                <w:noProof/>
                <w:webHidden/>
                <w:sz w:val="28"/>
                <w:szCs w:val="28"/>
              </w:rPr>
            </w:r>
            <w:r w:rsidR="00AB5BF0" w:rsidRPr="00AB5BF0">
              <w:rPr>
                <w:noProof/>
                <w:webHidden/>
                <w:sz w:val="28"/>
                <w:szCs w:val="28"/>
              </w:rPr>
              <w:fldChar w:fldCharType="separate"/>
            </w:r>
            <w:r w:rsidR="00AB5BF0" w:rsidRPr="00AB5BF0">
              <w:rPr>
                <w:noProof/>
                <w:webHidden/>
                <w:sz w:val="28"/>
                <w:szCs w:val="28"/>
              </w:rPr>
              <w:t>5</w:t>
            </w:r>
            <w:r w:rsidR="00AB5BF0" w:rsidRPr="00AB5BF0">
              <w:rPr>
                <w:noProof/>
                <w:webHidden/>
                <w:sz w:val="28"/>
                <w:szCs w:val="28"/>
              </w:rPr>
              <w:fldChar w:fldCharType="end"/>
            </w:r>
          </w:hyperlink>
        </w:p>
        <w:p w14:paraId="1B6A98CE" w14:textId="1EA98B18" w:rsidR="00AB5BF0" w:rsidRPr="006559BA" w:rsidRDefault="006559BA">
          <w:pPr>
            <w:pStyle w:val="TOC1"/>
            <w:tabs>
              <w:tab w:val="right" w:leader="dot" w:pos="9016"/>
            </w:tabs>
            <w:rPr>
              <w:noProof/>
              <w:sz w:val="28"/>
              <w:szCs w:val="28"/>
            </w:rPr>
          </w:pPr>
          <w:r>
            <w:t>5.</w:t>
          </w:r>
          <w:r>
            <w:rPr>
              <w:rFonts w:ascii="Arial" w:hAnsi="Arial" w:cs="Arial"/>
            </w:rPr>
            <w:t>Discussion………………………………………………………………………………...8</w:t>
          </w:r>
          <w:hyperlink w:anchor="_Toc92227560" w:history="1"/>
        </w:p>
        <w:p w14:paraId="6374E3B6" w14:textId="7F406DC1" w:rsidR="00AB5BF0" w:rsidRPr="006664CA" w:rsidRDefault="006664CA">
          <w:pPr>
            <w:pStyle w:val="TOC1"/>
            <w:tabs>
              <w:tab w:val="right" w:leader="dot" w:pos="9016"/>
            </w:tabs>
            <w:rPr>
              <w:rFonts w:ascii="Arial" w:hAnsi="Arial" w:cs="Arial"/>
              <w:noProof/>
            </w:rPr>
          </w:pPr>
          <w:r>
            <w:rPr>
              <w:rFonts w:ascii="Arial" w:hAnsi="Arial" w:cs="Arial"/>
              <w:noProof/>
            </w:rPr>
            <w:t>6.Conclusion………………………………………………………………………………11</w:t>
          </w:r>
        </w:p>
        <w:p w14:paraId="1650A4E5" w14:textId="6992025D" w:rsidR="00AB5BF0" w:rsidRPr="00AB5BF0" w:rsidRDefault="006664CA">
          <w:pPr>
            <w:pStyle w:val="TOC1"/>
            <w:tabs>
              <w:tab w:val="right" w:leader="dot" w:pos="9016"/>
            </w:tabs>
            <w:rPr>
              <w:noProof/>
              <w:sz w:val="28"/>
              <w:szCs w:val="28"/>
            </w:rPr>
          </w:pPr>
          <w:r>
            <w:rPr>
              <w:rFonts w:ascii="Arial" w:hAnsi="Arial" w:cs="Arial"/>
            </w:rPr>
            <w:t>7.References………………………………………………………………………………12</w:t>
          </w:r>
          <w:hyperlink w:anchor="_Toc92227562" w:history="1"/>
        </w:p>
        <w:p w14:paraId="6DE6ED5A" w14:textId="449C8809" w:rsidR="00AB5BF0" w:rsidRDefault="00AB5BF0">
          <w:r w:rsidRPr="00AB5BF0">
            <w:rPr>
              <w:b/>
              <w:bCs/>
              <w:noProof/>
              <w:sz w:val="28"/>
              <w:szCs w:val="24"/>
            </w:rPr>
            <w:fldChar w:fldCharType="end"/>
          </w:r>
        </w:p>
      </w:sdtContent>
    </w:sdt>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2ED51256" w:rsidR="00B87E75" w:rsidRPr="00B87E75" w:rsidRDefault="00B87E75" w:rsidP="009D052C">
      <w:pPr>
        <w:pStyle w:val="Heading1"/>
        <w:spacing w:line="360" w:lineRule="auto"/>
      </w:pPr>
      <w:bookmarkStart w:id="0" w:name="_Toc92227556"/>
      <w:r w:rsidRPr="00B87E75">
        <w:lastRenderedPageBreak/>
        <w:t>1. Introduction</w:t>
      </w:r>
      <w:bookmarkEnd w:id="0"/>
    </w:p>
    <w:p w14:paraId="0E3A7657" w14:textId="77777777" w:rsidR="00AB5BF0" w:rsidRPr="001D070E" w:rsidRDefault="00AB5BF0" w:rsidP="001D070E">
      <w:pPr>
        <w:spacing w:line="360" w:lineRule="auto"/>
        <w:rPr>
          <w:rFonts w:ascii="Arial" w:hAnsi="Arial" w:cs="Arial"/>
          <w:sz w:val="22"/>
        </w:rPr>
      </w:pPr>
      <w:r w:rsidRPr="001D070E">
        <w:rPr>
          <w:rFonts w:ascii="Arial" w:hAnsi="Arial" w:cs="Arial"/>
          <w:sz w:val="22"/>
        </w:rPr>
        <w:t>Expecting the obesity of young people is fundamental to general well-being, global well-being and clinical practice, but petitions have so far led to confusing results. A key inquiry that stays unanswered is: When is the best phase of life to advocate? There are various disseminated investigations itemizing the connection between maternal pre-pregnancy weight status and posterity BMI for specific clashing and clashing results in regards to the degree to which these factors are connected. Understanding this alliance would reveal insight into the general government assistance procedure and practice by permitting an evaluation of the prosperity capability of the posterity by redirecting resources for early life backing.</w:t>
      </w:r>
    </w:p>
    <w:p w14:paraId="73DAA98A" w14:textId="77777777" w:rsidR="00AB5BF0" w:rsidRPr="001D070E" w:rsidRDefault="00AB5BF0" w:rsidP="001D070E">
      <w:pPr>
        <w:spacing w:line="360" w:lineRule="auto"/>
        <w:rPr>
          <w:rFonts w:ascii="Arial" w:hAnsi="Arial" w:cs="Arial"/>
          <w:sz w:val="22"/>
        </w:rPr>
      </w:pPr>
      <w:r w:rsidRPr="001D070E">
        <w:rPr>
          <w:rFonts w:ascii="Arial" w:hAnsi="Arial" w:cs="Arial"/>
          <w:sz w:val="22"/>
        </w:rPr>
        <w:t xml:space="preserve">This deliberate audit and generally speaking investigation had the intend to decide the portion reaction relationship between the essential drivers of youth weight, explicitly intended to gather information for the gatherings evaluated inside the UK. </w:t>
      </w:r>
    </w:p>
    <w:p w14:paraId="52010A5E" w14:textId="77777777" w:rsidR="0026393A" w:rsidRDefault="0026393A" w:rsidP="009D052C">
      <w:pPr>
        <w:tabs>
          <w:tab w:val="left" w:pos="6540"/>
        </w:tabs>
        <w:spacing w:line="360" w:lineRule="auto"/>
        <w:rPr>
          <w:rFonts w:ascii="Arial" w:hAnsi="Arial" w:cs="Arial"/>
          <w:szCs w:val="24"/>
        </w:rPr>
      </w:pPr>
    </w:p>
    <w:p w14:paraId="0F7D7609" w14:textId="65079916" w:rsidR="0026393A" w:rsidRPr="0026393A" w:rsidRDefault="0026393A" w:rsidP="0026393A">
      <w:pPr>
        <w:pStyle w:val="Heading1"/>
        <w:spacing w:line="360" w:lineRule="auto"/>
      </w:pPr>
      <w:bookmarkStart w:id="1" w:name="_Toc92227557"/>
      <w:r w:rsidRPr="0026393A">
        <w:t>2. Background</w:t>
      </w:r>
      <w:bookmarkEnd w:id="1"/>
    </w:p>
    <w:p w14:paraId="0C07EAB8" w14:textId="77777777" w:rsidR="00AB5BF0" w:rsidRPr="006547C1" w:rsidRDefault="00AB5BF0" w:rsidP="006547C1">
      <w:pPr>
        <w:spacing w:line="360" w:lineRule="auto"/>
        <w:rPr>
          <w:rFonts w:ascii="Arial" w:hAnsi="Arial" w:cs="Arial"/>
          <w:sz w:val="22"/>
        </w:rPr>
      </w:pPr>
      <w:r w:rsidRPr="006547C1">
        <w:rPr>
          <w:rFonts w:ascii="Arial" w:hAnsi="Arial" w:cs="Arial"/>
          <w:sz w:val="22"/>
        </w:rPr>
        <w:t>Halting the obesity increase of youngsters is essential to handling the worldwide crisis and the future steadiness of the populace. Youth expands the danger of hypertension, cardiovascular diseases, diabetes, diminished lung work, enthusiastic prosperity and corpulence in adulthood. The commonness of grown-up wellbeing has expanded fundamentally in the north for quite a long time, with 13% of the all out populace expected to be overweight, with the most striking transcendence among ladies. An expected 41 million youngsters matured 0-5, and in excess of 340 million mature 5-19, are overweight or overweight (Valdova, 2021).</w:t>
      </w:r>
    </w:p>
    <w:p w14:paraId="26C454C2" w14:textId="77777777" w:rsidR="00AB5BF0" w:rsidRPr="006547C1" w:rsidRDefault="00AB5BF0" w:rsidP="006547C1">
      <w:pPr>
        <w:spacing w:line="360" w:lineRule="auto"/>
        <w:rPr>
          <w:rFonts w:ascii="Arial" w:hAnsi="Arial" w:cs="Arial"/>
          <w:sz w:val="22"/>
        </w:rPr>
      </w:pPr>
      <w:r w:rsidRPr="006547C1">
        <w:rPr>
          <w:rFonts w:ascii="Arial" w:hAnsi="Arial" w:cs="Arial"/>
          <w:sz w:val="22"/>
        </w:rPr>
        <w:t>The developing and concerning extension of the mind blowing responsibility shows the restricted impact of intervention such a long ways in ending or changing the model of fulfillment. The pervasiveness is filling particularly in low-and focal pay nations, with almost 50% of overweight and heftiness among youngsters under 5 happening in Asia and dividing overweight and sound kids in Africa somewhere close to 2000 and 2016 (Safaei et al., 2021). The expense of treating weight and related comorbidities is assessed to be more than 75% higher than the expense of clinical consideration for patients with a suggested weight (BMI) in the US, which further shows the defensive movement prerequisite.</w:t>
      </w:r>
    </w:p>
    <w:p w14:paraId="54F46DFE" w14:textId="77777777" w:rsidR="00AB5BF0" w:rsidRPr="006547C1" w:rsidRDefault="00AB5BF0" w:rsidP="006547C1">
      <w:pPr>
        <w:spacing w:line="360" w:lineRule="auto"/>
        <w:rPr>
          <w:rFonts w:ascii="Arial" w:hAnsi="Arial" w:cs="Arial"/>
          <w:sz w:val="22"/>
        </w:rPr>
      </w:pPr>
      <w:r w:rsidRPr="006547C1">
        <w:rPr>
          <w:rFonts w:ascii="Arial" w:hAnsi="Arial" w:cs="Arial"/>
          <w:sz w:val="22"/>
        </w:rPr>
        <w:t>The reasons why this point was chosen for the study of effective writing fall into the accompanying reasons:</w:t>
      </w:r>
    </w:p>
    <w:p w14:paraId="402C891B" w14:textId="77777777" w:rsidR="00AB5BF0" w:rsidRPr="006547C1" w:rsidRDefault="00AB5BF0" w:rsidP="006547C1">
      <w:pPr>
        <w:pStyle w:val="ListParagraph"/>
        <w:numPr>
          <w:ilvl w:val="0"/>
          <w:numId w:val="1"/>
        </w:numPr>
        <w:spacing w:line="360" w:lineRule="auto"/>
        <w:rPr>
          <w:rFonts w:cs="Arial"/>
          <w:sz w:val="22"/>
        </w:rPr>
      </w:pPr>
      <w:r w:rsidRPr="006547C1">
        <w:rPr>
          <w:rFonts w:cs="Arial"/>
          <w:sz w:val="22"/>
        </w:rPr>
        <w:lastRenderedPageBreak/>
        <w:t>Obesity is a major source of long-term chronic weakness worldwide and is mainly related to imbalances.</w:t>
      </w:r>
    </w:p>
    <w:p w14:paraId="0794B6DD" w14:textId="77777777" w:rsidR="00AB5BF0" w:rsidRPr="006547C1" w:rsidRDefault="00AB5BF0" w:rsidP="006547C1">
      <w:pPr>
        <w:pStyle w:val="ListParagraph"/>
        <w:numPr>
          <w:ilvl w:val="0"/>
          <w:numId w:val="1"/>
        </w:numPr>
        <w:spacing w:line="360" w:lineRule="auto"/>
        <w:rPr>
          <w:rFonts w:cs="Arial"/>
          <w:sz w:val="22"/>
        </w:rPr>
      </w:pPr>
      <w:r w:rsidRPr="006547C1">
        <w:rPr>
          <w:rFonts w:cs="Arial"/>
          <w:sz w:val="22"/>
        </w:rPr>
        <w:t>Gaining through promising circumstances to counteract early life fullness is truly important for overall well-being, global well-being and clinical practice.</w:t>
      </w:r>
    </w:p>
    <w:p w14:paraId="6F37FEE5" w14:textId="77777777" w:rsidR="00AB5BF0" w:rsidRPr="006547C1" w:rsidRDefault="00AB5BF0" w:rsidP="006547C1">
      <w:pPr>
        <w:pStyle w:val="ListParagraph"/>
        <w:numPr>
          <w:ilvl w:val="0"/>
          <w:numId w:val="1"/>
        </w:numPr>
        <w:spacing w:line="360" w:lineRule="auto"/>
        <w:rPr>
          <w:rFonts w:cs="Arial"/>
          <w:sz w:val="22"/>
        </w:rPr>
      </w:pPr>
      <w:r w:rsidRPr="006547C1">
        <w:rPr>
          <w:rFonts w:cs="Arial"/>
          <w:sz w:val="22"/>
        </w:rPr>
        <w:t>This study was expected to assess the extent to which causes, such as pre-pregnancy weight lists, are related to the weight status of their young children and thus the extent to which this stage of the life cycle may be a chance to counteract physicality, equally different angles, for example, lack of training from parents and school.</w:t>
      </w:r>
    </w:p>
    <w:p w14:paraId="0537CEF5" w14:textId="77777777" w:rsidR="003E4ECF" w:rsidRPr="00B87E75" w:rsidRDefault="003E4ECF" w:rsidP="009D052C">
      <w:pPr>
        <w:tabs>
          <w:tab w:val="left" w:pos="6540"/>
        </w:tabs>
        <w:spacing w:line="360" w:lineRule="auto"/>
        <w:rPr>
          <w:rFonts w:ascii="Arial" w:hAnsi="Arial" w:cs="Arial"/>
          <w:szCs w:val="24"/>
        </w:rPr>
      </w:pPr>
    </w:p>
    <w:p w14:paraId="60B2CDC3" w14:textId="16F964EF" w:rsidR="00B87E75" w:rsidRPr="00B87E75" w:rsidRDefault="0026393A" w:rsidP="009D052C">
      <w:pPr>
        <w:pStyle w:val="Heading1"/>
        <w:spacing w:line="360" w:lineRule="auto"/>
      </w:pPr>
      <w:bookmarkStart w:id="2" w:name="_Toc92227558"/>
      <w:r>
        <w:t>3</w:t>
      </w:r>
      <w:r w:rsidR="00B87E75" w:rsidRPr="00B87E75">
        <w:t>. Method</w:t>
      </w:r>
      <w:r w:rsidR="003E4ECF">
        <w:t>s</w:t>
      </w:r>
      <w:bookmarkEnd w:id="2"/>
    </w:p>
    <w:p w14:paraId="00E7F27F" w14:textId="77777777" w:rsidR="00AB5BF0" w:rsidRPr="006D0FAA" w:rsidRDefault="00AB5BF0" w:rsidP="006D0FAA">
      <w:pPr>
        <w:spacing w:line="360" w:lineRule="auto"/>
        <w:rPr>
          <w:rFonts w:ascii="Arial" w:hAnsi="Arial" w:cs="Arial"/>
          <w:sz w:val="22"/>
        </w:rPr>
      </w:pPr>
      <w:r w:rsidRPr="006D0FAA">
        <w:rPr>
          <w:rFonts w:ascii="Arial" w:hAnsi="Arial" w:cs="Arial"/>
          <w:sz w:val="22"/>
        </w:rPr>
        <w:t>This review follows the guidelines presented by an organised, and also frequently used  model, which is in line with the fact that the SLR technique contains the accompanying three steps: SLR alignment, SLR research targeting , and announcing the results of the SLR. Each of the three main achievements also includes the accompanying specific initiatives: proposing driving test questions, promoting the study convention, depicting "consideration and rejection" models, choosing the appropriate prosecution methodology, promoting the follow-up review and preparation cycle for quality assessment (QA), information retrieval and a combination of findings (Heslehurst et al., 2019). The following segments of this document illustrate the proposed way to fully deal with these tools.</w:t>
      </w:r>
    </w:p>
    <w:p w14:paraId="5D4E9BDF" w14:textId="77777777" w:rsidR="00AB5BF0" w:rsidRPr="00B067C7" w:rsidRDefault="00AB5BF0" w:rsidP="00AB5BF0">
      <w:pPr>
        <w:spacing w:after="0" w:line="240" w:lineRule="auto"/>
        <w:rPr>
          <w:rFonts w:eastAsia="Times New Roman" w:cs="Times New Roman"/>
          <w:szCs w:val="24"/>
          <w:lang w:eastAsia="en-GB"/>
        </w:rPr>
      </w:pPr>
      <w:r w:rsidRPr="00B067C7">
        <w:rPr>
          <w:rFonts w:eastAsia="Times New Roman" w:cs="Times New Roman"/>
          <w:szCs w:val="24"/>
          <w:lang w:eastAsia="en-GB"/>
        </w:rPr>
        <w:fldChar w:fldCharType="begin"/>
      </w:r>
      <w:r w:rsidRPr="00B067C7">
        <w:rPr>
          <w:rFonts w:eastAsia="Times New Roman" w:cs="Times New Roman"/>
          <w:szCs w:val="24"/>
          <w:lang w:eastAsia="en-GB"/>
        </w:rPr>
        <w:instrText xml:space="preserve"> INCLUDEPICTURE "/var/folders/87/6qpq3j7177g0td965h49pxlc0000gn/T/com.microsoft.Word/WebArchiveCopyPasteTempFiles/1-s2.0-S0010482521005485-gr1.jpg" \* MERGEFORMATINET </w:instrText>
      </w:r>
      <w:r w:rsidRPr="00B067C7">
        <w:rPr>
          <w:rFonts w:eastAsia="Times New Roman" w:cs="Times New Roman"/>
          <w:szCs w:val="24"/>
          <w:lang w:eastAsia="en-GB"/>
        </w:rPr>
        <w:fldChar w:fldCharType="separate"/>
      </w:r>
      <w:r w:rsidRPr="00B067C7">
        <w:rPr>
          <w:rFonts w:eastAsia="Times New Roman" w:cs="Times New Roman"/>
          <w:noProof/>
          <w:szCs w:val="24"/>
          <w:lang w:eastAsia="en-GB"/>
        </w:rPr>
        <w:drawing>
          <wp:inline distT="0" distB="0" distL="0" distR="0" wp14:anchorId="4B38E7F4" wp14:editId="612762F7">
            <wp:extent cx="4935220" cy="3143885"/>
            <wp:effectExtent l="0" t="0" r="5080" b="5715"/>
            <wp:docPr id="2" name="Picture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5220" cy="3143885"/>
                    </a:xfrm>
                    <a:prstGeom prst="rect">
                      <a:avLst/>
                    </a:prstGeom>
                    <a:noFill/>
                    <a:ln>
                      <a:noFill/>
                    </a:ln>
                  </pic:spPr>
                </pic:pic>
              </a:graphicData>
            </a:graphic>
          </wp:inline>
        </w:drawing>
      </w:r>
      <w:r w:rsidRPr="00B067C7">
        <w:rPr>
          <w:rFonts w:eastAsia="Times New Roman" w:cs="Times New Roman"/>
          <w:szCs w:val="24"/>
          <w:lang w:eastAsia="en-GB"/>
        </w:rPr>
        <w:fldChar w:fldCharType="end"/>
      </w:r>
    </w:p>
    <w:p w14:paraId="2BBE9A86" w14:textId="77777777" w:rsidR="00AB5BF0" w:rsidRPr="009229C3" w:rsidRDefault="00AB5BF0" w:rsidP="00AB5BF0">
      <w:pPr>
        <w:jc w:val="center"/>
        <w:rPr>
          <w:b/>
          <w:bCs/>
          <w:sz w:val="22"/>
          <w:szCs w:val="21"/>
        </w:rPr>
      </w:pPr>
      <w:r w:rsidRPr="009229C3">
        <w:rPr>
          <w:b/>
          <w:bCs/>
          <w:sz w:val="22"/>
          <w:szCs w:val="21"/>
        </w:rPr>
        <w:t>(Safaei et al., 2021)</w:t>
      </w:r>
    </w:p>
    <w:p w14:paraId="4A3AC3D2" w14:textId="77777777" w:rsidR="00AB5BF0" w:rsidRPr="006D0FAA" w:rsidRDefault="00AB5BF0" w:rsidP="006D0FAA">
      <w:pPr>
        <w:spacing w:line="360" w:lineRule="auto"/>
        <w:rPr>
          <w:rFonts w:ascii="Arial" w:hAnsi="Arial" w:cs="Arial"/>
          <w:sz w:val="22"/>
        </w:rPr>
      </w:pPr>
      <w:r w:rsidRPr="006D0FAA">
        <w:rPr>
          <w:rFonts w:ascii="Arial" w:hAnsi="Arial" w:cs="Arial"/>
          <w:sz w:val="22"/>
        </w:rPr>
        <w:lastRenderedPageBreak/>
        <w:t xml:space="preserve">In crafted by the flow of research, the "retrogressive and forward" search approach was first applied to decide the reference of the chose studies. The Google Scholar web file was utilized to "proceed" and gain articles recorded in chosen introductory review. This hunting technique is crucial because of its capacity to extract information from specific articles and to assist analysts in finding any number of related documents, as would be reasonable (Heslehurst et al., 2019). </w:t>
      </w:r>
    </w:p>
    <w:p w14:paraId="4B773185" w14:textId="77777777" w:rsidR="00AB5BF0" w:rsidRPr="006D0FAA" w:rsidRDefault="00AB5BF0" w:rsidP="006D0FAA">
      <w:pPr>
        <w:spacing w:line="360" w:lineRule="auto"/>
        <w:rPr>
          <w:rFonts w:ascii="Arial" w:hAnsi="Arial" w:cs="Arial"/>
          <w:sz w:val="22"/>
        </w:rPr>
      </w:pPr>
      <w:r w:rsidRPr="006D0FAA">
        <w:rPr>
          <w:rFonts w:ascii="Arial" w:hAnsi="Arial" w:cs="Arial"/>
          <w:sz w:val="22"/>
        </w:rPr>
        <w:t>A qualification was then made between assessment rules (characteristics that qualify subjects for incorporation) and prohibition (ascribes that bar subjects from consideration) to guarantee the association of the observed things with the subject of this assessment paper.</w:t>
      </w:r>
    </w:p>
    <w:p w14:paraId="36B39A2D" w14:textId="77777777" w:rsidR="00AB5BF0" w:rsidRPr="006D0FAA" w:rsidRDefault="00AB5BF0" w:rsidP="006D0FAA">
      <w:pPr>
        <w:spacing w:line="360" w:lineRule="auto"/>
        <w:rPr>
          <w:rFonts w:ascii="Arial" w:hAnsi="Arial" w:cs="Arial"/>
          <w:sz w:val="22"/>
        </w:rPr>
      </w:pPr>
      <w:r w:rsidRPr="006D0FAA">
        <w:rPr>
          <w:rFonts w:ascii="Arial" w:hAnsi="Arial" w:cs="Arial"/>
          <w:sz w:val="22"/>
        </w:rPr>
        <w:t>In the first place, the synopses were inspected near finishing up whether they are inclined to themes, approaches or different information that relate to the level of the current SLR. Second, each article was inspected for unequivocal thought and aversion examples to choose whether to keep them.</w:t>
      </w:r>
    </w:p>
    <w:p w14:paraId="232E888A" w14:textId="77777777" w:rsidR="00AB5BF0" w:rsidRPr="006D0FAA" w:rsidRDefault="00AB5BF0" w:rsidP="006D0FAA">
      <w:pPr>
        <w:spacing w:line="360" w:lineRule="auto"/>
        <w:rPr>
          <w:rFonts w:ascii="Arial" w:hAnsi="Arial" w:cs="Arial"/>
          <w:sz w:val="22"/>
        </w:rPr>
      </w:pPr>
      <w:r w:rsidRPr="006D0FAA">
        <w:rPr>
          <w:rFonts w:ascii="Arial" w:hAnsi="Arial" w:cs="Arial"/>
          <w:sz w:val="22"/>
        </w:rPr>
        <w:t>Just articles circulated in English on the issue of fulfilment inside a specific period (January 2017 - October 2021) were at long last chosen for this specific review.</w:t>
      </w:r>
    </w:p>
    <w:p w14:paraId="4FC14C6B" w14:textId="77777777" w:rsidR="00B87E75" w:rsidRPr="006D0FAA" w:rsidRDefault="00B87E75" w:rsidP="006D0FAA">
      <w:pPr>
        <w:tabs>
          <w:tab w:val="left" w:pos="6540"/>
        </w:tabs>
        <w:spacing w:line="360" w:lineRule="auto"/>
        <w:rPr>
          <w:rFonts w:ascii="Arial" w:hAnsi="Arial" w:cs="Arial"/>
          <w:sz w:val="22"/>
        </w:rPr>
      </w:pPr>
    </w:p>
    <w:p w14:paraId="581C99BF" w14:textId="794A5B0B" w:rsidR="00B87E75" w:rsidRPr="00B87E75" w:rsidRDefault="004A736E" w:rsidP="009D052C">
      <w:pPr>
        <w:pStyle w:val="Heading1"/>
        <w:spacing w:line="360" w:lineRule="auto"/>
      </w:pPr>
      <w:bookmarkStart w:id="3" w:name="_Toc92227559"/>
      <w:r>
        <w:t>4</w:t>
      </w:r>
      <w:r w:rsidR="00B87E75" w:rsidRPr="00B87E75">
        <w:t>. Results</w:t>
      </w:r>
      <w:bookmarkEnd w:id="3"/>
    </w:p>
    <w:p w14:paraId="6DE0CE27" w14:textId="77777777" w:rsidR="00AB5BF0" w:rsidRPr="006D0FAA" w:rsidRDefault="00AB5BF0" w:rsidP="006D0FAA">
      <w:pPr>
        <w:spacing w:line="360" w:lineRule="auto"/>
        <w:rPr>
          <w:rFonts w:ascii="Arial" w:hAnsi="Arial" w:cs="Arial"/>
          <w:sz w:val="22"/>
        </w:rPr>
      </w:pPr>
      <w:r w:rsidRPr="006D0FAA">
        <w:rPr>
          <w:rFonts w:ascii="Arial" w:hAnsi="Arial" w:cs="Arial"/>
          <w:sz w:val="22"/>
        </w:rPr>
        <w:t xml:space="preserve">Obesity and its specialized conditions have become significant medical problems around the world, and density is currently positioned as the fifth most common cause of death internationally. WHO describes obesity as "a strange or unreasonable accumulation of fat that can weaken well-being", further explaining that "the key cause of weight and overweight is the energy inconvenience between calories burned and calories depleted The "weight record" unit (BMI), which is determined by building up [(weight in kg)/(tallness in m2)], is an essential document made arrangements for gathering grown-ups into one of three orders: "underweight" , "overweight" or "overweight". Be that as it may, initially made during the 1830s by a Belgian mathematician and social researcher, BMI is still generally utilized as an appraisal of the level of solidarity and strength. For instance, the WHO regularly arranges expanded stoutness utilizing explicit BMI shorts (Table 1). This WHO course of action is valuable for particular individuals who might be at more serious danger of misery and passing because of hardness. Throughout the most recent twenty years, the pace of completion (characterized as grown-ups with a BMI more than 30 kg has quickly extended in the innovative scene. Analysts assessed that the numbers arrived at right around 650 million grown-ups in 2014, up from a little more than 100 million each in 1975, a resulting disturbing increment. Various investigations show that weight is unquestionably not a straightforward </w:t>
      </w:r>
      <w:r w:rsidRPr="006D0FAA">
        <w:rPr>
          <w:rFonts w:ascii="Arial" w:hAnsi="Arial" w:cs="Arial"/>
          <w:sz w:val="22"/>
        </w:rPr>
        <w:lastRenderedPageBreak/>
        <w:t>issue, but rather it is a complicated clinical issue, coming from a blend of individual factors (innate qualities, logical practices) and liberal causes (bothersome social or social dietary examples, food deserts). Most researchers additionally concur that weight is an 'gained' sickness that depends vigorously on way of life factors (ie individual choices), like low paces of dynamic work and steady gorging, paying little mind to innate and epigenetic impacts (Safaei et al., 2021).</w:t>
      </w:r>
    </w:p>
    <w:p w14:paraId="64519797" w14:textId="77777777" w:rsidR="00AB5BF0" w:rsidRPr="006D0FAA" w:rsidRDefault="00AB5BF0" w:rsidP="006D0FAA">
      <w:pPr>
        <w:spacing w:line="360" w:lineRule="auto"/>
        <w:rPr>
          <w:rFonts w:ascii="Arial" w:hAnsi="Arial" w:cs="Arial"/>
          <w:color w:val="FF0000"/>
          <w:sz w:val="22"/>
        </w:rPr>
      </w:pPr>
      <w:r w:rsidRPr="006D0FAA">
        <w:rPr>
          <w:rFonts w:ascii="Arial" w:hAnsi="Arial" w:cs="Arial"/>
          <w:sz w:val="22"/>
        </w:rPr>
        <w:t>Experts have additionally noticed that different sorts of collection, including stomach weight, are related with an expanded danger of a few constant conditions and contaminations, which incorporate asthma, threat, diabetes, hypercholesterolemia and cardiovascular illness. Along these lines, while completion is without a doubt a condition, it additionally supports past conditions and energizes new ones. Much more unequivocally, Bischoff et al. Keeping up with this weight can influence basically any organ structure, from the cardiovascular edge to the endocrine casing, the central tangible framework, and the gastrointestinal edge. Also, stoutness is related with the creating predominance of a few SS conditions, from hypertension and coronary illness to atrial fibrillation and shockingly outright cardiovascular disappointment (Safaei et al., 2021).</w:t>
      </w:r>
    </w:p>
    <w:p w14:paraId="29316B93" w14:textId="77777777" w:rsidR="00AB5BF0" w:rsidRPr="006D0FAA" w:rsidRDefault="00AB5BF0" w:rsidP="006D0FAA">
      <w:pPr>
        <w:spacing w:line="360" w:lineRule="auto"/>
        <w:rPr>
          <w:rFonts w:ascii="Arial" w:hAnsi="Arial" w:cs="Arial"/>
          <w:sz w:val="22"/>
        </w:rPr>
      </w:pPr>
      <w:r w:rsidRPr="006D0FAA">
        <w:rPr>
          <w:rFonts w:ascii="Arial" w:hAnsi="Arial" w:cs="Arial"/>
          <w:sz w:val="22"/>
        </w:rPr>
        <w:t>Some hereditary and lifestyle factors affect the likelihood of a large adult; therefore, the critical strength clusters observed in clear topographic areas and settings further signal the effect of financial and natural elements in "degenerate" conditions. Understanding the causes and determinants of completeness is a major step forward in establishing a viable agreement and creating fit for anticipation programs due to the aforementioned additional entanglements. Efforts will not prevail without a detailed, scientifically sound understanding of the hazards of strength and the different relationships between these elements.</w:t>
      </w:r>
    </w:p>
    <w:p w14:paraId="67F8B992" w14:textId="77777777" w:rsidR="00AB5BF0" w:rsidRPr="006D0FAA" w:rsidRDefault="00AB5BF0" w:rsidP="006D0FAA">
      <w:pPr>
        <w:spacing w:line="360" w:lineRule="auto"/>
        <w:rPr>
          <w:rFonts w:ascii="Arial" w:hAnsi="Arial" w:cs="Arial"/>
          <w:sz w:val="22"/>
        </w:rPr>
      </w:pPr>
      <w:r w:rsidRPr="006D0FAA">
        <w:rPr>
          <w:rFonts w:ascii="Arial" w:hAnsi="Arial" w:cs="Arial"/>
          <w:sz w:val="22"/>
        </w:rPr>
        <w:t>The current SLR plans to address these gaps through the accompanying:</w:t>
      </w:r>
    </w:p>
    <w:p w14:paraId="4BF407B4" w14:textId="77777777" w:rsidR="00AB5BF0" w:rsidRPr="006D0FAA" w:rsidRDefault="00AB5BF0" w:rsidP="006D0FAA">
      <w:pPr>
        <w:spacing w:line="360" w:lineRule="auto"/>
        <w:rPr>
          <w:rFonts w:ascii="Arial" w:hAnsi="Arial" w:cs="Arial"/>
          <w:sz w:val="22"/>
        </w:rPr>
      </w:pPr>
      <w:r w:rsidRPr="006D0FAA">
        <w:rPr>
          <w:rFonts w:ascii="Arial" w:hAnsi="Arial" w:cs="Arial"/>
          <w:sz w:val="22"/>
        </w:rPr>
        <w:t>● Finding the main works related to the body, their causes and dangerous factors.</w:t>
      </w:r>
    </w:p>
    <w:p w14:paraId="6BD87348" w14:textId="77777777" w:rsidR="00AB5BF0" w:rsidRPr="006D0FAA" w:rsidRDefault="00AB5BF0" w:rsidP="006D0FAA">
      <w:pPr>
        <w:spacing w:line="360" w:lineRule="auto"/>
        <w:rPr>
          <w:rFonts w:ascii="Arial" w:hAnsi="Arial" w:cs="Arial"/>
          <w:sz w:val="22"/>
        </w:rPr>
      </w:pPr>
      <w:r w:rsidRPr="006D0FAA">
        <w:rPr>
          <w:rFonts w:ascii="Arial" w:hAnsi="Arial" w:cs="Arial"/>
          <w:sz w:val="22"/>
        </w:rPr>
        <w:t>● Distinguish between ML methods most commonly and profitably used to predict workload.</w:t>
      </w:r>
    </w:p>
    <w:p w14:paraId="69CB8AC3" w14:textId="77777777" w:rsidR="00AB5BF0" w:rsidRPr="006D0FAA" w:rsidRDefault="00AB5BF0" w:rsidP="006D0FAA">
      <w:pPr>
        <w:spacing w:line="360" w:lineRule="auto"/>
        <w:rPr>
          <w:rFonts w:ascii="Arial" w:hAnsi="Arial" w:cs="Arial"/>
          <w:sz w:val="22"/>
        </w:rPr>
      </w:pPr>
      <w:r w:rsidRPr="006D0FAA">
        <w:rPr>
          <w:rFonts w:ascii="Arial" w:hAnsi="Arial" w:cs="Arial"/>
          <w:sz w:val="22"/>
        </w:rPr>
        <w:t>● Consider the relationship between hardness and various hazards, conditions and diseases.</w:t>
      </w:r>
    </w:p>
    <w:p w14:paraId="4097538D" w14:textId="77777777" w:rsidR="00AB5BF0" w:rsidRPr="006D0FAA" w:rsidRDefault="00AB5BF0" w:rsidP="006D0FAA">
      <w:pPr>
        <w:spacing w:line="360" w:lineRule="auto"/>
        <w:rPr>
          <w:rFonts w:ascii="Arial" w:hAnsi="Arial" w:cs="Arial"/>
          <w:sz w:val="22"/>
        </w:rPr>
      </w:pPr>
      <w:r w:rsidRPr="006D0FAA">
        <w:rPr>
          <w:rFonts w:ascii="Arial" w:hAnsi="Arial" w:cs="Arial"/>
          <w:sz w:val="22"/>
        </w:rPr>
        <w:t xml:space="preserve">Completeness is regularly perceived as a major general medical problem and arouses great interest in the welfare sciences. Despite the unique research using conventional logical strategies, the concentrates in this space have examined counteraction, treatment and personal satisfaction for those who live with weight, regularly through SLR and new techniques such as ML. This section summarizes several related studies in anticipation of </w:t>
      </w:r>
      <w:r w:rsidRPr="006D0FAA">
        <w:rPr>
          <w:rFonts w:ascii="Arial" w:hAnsi="Arial" w:cs="Arial"/>
          <w:sz w:val="22"/>
        </w:rPr>
        <w:lastRenderedPageBreak/>
        <w:t>correlations with current work and offers an outline of current writing that tends to be complete according to several points of view.</w:t>
      </w:r>
    </w:p>
    <w:p w14:paraId="086D139B" w14:textId="77777777" w:rsidR="00AB5BF0" w:rsidRPr="006D0FAA" w:rsidRDefault="00AB5BF0" w:rsidP="006D0FAA">
      <w:pPr>
        <w:spacing w:line="360" w:lineRule="auto"/>
        <w:rPr>
          <w:rFonts w:ascii="Arial" w:hAnsi="Arial" w:cs="Arial"/>
          <w:sz w:val="22"/>
        </w:rPr>
      </w:pPr>
      <w:r w:rsidRPr="006D0FAA">
        <w:rPr>
          <w:rFonts w:ascii="Arial" w:hAnsi="Arial" w:cs="Arial"/>
          <w:sz w:val="22"/>
        </w:rPr>
        <w:t>Safaei et al. (2021) led an accurate study, later joined to a meta-study, to see whether BMI and comparative measures used to determine the fullness of young people could also predict the weight of adults. Their study confirmed that adolescent strength is an extreme emergency for general well-being, as it regularly passes into adulthood. Appropriately, the action of reducing the strength of high school students can also reduce the weight of adults. Early action is likely the most reasonable methodology because when youngsters are overweight, this example frequently endures through their childhood and adulthood.</w:t>
      </w:r>
    </w:p>
    <w:p w14:paraId="5B95CA71" w14:textId="77777777" w:rsidR="00AB5BF0" w:rsidRPr="006D0FAA" w:rsidRDefault="00AB5BF0" w:rsidP="006D0FAA">
      <w:pPr>
        <w:spacing w:line="360" w:lineRule="auto"/>
        <w:rPr>
          <w:rFonts w:ascii="Arial" w:hAnsi="Arial" w:cs="Arial"/>
          <w:sz w:val="22"/>
        </w:rPr>
      </w:pPr>
      <w:r w:rsidRPr="006D0FAA">
        <w:rPr>
          <w:rFonts w:ascii="Arial" w:hAnsi="Arial" w:cs="Arial"/>
          <w:sz w:val="22"/>
        </w:rPr>
        <w:t>Additionally, this review recognized and endorsed the relationship between high BMI and symptoms of Covid. Experts likewise perceived the high seriousness of the clinical Covid and the amazing predominance of concentrated and general hospitalizations in patients with high BMI. As a rule, experts propose that weight is a hostile determinant of the Covid. Specifically, the high BMI prompted more horrendous outcomes.</w:t>
      </w:r>
    </w:p>
    <w:p w14:paraId="1C84468A" w14:textId="77777777" w:rsidR="00AB5BF0" w:rsidRPr="001C46F0" w:rsidRDefault="00AB5BF0" w:rsidP="001C46F0">
      <w:pPr>
        <w:spacing w:line="360" w:lineRule="auto"/>
        <w:rPr>
          <w:rFonts w:ascii="Arial" w:hAnsi="Arial" w:cs="Arial"/>
          <w:sz w:val="22"/>
        </w:rPr>
      </w:pPr>
      <w:r w:rsidRPr="001C46F0">
        <w:rPr>
          <w:rFonts w:ascii="Arial" w:hAnsi="Arial" w:cs="Arial"/>
          <w:sz w:val="22"/>
        </w:rPr>
        <w:t>This study also evaluates patients' reactions to weight gain interviews. Their research further assesses the doctor's work on the weight of the reactions in outlining the reactions and how the perceived importance of the extra body weight to the explicit circumstances of well-being shapes these reactions. In addition, this review promoted a hypothetical understanding of the normal inspirations leading to such responses. This audit suggests that patients can be expected to respond honestly to clinicians who ask about ongoing efforts to get better. These findings have shown that weight loss screening is even more effective when it involves a trusted clinician who makes an effort to clarify the benefits of weight loss in a non-critical way.</w:t>
      </w:r>
    </w:p>
    <w:p w14:paraId="1992EEC8" w14:textId="77777777" w:rsidR="00AB5BF0" w:rsidRPr="001C46F0" w:rsidRDefault="00AB5BF0" w:rsidP="001C46F0">
      <w:pPr>
        <w:spacing w:line="360" w:lineRule="auto"/>
        <w:rPr>
          <w:rFonts w:ascii="Arial" w:hAnsi="Arial" w:cs="Arial"/>
          <w:sz w:val="22"/>
        </w:rPr>
      </w:pPr>
      <w:r w:rsidRPr="001C46F0">
        <w:rPr>
          <w:rFonts w:ascii="Arial" w:hAnsi="Arial" w:cs="Arial"/>
          <w:sz w:val="22"/>
        </w:rPr>
        <w:t xml:space="preserve">Bozkurt (2021) likewise presented a SLR zeroing in on the connection between rest periods and the completion of youth. They further investigated the physiological and pathophysiological devices that might underlie this relationship. Their work takes note of that the length of rest influences weight gain in youngsters, notwithstanding hazy definite frameworks. Their discoveries likewise affirm that extra factors, like an inactive way of life, undesirable eating routine and insulin hindrance, could lead youngsters to defenseless rest, just as appalling weight gain. Valdova (2020) further uncovered that the presentation of other putative spans (ghrelin, screen time and leptin levels) stays sketchy. As a rule, most wellbeing composing centers around investigating the potential furthest reaches that reason, shake, and further weight gain in grown-ups who consider delegate tests. ML methodology have additionally been utilized in a few government assistance applications, including infection affirmation, over the past a significant long time. Nonetheless, just restricted </w:t>
      </w:r>
      <w:r w:rsidRPr="001C46F0">
        <w:rPr>
          <w:rFonts w:ascii="Arial" w:hAnsi="Arial" w:cs="Arial"/>
          <w:sz w:val="22"/>
        </w:rPr>
        <w:lastRenderedPageBreak/>
        <w:t>examination has zeroed in on the connection between ML approaches and security. Also, understanding the normal connection among weight and its persevering sicknesses with outrageous outcomes is major, and yet is frequently neglected in past research.</w:t>
      </w:r>
    </w:p>
    <w:p w14:paraId="0B299BAA" w14:textId="77777777" w:rsidR="00B87E75" w:rsidRPr="001C46F0" w:rsidRDefault="00B87E75" w:rsidP="001C46F0">
      <w:pPr>
        <w:tabs>
          <w:tab w:val="left" w:pos="6540"/>
        </w:tabs>
        <w:spacing w:line="360" w:lineRule="auto"/>
        <w:rPr>
          <w:rFonts w:ascii="Arial" w:hAnsi="Arial" w:cs="Arial"/>
          <w:sz w:val="22"/>
        </w:rPr>
      </w:pPr>
    </w:p>
    <w:p w14:paraId="5C43254D" w14:textId="209882EA" w:rsidR="00B87E75" w:rsidRPr="00B87E75" w:rsidRDefault="004A736E" w:rsidP="009D052C">
      <w:pPr>
        <w:pStyle w:val="Heading1"/>
        <w:spacing w:line="360" w:lineRule="auto"/>
      </w:pPr>
      <w:bookmarkStart w:id="4" w:name="_Toc92227560"/>
      <w:r>
        <w:t>5</w:t>
      </w:r>
      <w:r w:rsidR="00B87E75" w:rsidRPr="00B87E75">
        <w:t>. Discussion</w:t>
      </w:r>
      <w:bookmarkEnd w:id="4"/>
    </w:p>
    <w:p w14:paraId="646B8E64" w14:textId="77777777" w:rsidR="00AB5BF0" w:rsidRPr="00817AC2" w:rsidRDefault="00AB5BF0" w:rsidP="00817AC2">
      <w:pPr>
        <w:spacing w:line="360" w:lineRule="auto"/>
        <w:rPr>
          <w:rFonts w:ascii="Arial" w:hAnsi="Arial" w:cs="Arial"/>
          <w:sz w:val="22"/>
        </w:rPr>
      </w:pPr>
      <w:r w:rsidRPr="00817AC2">
        <w:rPr>
          <w:rFonts w:ascii="Arial" w:hAnsi="Arial" w:cs="Arial"/>
          <w:sz w:val="22"/>
        </w:rPr>
        <w:t>This orderly study planned to decide the relationship between the mother's BMI response before pregnancy and the child's obesity. Meta-studies have identified significantly increased chances of fullness in young people with increasing maternal BMI; this affiliation is most justified by the mother's firmness, which increases the child's chances of weight by 264%, followed by the mother's overweight, which increases the chances by 89%. Comparable examples of optional absolute and consistent BMI results for young people and z-scores have been observed. For example, there is evidence of epigenetic processes in the womb that contribute to the strength of the offspring, remembering the adjustments for DNA methylation and gastric microbiome (Bagnall et al., 2019). The additional life cycle includes financial status, food creation and presentation, food instability, and obesity, which elevate unwanted lifestyles to which few people are hereditarily more vulnerable. If we assume that mothers have been introduced to these complex elements, adding to their own improvement in strength, then at this point their children are further susceptible to being presented with such complex elements that nourish intrauterine progress and propensity for strength.</w:t>
      </w:r>
    </w:p>
    <w:p w14:paraId="0D426FFE" w14:textId="7739BB04" w:rsidR="00AB5BF0" w:rsidRPr="00817AC2" w:rsidRDefault="00AB5BF0" w:rsidP="00817AC2">
      <w:pPr>
        <w:spacing w:line="360" w:lineRule="auto"/>
        <w:rPr>
          <w:rFonts w:ascii="Arial" w:hAnsi="Arial" w:cs="Arial"/>
          <w:sz w:val="22"/>
        </w:rPr>
      </w:pPr>
      <w:r w:rsidRPr="00817AC2">
        <w:rPr>
          <w:rFonts w:ascii="Arial" w:hAnsi="Arial" w:cs="Arial"/>
          <w:sz w:val="22"/>
        </w:rPr>
        <w:t xml:space="preserve">Several reviews show abnormality or lack of activity and individual levels of training as crucial elements of weight. The additional concentrate from Ranasinghe et al. (2018) further showed that fullness can be as a heterogeneous persistent state in which different elements cooperate, delivering energy imbalance that leads to weight gain. Therefore, the natural, environmental and social elements are largely decisive for completeness. Similarly, the contrasts in the distribution of hardness among different population gatherings may be influenced by different </w:t>
      </w:r>
      <w:r w:rsidR="001D7FFE" w:rsidRPr="00817AC2">
        <w:rPr>
          <w:rFonts w:ascii="Arial" w:hAnsi="Arial" w:cs="Arial"/>
          <w:sz w:val="22"/>
        </w:rPr>
        <w:t>behaviours</w:t>
      </w:r>
      <w:r w:rsidRPr="00817AC2">
        <w:rPr>
          <w:rFonts w:ascii="Arial" w:hAnsi="Arial" w:cs="Arial"/>
          <w:sz w:val="22"/>
        </w:rPr>
        <w:t xml:space="preserve"> and natural elements, predominantly increasing calorie use and reducing actual work. This research further shows factors that regularly lead to completeness.</w:t>
      </w:r>
    </w:p>
    <w:p w14:paraId="48CF18B2" w14:textId="77777777" w:rsidR="00AB5BF0" w:rsidRPr="00817AC2" w:rsidRDefault="00AB5BF0" w:rsidP="00817AC2">
      <w:pPr>
        <w:spacing w:line="360" w:lineRule="auto"/>
        <w:rPr>
          <w:rFonts w:ascii="Arial" w:hAnsi="Arial" w:cs="Arial"/>
          <w:sz w:val="22"/>
        </w:rPr>
      </w:pPr>
      <w:r w:rsidRPr="00817AC2">
        <w:rPr>
          <w:rFonts w:ascii="Arial" w:hAnsi="Arial" w:cs="Arial"/>
          <w:sz w:val="22"/>
        </w:rPr>
        <w:t xml:space="preserve">High BMI in grown-ups has been displayed to (expressly (≥25 kg/m2) connect or even lead to high occasions of cardiovascular contaminations, conditions and issues, similarly as it expands mortality. Subsequently, understanding the typical reasons for totality and outrageous weight put on) weight is significant considering the way that this will give a chance to further develop approaches and even procedures that could assist with handling </w:t>
      </w:r>
      <w:r w:rsidRPr="00817AC2">
        <w:rPr>
          <w:rFonts w:ascii="Arial" w:hAnsi="Arial" w:cs="Arial"/>
          <w:sz w:val="22"/>
        </w:rPr>
        <w:lastRenderedPageBreak/>
        <w:t>this worldwide pandemic, including weighty drinking, smoking, insufficient exercise and extravagance, like quick reason for corpulence and other tenacious illnesses.</w:t>
      </w:r>
    </w:p>
    <w:p w14:paraId="4BF3520F" w14:textId="77777777" w:rsidR="00AB5BF0" w:rsidRPr="00817AC2" w:rsidRDefault="00AB5BF0" w:rsidP="00817AC2">
      <w:pPr>
        <w:spacing w:line="360" w:lineRule="auto"/>
        <w:rPr>
          <w:rFonts w:ascii="Arial" w:hAnsi="Arial" w:cs="Arial"/>
          <w:sz w:val="22"/>
        </w:rPr>
      </w:pPr>
      <w:r w:rsidRPr="00817AC2">
        <w:rPr>
          <w:rFonts w:ascii="Arial" w:hAnsi="Arial" w:cs="Arial"/>
          <w:sz w:val="22"/>
        </w:rPr>
        <w:t>Nevertheless, weight additionally has many influencing elements. The study shows some of the convincing variables that determine overweight or obesity in adults, as announced by past experts. For example, Faedi Duramy (2018) conducts an overview showing the accompanying: (1) individuals who are not healthy will often be weak; (2) middle-aged people, people who eat unpredictably, and those with low expectations for daily life are often overweight; finally, (3) the middle-aged, those who experience pressure and misery, those who are dead, and those who earn a low annual family income are regularly healthy.</w:t>
      </w:r>
    </w:p>
    <w:p w14:paraId="509FEAC8" w14:textId="77777777" w:rsidR="00AB5BF0" w:rsidRPr="00817AC2" w:rsidRDefault="00AB5BF0" w:rsidP="00817AC2">
      <w:pPr>
        <w:spacing w:line="360" w:lineRule="auto"/>
        <w:rPr>
          <w:rFonts w:ascii="Arial" w:hAnsi="Arial" w:cs="Arial"/>
          <w:sz w:val="22"/>
        </w:rPr>
      </w:pPr>
      <w:r w:rsidRPr="00817AC2">
        <w:rPr>
          <w:rFonts w:ascii="Arial" w:hAnsi="Arial" w:cs="Arial"/>
          <w:sz w:val="22"/>
        </w:rPr>
        <w:t>Another review, directed by Rosettie et al. (2018) found that critical indicators of adult health, especially around the age of a middle age (women and men), include maternal smoking during pregnancy, young people's neurological abilities, learning abilities, specific principles and real-world exercises. A previous concentrate of Annual Reviews (2019) also distinguishes a large number of many qualities and is in line with the fact that each of them is essentially, but also freely, related to the chances of strength in adults.</w:t>
      </w:r>
    </w:p>
    <w:p w14:paraId="21FED2A0" w14:textId="77777777" w:rsidR="00AB5BF0" w:rsidRPr="00817AC2" w:rsidRDefault="00AB5BF0" w:rsidP="00817AC2">
      <w:pPr>
        <w:spacing w:line="360" w:lineRule="auto"/>
        <w:rPr>
          <w:rFonts w:ascii="Arial" w:hAnsi="Arial" w:cs="Arial"/>
          <w:sz w:val="22"/>
        </w:rPr>
      </w:pPr>
      <w:r w:rsidRPr="00817AC2">
        <w:rPr>
          <w:rFonts w:ascii="Arial" w:hAnsi="Arial" w:cs="Arial"/>
          <w:sz w:val="22"/>
        </w:rPr>
        <w:t>This accurate study has qualities and limitations. The in-depth search procedure does not involve a complete data researcher, the data set endeavors have been improved with additional quests and we have reached the creators trying to increase the amount of research stored for meta-research. Techniques to limit human error and subjectivity include screenless copying, information retrieval, and quality assessment (Annual Reviews, 2019). The meta-studies were mind-boggling, given the inclusion of both absolute and consistent openness and information about the results, as well as the way we did not limit the result to either the BMI of the young or the z-result. The choice was made to include all mixtures of information depending on previous information about fluctuations in the way the information is reported in the distributed writing; if we limited the scrutiny rules to work with more direct meta-research, we would provoke a tendency to exclude reasonable collection of evidence. In any case, the complex logical philosophy utilized requires express data that should be considered in examinations that were not regularly accessible, and endeavors to contact the makers have restricted the benefit from the time imported. Future exploration ought to guarantee that total data is accounted for in the disseminations to consider incorporation in more complicated meta-studies.</w:t>
      </w:r>
    </w:p>
    <w:p w14:paraId="47E3010B" w14:textId="4CAD81E2" w:rsidR="00AB5BF0" w:rsidRPr="00951E91" w:rsidRDefault="00AB5BF0" w:rsidP="00951E91">
      <w:pPr>
        <w:spacing w:line="360" w:lineRule="auto"/>
        <w:rPr>
          <w:rFonts w:ascii="Arial" w:hAnsi="Arial" w:cs="Arial"/>
          <w:sz w:val="22"/>
        </w:rPr>
      </w:pPr>
      <w:r w:rsidRPr="00817AC2">
        <w:rPr>
          <w:rFonts w:ascii="Arial" w:hAnsi="Arial" w:cs="Arial"/>
          <w:sz w:val="22"/>
        </w:rPr>
        <w:t xml:space="preserve">There was huge heterogeneity between studies. Meta-backslide studies the clinical, socio-segmental, conduct, and configurational elements of moms and young people, yet the age of the single kid and the mainland concentrate contributed in a general sense to the heterogeneity between studies (Ho et al., 2012). It ought to be noticed that meta-backslide </w:t>
      </w:r>
      <w:r w:rsidRPr="00817AC2">
        <w:rPr>
          <w:rFonts w:ascii="Arial" w:hAnsi="Arial" w:cs="Arial"/>
          <w:sz w:val="22"/>
        </w:rPr>
        <w:lastRenderedPageBreak/>
        <w:t xml:space="preserve">relies upon the fundamental investigations introducing these factors in their studies; for instance, fatherly BMI, gestational weight gain, and gestational diabetes are seldom considered. A future report utilizing part data would be a chance to additionally investigate the </w:t>
      </w:r>
      <w:r w:rsidR="001D7FFE" w:rsidRPr="00817AC2">
        <w:rPr>
          <w:rFonts w:ascii="Arial" w:hAnsi="Arial" w:cs="Arial"/>
          <w:sz w:val="22"/>
        </w:rPr>
        <w:t>marvellous</w:t>
      </w:r>
      <w:r w:rsidRPr="00817AC2">
        <w:rPr>
          <w:rFonts w:ascii="Arial" w:hAnsi="Arial" w:cs="Arial"/>
          <w:sz w:val="22"/>
        </w:rPr>
        <w:t xml:space="preserve"> image of a youngster's weight gain to reveal insight into explicit interventions. Very few examinations have reported maternal strength classes; rather, there was a propensity to bunch completeness as a BMI ≥ 30 kg/m2. This has prompted more extensive security stretches and less trust in the genuine degree of the effect on the mother's upper BMI</w:t>
      </w:r>
      <w:r w:rsidRPr="00951E91">
        <w:rPr>
          <w:rFonts w:ascii="Arial" w:hAnsi="Arial" w:cs="Arial"/>
          <w:sz w:val="22"/>
        </w:rPr>
        <w:t>. Weight is absolutely not a homogeneous assortment, and to comprehend contrasts in strength, future exploration should utilize weight classes to describe arrangements. Disappointingly, we perceived restricted data from low-and focal paid countries (Tae Jun Kim and von, 2018).</w:t>
      </w:r>
    </w:p>
    <w:p w14:paraId="6AABD052" w14:textId="77777777" w:rsidR="00AB5BF0" w:rsidRPr="00951E91" w:rsidRDefault="00AB5BF0" w:rsidP="00951E91">
      <w:pPr>
        <w:spacing w:line="360" w:lineRule="auto"/>
        <w:rPr>
          <w:rFonts w:ascii="Arial" w:hAnsi="Arial" w:cs="Arial"/>
          <w:sz w:val="22"/>
        </w:rPr>
      </w:pPr>
      <w:r w:rsidRPr="00951E91">
        <w:rPr>
          <w:rFonts w:ascii="Arial" w:hAnsi="Arial" w:cs="Arial"/>
          <w:sz w:val="22"/>
        </w:rPr>
        <w:t>Our thought measures are restricted to focusing on the scattering of English, and we stay away from 1 learning non-English in the title and hypothetical stage, which give off an impression of being predictable with consideration models.</w:t>
      </w:r>
    </w:p>
    <w:p w14:paraId="5C63C503" w14:textId="77777777" w:rsidR="00AB5BF0" w:rsidRPr="00951E91" w:rsidRDefault="00AB5BF0" w:rsidP="00951E91">
      <w:pPr>
        <w:spacing w:line="360" w:lineRule="auto"/>
        <w:rPr>
          <w:rFonts w:ascii="Arial" w:hAnsi="Arial" w:cs="Arial"/>
          <w:sz w:val="22"/>
        </w:rPr>
      </w:pPr>
      <w:r w:rsidRPr="00951E91">
        <w:rPr>
          <w:rFonts w:ascii="Arial" w:hAnsi="Arial" w:cs="Arial"/>
          <w:sz w:val="22"/>
        </w:rPr>
        <w:t>This study recognized the requirement for early advocacy in anticipation of the weight of youth, starting before onset. For a long time, mediation in anticipation of completeness has determined natural conditions, such as schools. However, the growing predominance of strength in preschool youth has the significance of anticipation in the first 1000 days of life, from origin to 2 years of age. Given the proof of developmental beginning stages for prosperity and illness, it tends to be contended very well that the initial 1000 days are not adequately early (Tae Jun Kim and von, 2018). Checking wellbeing should start with ladies of childbearing age, and fixation is perceived as a significant life cycle to finish the totality of youngsters. Little consideration has been paid to the time period of inclination among petitions up until this point.</w:t>
      </w:r>
    </w:p>
    <w:p w14:paraId="7A89DB27" w14:textId="77777777" w:rsidR="00AB5BF0" w:rsidRPr="00951E91" w:rsidRDefault="00AB5BF0" w:rsidP="00951E91">
      <w:pPr>
        <w:spacing w:line="360" w:lineRule="auto"/>
        <w:rPr>
          <w:rFonts w:ascii="Arial" w:hAnsi="Arial" w:cs="Arial"/>
          <w:sz w:val="22"/>
        </w:rPr>
      </w:pPr>
      <w:r w:rsidRPr="00951E91">
        <w:rPr>
          <w:rFonts w:ascii="Arial" w:hAnsi="Arial" w:cs="Arial"/>
          <w:sz w:val="22"/>
        </w:rPr>
        <w:t>This thought is fundamental for future general prosperity and clinical exploration, system and practice, given the uneven characters related with strength. The powerlessness to perform defensive exercises builds the uneven characters in the existence cycle between ages (Tae Jun Kim and von, 2018).</w:t>
      </w:r>
    </w:p>
    <w:p w14:paraId="15A969EC" w14:textId="77777777" w:rsidR="00AB5BF0" w:rsidRPr="00951E91" w:rsidRDefault="00AB5BF0" w:rsidP="00951E91">
      <w:pPr>
        <w:spacing w:line="360" w:lineRule="auto"/>
        <w:rPr>
          <w:rFonts w:ascii="Arial" w:hAnsi="Arial" w:cs="Arial"/>
          <w:sz w:val="22"/>
        </w:rPr>
      </w:pPr>
      <w:r w:rsidRPr="00951E91">
        <w:rPr>
          <w:rFonts w:ascii="Arial" w:hAnsi="Arial" w:cs="Arial"/>
          <w:sz w:val="22"/>
        </w:rPr>
        <w:t>This deliberate study recognizes the significantly increased chances of a healthy child when mothers are full before birth. This review provides significant evidence of the need to promote mediation, starting an assumption to help women of childbearing age with weight on board to add to the expectation of youthful fullness. Given the befuddling trade between physiological, social, money related, natural and conduct elements to further develop strength, multifactorial intervention particularly focusing on ladies of childbearing potential is probably going to be expected to end intergenerational weight gain.</w:t>
      </w:r>
    </w:p>
    <w:p w14:paraId="682D1769" w14:textId="77777777" w:rsidR="003E4ECF" w:rsidRPr="00951E91" w:rsidRDefault="003E4ECF" w:rsidP="00951E91">
      <w:pPr>
        <w:tabs>
          <w:tab w:val="left" w:pos="6540"/>
        </w:tabs>
        <w:spacing w:line="360" w:lineRule="auto"/>
        <w:rPr>
          <w:rFonts w:ascii="Arial" w:hAnsi="Arial" w:cs="Arial"/>
          <w:sz w:val="22"/>
        </w:rPr>
      </w:pPr>
    </w:p>
    <w:p w14:paraId="16FAF0EA" w14:textId="451AD53D" w:rsidR="00B87E75" w:rsidRDefault="004A736E" w:rsidP="009D052C">
      <w:pPr>
        <w:pStyle w:val="Heading1"/>
        <w:spacing w:line="360" w:lineRule="auto"/>
      </w:pPr>
      <w:bookmarkStart w:id="5" w:name="_Toc92227561"/>
      <w:r>
        <w:t>6</w:t>
      </w:r>
      <w:r w:rsidR="00B87E75" w:rsidRPr="00B87E75">
        <w:t>. Conclusion</w:t>
      </w:r>
      <w:bookmarkEnd w:id="5"/>
    </w:p>
    <w:p w14:paraId="76DE18AE" w14:textId="77777777" w:rsidR="00AB5BF0" w:rsidRPr="00951E91" w:rsidRDefault="00AB5BF0" w:rsidP="00951E91">
      <w:pPr>
        <w:spacing w:line="360" w:lineRule="auto"/>
        <w:rPr>
          <w:rFonts w:ascii="Arial" w:hAnsi="Arial" w:cs="Arial"/>
          <w:sz w:val="22"/>
        </w:rPr>
      </w:pPr>
      <w:r w:rsidRPr="00951E91">
        <w:rPr>
          <w:rFonts w:ascii="Arial" w:hAnsi="Arial" w:cs="Arial"/>
          <w:sz w:val="22"/>
        </w:rPr>
        <w:t>In conclusion, weight gain is a preventable, extremely ordinary infection that has as of late turned into a worldwide pandemic influencing general prosperity at different levels. This SLR and the gathered principle works uncover that couple of are still in the air, that expanded stoutness and regardless overweight are undeniably connected with different comorbidities, which incorporate CVD, malignancies and different long-lasting conditions. As an essential method for tending to the surveys laid out before here, the current SLR has presented a system of later scattered articles connected with thickness or overweight, particularly comparable to ML procedures, for end and further balance. Thusly, an exact philosophy was utilized to concentrate on three average examination questions, utilizing articles that satisfied a few guidelines and were assessed utilizing conscious procedures.</w:t>
      </w:r>
    </w:p>
    <w:p w14:paraId="4165B0BD" w14:textId="0703D2FD" w:rsidR="00AB5BF0" w:rsidRPr="00951E91" w:rsidRDefault="00AB5BF0" w:rsidP="00951E91">
      <w:pPr>
        <w:spacing w:line="360" w:lineRule="auto"/>
        <w:rPr>
          <w:rFonts w:ascii="Arial" w:hAnsi="Arial" w:cs="Arial"/>
          <w:sz w:val="22"/>
        </w:rPr>
      </w:pPr>
      <w:r w:rsidRPr="00951E91">
        <w:rPr>
          <w:rFonts w:ascii="Arial" w:hAnsi="Arial" w:cs="Arial"/>
          <w:sz w:val="22"/>
        </w:rPr>
        <w:t xml:space="preserve">The represented outcomes in this show that numerous components cause and fuel overweight and weight gain, particularly in grown-ups. It is still in the air that specific components are frequently considered to be basic </w:t>
      </w:r>
      <w:r w:rsidR="00463ED4" w:rsidRPr="00951E91">
        <w:rPr>
          <w:rFonts w:ascii="Arial" w:hAnsi="Arial" w:cs="Arial"/>
          <w:sz w:val="22"/>
        </w:rPr>
        <w:t>cut off</w:t>
      </w:r>
      <w:r w:rsidRPr="00951E91">
        <w:rPr>
          <w:rFonts w:ascii="Arial" w:hAnsi="Arial" w:cs="Arial"/>
          <w:sz w:val="22"/>
        </w:rPr>
        <w:t xml:space="preserve"> points and driving factors of </w:t>
      </w:r>
      <w:r w:rsidR="00463ED4" w:rsidRPr="00951E91">
        <w:rPr>
          <w:rFonts w:ascii="Arial" w:hAnsi="Arial" w:cs="Arial"/>
          <w:sz w:val="22"/>
        </w:rPr>
        <w:t>fulfilment</w:t>
      </w:r>
      <w:r w:rsidRPr="00951E91">
        <w:rPr>
          <w:rFonts w:ascii="Arial" w:hAnsi="Arial" w:cs="Arial"/>
          <w:sz w:val="22"/>
        </w:rPr>
        <w:t>. This concentrate then, at that point, assesses the ML systems used to foresee weight. This review showed that ML is as of now utilized persistently in weight testing. By and by, this SLR further uncovered that the really restricted review involved ML exhaustively to unequivocally perceive weight.</w:t>
      </w:r>
    </w:p>
    <w:p w14:paraId="753A214B" w14:textId="77777777" w:rsidR="00AB5BF0" w:rsidRPr="002A5ED8" w:rsidRDefault="00AB5BF0" w:rsidP="00AB5BF0"/>
    <w:p w14:paraId="6812580D" w14:textId="47452A39" w:rsidR="0090040D" w:rsidRDefault="0090040D" w:rsidP="009D052C">
      <w:pPr>
        <w:tabs>
          <w:tab w:val="left" w:pos="6540"/>
        </w:tabs>
        <w:spacing w:line="360" w:lineRule="auto"/>
        <w:rPr>
          <w:rFonts w:ascii="Arial" w:hAnsi="Arial" w:cs="Arial"/>
          <w:szCs w:val="24"/>
        </w:rPr>
      </w:pPr>
    </w:p>
    <w:p w14:paraId="4371A9C5" w14:textId="5BC1FA35" w:rsidR="00F66E1B" w:rsidRDefault="00F66E1B" w:rsidP="009D052C">
      <w:pPr>
        <w:tabs>
          <w:tab w:val="left" w:pos="6540"/>
        </w:tabs>
        <w:spacing w:line="360" w:lineRule="auto"/>
        <w:rPr>
          <w:rFonts w:ascii="Arial" w:hAnsi="Arial" w:cs="Arial"/>
          <w:szCs w:val="24"/>
        </w:rPr>
      </w:pPr>
    </w:p>
    <w:p w14:paraId="3BA8B718" w14:textId="5284E684" w:rsidR="00AB5BF0" w:rsidRDefault="00AB5BF0" w:rsidP="009D052C">
      <w:pPr>
        <w:tabs>
          <w:tab w:val="left" w:pos="6540"/>
        </w:tabs>
        <w:spacing w:line="360" w:lineRule="auto"/>
        <w:rPr>
          <w:rFonts w:ascii="Arial" w:hAnsi="Arial" w:cs="Arial"/>
          <w:szCs w:val="24"/>
        </w:rPr>
      </w:pPr>
    </w:p>
    <w:p w14:paraId="4F8C24C7" w14:textId="4E6BC36E" w:rsidR="00AB5BF0" w:rsidRDefault="00AB5BF0" w:rsidP="009D052C">
      <w:pPr>
        <w:tabs>
          <w:tab w:val="left" w:pos="6540"/>
        </w:tabs>
        <w:spacing w:line="360" w:lineRule="auto"/>
        <w:rPr>
          <w:rFonts w:ascii="Arial" w:hAnsi="Arial" w:cs="Arial"/>
          <w:szCs w:val="24"/>
        </w:rPr>
      </w:pPr>
    </w:p>
    <w:p w14:paraId="17352456" w14:textId="6CBFB4C2" w:rsidR="00AB5BF0" w:rsidRDefault="00AB5BF0" w:rsidP="009D052C">
      <w:pPr>
        <w:tabs>
          <w:tab w:val="left" w:pos="6540"/>
        </w:tabs>
        <w:spacing w:line="360" w:lineRule="auto"/>
        <w:rPr>
          <w:rFonts w:ascii="Arial" w:hAnsi="Arial" w:cs="Arial"/>
          <w:szCs w:val="24"/>
        </w:rPr>
      </w:pPr>
    </w:p>
    <w:p w14:paraId="11865530" w14:textId="697EDCB0" w:rsidR="00AB5BF0" w:rsidRDefault="00AB5BF0" w:rsidP="009D052C">
      <w:pPr>
        <w:tabs>
          <w:tab w:val="left" w:pos="6540"/>
        </w:tabs>
        <w:spacing w:line="360" w:lineRule="auto"/>
        <w:rPr>
          <w:rFonts w:ascii="Arial" w:hAnsi="Arial" w:cs="Arial"/>
          <w:szCs w:val="24"/>
        </w:rPr>
      </w:pPr>
    </w:p>
    <w:p w14:paraId="42E54C5D" w14:textId="71AF725C" w:rsidR="00AB5BF0" w:rsidRDefault="00AB5BF0" w:rsidP="009D052C">
      <w:pPr>
        <w:tabs>
          <w:tab w:val="left" w:pos="6540"/>
        </w:tabs>
        <w:spacing w:line="360" w:lineRule="auto"/>
        <w:rPr>
          <w:rFonts w:ascii="Arial" w:hAnsi="Arial" w:cs="Arial"/>
          <w:szCs w:val="24"/>
        </w:rPr>
      </w:pPr>
    </w:p>
    <w:p w14:paraId="72C326CF" w14:textId="43B4C8E9" w:rsidR="00AB5BF0" w:rsidRDefault="00AB5BF0" w:rsidP="009D052C">
      <w:pPr>
        <w:tabs>
          <w:tab w:val="left" w:pos="6540"/>
        </w:tabs>
        <w:spacing w:line="360" w:lineRule="auto"/>
        <w:rPr>
          <w:rFonts w:ascii="Arial" w:hAnsi="Arial" w:cs="Arial"/>
          <w:szCs w:val="24"/>
        </w:rPr>
      </w:pPr>
    </w:p>
    <w:p w14:paraId="098C7A46" w14:textId="6D3B8AEC" w:rsidR="00AB5BF0" w:rsidRDefault="00AB5BF0" w:rsidP="009D052C">
      <w:pPr>
        <w:tabs>
          <w:tab w:val="left" w:pos="6540"/>
        </w:tabs>
        <w:spacing w:line="360" w:lineRule="auto"/>
        <w:rPr>
          <w:rFonts w:ascii="Arial" w:hAnsi="Arial" w:cs="Arial"/>
          <w:szCs w:val="24"/>
        </w:rPr>
      </w:pPr>
    </w:p>
    <w:p w14:paraId="204D621E" w14:textId="53B9DF68" w:rsidR="00AB5BF0" w:rsidRDefault="00AB5BF0" w:rsidP="009D052C">
      <w:pPr>
        <w:tabs>
          <w:tab w:val="left" w:pos="6540"/>
        </w:tabs>
        <w:spacing w:line="360" w:lineRule="auto"/>
        <w:rPr>
          <w:rFonts w:ascii="Arial" w:hAnsi="Arial" w:cs="Arial"/>
          <w:szCs w:val="24"/>
        </w:rPr>
      </w:pPr>
    </w:p>
    <w:p w14:paraId="1CBC6FB3" w14:textId="0415F47B" w:rsidR="00AB5BF0" w:rsidRDefault="00AB5BF0" w:rsidP="009D052C">
      <w:pPr>
        <w:tabs>
          <w:tab w:val="left" w:pos="6540"/>
        </w:tabs>
        <w:spacing w:line="360" w:lineRule="auto"/>
        <w:rPr>
          <w:rFonts w:ascii="Arial" w:hAnsi="Arial" w:cs="Arial"/>
          <w:szCs w:val="24"/>
        </w:rPr>
      </w:pPr>
    </w:p>
    <w:p w14:paraId="5950CCFA" w14:textId="0BD478CD" w:rsidR="00AB5BF0" w:rsidRDefault="00AB5BF0" w:rsidP="009D052C">
      <w:pPr>
        <w:tabs>
          <w:tab w:val="left" w:pos="6540"/>
        </w:tabs>
        <w:spacing w:line="360" w:lineRule="auto"/>
        <w:rPr>
          <w:rFonts w:ascii="Arial" w:hAnsi="Arial" w:cs="Arial"/>
          <w:szCs w:val="24"/>
        </w:rPr>
      </w:pPr>
    </w:p>
    <w:p w14:paraId="712B0C1D" w14:textId="1B7CA4DB" w:rsidR="00AB5BF0" w:rsidRDefault="00AB5BF0" w:rsidP="009D052C">
      <w:pPr>
        <w:tabs>
          <w:tab w:val="left" w:pos="6540"/>
        </w:tabs>
        <w:spacing w:line="360" w:lineRule="auto"/>
        <w:rPr>
          <w:rFonts w:ascii="Arial" w:hAnsi="Arial" w:cs="Arial"/>
          <w:szCs w:val="24"/>
        </w:rPr>
      </w:pPr>
    </w:p>
    <w:p w14:paraId="17CD23D4" w14:textId="33E42D52" w:rsidR="00AB5BF0" w:rsidRDefault="00AB5BF0" w:rsidP="009D052C">
      <w:pPr>
        <w:tabs>
          <w:tab w:val="left" w:pos="6540"/>
        </w:tabs>
        <w:spacing w:line="360" w:lineRule="auto"/>
        <w:rPr>
          <w:rFonts w:ascii="Arial" w:hAnsi="Arial" w:cs="Arial"/>
          <w:szCs w:val="24"/>
        </w:rPr>
      </w:pPr>
    </w:p>
    <w:p w14:paraId="53AB6A32" w14:textId="7215DDF9" w:rsidR="00AB5BF0" w:rsidRDefault="00AB5BF0" w:rsidP="009D052C">
      <w:pPr>
        <w:tabs>
          <w:tab w:val="left" w:pos="6540"/>
        </w:tabs>
        <w:spacing w:line="360" w:lineRule="auto"/>
        <w:rPr>
          <w:rFonts w:ascii="Arial" w:hAnsi="Arial" w:cs="Arial"/>
          <w:szCs w:val="24"/>
        </w:rPr>
      </w:pPr>
    </w:p>
    <w:p w14:paraId="4BF1832E" w14:textId="0B4260F1" w:rsidR="00AB5BF0" w:rsidRDefault="00AB5BF0" w:rsidP="009D052C">
      <w:pPr>
        <w:tabs>
          <w:tab w:val="left" w:pos="6540"/>
        </w:tabs>
        <w:spacing w:line="360" w:lineRule="auto"/>
        <w:rPr>
          <w:rFonts w:ascii="Arial" w:hAnsi="Arial" w:cs="Arial"/>
          <w:szCs w:val="24"/>
        </w:rPr>
      </w:pPr>
    </w:p>
    <w:p w14:paraId="0C8DC03E" w14:textId="3514B0F6" w:rsidR="00AB5BF0" w:rsidRDefault="00AB5BF0" w:rsidP="009D052C">
      <w:pPr>
        <w:tabs>
          <w:tab w:val="left" w:pos="6540"/>
        </w:tabs>
        <w:spacing w:line="360" w:lineRule="auto"/>
        <w:rPr>
          <w:rFonts w:ascii="Arial" w:hAnsi="Arial" w:cs="Arial"/>
          <w:szCs w:val="24"/>
        </w:rPr>
      </w:pPr>
    </w:p>
    <w:p w14:paraId="75D5AE2C" w14:textId="2187C1E7" w:rsidR="00AB5BF0" w:rsidRDefault="00AB5BF0" w:rsidP="009D052C">
      <w:pPr>
        <w:tabs>
          <w:tab w:val="left" w:pos="6540"/>
        </w:tabs>
        <w:spacing w:line="360" w:lineRule="auto"/>
        <w:rPr>
          <w:rFonts w:ascii="Arial" w:hAnsi="Arial" w:cs="Arial"/>
          <w:szCs w:val="24"/>
        </w:rPr>
      </w:pPr>
    </w:p>
    <w:p w14:paraId="70266E64" w14:textId="77777777" w:rsidR="00AB5BF0" w:rsidRDefault="00AB5BF0" w:rsidP="009D052C">
      <w:pPr>
        <w:tabs>
          <w:tab w:val="left" w:pos="6540"/>
        </w:tabs>
        <w:spacing w:line="360" w:lineRule="auto"/>
        <w:rPr>
          <w:rFonts w:ascii="Arial" w:hAnsi="Arial" w:cs="Arial"/>
          <w:szCs w:val="24"/>
        </w:rPr>
      </w:pPr>
    </w:p>
    <w:p w14:paraId="364D7618" w14:textId="54B8550D" w:rsidR="00F66E1B" w:rsidRDefault="00F66E1B" w:rsidP="009D052C">
      <w:pPr>
        <w:tabs>
          <w:tab w:val="left" w:pos="6540"/>
        </w:tabs>
        <w:spacing w:line="360" w:lineRule="auto"/>
        <w:rPr>
          <w:rFonts w:ascii="Arial" w:hAnsi="Arial" w:cs="Arial"/>
          <w:szCs w:val="24"/>
        </w:rPr>
      </w:pPr>
    </w:p>
    <w:p w14:paraId="3EA3C7DD" w14:textId="2C373198" w:rsidR="00F66E1B" w:rsidRDefault="00F66E1B" w:rsidP="009D052C">
      <w:pPr>
        <w:tabs>
          <w:tab w:val="left" w:pos="6540"/>
        </w:tabs>
        <w:spacing w:line="360" w:lineRule="auto"/>
        <w:rPr>
          <w:rFonts w:ascii="Arial" w:hAnsi="Arial" w:cs="Arial"/>
          <w:szCs w:val="24"/>
        </w:rPr>
      </w:pPr>
    </w:p>
    <w:p w14:paraId="5C76528F" w14:textId="77777777" w:rsidR="00F66E1B" w:rsidRDefault="00F66E1B" w:rsidP="009D052C">
      <w:pPr>
        <w:tabs>
          <w:tab w:val="left" w:pos="6540"/>
        </w:tabs>
        <w:spacing w:line="360" w:lineRule="auto"/>
        <w:rPr>
          <w:rFonts w:ascii="Arial" w:hAnsi="Arial" w:cs="Arial"/>
          <w:szCs w:val="24"/>
        </w:rPr>
      </w:pPr>
    </w:p>
    <w:p w14:paraId="33F8F0BD" w14:textId="51D3D60D" w:rsidR="00B87E75" w:rsidRDefault="00B87E75" w:rsidP="009D052C">
      <w:pPr>
        <w:pStyle w:val="Heading1"/>
        <w:spacing w:line="360" w:lineRule="auto"/>
      </w:pPr>
      <w:bookmarkStart w:id="6" w:name="_Toc92227562"/>
      <w:r w:rsidRPr="00B87E75">
        <w:t>References</w:t>
      </w:r>
      <w:bookmarkEnd w:id="6"/>
    </w:p>
    <w:p w14:paraId="1872375A" w14:textId="77777777" w:rsidR="00AB5BF0" w:rsidRPr="00A436FE" w:rsidRDefault="00AB5BF0" w:rsidP="00A436FE">
      <w:pPr>
        <w:spacing w:line="360" w:lineRule="auto"/>
        <w:rPr>
          <w:rFonts w:ascii="Arial" w:hAnsi="Arial" w:cs="Arial"/>
          <w:sz w:val="22"/>
        </w:rPr>
      </w:pPr>
      <w:r w:rsidRPr="00A436FE">
        <w:rPr>
          <w:rFonts w:ascii="Arial" w:hAnsi="Arial" w:cs="Arial"/>
          <w:sz w:val="22"/>
        </w:rPr>
        <w:t xml:space="preserve">Annual Reviews. (2019). Prevention and Management of Childhood Obesity and Its Psychological and Health Comorbidities. </w:t>
      </w:r>
      <w:r w:rsidRPr="00A436FE">
        <w:rPr>
          <w:rFonts w:ascii="Arial" w:hAnsi="Arial" w:cs="Arial"/>
          <w:i/>
          <w:iCs/>
          <w:sz w:val="22"/>
        </w:rPr>
        <w:t xml:space="preserve">NCBI </w:t>
      </w:r>
      <w:r w:rsidRPr="00A436FE">
        <w:rPr>
          <w:rFonts w:ascii="Arial" w:hAnsi="Arial" w:cs="Arial"/>
          <w:sz w:val="22"/>
        </w:rPr>
        <w:t xml:space="preserve">[online] Available from: </w:t>
      </w:r>
      <w:hyperlink r:id="rId11" w:history="1">
        <w:r w:rsidRPr="00A436FE">
          <w:rPr>
            <w:rStyle w:val="Hyperlink"/>
            <w:rFonts w:ascii="Arial" w:hAnsi="Arial" w:cs="Arial"/>
            <w:sz w:val="22"/>
          </w:rPr>
          <w:t>https://dx.doi.org/10.1146%2Fannurev-clinpsy-100219-060201</w:t>
        </w:r>
      </w:hyperlink>
      <w:r w:rsidRPr="00A436FE">
        <w:rPr>
          <w:rFonts w:ascii="Arial" w:hAnsi="Arial" w:cs="Arial"/>
          <w:sz w:val="22"/>
        </w:rPr>
        <w:t>. [Accessed: 18/12/2021].</w:t>
      </w:r>
    </w:p>
    <w:p w14:paraId="70C23283" w14:textId="77777777" w:rsidR="00AB5BF0" w:rsidRPr="00A436FE" w:rsidRDefault="00AB5BF0" w:rsidP="00A436FE">
      <w:pPr>
        <w:spacing w:line="360" w:lineRule="auto"/>
        <w:rPr>
          <w:rFonts w:ascii="Arial" w:hAnsi="Arial" w:cs="Arial"/>
          <w:sz w:val="22"/>
        </w:rPr>
      </w:pPr>
      <w:r w:rsidRPr="00A436FE">
        <w:rPr>
          <w:rFonts w:ascii="Arial" w:hAnsi="Arial" w:cs="Arial"/>
          <w:sz w:val="22"/>
        </w:rPr>
        <w:t xml:space="preserve">Bagnall, A.-M., Radley, D., Jones, R., Gately, P., Nobles, J., Van Dijk, M., Blackshaw, J., Montel, S. and Sahota, P. (2019). Whole systems approaches to obesity and other complex public health challenges: a systematic review. </w:t>
      </w:r>
      <w:r w:rsidRPr="00A436FE">
        <w:rPr>
          <w:rFonts w:ascii="Arial" w:hAnsi="Arial" w:cs="Arial"/>
          <w:i/>
          <w:iCs/>
          <w:sz w:val="22"/>
        </w:rPr>
        <w:t>BMC Public Health</w:t>
      </w:r>
      <w:r w:rsidRPr="00A436FE">
        <w:rPr>
          <w:rFonts w:ascii="Arial" w:hAnsi="Arial" w:cs="Arial"/>
          <w:sz w:val="22"/>
        </w:rPr>
        <w:t>, [online] 19(</w:t>
      </w:r>
      <w:r w:rsidRPr="00A436FE">
        <w:rPr>
          <w:rFonts w:ascii="Arial" w:hAnsi="Arial" w:cs="Arial"/>
          <w:b/>
          <w:bCs/>
          <w:sz w:val="22"/>
        </w:rPr>
        <w:t>1</w:t>
      </w:r>
      <w:r w:rsidRPr="00A436FE">
        <w:rPr>
          <w:rFonts w:ascii="Arial" w:hAnsi="Arial" w:cs="Arial"/>
          <w:sz w:val="22"/>
        </w:rPr>
        <w:t xml:space="preserve">). Available from: </w:t>
      </w:r>
      <w:hyperlink r:id="rId12" w:history="1">
        <w:r w:rsidRPr="00A436FE">
          <w:rPr>
            <w:rStyle w:val="Hyperlink"/>
            <w:rFonts w:ascii="Arial" w:hAnsi="Arial" w:cs="Arial"/>
            <w:sz w:val="22"/>
          </w:rPr>
          <w:t>https://research-information.bristol.ac.uk/en/publications/whole-systems-approaches-to-obesity-and-other-complex-public-health-challenges(08db8e72-91f5-422b-9a87-dd6033a8d783).html</w:t>
        </w:r>
      </w:hyperlink>
      <w:r w:rsidRPr="00A436FE">
        <w:rPr>
          <w:rFonts w:ascii="Arial" w:hAnsi="Arial" w:cs="Arial"/>
          <w:sz w:val="22"/>
        </w:rPr>
        <w:t>. [Accessed: 18/12/2021].</w:t>
      </w:r>
    </w:p>
    <w:p w14:paraId="6518BBFB" w14:textId="77777777" w:rsidR="00AB5BF0" w:rsidRPr="00A436FE" w:rsidRDefault="00AB5BF0" w:rsidP="00A436FE">
      <w:pPr>
        <w:spacing w:line="360" w:lineRule="auto"/>
        <w:rPr>
          <w:rFonts w:ascii="Arial" w:hAnsi="Arial" w:cs="Arial"/>
          <w:sz w:val="22"/>
        </w:rPr>
      </w:pPr>
      <w:r w:rsidRPr="00A436FE">
        <w:rPr>
          <w:rFonts w:ascii="Arial" w:hAnsi="Arial" w:cs="Arial"/>
          <w:sz w:val="22"/>
        </w:rPr>
        <w:t>Bozkurt, M. (2021). Metropolitan Children’s Physical Fitness: The Relationship Between Overweight and Obesity Prevalence, Socioeconomic Status, Urban Green Space Access, and Physical Activity. </w:t>
      </w:r>
      <w:r w:rsidRPr="00A436FE">
        <w:rPr>
          <w:rFonts w:ascii="Arial" w:hAnsi="Arial" w:cs="Arial"/>
          <w:i/>
          <w:iCs/>
          <w:sz w:val="22"/>
        </w:rPr>
        <w:t>Urban Forestry &amp; Urban Greening</w:t>
      </w:r>
      <w:r w:rsidRPr="00A436FE">
        <w:rPr>
          <w:rFonts w:ascii="Arial" w:hAnsi="Arial" w:cs="Arial"/>
          <w:sz w:val="22"/>
        </w:rPr>
        <w:t>, p.127272.</w:t>
      </w:r>
    </w:p>
    <w:p w14:paraId="00F077B6" w14:textId="77777777" w:rsidR="00AB5BF0" w:rsidRPr="00A436FE" w:rsidRDefault="00AB5BF0" w:rsidP="00A436FE">
      <w:pPr>
        <w:spacing w:line="360" w:lineRule="auto"/>
        <w:rPr>
          <w:rFonts w:ascii="Arial" w:hAnsi="Arial" w:cs="Arial"/>
          <w:sz w:val="22"/>
          <w:lang w:val="fr-FR"/>
        </w:rPr>
      </w:pPr>
      <w:r w:rsidRPr="00A436FE">
        <w:rPr>
          <w:rFonts w:ascii="Arial" w:hAnsi="Arial" w:cs="Arial"/>
          <w:sz w:val="22"/>
        </w:rPr>
        <w:t>Faedi Duramy, B. (2018). Child Obesity, School Food Environments, and the Best Interest of the Child. </w:t>
      </w:r>
      <w:r w:rsidRPr="00A436FE">
        <w:rPr>
          <w:rFonts w:ascii="Arial" w:hAnsi="Arial" w:cs="Arial"/>
          <w:i/>
          <w:iCs/>
          <w:sz w:val="22"/>
          <w:lang w:val="fr-FR"/>
        </w:rPr>
        <w:t>Canadian Journal of Children’s Rights / Revue canadienne des droits des enfants</w:t>
      </w:r>
      <w:r w:rsidRPr="00A436FE">
        <w:rPr>
          <w:rFonts w:ascii="Arial" w:hAnsi="Arial" w:cs="Arial"/>
          <w:sz w:val="22"/>
          <w:lang w:val="fr-FR"/>
        </w:rPr>
        <w:t>, 5(</w:t>
      </w:r>
      <w:r w:rsidRPr="00A436FE">
        <w:rPr>
          <w:rFonts w:ascii="Arial" w:hAnsi="Arial" w:cs="Arial"/>
          <w:b/>
          <w:bCs/>
          <w:sz w:val="22"/>
          <w:lang w:val="fr-FR"/>
        </w:rPr>
        <w:t>1</w:t>
      </w:r>
      <w:r w:rsidRPr="00A436FE">
        <w:rPr>
          <w:rFonts w:ascii="Arial" w:hAnsi="Arial" w:cs="Arial"/>
          <w:sz w:val="22"/>
          <w:lang w:val="fr-FR"/>
        </w:rPr>
        <w:t>), pp.86–115.</w:t>
      </w:r>
    </w:p>
    <w:p w14:paraId="242D2755" w14:textId="77777777" w:rsidR="00AB5BF0" w:rsidRPr="00A436FE" w:rsidRDefault="00AB5BF0" w:rsidP="00A436FE">
      <w:pPr>
        <w:spacing w:line="360" w:lineRule="auto"/>
        <w:rPr>
          <w:rFonts w:ascii="Arial" w:hAnsi="Arial" w:cs="Arial"/>
          <w:sz w:val="22"/>
        </w:rPr>
      </w:pPr>
      <w:r w:rsidRPr="00A436FE">
        <w:rPr>
          <w:rFonts w:ascii="Arial" w:hAnsi="Arial" w:cs="Arial"/>
          <w:sz w:val="22"/>
          <w:lang w:val="fr-FR"/>
        </w:rPr>
        <w:lastRenderedPageBreak/>
        <w:t xml:space="preserve">Heslehurst, N., Vieira, R., Akhter, Z., Bailey, H., Slack, E., Ngongalah, L., Pemu, A. and Rankin, J. (2019). </w:t>
      </w:r>
      <w:r w:rsidRPr="00A436FE">
        <w:rPr>
          <w:rFonts w:ascii="Arial" w:hAnsi="Arial" w:cs="Arial"/>
          <w:sz w:val="22"/>
        </w:rPr>
        <w:t xml:space="preserve">The association between maternal body mass index and child obesity: A systematic review and meta-analysis. </w:t>
      </w:r>
      <w:r w:rsidRPr="00A436FE">
        <w:rPr>
          <w:rFonts w:ascii="Arial" w:hAnsi="Arial" w:cs="Arial"/>
          <w:i/>
          <w:iCs/>
          <w:sz w:val="22"/>
        </w:rPr>
        <w:t>PLOS Medicine</w:t>
      </w:r>
      <w:r w:rsidRPr="00A436FE">
        <w:rPr>
          <w:rFonts w:ascii="Arial" w:hAnsi="Arial" w:cs="Arial"/>
          <w:sz w:val="22"/>
        </w:rPr>
        <w:t>, 16(</w:t>
      </w:r>
      <w:r w:rsidRPr="00A436FE">
        <w:rPr>
          <w:rFonts w:ascii="Arial" w:hAnsi="Arial" w:cs="Arial"/>
          <w:b/>
          <w:bCs/>
          <w:sz w:val="22"/>
        </w:rPr>
        <w:t>6</w:t>
      </w:r>
      <w:r w:rsidRPr="00A436FE">
        <w:rPr>
          <w:rFonts w:ascii="Arial" w:hAnsi="Arial" w:cs="Arial"/>
          <w:sz w:val="22"/>
        </w:rPr>
        <w:t>), p.e1002817.</w:t>
      </w:r>
    </w:p>
    <w:p w14:paraId="734AB3C8" w14:textId="77777777" w:rsidR="00AB5BF0" w:rsidRPr="00A436FE" w:rsidRDefault="00AB5BF0" w:rsidP="00A436FE">
      <w:pPr>
        <w:spacing w:line="360" w:lineRule="auto"/>
        <w:rPr>
          <w:rFonts w:ascii="Arial" w:hAnsi="Arial" w:cs="Arial"/>
          <w:sz w:val="22"/>
        </w:rPr>
      </w:pPr>
      <w:r w:rsidRPr="00A436FE">
        <w:rPr>
          <w:rFonts w:ascii="Arial" w:hAnsi="Arial" w:cs="Arial"/>
          <w:sz w:val="22"/>
        </w:rPr>
        <w:t xml:space="preserve">Ho, M., Garnett, S.P., Baur, L., Burrows, T., Stewart, L., Neve, M. and Collins, C. (2012). Effectiveness of Lifestyle Interventions in Child Obesity: Systematic Review With Meta-analysis. </w:t>
      </w:r>
      <w:r w:rsidRPr="00A436FE">
        <w:rPr>
          <w:rFonts w:ascii="Arial" w:hAnsi="Arial" w:cs="Arial"/>
          <w:i/>
          <w:iCs/>
          <w:sz w:val="22"/>
        </w:rPr>
        <w:t>PEDIATRICS</w:t>
      </w:r>
      <w:r w:rsidRPr="00A436FE">
        <w:rPr>
          <w:rFonts w:ascii="Arial" w:hAnsi="Arial" w:cs="Arial"/>
          <w:sz w:val="22"/>
        </w:rPr>
        <w:t>, 130(</w:t>
      </w:r>
      <w:r w:rsidRPr="00A436FE">
        <w:rPr>
          <w:rFonts w:ascii="Arial" w:hAnsi="Arial" w:cs="Arial"/>
          <w:b/>
          <w:bCs/>
          <w:sz w:val="22"/>
        </w:rPr>
        <w:t>6</w:t>
      </w:r>
      <w:r w:rsidRPr="00A436FE">
        <w:rPr>
          <w:rFonts w:ascii="Arial" w:hAnsi="Arial" w:cs="Arial"/>
          <w:sz w:val="22"/>
        </w:rPr>
        <w:t>), pp.e1647–e1671.</w:t>
      </w:r>
    </w:p>
    <w:p w14:paraId="13DFE513" w14:textId="77777777" w:rsidR="00AB5BF0" w:rsidRPr="00A436FE" w:rsidRDefault="00AB5BF0" w:rsidP="00A436FE">
      <w:pPr>
        <w:spacing w:line="360" w:lineRule="auto"/>
        <w:rPr>
          <w:rFonts w:ascii="Arial" w:hAnsi="Arial" w:cs="Arial"/>
          <w:sz w:val="22"/>
        </w:rPr>
      </w:pPr>
      <w:r w:rsidRPr="00A436FE">
        <w:rPr>
          <w:rFonts w:ascii="Arial" w:hAnsi="Arial" w:cs="Arial"/>
          <w:sz w:val="22"/>
        </w:rPr>
        <w:t>Ranasinghe, P., Jayawardena, R., Gamage, N., Pujitha Wickramasinghe, V. and Hills, A.P. (2020). The range of non-traditional anthropometric parameters to define obesity and obesity-related disease in children: a systematic review. </w:t>
      </w:r>
      <w:r w:rsidRPr="00A436FE">
        <w:rPr>
          <w:rFonts w:ascii="Arial" w:hAnsi="Arial" w:cs="Arial"/>
          <w:i/>
          <w:iCs/>
          <w:sz w:val="22"/>
        </w:rPr>
        <w:t>European Journal of Clinical Nutrition</w:t>
      </w:r>
      <w:r w:rsidRPr="00A436FE">
        <w:rPr>
          <w:rFonts w:ascii="Arial" w:hAnsi="Arial" w:cs="Arial"/>
          <w:sz w:val="22"/>
        </w:rPr>
        <w:t>, 75(</w:t>
      </w:r>
      <w:r w:rsidRPr="00A436FE">
        <w:rPr>
          <w:rFonts w:ascii="Arial" w:hAnsi="Arial" w:cs="Arial"/>
          <w:b/>
          <w:bCs/>
          <w:sz w:val="22"/>
        </w:rPr>
        <w:t>2</w:t>
      </w:r>
      <w:r w:rsidRPr="00A436FE">
        <w:rPr>
          <w:rFonts w:ascii="Arial" w:hAnsi="Arial" w:cs="Arial"/>
          <w:sz w:val="22"/>
        </w:rPr>
        <w:t>), pp.373–384.</w:t>
      </w:r>
    </w:p>
    <w:p w14:paraId="0F63CADE" w14:textId="77777777" w:rsidR="00AB5BF0" w:rsidRPr="00A436FE" w:rsidRDefault="00AB5BF0" w:rsidP="00A436FE">
      <w:pPr>
        <w:spacing w:line="360" w:lineRule="auto"/>
        <w:rPr>
          <w:rFonts w:ascii="Arial" w:hAnsi="Arial" w:cs="Arial"/>
          <w:sz w:val="22"/>
        </w:rPr>
      </w:pPr>
      <w:r w:rsidRPr="00A436FE">
        <w:rPr>
          <w:rFonts w:ascii="Arial" w:hAnsi="Arial" w:cs="Arial"/>
          <w:sz w:val="22"/>
        </w:rPr>
        <w:t>Rosettie, K.L., Micha, R., Cudhea, F., Peñalvo, J.L., O’Flaherty, M., Pearson-Stuttard, J., Economos, C.D., Whitsel, L.P. and Mozaffarian, D. (2018). Comparative risk assessment of school food environment policies and childhood diets, childhood obesity, and future cardiometabolic mortality in the United States. </w:t>
      </w:r>
      <w:r w:rsidRPr="00A436FE">
        <w:rPr>
          <w:rFonts w:ascii="Arial" w:hAnsi="Arial" w:cs="Arial"/>
          <w:i/>
          <w:iCs/>
          <w:sz w:val="22"/>
        </w:rPr>
        <w:t>PLOS ONE</w:t>
      </w:r>
      <w:r w:rsidRPr="00A436FE">
        <w:rPr>
          <w:rFonts w:ascii="Arial" w:hAnsi="Arial" w:cs="Arial"/>
          <w:sz w:val="22"/>
        </w:rPr>
        <w:t>, 13(</w:t>
      </w:r>
      <w:r w:rsidRPr="00A436FE">
        <w:rPr>
          <w:rFonts w:ascii="Arial" w:hAnsi="Arial" w:cs="Arial"/>
          <w:b/>
          <w:bCs/>
          <w:sz w:val="22"/>
        </w:rPr>
        <w:t>7</w:t>
      </w:r>
      <w:r w:rsidRPr="00A436FE">
        <w:rPr>
          <w:rFonts w:ascii="Arial" w:hAnsi="Arial" w:cs="Arial"/>
          <w:sz w:val="22"/>
        </w:rPr>
        <w:t>), p.e0200378.</w:t>
      </w:r>
    </w:p>
    <w:p w14:paraId="026A6CA3" w14:textId="77777777" w:rsidR="00AB5BF0" w:rsidRPr="00A436FE" w:rsidRDefault="00AB5BF0" w:rsidP="00A436FE">
      <w:pPr>
        <w:spacing w:line="360" w:lineRule="auto"/>
        <w:rPr>
          <w:rFonts w:ascii="Arial" w:hAnsi="Arial" w:cs="Arial"/>
          <w:sz w:val="22"/>
        </w:rPr>
      </w:pPr>
      <w:r w:rsidRPr="00A436FE">
        <w:rPr>
          <w:rFonts w:ascii="Arial" w:hAnsi="Arial" w:cs="Arial"/>
          <w:sz w:val="22"/>
        </w:rPr>
        <w:t xml:space="preserve">Safaei, M., Sundararajan, E.A., Driss, M., Boulila, W. and Shapi’i, A. (2021). A systematic literature review on obesity: Understanding the causes &amp; consequences of obesity and reviewing various machine learning approaches used to predict obesity. </w:t>
      </w:r>
      <w:r w:rsidRPr="00A436FE">
        <w:rPr>
          <w:rFonts w:ascii="Arial" w:hAnsi="Arial" w:cs="Arial"/>
          <w:i/>
          <w:iCs/>
          <w:sz w:val="22"/>
        </w:rPr>
        <w:t>Computers in Biology and Medicine</w:t>
      </w:r>
      <w:r w:rsidRPr="00A436FE">
        <w:rPr>
          <w:rFonts w:ascii="Arial" w:hAnsi="Arial" w:cs="Arial"/>
          <w:sz w:val="22"/>
        </w:rPr>
        <w:t>, 136, p.104754.</w:t>
      </w:r>
    </w:p>
    <w:p w14:paraId="47D64F5A" w14:textId="77777777" w:rsidR="00AB5BF0" w:rsidRPr="00A436FE" w:rsidRDefault="00AB5BF0" w:rsidP="00A436FE">
      <w:pPr>
        <w:spacing w:line="360" w:lineRule="auto"/>
        <w:rPr>
          <w:rFonts w:ascii="Arial" w:hAnsi="Arial" w:cs="Arial"/>
          <w:sz w:val="22"/>
        </w:rPr>
      </w:pPr>
      <w:r w:rsidRPr="00A436FE">
        <w:rPr>
          <w:rFonts w:ascii="Arial" w:hAnsi="Arial" w:cs="Arial"/>
          <w:sz w:val="22"/>
        </w:rPr>
        <w:t xml:space="preserve">Tae Jun Kim and von (2018). Income and obesity: what is the direction of the relationship? A systematic review and meta-analysis. </w:t>
      </w:r>
      <w:r w:rsidRPr="00A436FE">
        <w:rPr>
          <w:rFonts w:ascii="Arial" w:hAnsi="Arial" w:cs="Arial"/>
          <w:i/>
          <w:iCs/>
          <w:sz w:val="22"/>
        </w:rPr>
        <w:t>BMJ Open</w:t>
      </w:r>
      <w:r w:rsidRPr="00A436FE">
        <w:rPr>
          <w:rFonts w:ascii="Arial" w:hAnsi="Arial" w:cs="Arial"/>
          <w:sz w:val="22"/>
        </w:rPr>
        <w:t>, [online] 8(</w:t>
      </w:r>
      <w:r w:rsidRPr="00A436FE">
        <w:rPr>
          <w:rFonts w:ascii="Arial" w:hAnsi="Arial" w:cs="Arial"/>
          <w:b/>
          <w:bCs/>
          <w:sz w:val="22"/>
        </w:rPr>
        <w:t>1</w:t>
      </w:r>
      <w:r w:rsidRPr="00A436FE">
        <w:rPr>
          <w:rFonts w:ascii="Arial" w:hAnsi="Arial" w:cs="Arial"/>
          <w:sz w:val="22"/>
        </w:rPr>
        <w:t xml:space="preserve">), p.e019862. Available from: </w:t>
      </w:r>
      <w:hyperlink r:id="rId13" w:history="1">
        <w:r w:rsidRPr="00A436FE">
          <w:rPr>
            <w:rStyle w:val="Hyperlink"/>
            <w:rFonts w:ascii="Arial" w:hAnsi="Arial" w:cs="Arial"/>
            <w:sz w:val="22"/>
          </w:rPr>
          <w:t>https://bmjopen.bmj.com/content/8/1/e019862</w:t>
        </w:r>
      </w:hyperlink>
      <w:r w:rsidRPr="00A436FE">
        <w:rPr>
          <w:rFonts w:ascii="Arial" w:hAnsi="Arial" w:cs="Arial"/>
          <w:sz w:val="22"/>
        </w:rPr>
        <w:t>. [Accessed: 18/12/2021].</w:t>
      </w:r>
    </w:p>
    <w:p w14:paraId="03AF1B00" w14:textId="77777777" w:rsidR="00AB5BF0" w:rsidRPr="00A436FE" w:rsidRDefault="00AB5BF0" w:rsidP="00A436FE">
      <w:pPr>
        <w:spacing w:line="360" w:lineRule="auto"/>
        <w:rPr>
          <w:rFonts w:ascii="Arial" w:hAnsi="Arial" w:cs="Arial"/>
          <w:sz w:val="22"/>
        </w:rPr>
      </w:pPr>
      <w:r w:rsidRPr="00A436FE">
        <w:rPr>
          <w:rFonts w:ascii="Arial" w:hAnsi="Arial" w:cs="Arial"/>
          <w:sz w:val="22"/>
        </w:rPr>
        <w:t xml:space="preserve">Valdova, V. (2020). Childhood obesity. </w:t>
      </w:r>
      <w:r w:rsidRPr="00A436FE">
        <w:rPr>
          <w:rFonts w:ascii="Arial" w:hAnsi="Arial" w:cs="Arial"/>
          <w:i/>
          <w:iCs/>
          <w:sz w:val="22"/>
        </w:rPr>
        <w:t>Arete Zoe</w:t>
      </w:r>
      <w:r w:rsidRPr="00A436FE">
        <w:rPr>
          <w:rFonts w:ascii="Arial" w:hAnsi="Arial" w:cs="Arial"/>
          <w:sz w:val="22"/>
        </w:rPr>
        <w:t xml:space="preserve"> [online]. Available from: https://www.aretezoe.com/childhood-obesity [Accessed: 03/12/2021].</w:t>
      </w:r>
    </w:p>
    <w:p w14:paraId="1425F4AC" w14:textId="6695D929" w:rsidR="001D7C03" w:rsidRPr="00A436FE" w:rsidRDefault="001D7C03" w:rsidP="00A436FE">
      <w:pPr>
        <w:tabs>
          <w:tab w:val="left" w:pos="6540"/>
        </w:tabs>
        <w:spacing w:line="360" w:lineRule="auto"/>
        <w:rPr>
          <w:rFonts w:ascii="Arial" w:hAnsi="Arial" w:cs="Arial"/>
          <w:sz w:val="22"/>
        </w:rPr>
      </w:pPr>
    </w:p>
    <w:sectPr w:rsidR="001D7C03" w:rsidRPr="00A436F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0EF57" w14:textId="77777777" w:rsidR="002719ED" w:rsidRDefault="002719ED" w:rsidP="003E4ECF">
      <w:pPr>
        <w:spacing w:after="0" w:line="240" w:lineRule="auto"/>
      </w:pPr>
      <w:r>
        <w:separator/>
      </w:r>
    </w:p>
  </w:endnote>
  <w:endnote w:type="continuationSeparator" w:id="0">
    <w:p w14:paraId="69AE0D5C" w14:textId="77777777" w:rsidR="002719ED" w:rsidRDefault="002719E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45E9E" w14:textId="77777777" w:rsidR="002719ED" w:rsidRDefault="002719ED" w:rsidP="003E4ECF">
      <w:pPr>
        <w:spacing w:after="0" w:line="240" w:lineRule="auto"/>
      </w:pPr>
      <w:r>
        <w:separator/>
      </w:r>
    </w:p>
  </w:footnote>
  <w:footnote w:type="continuationSeparator" w:id="0">
    <w:p w14:paraId="13398747" w14:textId="77777777" w:rsidR="002719ED" w:rsidRDefault="002719ED"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CF7263"/>
    <w:multiLevelType w:val="hybridMultilevel"/>
    <w:tmpl w:val="FAF4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74402"/>
    <w:rsid w:val="001C46F0"/>
    <w:rsid w:val="001D070E"/>
    <w:rsid w:val="001D7C03"/>
    <w:rsid w:val="001D7FFE"/>
    <w:rsid w:val="00216C85"/>
    <w:rsid w:val="0026393A"/>
    <w:rsid w:val="002719ED"/>
    <w:rsid w:val="00273EDD"/>
    <w:rsid w:val="002C3965"/>
    <w:rsid w:val="00321C4C"/>
    <w:rsid w:val="00392BBC"/>
    <w:rsid w:val="003E4ECF"/>
    <w:rsid w:val="00463ED4"/>
    <w:rsid w:val="004A736E"/>
    <w:rsid w:val="006547C1"/>
    <w:rsid w:val="006559BA"/>
    <w:rsid w:val="006664CA"/>
    <w:rsid w:val="006925AA"/>
    <w:rsid w:val="006D0FAA"/>
    <w:rsid w:val="00817AC2"/>
    <w:rsid w:val="008603F6"/>
    <w:rsid w:val="0090040D"/>
    <w:rsid w:val="00951E91"/>
    <w:rsid w:val="009D052C"/>
    <w:rsid w:val="009D1D1E"/>
    <w:rsid w:val="00A035FD"/>
    <w:rsid w:val="00A436FE"/>
    <w:rsid w:val="00A560F5"/>
    <w:rsid w:val="00AB5BF0"/>
    <w:rsid w:val="00B87E75"/>
    <w:rsid w:val="00F66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AB5BF0"/>
    <w:pPr>
      <w:spacing w:after="200" w:line="276" w:lineRule="auto"/>
      <w:ind w:left="720"/>
      <w:contextualSpacing/>
    </w:pPr>
    <w:rPr>
      <w:rFonts w:ascii="Arial" w:hAnsi="Arial"/>
    </w:rPr>
  </w:style>
  <w:style w:type="character" w:styleId="Hyperlink">
    <w:name w:val="Hyperlink"/>
    <w:basedOn w:val="DefaultParagraphFont"/>
    <w:uiPriority w:val="99"/>
    <w:unhideWhenUsed/>
    <w:rsid w:val="00AB5BF0"/>
    <w:rPr>
      <w:color w:val="0563C1" w:themeColor="hyperlink"/>
      <w:u w:val="single"/>
    </w:rPr>
  </w:style>
  <w:style w:type="paragraph" w:styleId="TOCHeading">
    <w:name w:val="TOC Heading"/>
    <w:basedOn w:val="Heading1"/>
    <w:next w:val="Normal"/>
    <w:uiPriority w:val="39"/>
    <w:unhideWhenUsed/>
    <w:qFormat/>
    <w:rsid w:val="00AB5BF0"/>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AB5BF0"/>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AB5BF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AB5BF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B5BF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B5BF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B5BF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B5BF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B5BF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B5BF0"/>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mjopen.bmj.com/content/8/1/e0198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search-information.bristol.ac.uk/en/publications/whole-systems-approaches-to-obesity-and-other-complex-public-health-challenges(08db8e72-91f5-422b-9a87-dd6033a8d783).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1146%2Fannurev-clinpsy-100219-0602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61D8B1-AEC0-AB48-B304-75FE6073C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3995</Words>
  <Characters>22777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Georgieva</dc:creator>
  <cp:keywords/>
  <dc:description/>
  <cp:lastModifiedBy>Mariya Georgieva</cp:lastModifiedBy>
  <cp:revision>6</cp:revision>
  <dcterms:created xsi:type="dcterms:W3CDTF">2021-10-31T12:16:00Z</dcterms:created>
  <dcterms:modified xsi:type="dcterms:W3CDTF">2022-01-05T22:04:00Z</dcterms:modified>
</cp:coreProperties>
</file>