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color w:val="000000"/>
                <w:sz w:val="22"/>
                <w:szCs w:val="22"/>
                <w:highlight w:val="white"/>
                <w:rtl w:val="0"/>
              </w:rPr>
              <w:t xml:space="preserve">MD ASEIQUR RAHAMAN</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2524402</w:t>
            </w:r>
          </w:p>
        </w:tc>
      </w:tr>
      <w:tr>
        <w:trPr>
          <w:cantSplit w:val="0"/>
          <w:trHeight w:val="513" w:hRule="atLeast"/>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5">
            <w:pPr>
              <w:rPr>
                <w:rFonts w:ascii="Arial" w:cs="Arial" w:eastAsia="Arial" w:hAnsi="Arial"/>
                <w:sz w:val="22"/>
                <w:szCs w:val="22"/>
              </w:rPr>
            </w:pPr>
            <w:hyperlink r:id="rId6">
              <w:r w:rsidDel="00000000" w:rsidR="00000000" w:rsidRPr="00000000">
                <w:rPr>
                  <w:rFonts w:ascii="Arial" w:cs="Arial" w:eastAsia="Arial" w:hAnsi="Arial"/>
                  <w:color w:val="0000ff"/>
                  <w:sz w:val="22"/>
                  <w:szCs w:val="22"/>
                  <w:u w:val="single"/>
                  <w:rtl w:val="0"/>
                </w:rPr>
                <w:t xml:space="preserve">2524402@student.uwtsd.ac.uk</w:t>
              </w:r>
            </w:hyperlink>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MSc Public Health and Social Care in Practice</w:t>
            </w:r>
          </w:p>
        </w:tc>
      </w:tr>
      <w:tr>
        <w:trPr>
          <w:cantSplit w:val="0"/>
          <w:trHeight w:val="557"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vAlign w:val="center"/>
          </w:tcPr>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Odette Jack</w:t>
            </w:r>
          </w:p>
        </w:tc>
      </w:tr>
    </w:tbl>
    <w:p w:rsidR="00000000" w:rsidDel="00000000" w:rsidP="00000000" w:rsidRDefault="00000000" w:rsidRPr="00000000" w14:paraId="0000001C">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2">
            <w:pPr>
              <w:rPr>
                <w:rFonts w:ascii="Arial" w:cs="Arial" w:eastAsia="Arial" w:hAnsi="Arial"/>
                <w:b w:val="1"/>
                <w:bCs w:val="1"/>
                <w:sz w:val="22"/>
                <w:szCs w:val="22"/>
              </w:rPr>
            </w:pPr>
            <w:hyperlink r:id="rId7">
              <w:r w:rsidDel="00000000" w:rsidR="00000000" w:rsidRPr="00000000">
                <w:rPr>
                  <w:rFonts w:ascii="Arial" w:cs="Arial" w:eastAsia="Arial" w:hAnsi="Arial"/>
                  <w:b w:val="1"/>
                  <w:bCs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5">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6">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28">
            <w:pPr>
              <w:rPr>
                <w:rFonts w:ascii="Arial" w:cs="Arial" w:eastAsia="Arial" w:hAnsi="Arial"/>
                <w:b w:val="1"/>
                <w:bCs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29">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2B">
            <w:pPr>
              <w:rPr>
                <w:rFonts w:ascii="Arial" w:cs="Arial" w:eastAsia="Arial" w:hAnsi="Arial"/>
                <w:b w:val="1"/>
                <w:bCs w:val="1"/>
                <w:i w:val="1"/>
                <w:iCs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2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D">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E">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1">
            <w:pPr>
              <w:jc w:val="both"/>
              <w:rPr>
                <w:rFonts w:ascii="Arial" w:cs="Arial" w:eastAsia="Arial" w:hAnsi="Arial"/>
                <w:sz w:val="22"/>
                <w:szCs w:val="22"/>
              </w:rPr>
            </w:pPr>
            <w:r w:rsidDel="00000000" w:rsidR="00000000" w:rsidRPr="00000000">
              <w:rPr>
                <w:rFonts w:ascii="Arial" w:cs="Arial" w:eastAsia="Arial" w:hAnsi="Arial"/>
                <w:color w:val="000000"/>
                <w:rtl w:val="0"/>
              </w:rPr>
              <w:t xml:space="preserve">Biopsychosocial and Healthcare-Related Factors Associated with Hypertension Among South Asian Men Aged 65 Years and Over in the UK: A Systematic Review</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color w:val="000000"/>
                <w:rtl w:val="0"/>
              </w:rPr>
              <w:t xml:space="preserve">28 September 2026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color w:val="000000"/>
                <w:highlight w:val="white"/>
                <w:rtl w:val="0"/>
              </w:rPr>
              <w:t xml:space="preserve"> 31 January 2027</w:t>
            </w:r>
            <w:r w:rsidDel="00000000" w:rsidR="00000000" w:rsidRPr="00000000">
              <w:rPr>
                <w:rtl w:val="0"/>
              </w:rPr>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9">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A">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B">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40">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Hypertension is a major public health concern because it is an important risk factor for cardiovascular diseases, including stroke, heart attack and heart failure, as well as chronic kidney disease and premature mortality. Hypertension is also common in the UK, and the likelihood of developing high blood pressure increases with age (NICE, 2026). Therefore, older men aged 65 years and over represent an important population for research and prevention.</w:t>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South Asian communities in the UK experience inequalities in cardiovascular health. Evidence indicates that South Asian populations have a higher risk of developing high blood pressure and other cardiovascular conditions compared with White European populations (British Heart Foundation, 2021). This makes it important to understand the factors associated with hypertension among older South Asian men rather than considering older adults as one homogeneous group. The purpose of this systematic literature review is therefore to critically evaluate existing evidence on biopsychosocial and healthcare-related factors associated with hypertension among South Asian men aged 65 years and over in the UK.</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systematic review will examine existing evidence on biological, behavioural, psychological and lifestyle factors, including age, family history, overweight and obesity, physical inactivity and dietary behaviour. These factors are important because lifestyle changes, such as improving diet, increasing physical activity and maintaining a healthy weight, can contribute to better blood pressure control (British Heart Foundation, 2026). The study will also consider socioeconomic, cultural and healthcare-related factors, including healthcare access, screening, diagnosis, communication and cultural barriers, which may influence prevention and management (British Heart Foundation, 2025).</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By systematically reviewing and synthesising existing research, the study will identify key factors associated with hypertension in this population and highlight gaps in the current evidence that may inform targeted public health interventions.</w:t>
            </w:r>
          </w:p>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rPr>
                <w:rFonts w:ascii="Arial" w:cs="Arial" w:eastAsia="Arial" w:hAnsi="Arial"/>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5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057">
            <w:pPr>
              <w:rPr>
                <w:rFonts w:ascii="Arial" w:cs="Arial" w:eastAsia="Arial" w:hAnsi="Arial"/>
              </w:rPr>
            </w:pPr>
            <w:r w:rsidDel="00000000" w:rsidR="00000000" w:rsidRPr="00000000">
              <w:rPr>
                <w:rtl w:val="0"/>
              </w:rPr>
            </w:r>
          </w:p>
          <w:p w:rsidR="00000000" w:rsidDel="00000000" w:rsidP="00000000" w:rsidRDefault="00000000" w:rsidRPr="00000000" w14:paraId="00000058">
            <w:pPr>
              <w:jc w:val="both"/>
              <w:rPr>
                <w:rFonts w:ascii="Arial" w:cs="Arial" w:eastAsia="Arial" w:hAnsi="Arial"/>
                <w:sz w:val="24"/>
                <w:szCs w:val="24"/>
              </w:rPr>
            </w:pPr>
            <w:r w:rsidDel="00000000" w:rsidR="00000000" w:rsidRPr="00000000">
              <w:rPr>
                <w:rFonts w:ascii="Arial" w:cs="Arial" w:eastAsia="Arial" w:hAnsi="Arial"/>
                <w:color w:val="222222"/>
                <w:sz w:val="24"/>
                <w:szCs w:val="24"/>
                <w:highlight w:val="white"/>
                <w:rtl w:val="0"/>
              </w:rPr>
              <w:t xml:space="preserve">What biopsychosocial and healthcare-related factors are associated with hypertension among South Asian men aged 65 years and over in the UK and what are the implications for targeted public health interventions?</w:t>
            </w:r>
            <w:r w:rsidDel="00000000" w:rsidR="00000000" w:rsidRPr="00000000">
              <w:rPr>
                <w:rtl w:val="0"/>
              </w:rPr>
            </w:r>
          </w:p>
          <w:p w:rsidR="00000000" w:rsidDel="00000000" w:rsidP="00000000" w:rsidRDefault="00000000" w:rsidRPr="00000000" w14:paraId="00000059">
            <w:pPr>
              <w:rPr>
                <w:rFonts w:ascii="Arial" w:cs="Arial" w:eastAsia="Arial" w:hAnsi="Arial"/>
                <w:b w:val="1"/>
                <w:bCs w:val="1"/>
                <w:sz w:val="22"/>
                <w:szCs w:val="22"/>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5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5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0">
            <w:pPr>
              <w:jc w:val="both"/>
              <w:rPr>
                <w:rFonts w:ascii="Arial" w:cs="Arial" w:eastAsia="Arial" w:hAnsi="Arial"/>
                <w:color w:val="000000"/>
              </w:rPr>
            </w:pPr>
            <w:r w:rsidDel="00000000" w:rsidR="00000000" w:rsidRPr="00000000">
              <w:rPr>
                <w:rFonts w:ascii="Arial" w:cs="Arial" w:eastAsia="Arial" w:hAnsi="Arial"/>
                <w:rtl w:val="0"/>
              </w:rPr>
              <w:t xml:space="preserve">To critically evaluate the biopsychosocial and healthcare-related factors associated with hypertension among South Asian men aged 65 years and over in the UK and their implications for targeted public health interventions.</w:t>
            </w:r>
            <w:r w:rsidDel="00000000" w:rsidR="00000000" w:rsidRPr="00000000">
              <w:rPr>
                <w:rtl w:val="0"/>
              </w:rPr>
            </w:r>
          </w:p>
          <w:p w:rsidR="00000000" w:rsidDel="00000000" w:rsidP="00000000" w:rsidRDefault="00000000" w:rsidRPr="00000000" w14:paraId="00000061">
            <w:pPr>
              <w:jc w:val="both"/>
              <w:rPr>
                <w:rFonts w:ascii="Arial" w:cs="Arial" w:eastAsia="Arial" w:hAnsi="Arial"/>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6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Objectives of Research Activity</w:t>
            </w:r>
          </w:p>
          <w:p w:rsidR="00000000" w:rsidDel="00000000" w:rsidP="00000000" w:rsidRDefault="00000000" w:rsidRPr="00000000" w14:paraId="00000067">
            <w:pPr>
              <w:rPr>
                <w:rFonts w:ascii="Arial" w:cs="Arial" w:eastAsia="Arial" w:hAnsi="Arial"/>
              </w:rPr>
            </w:pP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To critically examine the biopsychosocial factors associated with hypertension among South Asian men aged 65 years and over in the UK.</w:t>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evaluate the healthcare-related factors associated with hypertension among this population, particularly healthcare access, screening and diagnosis.</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To critically explore the relationships between biopsychosocial and healthcare-related factors and their potential influence on the development and management of hypertension among older South Asian men in the UK.</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To critically assess the implications of the evidence for UK hypertension prevention and management interventions, particularly in addressing ethnic health inequalities and promoting culturally responsive healthcare.</w:t>
            </w:r>
          </w:p>
          <w:p w:rsidR="00000000" w:rsidDel="00000000" w:rsidP="00000000" w:rsidRDefault="00000000" w:rsidRPr="00000000" w14:paraId="0000006F">
            <w:pPr>
              <w:rPr>
                <w:rFonts w:ascii="Arial" w:cs="Arial" w:eastAsia="Arial" w:hAnsi="Arial"/>
                <w:sz w:val="22"/>
                <w:szCs w:val="22"/>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73">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74">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75">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7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Methodology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study will use a systematic literature review to identify, critically appraise and synthesise existing evidence on biopsychosocial and healthcare-related factors associated with hypertension among South Asian men aged 65 years and over in the UK. This approach provides a structured and transparent method of evaluating existing evidence without collecting primary data.</w:t>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design  </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systematic review will involve searching, selecting, critically appraising and synthesising relevant published studies using predefined eligibility criteria to ensure a transparent and consistent review process.</w:t>
            </w: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Search Strategy</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systematic search will be conducted using predefined keywords and Boolean operators AND and OR. Search terms will include “South Asian”, “South Asian men”, “older men”, “elderly”, “aged 65 years and over”, “hypertension”, “high blood pressure”, “biopsychosocial factors”, “psychological factors”, “socioeconomic factors”, “cultural factors”, “healthcare access”, “screening”, “diagnosis”, “United Kingdom” and “UK”. An example search combination will be: (“South Asian” OR “South Asian men”) AND (“hypertension” OR “high blood pressure”) AND (“older men” OR “elderly” OR “aged 65 years and over”) AND (“United Kingdom” OR “UK”). Search terms will be adapted where necessary according to the requirements of individual databases.</w:t>
            </w: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Data Collection</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Studies identified through database searches will be screened by title and abstract using predefined inclusion and exclusion criteria. Potentially relevant studies will undergo full-text screening, and data from eligible studies will be extracted using a structured data-extraction form.</w:t>
            </w: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Keywords</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South Asian men; older men; aged 65 years and over; hypertension; high blood pressure; biopsychosocial factors; biological factors; psychological factors; behavioural factors; socioeconomic factors; cultural factors; healthcare access; screening; diagnosis; hypertension management; public health interventions; United Kingdom; UK.</w:t>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Databases to be used</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MEDLINE/PubMed, CINAHL, Scopus, Web of Science, Embase, PsycINFO and Cochrane Library.</w:t>
            </w: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Inclusion and exclusion criteria</w:t>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Inclusion Criteria:</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UK-based studies involving South Asian men aged 65 years and over will be included. Studies examining biopsychosocial factors, healthcare access, screening, diagnosis, hypertension prevention or management will be considered. Quantitative, qualitative and mixed-methods studies published in English between 2015 and 2026 will be eligible.</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Exclusion Criteria:</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Studies conducted outside the UK, involving non-South Asian populations, focusing exclusively on women or adults under 65, or unrelated to hypertension will be excluded. Editorials, letters, conference abstracts, commentaries, opinion papers, non-peer-reviewed publications and non-English studies will also be excluded.</w:t>
            </w: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Number of articles</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Approximately 15–20 peer-reviewed articles meeting the predefined eligibility criteria will be selected to provide a manageable and focused body of evidence for critical appraisal and synthesis.</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Data extraction and synthesis</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structured form will extract study characteristics, sample size, biopsychosocial factors, healthcare access, screening, diagnosis, key findings and limitations. Qualitative findings will be synthesised thematically and quantitative findings descriptively. Meta-analysis may be considered if studies are sufficiently comparable.</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The Critical Appraisal Tool</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quality of included studies will be assessed using appropriate validated critical appraisal tools. CASP will be used where appropriate for qualitative studies, while relevant JBI critical appraisal tools will be used for quantitative studies according to their study design.</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Data Analysing Technique</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Thematic analysis will be used to identify key factors associated with hypertension from qualitative findings. Quantitative findings will be synthesised descriptively by comparing hypertension outcomes and associated factors across studies. Findings will be grouped into biological, psychological, behavioural, socioeconomic, cultural and healthcare-related factors to inform targeted interventions.</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Ethical considerations</w:t>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 this study is a systematic literature review using previously published research, no participants will be recruited and no primary data will be collected. Ethical principles will be maintained through honest and accurate reporting, transparency in study selection and analysis, appropriate acknowledgement and referencing of all sources, and avoidance of plagiarism and selective reporting. Predefined inclusion and exclusion criteria will be applied consistently, and the quality of included studies will be critically appraised to minimise bias.</w:t>
            </w:r>
            <w:r w:rsidDel="00000000" w:rsidR="00000000" w:rsidRPr="00000000">
              <w:rPr>
                <w:rtl w:val="0"/>
              </w:rPr>
            </w:r>
          </w:p>
          <w:p w:rsidR="00000000" w:rsidDel="00000000" w:rsidP="00000000" w:rsidRDefault="00000000" w:rsidRPr="00000000" w14:paraId="000000AB">
            <w:pP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B1">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B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0B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0B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B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B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C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C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C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C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D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D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D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E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E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E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F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F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F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F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F9">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FB">
            <w:pPr>
              <w:rPr>
                <w:rFonts w:ascii="Arial" w:cs="Arial" w:eastAsia="Arial" w:hAnsi="Arial"/>
              </w:rPr>
            </w:pPr>
            <w:r w:rsidDel="00000000" w:rsidR="00000000" w:rsidRPr="00000000">
              <w:rPr>
                <w:rtl w:val="0"/>
              </w:rPr>
            </w:r>
          </w:p>
          <w:p w:rsidR="00000000" w:rsidDel="00000000" w:rsidP="00000000" w:rsidRDefault="00000000" w:rsidRPr="00000000" w14:paraId="000000FC">
            <w:pPr>
              <w:rPr>
                <w:rFonts w:ascii="Arial" w:cs="Arial" w:eastAsia="Arial" w:hAnsi="Arial"/>
              </w:rPr>
            </w:pPr>
            <w:r w:rsidDel="00000000" w:rsidR="00000000" w:rsidRPr="00000000">
              <w:rPr>
                <w:rtl w:val="0"/>
              </w:rPr>
            </w:r>
          </w:p>
          <w:p w:rsidR="00000000" w:rsidDel="00000000" w:rsidP="00000000" w:rsidRDefault="00000000" w:rsidRPr="00000000" w14:paraId="000000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6">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07">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108">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10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10B">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0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1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16">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1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1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12F">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134">
            <w:pPr>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37">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138">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3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3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3F">
            <w:pPr>
              <w:rPr>
                <w:rFonts w:ascii="Arial" w:cs="Arial" w:eastAsia="Arial" w:hAnsi="Arial"/>
                <w:b w:val="1"/>
                <w:bCs w:val="1"/>
                <w:sz w:val="22"/>
                <w:szCs w:val="22"/>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42">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43">
            <w:pPr>
              <w:rPr>
                <w:rFonts w:ascii="Arial" w:cs="Arial" w:eastAsia="Arial" w:hAnsi="Arial"/>
                <w:i w:val="1"/>
                <w:iCs w:val="1"/>
                <w:color w:val="808080"/>
                <w:sz w:val="18"/>
                <w:szCs w:val="18"/>
              </w:rPr>
            </w:pPr>
            <w:r w:rsidDel="00000000" w:rsidR="00000000" w:rsidRPr="00000000">
              <w:rPr>
                <w:rtl w:val="0"/>
              </w:rPr>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7">
            <w:pPr>
              <w:rPr>
                <w:rFonts w:ascii="Arial" w:cs="Arial" w:eastAsia="Arial" w:hAnsi="Arial"/>
                <w:color w:val="808080"/>
                <w:sz w:val="18"/>
                <w:szCs w:val="18"/>
              </w:rPr>
            </w:pPr>
            <w:r w:rsidDel="00000000" w:rsidR="00000000" w:rsidRPr="00000000">
              <w:rPr>
                <w:rtl w:val="0"/>
              </w:rPr>
            </w:r>
          </w:p>
        </w:tc>
      </w:tr>
    </w:tbl>
    <w:p w:rsidR="00000000" w:rsidDel="00000000" w:rsidP="00000000" w:rsidRDefault="00000000" w:rsidRPr="00000000" w14:paraId="0000014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4B">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4C">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4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4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4F">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5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84">
            <w:pPr>
              <w:rPr/>
            </w:pPr>
            <w:r w:rsidDel="00000000" w:rsidR="00000000" w:rsidRPr="00000000">
              <w:rPr>
                <w:rtl w:val="0"/>
              </w:rPr>
            </w:r>
          </w:p>
        </w:tc>
      </w:tr>
    </w:tbl>
    <w:p w:rsidR="00000000" w:rsidDel="00000000" w:rsidP="00000000" w:rsidRDefault="00000000" w:rsidRPr="00000000" w14:paraId="00000188">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89">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8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8B">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8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8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8E">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8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AA">
            <w:pPr>
              <w:rPr/>
            </w:pPr>
            <w:r w:rsidDel="00000000" w:rsidR="00000000" w:rsidRPr="00000000">
              <w:rPr>
                <w:rtl w:val="0"/>
              </w:rPr>
            </w:r>
          </w:p>
        </w:tc>
      </w:tr>
    </w:tbl>
    <w:p w:rsidR="00000000" w:rsidDel="00000000" w:rsidP="00000000" w:rsidRDefault="00000000" w:rsidRPr="00000000" w14:paraId="000001AE">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B0">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B1">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B2">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B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tcBorders>
              <w:top w:color="000000" w:space="0" w:sz="4" w:val="single"/>
              <w:bottom w:color="000000" w:space="0" w:sz="4" w:val="single"/>
            </w:tcBorders>
          </w:tcPr>
          <w:p w:rsidR="00000000" w:rsidDel="00000000" w:rsidP="00000000" w:rsidRDefault="00000000" w:rsidRPr="00000000" w14:paraId="000001BC">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1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rPr/>
            </w:pPr>
            <w:r w:rsidDel="00000000" w:rsidR="00000000" w:rsidRPr="00000000">
              <w:rPr>
                <w:rtl w:val="0"/>
              </w:rPr>
              <w:t xml:space="preserve">N/A</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N/A – This study is a systematic literature review using previously published research and does not involve direct participants or primary data collection.</w:t>
            </w: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CB">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color w:val="000000"/>
                <w:highlight w:val="white"/>
                <w:rtl w:val="0"/>
              </w:rPr>
              <w:t xml:space="preserve">There is a minimal risk of emotional stress or pressure related to conducting the research and completing the dissertation.</w:t>
            </w:r>
            <w:r w:rsidDel="00000000" w:rsidR="00000000" w:rsidRPr="00000000">
              <w:rPr>
                <w:rFonts w:ascii="Arial" w:cs="Arial" w:eastAsia="Arial" w:hAnsi="Arial"/>
                <w:color w:val="000000"/>
                <w:rtl w:val="0"/>
              </w:rPr>
              <w:t xml:space="preserve"> </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E">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color w:val="000000"/>
                <w:rtl w:val="0"/>
              </w:rPr>
              <w:t xml:space="preserve">The researcher will maintain a reasonable workload, take regular breaks, maintain a healthy work-life balance, have regular meetings with the supervisor and seek support from University wellbeing services if required.</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D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D4">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color w:val="000000"/>
                <w:rtl w:val="0"/>
              </w:rPr>
              <w:t xml:space="preserve">There is a minimal risk of data protection or confidentiality issues arising from the use of secondary research sources.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7">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color w:val="000000"/>
                <w:rtl w:val="0"/>
              </w:rPr>
              <w:t xml:space="preserve">Only reputable and appropriate sources will be used. Any data will be handled securely, stored on password-protected devices or University-approved storage, and anonymised where necessary. The researcher will follow University research ethics and data protection requirements.</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color w:val="000000"/>
                <w:highlight w:val="white"/>
                <w:rtl w:val="0"/>
              </w:rPr>
              <w:t xml:space="preserve">There are minimal environmental risks because the study does not involve laboratory work, fieldwork or the use of physical materials. However, the use of electricity and paper may have a small environmental impact.</w:t>
            </w:r>
            <w:r w:rsidDel="00000000" w:rsidR="00000000" w:rsidRPr="00000000">
              <w:rPr>
                <w:rFonts w:ascii="Arial" w:cs="Arial" w:eastAsia="Arial" w:hAnsi="Arial"/>
                <w:color w:val="000000"/>
                <w:rtl w:val="0"/>
              </w:rPr>
              <w:t xml:space="preserve"> </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0">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color w:val="000000"/>
                <w:highlight w:val="white"/>
                <w:rtl w:val="0"/>
              </w:rPr>
              <w:t xml:space="preserve">The researcher will use digital documents and online resources where possible, minimise printing, and avoid unnecessary use of paper and electricity.</w:t>
            </w: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1E2">
            <w:pPr>
              <w:rPr/>
            </w:pPr>
            <w:r w:rsidDel="00000000" w:rsidR="00000000" w:rsidRPr="00000000">
              <w:rPr>
                <w:rtl w:val="0"/>
              </w:rPr>
            </w:r>
          </w:p>
        </w:tc>
      </w:tr>
    </w:tbl>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E5">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E7">
      <w:pPr>
        <w:rPr>
          <w:rFonts w:ascii="Arial" w:cs="Arial" w:eastAsia="Arial" w:hAnsi="Arial"/>
          <w:b w:val="1"/>
          <w:bCs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B">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0">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F1">
            <w:pPr>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F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5">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F6">
            <w:pPr>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bl>
    <w:p w:rsidR="00000000" w:rsidDel="00000000" w:rsidP="00000000" w:rsidRDefault="00000000" w:rsidRPr="00000000" w14:paraId="000001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1F9">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8">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This includes audio/video data of participants but can also include IP addresses and usernames. Names, addresses and emails also count, as do consent forms.</w:t>
            </w:r>
            <w:r w:rsidDel="00000000" w:rsidR="00000000" w:rsidRPr="00000000">
              <w:rPr>
                <w:rtl w:val="0"/>
              </w:rPr>
            </w:r>
          </w:p>
          <w:p w:rsidR="00000000" w:rsidDel="00000000" w:rsidP="00000000" w:rsidRDefault="00000000" w:rsidRPr="00000000" w14:paraId="000002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A">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religious beliefs or other beliefs of a similar nature,</w:t>
            </w:r>
            <w:r w:rsidDel="00000000" w:rsidR="00000000" w:rsidRPr="00000000">
              <w:rPr>
                <w:rtl w:val="0"/>
              </w:rPr>
            </w:r>
          </w:p>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1E">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5">
            <w:pPr>
              <w:rPr/>
            </w:pPr>
            <w:r w:rsidDel="00000000" w:rsidR="00000000" w:rsidRPr="00000000">
              <w:rPr>
                <w:rtl w:val="0"/>
              </w:rPr>
            </w:r>
          </w:p>
        </w:tc>
      </w:tr>
    </w:tbl>
    <w:p w:rsidR="00000000" w:rsidDel="00000000" w:rsidP="00000000" w:rsidRDefault="00000000" w:rsidRPr="00000000" w14:paraId="00000228">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2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2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2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42">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47">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24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4F">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50">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All data will be kept in password protected cloud storage on the University Office 365 system which</w:t>
            </w:r>
          </w:p>
          <w:p w:rsidR="00000000" w:rsidDel="00000000" w:rsidP="00000000" w:rsidRDefault="00000000" w:rsidRPr="00000000" w14:paraId="0000025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will not be shared. Audio/visual data will be transcribed and would be shown to participants to</w:t>
            </w:r>
          </w:p>
          <w:p w:rsidR="00000000" w:rsidDel="00000000" w:rsidP="00000000" w:rsidRDefault="00000000" w:rsidRPr="00000000" w14:paraId="0000025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253">
            <w:pP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256">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57">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5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5C">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5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60">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6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6C">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7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74">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7">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78">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tc>
      </w:tr>
      <w:tr>
        <w:trPr>
          <w:cantSplit w:val="0"/>
          <w:trHeight w:val="403" w:hRule="atLeast"/>
          <w:tblHeader w:val="0"/>
        </w:trPr>
        <w:tc>
          <w:tcPr>
            <w:vAlign w:val="center"/>
          </w:tcPr>
          <w:p w:rsidR="00000000" w:rsidDel="00000000" w:rsidP="00000000" w:rsidRDefault="00000000" w:rsidRPr="00000000" w14:paraId="0000027B">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7C">
            <w:pPr>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Researcher and The Supervisor</w:t>
            </w:r>
          </w:p>
        </w:tc>
      </w:tr>
      <w:tr>
        <w:trPr>
          <w:cantSplit w:val="0"/>
          <w:trHeight w:val="403" w:hRule="atLeast"/>
          <w:tblHeader w:val="0"/>
        </w:trPr>
        <w:tc>
          <w:tcPr>
            <w:shd w:fill="f2f2f2"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28B">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rtl w:val="0"/>
              </w:rPr>
              <w:t xml:space="preserve">The Student Researcher</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vAlign w:val="center"/>
          </w:tcPr>
          <w:p w:rsidR="00000000" w:rsidDel="00000000" w:rsidP="00000000" w:rsidRDefault="00000000" w:rsidRPr="00000000" w14:paraId="00000293">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94">
            <w:pPr>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99">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9D">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bl>
    <w:p w:rsidR="00000000" w:rsidDel="00000000" w:rsidP="00000000" w:rsidRDefault="00000000" w:rsidRPr="00000000" w14:paraId="000002A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A1">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A2">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Use of AI tools</w:t>
      </w:r>
    </w:p>
    <w:tbl>
      <w:tblPr>
        <w:tblStyle w:val="Table14"/>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f2f2f2" w:val="clear"/>
          </w:tcPr>
          <w:p w:rsidR="00000000" w:rsidDel="00000000" w:rsidP="00000000" w:rsidRDefault="00000000" w:rsidRPr="00000000" w14:paraId="000002A3">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2A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A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f2f2f2" w:val="clear"/>
            <w:vAlign w:val="center"/>
          </w:tcPr>
          <w:p w:rsidR="00000000" w:rsidDel="00000000" w:rsidP="00000000" w:rsidRDefault="00000000" w:rsidRPr="00000000" w14:paraId="000002A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A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center"/>
          </w:tcPr>
          <w:p w:rsidR="00000000" w:rsidDel="00000000" w:rsidP="00000000" w:rsidRDefault="00000000" w:rsidRPr="00000000" w14:paraId="000002A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AC">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bfbfbf"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bfbfbf"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bfbfbf" w:val="clear"/>
            <w:vAlign w:val="cente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bfbfbf"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bfbfbf"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bfbfbf" w:val="clear"/>
            <w:vAlign w:val="cente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bfbfbf" w:val="clear"/>
            <w:vAlign w:val="cente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bfbfbf" w:val="cle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bfbfbf"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D9">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bfbfbf" w:val="cle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DE">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bfbfbf"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2E8">
            <w:pPr>
              <w:rPr>
                <w:rFonts w:ascii="Arial" w:cs="Arial" w:eastAsia="Arial" w:hAnsi="Arial"/>
              </w:rPr>
            </w:pPr>
            <w:r w:rsidDel="00000000" w:rsidR="00000000" w:rsidRPr="00000000">
              <w:rPr>
                <w:rFonts w:ascii="Arial" w:cs="Arial" w:eastAsia="Arial" w:hAnsi="Arial"/>
                <w:rtl w:val="0"/>
              </w:rPr>
              <w:t xml:space="preserve">Free generative AI tools may be used for proofreading purposes only (e.g., Copilot, -including UWTSD version, Word editor, and Grammarly)</w:t>
            </w:r>
          </w:p>
          <w:p w:rsidR="00000000" w:rsidDel="00000000" w:rsidP="00000000" w:rsidRDefault="00000000" w:rsidRPr="00000000" w14:paraId="000002E9">
            <w:pPr>
              <w:rPr>
                <w:rFonts w:ascii="Arial" w:cs="Arial" w:eastAsia="Arial" w:hAnsi="Arial"/>
              </w:rPr>
            </w:pPr>
            <w:r w:rsidDel="00000000" w:rsidR="00000000" w:rsidRPr="00000000">
              <w:rPr>
                <w:rFonts w:ascii="Arial" w:cs="Arial" w:eastAsia="Arial" w:hAnsi="Arial"/>
                <w:rtl w:val="0"/>
              </w:rPr>
              <w:t xml:space="preserve">When using these AI tools for this specific purpose, the research will comply with the current UWTSD guidance/policy on the use of AI.</w:t>
            </w:r>
          </w:p>
        </w:tc>
      </w:tr>
    </w:tbl>
    <w:p w:rsidR="00000000" w:rsidDel="00000000" w:rsidP="00000000" w:rsidRDefault="00000000" w:rsidRPr="00000000" w14:paraId="000002ED">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EE">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E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Declaration</w:t>
      </w:r>
    </w:p>
    <w:tbl>
      <w:tblPr>
        <w:tblStyle w:val="Table15"/>
        <w:tblW w:w="1046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
        <w:gridCol w:w="554"/>
        <w:gridCol w:w="2835"/>
        <w:gridCol w:w="4949"/>
        <w:gridCol w:w="10"/>
        <w:gridCol w:w="2123"/>
        <w:gridCol w:w="1"/>
        <w:tblGridChange w:id="0">
          <w:tblGrid>
            <w:gridCol w:w="8"/>
            <w:gridCol w:w="554"/>
            <w:gridCol w:w="2835"/>
            <w:gridCol w:w="4949"/>
            <w:gridCol w:w="10"/>
            <w:gridCol w:w="2123"/>
            <w:gridCol w:w="1"/>
          </w:tblGrid>
        </w:tblGridChange>
      </w:tblGrid>
      <w:tr>
        <w:trPr>
          <w:cantSplit w:val="0"/>
          <w:trHeight w:val="1807" w:hRule="atLeast"/>
          <w:tblHeader w:val="0"/>
        </w:trPr>
        <w:tc>
          <w:tcPr/>
          <w:p w:rsidR="00000000" w:rsidDel="00000000" w:rsidP="00000000" w:rsidRDefault="00000000" w:rsidRPr="00000000" w14:paraId="000002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tl w:val="0"/>
              </w:rPr>
            </w:r>
          </w:p>
        </w:tc>
        <w:tc>
          <w:tcPr>
            <w:gridSpan w:val="5"/>
            <w:shd w:fill="f2f2f2" w:val="clear"/>
            <w:vAlign w:val="center"/>
          </w:tcPr>
          <w:p w:rsidR="00000000" w:rsidDel="00000000" w:rsidP="00000000" w:rsidRDefault="00000000" w:rsidRPr="00000000" w14:paraId="000002F2">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2F3">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2F4">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p w:rsidR="00000000" w:rsidDel="00000000" w:rsidP="00000000" w:rsidRDefault="00000000" w:rsidRPr="00000000" w14:paraId="000002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80"/>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FC">
            <w:pPr>
              <w:rPr>
                <w:rFonts w:ascii="Arial" w:cs="Arial" w:eastAsia="Arial" w:hAnsi="Arial"/>
                <w:sz w:val="22"/>
                <w:szCs w:val="22"/>
              </w:rPr>
            </w:pPr>
            <w:r w:rsidDel="00000000" w:rsidR="00000000" w:rsidRPr="00000000">
              <w:rPr>
                <w:rFonts w:ascii="Arial" w:cs="Arial" w:eastAsia="Arial" w:hAnsi="Arial"/>
                <w:sz w:val="22"/>
                <w:szCs w:val="22"/>
                <w:rtl w:val="0"/>
              </w:rPr>
              <w:t xml:space="preserve">MD ASEIQUR RAHAMAN</w:t>
            </w:r>
          </w:p>
        </w:tc>
        <w:tc>
          <w:tcPr>
            <w:gridSpan w:val="3"/>
            <w:vAlign w:val="center"/>
          </w:tcPr>
          <w:p w:rsidR="00000000" w:rsidDel="00000000" w:rsidP="00000000" w:rsidRDefault="00000000" w:rsidRPr="00000000" w14:paraId="000002FD">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w:t>
            </w:r>
          </w:p>
          <w:p w:rsidR="00000000" w:rsidDel="00000000" w:rsidP="00000000" w:rsidRDefault="00000000" w:rsidRPr="00000000" w14:paraId="000002FE">
            <w:pPr>
              <w:spacing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18/08/2026</w:t>
            </w:r>
          </w:p>
        </w:tc>
      </w:tr>
      <w:tr>
        <w:trPr>
          <w:cantSplit w:val="0"/>
          <w:trHeight w:val="346"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ODETTE JACK</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18/08/2026</w:t>
            </w:r>
          </w:p>
        </w:tc>
      </w:tr>
      <w:tr>
        <w:trPr>
          <w:cantSplit w:val="0"/>
          <w:trHeight w:val="347"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Odette Jack</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Times New Roman"/>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0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January 2026</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w:t>
    </w:r>
  </w:p>
  <w:p w:rsidR="00000000" w:rsidDel="00000000" w:rsidP="00000000" w:rsidRDefault="00000000" w:rsidRPr="00000000" w14:paraId="0000031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UNDERGRADUATE AND TAUGHT POSTGRADUATE COURSES ONLY</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0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ETHICS FORM – UNDERGRADUATE AND TAUGHT POSTGRADUATE COURSES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hyperlink" Target="mailto:2524402@student.uwtsd.ac.uk" TargetMode="External"/><Relationship Id="rId7" Type="http://schemas.openxmlformats.org/officeDocument/2006/relationships/hyperlink" Target="about:blank"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