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156082" w:themeColor="accent1"/>
          <w:kern w:val="2"/>
          <w:szCs w:val="24"/>
          <w14:ligatures w14:val="standardContextual"/>
        </w:rPr>
        <w:id w:val="-1175638161"/>
        <w:docPartObj>
          <w:docPartGallery w:val="Cover Pages"/>
          <w:docPartUnique/>
        </w:docPartObj>
      </w:sdtPr>
      <w:sdtEndPr>
        <w:rPr>
          <w:b/>
          <w:bCs/>
          <w:color w:val="auto"/>
          <w:sz w:val="24"/>
          <w:szCs w:val="28"/>
        </w:rPr>
      </w:sdtEndPr>
      <w:sdtContent>
        <w:p w14:paraId="65737CAB" w14:textId="40AA3671" w:rsidR="007C2C42" w:rsidRPr="009A3069" w:rsidRDefault="007C2C42">
          <w:pPr>
            <w:pStyle w:val="NoSpacing"/>
            <w:spacing w:before="1540" w:after="240"/>
            <w:jc w:val="center"/>
            <w:rPr>
              <w:rFonts w:ascii="Times New Roman" w:hAnsi="Times New Roman" w:cs="Times New Roman"/>
              <w:color w:val="156082" w:themeColor="accent1"/>
            </w:rPr>
          </w:pPr>
          <w:r w:rsidRPr="009A3069">
            <w:rPr>
              <w:rFonts w:ascii="Times New Roman" w:hAnsi="Times New Roman" w:cs="Times New Roman"/>
              <w:noProof/>
              <w:color w:val="156082" w:themeColor="accent1"/>
            </w:rPr>
            <w:drawing>
              <wp:inline distT="0" distB="0" distL="0" distR="0" wp14:anchorId="0442FC82" wp14:editId="18DDA78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156082" w:themeColor="accent1"/>
              <w:sz w:val="72"/>
              <w:szCs w:val="72"/>
            </w:rPr>
            <w:alias w:val="Title"/>
            <w:tag w:val=""/>
            <w:id w:val="1735040861"/>
            <w:placeholder>
              <w:docPart w:val="C25A67E5902A482B84B8E5F5A30896E4"/>
            </w:placeholder>
            <w:dataBinding w:prefixMappings="xmlns:ns0='http://purl.org/dc/elements/1.1/' xmlns:ns1='http://schemas.openxmlformats.org/package/2006/metadata/core-properties' " w:xpath="/ns1:coreProperties[1]/ns0:title[1]" w:storeItemID="{6C3C8BC8-F283-45AE-878A-BAB7291924A1}"/>
            <w:text/>
          </w:sdtPr>
          <w:sdtContent>
            <w:p w14:paraId="1A8298D8" w14:textId="0ED91258" w:rsidR="007C2C42" w:rsidRPr="009A3069" w:rsidRDefault="007C2C42">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color w:val="156082" w:themeColor="accent1"/>
                  <w:sz w:val="80"/>
                  <w:szCs w:val="80"/>
                </w:rPr>
              </w:pPr>
              <w:r w:rsidRPr="009A3069">
                <w:rPr>
                  <w:rFonts w:ascii="Times New Roman" w:eastAsiaTheme="majorEastAsia" w:hAnsi="Times New Roman" w:cs="Times New Roman"/>
                  <w:caps/>
                  <w:color w:val="156082" w:themeColor="accent1"/>
                  <w:sz w:val="72"/>
                  <w:szCs w:val="72"/>
                </w:rPr>
                <w:t>the role of consideration in Contract Law</w:t>
              </w:r>
            </w:p>
          </w:sdtContent>
        </w:sdt>
        <w:sdt>
          <w:sdtPr>
            <w:rPr>
              <w:rFonts w:ascii="Times New Roman" w:hAnsi="Times New Roman" w:cs="Times New Roman"/>
              <w:color w:val="156082" w:themeColor="accent1"/>
              <w:sz w:val="28"/>
              <w:szCs w:val="28"/>
            </w:rPr>
            <w:alias w:val="Subtitle"/>
            <w:tag w:val=""/>
            <w:id w:val="328029620"/>
            <w:placeholder>
              <w:docPart w:val="6E82527F0D5F4F5C809A29C3D5F9C937"/>
            </w:placeholder>
            <w:dataBinding w:prefixMappings="xmlns:ns0='http://purl.org/dc/elements/1.1/' xmlns:ns1='http://schemas.openxmlformats.org/package/2006/metadata/core-properties' " w:xpath="/ns1:coreProperties[1]/ns0:subject[1]" w:storeItemID="{6C3C8BC8-F283-45AE-878A-BAB7291924A1}"/>
            <w:text/>
          </w:sdtPr>
          <w:sdtContent>
            <w:p w14:paraId="1F2E5F74" w14:textId="6975670B" w:rsidR="007C2C42" w:rsidRPr="009A3069" w:rsidRDefault="007C2C42">
              <w:pPr>
                <w:pStyle w:val="NoSpacing"/>
                <w:jc w:val="center"/>
                <w:rPr>
                  <w:rFonts w:ascii="Times New Roman" w:hAnsi="Times New Roman" w:cs="Times New Roman"/>
                  <w:color w:val="156082" w:themeColor="accent1"/>
                  <w:sz w:val="28"/>
                  <w:szCs w:val="28"/>
                </w:rPr>
              </w:pPr>
              <w:r w:rsidRPr="009A3069">
                <w:rPr>
                  <w:rFonts w:ascii="Times New Roman" w:hAnsi="Times New Roman" w:cs="Times New Roman"/>
                  <w:color w:val="156082" w:themeColor="accent1"/>
                  <w:sz w:val="28"/>
                  <w:szCs w:val="28"/>
                </w:rPr>
                <w:t>Jiaying He</w:t>
              </w:r>
            </w:p>
          </w:sdtContent>
        </w:sdt>
        <w:p w14:paraId="51109578" w14:textId="77777777" w:rsidR="007C2C42" w:rsidRPr="009A3069" w:rsidRDefault="007C2C42">
          <w:pPr>
            <w:pStyle w:val="NoSpacing"/>
            <w:spacing w:before="480"/>
            <w:jc w:val="center"/>
            <w:rPr>
              <w:rFonts w:ascii="Times New Roman" w:hAnsi="Times New Roman" w:cs="Times New Roman"/>
              <w:color w:val="156082" w:themeColor="accent1"/>
            </w:rPr>
          </w:pPr>
          <w:r w:rsidRPr="009A3069">
            <w:rPr>
              <w:rFonts w:ascii="Times New Roman" w:hAnsi="Times New Roman" w:cs="Times New Roman"/>
              <w:noProof/>
              <w:color w:val="156082" w:themeColor="accent1"/>
            </w:rPr>
            <mc:AlternateContent>
              <mc:Choice Requires="wps">
                <w:drawing>
                  <wp:anchor distT="0" distB="0" distL="114300" distR="114300" simplePos="0" relativeHeight="251659264" behindDoc="0" locked="0" layoutInCell="1" allowOverlap="1" wp14:anchorId="0A707E2C" wp14:editId="18A524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3T00:00:00Z">
                                    <w:dateFormat w:val="dd MMMM yyyy"/>
                                    <w:lid w:val="en-GB"/>
                                    <w:storeMappedDataAs w:val="dateTime"/>
                                    <w:calendar w:val="gregorian"/>
                                  </w:date>
                                </w:sdtPr>
                                <w:sdtContent>
                                  <w:p w14:paraId="551261ED" w14:textId="75B311D7" w:rsidR="007C2C42" w:rsidRPr="009A3069" w:rsidRDefault="000B3E14" w:rsidP="007C2C42">
                                    <w:pPr>
                                      <w:pStyle w:val="NoSpacing"/>
                                      <w:spacing w:after="40"/>
                                      <w:jc w:val="center"/>
                                      <w:rPr>
                                        <w:rFonts w:ascii="Times New Roman" w:hAnsi="Times New Roman" w:cs="Times New Roman"/>
                                        <w:caps/>
                                        <w:color w:val="156082" w:themeColor="accent1"/>
                                        <w:sz w:val="28"/>
                                        <w:szCs w:val="28"/>
                                      </w:rPr>
                                    </w:pPr>
                                    <w:r>
                                      <w:rPr>
                                        <w:rFonts w:ascii="Times New Roman" w:hAnsi="Times New Roman" w:cs="Times New Roman" w:hint="eastAsia"/>
                                        <w:caps/>
                                        <w:color w:val="156082" w:themeColor="accent1"/>
                                        <w:sz w:val="28"/>
                                        <w:szCs w:val="28"/>
                                        <w:lang w:val="en-GB"/>
                                      </w:rPr>
                                      <w:t>13</w:t>
                                    </w:r>
                                    <w:r w:rsidR="007C2C42" w:rsidRPr="009A3069">
                                      <w:rPr>
                                        <w:rFonts w:ascii="Times New Roman" w:hAnsi="Times New Roman" w:cs="Times New Roman"/>
                                        <w:caps/>
                                        <w:color w:val="156082" w:themeColor="accent1"/>
                                        <w:sz w:val="28"/>
                                        <w:szCs w:val="28"/>
                                        <w:lang w:val="en-GB"/>
                                      </w:rPr>
                                      <w:t xml:space="preserve"> March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707E2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3T00:00:00Z">
                              <w:dateFormat w:val="dd MMMM yyyy"/>
                              <w:lid w:val="en-GB"/>
                              <w:storeMappedDataAs w:val="dateTime"/>
                              <w:calendar w:val="gregorian"/>
                            </w:date>
                          </w:sdtPr>
                          <w:sdtContent>
                            <w:p w14:paraId="551261ED" w14:textId="75B311D7" w:rsidR="007C2C42" w:rsidRPr="009A3069" w:rsidRDefault="000B3E14" w:rsidP="007C2C42">
                              <w:pPr>
                                <w:pStyle w:val="NoSpacing"/>
                                <w:spacing w:after="40"/>
                                <w:jc w:val="center"/>
                                <w:rPr>
                                  <w:rFonts w:ascii="Times New Roman" w:hAnsi="Times New Roman" w:cs="Times New Roman"/>
                                  <w:caps/>
                                  <w:color w:val="156082" w:themeColor="accent1"/>
                                  <w:sz w:val="28"/>
                                  <w:szCs w:val="28"/>
                                </w:rPr>
                              </w:pPr>
                              <w:r>
                                <w:rPr>
                                  <w:rFonts w:ascii="Times New Roman" w:hAnsi="Times New Roman" w:cs="Times New Roman" w:hint="eastAsia"/>
                                  <w:caps/>
                                  <w:color w:val="156082" w:themeColor="accent1"/>
                                  <w:sz w:val="28"/>
                                  <w:szCs w:val="28"/>
                                  <w:lang w:val="en-GB"/>
                                </w:rPr>
                                <w:t>13</w:t>
                              </w:r>
                              <w:r w:rsidR="007C2C42" w:rsidRPr="009A3069">
                                <w:rPr>
                                  <w:rFonts w:ascii="Times New Roman" w:hAnsi="Times New Roman" w:cs="Times New Roman"/>
                                  <w:caps/>
                                  <w:color w:val="156082" w:themeColor="accent1"/>
                                  <w:sz w:val="28"/>
                                  <w:szCs w:val="28"/>
                                  <w:lang w:val="en-GB"/>
                                </w:rPr>
                                <w:t xml:space="preserve"> March 2024</w:t>
                              </w:r>
                            </w:p>
                          </w:sdtContent>
                        </w:sdt>
                      </w:txbxContent>
                    </v:textbox>
                    <w10:wrap anchorx="margin" anchory="page"/>
                  </v:shape>
                </w:pict>
              </mc:Fallback>
            </mc:AlternateContent>
          </w:r>
          <w:r w:rsidRPr="009A3069">
            <w:rPr>
              <w:rFonts w:ascii="Times New Roman" w:hAnsi="Times New Roman" w:cs="Times New Roman"/>
              <w:noProof/>
              <w:color w:val="156082" w:themeColor="accent1"/>
            </w:rPr>
            <w:drawing>
              <wp:inline distT="0" distB="0" distL="0" distR="0" wp14:anchorId="126A4D36" wp14:editId="1320C93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3C8A6E" w14:textId="7E1100D8" w:rsidR="007C2C42" w:rsidRPr="00FD7C2B" w:rsidRDefault="007C2C42" w:rsidP="00FD7C2B">
          <w:pPr>
            <w:widowControl/>
            <w:rPr>
              <w:rFonts w:ascii="Times New Roman" w:hAnsi="Times New Roman" w:cs="Times New Roman"/>
              <w:b/>
              <w:bCs/>
              <w:sz w:val="24"/>
              <w:szCs w:val="28"/>
            </w:rPr>
          </w:pPr>
          <w:r w:rsidRPr="009A3069">
            <w:rPr>
              <w:rFonts w:ascii="Times New Roman" w:hAnsi="Times New Roman" w:cs="Times New Roman"/>
              <w:b/>
              <w:bCs/>
              <w:sz w:val="24"/>
              <w:szCs w:val="28"/>
            </w:rPr>
            <w:br w:type="page"/>
          </w:r>
        </w:p>
      </w:sdtContent>
    </w:sdt>
    <w:p w14:paraId="5A1364DC" w14:textId="47F48E16" w:rsidR="0027412A" w:rsidRPr="00D87120" w:rsidRDefault="00FB55D8" w:rsidP="00FB55D8">
      <w:pPr>
        <w:ind w:firstLine="360"/>
        <w:jc w:val="both"/>
        <w:rPr>
          <w:rFonts w:ascii="Times New Roman" w:hAnsi="Times New Roman" w:cs="Times New Roman"/>
          <w:color w:val="FF0000"/>
        </w:rPr>
      </w:pPr>
      <w:r w:rsidRPr="009A3069">
        <w:rPr>
          <w:rFonts w:ascii="Times New Roman" w:hAnsi="Times New Roman" w:cs="Times New Roman"/>
        </w:rPr>
        <w:lastRenderedPageBreak/>
        <w:t xml:space="preserve">Consideration plays a significant role in contract law and </w:t>
      </w:r>
      <w:r w:rsidR="00F36E45">
        <w:rPr>
          <w:rFonts w:ascii="Times New Roman" w:hAnsi="Times New Roman" w:cs="Times New Roman" w:hint="eastAsia"/>
        </w:rPr>
        <w:t>constitutes</w:t>
      </w:r>
      <w:r w:rsidRPr="009A3069">
        <w:rPr>
          <w:rFonts w:ascii="Times New Roman" w:hAnsi="Times New Roman" w:cs="Times New Roman"/>
        </w:rPr>
        <w:t xml:space="preserve"> an essential element in </w:t>
      </w:r>
      <w:r w:rsidR="00797332" w:rsidRPr="009A3069">
        <w:rPr>
          <w:rFonts w:ascii="Times New Roman" w:hAnsi="Times New Roman" w:cs="Times New Roman"/>
        </w:rPr>
        <w:t>forming</w:t>
      </w:r>
      <w:r w:rsidRPr="009A3069">
        <w:rPr>
          <w:rFonts w:ascii="Times New Roman" w:hAnsi="Times New Roman" w:cs="Times New Roman"/>
        </w:rPr>
        <w:t xml:space="preserve"> a contract. Due to the diversity of social activities, the consideration involved has a dynamic and varied nature, which leads to some key issues in certain circumstances. Based on a brief introduction to the basic concepts, types, and requirements of consideration, this article focuses on issues of consideration in value, </w:t>
      </w:r>
      <w:proofErr w:type="spellStart"/>
      <w:r w:rsidR="009C64DB">
        <w:rPr>
          <w:rFonts w:ascii="Times New Roman" w:hAnsi="Times New Roman" w:cs="Times New Roman"/>
        </w:rPr>
        <w:t>behaviour</w:t>
      </w:r>
      <w:proofErr w:type="spellEnd"/>
      <w:r w:rsidRPr="009A3069">
        <w:rPr>
          <w:rFonts w:ascii="Times New Roman" w:hAnsi="Times New Roman" w:cs="Times New Roman"/>
        </w:rPr>
        <w:t>, and faith for exploring the benefits and limitations of their existence, and concludes with recommendations for reforms to the fairness and flexibility of consideration</w:t>
      </w:r>
      <w:r w:rsidR="00F36E45">
        <w:rPr>
          <w:rFonts w:ascii="Times New Roman" w:hAnsi="Times New Roman" w:cs="Times New Roman" w:hint="eastAsia"/>
        </w:rPr>
        <w:t xml:space="preserve">. The aim is to </w:t>
      </w:r>
      <w:r w:rsidR="009A3069">
        <w:rPr>
          <w:rFonts w:ascii="Times New Roman" w:hAnsi="Times New Roman" w:cs="Times New Roman"/>
        </w:rPr>
        <w:t>provide</w:t>
      </w:r>
      <w:r w:rsidRPr="009A3069">
        <w:rPr>
          <w:rFonts w:ascii="Times New Roman" w:hAnsi="Times New Roman" w:cs="Times New Roman"/>
        </w:rPr>
        <w:t xml:space="preserve"> enlightening insights into the formulation of a more rational and effective contract law.</w:t>
      </w:r>
      <w:r w:rsidR="00D561E3">
        <w:rPr>
          <w:rFonts w:ascii="Times New Roman" w:hAnsi="Times New Roman" w:cs="Times New Roman" w:hint="eastAsia"/>
        </w:rPr>
        <w:t xml:space="preserve"> </w:t>
      </w:r>
      <w:r w:rsidR="00F36E45">
        <w:rPr>
          <w:rFonts w:ascii="Times New Roman" w:hAnsi="Times New Roman" w:cs="Times New Roman" w:hint="eastAsia"/>
        </w:rPr>
        <w:t xml:space="preserve">Through the analysis and discussion about those issues, </w:t>
      </w:r>
      <w:r w:rsidR="00D561E3">
        <w:rPr>
          <w:rFonts w:ascii="Times New Roman" w:hAnsi="Times New Roman" w:cs="Times New Roman" w:hint="eastAsia"/>
        </w:rPr>
        <w:t xml:space="preserve">the essay </w:t>
      </w:r>
      <w:r w:rsidR="00F36E45">
        <w:rPr>
          <w:rFonts w:ascii="Times New Roman" w:hAnsi="Times New Roman" w:cs="Times New Roman" w:hint="eastAsia"/>
        </w:rPr>
        <w:t xml:space="preserve">draws a conclusion </w:t>
      </w:r>
      <w:r w:rsidR="00D561E3">
        <w:rPr>
          <w:rFonts w:ascii="Times New Roman" w:hAnsi="Times New Roman" w:cs="Times New Roman" w:hint="eastAsia"/>
        </w:rPr>
        <w:t>that</w:t>
      </w:r>
      <w:r w:rsidR="00D561E3" w:rsidRPr="00D561E3">
        <w:rPr>
          <w:rFonts w:ascii="Times New Roman" w:hAnsi="Times New Roman" w:cs="Times New Roman"/>
        </w:rPr>
        <w:t xml:space="preserve"> </w:t>
      </w:r>
      <w:r w:rsidR="00D561E3">
        <w:rPr>
          <w:rFonts w:ascii="Times New Roman" w:hAnsi="Times New Roman" w:cs="Times New Roman" w:hint="eastAsia"/>
        </w:rPr>
        <w:t xml:space="preserve">consideration </w:t>
      </w:r>
      <w:r w:rsidR="00D561E3" w:rsidRPr="00D561E3">
        <w:rPr>
          <w:rFonts w:ascii="Times New Roman" w:hAnsi="Times New Roman" w:cs="Times New Roman"/>
        </w:rPr>
        <w:t xml:space="preserve">has gradually become more </w:t>
      </w:r>
      <w:r w:rsidR="00644DFF">
        <w:rPr>
          <w:rFonts w:ascii="Times New Roman" w:hAnsi="Times New Roman" w:cs="Times New Roman" w:hint="eastAsia"/>
        </w:rPr>
        <w:t>flexible</w:t>
      </w:r>
      <w:r w:rsidR="00D561E3" w:rsidRPr="00D561E3">
        <w:rPr>
          <w:rFonts w:ascii="Times New Roman" w:hAnsi="Times New Roman" w:cs="Times New Roman"/>
        </w:rPr>
        <w:t xml:space="preserve"> in form and content, but it still needs to be continuously innovated with the progress of the times.</w:t>
      </w:r>
    </w:p>
    <w:p w14:paraId="6DFFF6F9" w14:textId="2445F7B6" w:rsidR="00D640A9" w:rsidRPr="009A3069" w:rsidRDefault="00C96EF6" w:rsidP="00FD7C2B">
      <w:pPr>
        <w:spacing w:beforeLines="150" w:before="468" w:after="100"/>
        <w:ind w:firstLine="357"/>
        <w:jc w:val="both"/>
        <w:rPr>
          <w:rFonts w:ascii="Times New Roman" w:hAnsi="Times New Roman" w:cs="Times New Roman"/>
        </w:rPr>
      </w:pPr>
      <w:r w:rsidRPr="009A3069">
        <w:rPr>
          <w:rFonts w:ascii="Times New Roman" w:hAnsi="Times New Roman" w:cs="Times New Roman"/>
        </w:rPr>
        <w:t>The formation of a contract is a legal process that involves several key elements</w:t>
      </w:r>
      <w:r w:rsidR="00492C67" w:rsidRPr="009A3069">
        <w:rPr>
          <w:rFonts w:ascii="Times New Roman" w:hAnsi="Times New Roman" w:cs="Times New Roman"/>
        </w:rPr>
        <w:t xml:space="preserve">. </w:t>
      </w:r>
      <w:r w:rsidR="005B1859" w:rsidRPr="009A3069">
        <w:rPr>
          <w:rFonts w:ascii="Times New Roman" w:hAnsi="Times New Roman" w:cs="Times New Roman"/>
        </w:rPr>
        <w:t>Specifically</w:t>
      </w:r>
      <w:r w:rsidR="00492C67" w:rsidRPr="009A3069">
        <w:rPr>
          <w:rFonts w:ascii="Times New Roman" w:hAnsi="Times New Roman" w:cs="Times New Roman"/>
        </w:rPr>
        <w:t xml:space="preserve">, when </w:t>
      </w:r>
      <w:r w:rsidR="005A381B" w:rsidRPr="009A3069">
        <w:rPr>
          <w:rFonts w:ascii="Times New Roman" w:hAnsi="Times New Roman" w:cs="Times New Roman"/>
        </w:rPr>
        <w:t>a</w:t>
      </w:r>
      <w:r w:rsidR="00492C67" w:rsidRPr="009A3069">
        <w:rPr>
          <w:rFonts w:ascii="Times New Roman" w:hAnsi="Times New Roman" w:cs="Times New Roman"/>
        </w:rPr>
        <w:t xml:space="preserve"> contract </w:t>
      </w:r>
      <w:r w:rsidR="005B1859" w:rsidRPr="009A3069">
        <w:rPr>
          <w:rFonts w:ascii="Times New Roman" w:hAnsi="Times New Roman" w:cs="Times New Roman"/>
        </w:rPr>
        <w:t>is</w:t>
      </w:r>
      <w:r w:rsidR="00492C67" w:rsidRPr="009A3069">
        <w:rPr>
          <w:rFonts w:ascii="Times New Roman" w:hAnsi="Times New Roman" w:cs="Times New Roman"/>
        </w:rPr>
        <w:t xml:space="preserve"> signed, the parties must </w:t>
      </w:r>
      <w:r w:rsidR="005B1859" w:rsidRPr="009A3069">
        <w:rPr>
          <w:rFonts w:ascii="Times New Roman" w:hAnsi="Times New Roman" w:cs="Times New Roman"/>
        </w:rPr>
        <w:t xml:space="preserve">reach </w:t>
      </w:r>
      <w:r w:rsidR="00492C67" w:rsidRPr="009A3069">
        <w:rPr>
          <w:rFonts w:ascii="Times New Roman" w:hAnsi="Times New Roman" w:cs="Times New Roman"/>
        </w:rPr>
        <w:t xml:space="preserve">an agreement and intend to form </w:t>
      </w:r>
      <w:r w:rsidR="005A381B" w:rsidRPr="009A3069">
        <w:rPr>
          <w:rFonts w:ascii="Times New Roman" w:hAnsi="Times New Roman" w:cs="Times New Roman"/>
        </w:rPr>
        <w:t>that</w:t>
      </w:r>
      <w:r w:rsidR="00492C67" w:rsidRPr="009A3069">
        <w:rPr>
          <w:rFonts w:ascii="Times New Roman" w:hAnsi="Times New Roman" w:cs="Times New Roman"/>
        </w:rPr>
        <w:t xml:space="preserve"> contract. In addition, the agreement should also be supported by valuable considerations </w:t>
      </w:r>
      <w:r w:rsidR="006920F7" w:rsidRPr="009A3069">
        <w:rPr>
          <w:rFonts w:ascii="Times New Roman" w:hAnsi="Times New Roman" w:cs="Times New Roman"/>
        </w:rPr>
        <w:t xml:space="preserve">and </w:t>
      </w:r>
      <w:r w:rsidR="00492C67" w:rsidRPr="009A3069">
        <w:rPr>
          <w:rFonts w:ascii="Times New Roman" w:hAnsi="Times New Roman" w:cs="Times New Roman"/>
        </w:rPr>
        <w:t>clear</w:t>
      </w:r>
      <w:r w:rsidR="006920F7" w:rsidRPr="009A3069">
        <w:rPr>
          <w:rFonts w:ascii="Times New Roman" w:hAnsi="Times New Roman" w:cs="Times New Roman"/>
        </w:rPr>
        <w:t xml:space="preserve">, </w:t>
      </w:r>
      <w:r w:rsidR="00492C67" w:rsidRPr="009A3069">
        <w:rPr>
          <w:rFonts w:ascii="Times New Roman" w:hAnsi="Times New Roman" w:cs="Times New Roman"/>
        </w:rPr>
        <w:t>certain terms</w:t>
      </w:r>
      <w:r w:rsidR="007404D1" w:rsidRPr="009A3069">
        <w:rPr>
          <w:rFonts w:ascii="Times New Roman" w:hAnsi="Times New Roman" w:cs="Times New Roman"/>
        </w:rPr>
        <w:t xml:space="preserve"> </w:t>
      </w:r>
      <w:r w:rsidR="007404D1" w:rsidRPr="009A3069">
        <w:rPr>
          <w:rFonts w:ascii="Times New Roman" w:hAnsi="Times New Roman" w:cs="Times New Roman"/>
        </w:rPr>
        <w:fldChar w:fldCharType="begin"/>
      </w:r>
      <w:r w:rsidR="007404D1" w:rsidRPr="009A3069">
        <w:rPr>
          <w:rFonts w:ascii="Times New Roman" w:hAnsi="Times New Roman" w:cs="Times New Roman"/>
        </w:rPr>
        <w:instrText xml:space="preserve"> ADDIN ZOTERO_ITEM CSL_CITATION {"citationID":"MJKDPueD","properties":{"formattedCitation":"(Furmston and Tolhurst, 2010)","plainCitation":"(Furmston and Tolhurst, 2010)","noteIndex":0},"citationItems":[{"id":3,"uris":["http://zotero.org/users/local/LRYjC9Ia/items/9H6HDGE3"],"itemData":{"id":3,"type":"book","abstract":"This book on contract formation provides a practical analysis of the legal principles which govern the formation of contracts in English law, offering those involved in litigation and in drafting contracts a guide to the application of those principles in practice. The first part of this work discusses negotiations falling short of binding agreements. It examines the uses of letters of intent and how to draft them. The book gives detailed treatment of the topics of 'subject to contract' and conditional contracts as well as the issue of intention to create legal relations. Completing this part are chapters on certainty and a summary explaining pre-contracted liability in English law. The second part of the work looks at the formation of the contract in process. This provides for full coverage of topics such as the mirror image rule, battle of laws and acceptance by silence. There is also a substantial chapter in this part examining the legal status of requests to submit tenders, tenders themselves, and obligations associated with the tendering process. Although this work is based on English law, the authors draw upon decisions in other jurisdictions such as Australia, Canada, the United States and New Zealand, where these inform the development of principles in English law.","ISBN":"978-0-19-928424-5","language":"en","note":"Google-Books-ID: FXs3LRwVjOQC","number-of-pages":"477","publisher":"OUP Oxford","source":"Google Books","title":"Contract Formation: Law and Practice","title-short":"Contract Formation","author":[{"family":"Furmston","given":"Michael"},{"family":"Tolhurst","given":"G. J."}],"issued":{"date-parts":[["2010",3,25]]}}}],"schema":"https://github.com/citation-style-language/schema/raw/master/csl-citation.json"} </w:instrText>
      </w:r>
      <w:r w:rsidR="007404D1" w:rsidRPr="009A3069">
        <w:rPr>
          <w:rFonts w:ascii="Times New Roman" w:hAnsi="Times New Roman" w:cs="Times New Roman"/>
        </w:rPr>
        <w:fldChar w:fldCharType="separate"/>
      </w:r>
      <w:r w:rsidR="007404D1" w:rsidRPr="009A3069">
        <w:rPr>
          <w:rFonts w:ascii="Times New Roman" w:hAnsi="Times New Roman" w:cs="Times New Roman"/>
        </w:rPr>
        <w:t>(Furmston and Tolhurst, 2010)</w:t>
      </w:r>
      <w:r w:rsidR="007404D1" w:rsidRPr="009A3069">
        <w:rPr>
          <w:rFonts w:ascii="Times New Roman" w:hAnsi="Times New Roman" w:cs="Times New Roman"/>
        </w:rPr>
        <w:fldChar w:fldCharType="end"/>
      </w:r>
      <w:r w:rsidR="00492C67" w:rsidRPr="009A3069">
        <w:rPr>
          <w:rFonts w:ascii="Times New Roman" w:hAnsi="Times New Roman" w:cs="Times New Roman"/>
        </w:rPr>
        <w:t xml:space="preserve">. </w:t>
      </w:r>
      <w:r w:rsidR="005A381B" w:rsidRPr="009A3069">
        <w:rPr>
          <w:rFonts w:ascii="Times New Roman" w:hAnsi="Times New Roman" w:cs="Times New Roman"/>
        </w:rPr>
        <w:t xml:space="preserve">Only when these fundamental components are sufficient can a </w:t>
      </w:r>
      <w:r w:rsidR="00492C67" w:rsidRPr="009A3069">
        <w:rPr>
          <w:rFonts w:ascii="Times New Roman" w:hAnsi="Times New Roman" w:cs="Times New Roman"/>
        </w:rPr>
        <w:t xml:space="preserve">contract </w:t>
      </w:r>
      <w:r w:rsidR="005A381B" w:rsidRPr="009A3069">
        <w:rPr>
          <w:rFonts w:ascii="Times New Roman" w:hAnsi="Times New Roman" w:cs="Times New Roman"/>
        </w:rPr>
        <w:t xml:space="preserve">be </w:t>
      </w:r>
      <w:r w:rsidR="00492C67" w:rsidRPr="009A3069">
        <w:rPr>
          <w:rFonts w:ascii="Times New Roman" w:hAnsi="Times New Roman" w:cs="Times New Roman"/>
        </w:rPr>
        <w:t>valid and enforceable.</w:t>
      </w:r>
      <w:r w:rsidR="008A5836">
        <w:rPr>
          <w:rFonts w:ascii="Times New Roman" w:hAnsi="Times New Roman" w:cs="Times New Roman"/>
        </w:rPr>
        <w:t xml:space="preserve"> </w:t>
      </w:r>
      <w:r w:rsidR="001B21D5" w:rsidRPr="009A3069">
        <w:rPr>
          <w:rFonts w:ascii="Times New Roman" w:hAnsi="Times New Roman" w:cs="Times New Roman"/>
        </w:rPr>
        <w:t>Among</w:t>
      </w:r>
      <w:r w:rsidR="006920F7" w:rsidRPr="009A3069">
        <w:rPr>
          <w:rFonts w:ascii="Times New Roman" w:hAnsi="Times New Roman" w:cs="Times New Roman"/>
        </w:rPr>
        <w:t xml:space="preserve"> the above conditions and necessary elements</w:t>
      </w:r>
      <w:r w:rsidR="005B1859" w:rsidRPr="009A3069">
        <w:rPr>
          <w:rFonts w:ascii="Times New Roman" w:hAnsi="Times New Roman" w:cs="Times New Roman"/>
        </w:rPr>
        <w:t>, t</w:t>
      </w:r>
      <w:r w:rsidR="0003648D" w:rsidRPr="009A3069">
        <w:rPr>
          <w:rFonts w:ascii="Times New Roman" w:hAnsi="Times New Roman" w:cs="Times New Roman"/>
        </w:rPr>
        <w:t xml:space="preserve">he first great question of contract </w:t>
      </w:r>
      <w:r w:rsidR="005B1859" w:rsidRPr="009A3069">
        <w:rPr>
          <w:rFonts w:ascii="Times New Roman" w:hAnsi="Times New Roman" w:cs="Times New Roman"/>
        </w:rPr>
        <w:t>formation</w:t>
      </w:r>
      <w:r w:rsidR="00BC7283" w:rsidRPr="009A3069">
        <w:rPr>
          <w:rFonts w:ascii="Times New Roman" w:hAnsi="Times New Roman" w:cs="Times New Roman"/>
        </w:rPr>
        <w:t xml:space="preserve"> </w:t>
      </w:r>
      <w:r w:rsidR="0003648D" w:rsidRPr="009A3069">
        <w:rPr>
          <w:rFonts w:ascii="Times New Roman" w:hAnsi="Times New Roman" w:cs="Times New Roman"/>
        </w:rPr>
        <w:t>is what kinds of promises</w:t>
      </w:r>
      <w:r w:rsidR="005B1859" w:rsidRPr="009A3069">
        <w:rPr>
          <w:rFonts w:ascii="Times New Roman" w:hAnsi="Times New Roman" w:cs="Times New Roman"/>
        </w:rPr>
        <w:t xml:space="preserve"> and offers</w:t>
      </w:r>
      <w:r w:rsidR="0003648D" w:rsidRPr="009A3069">
        <w:rPr>
          <w:rFonts w:ascii="Times New Roman" w:hAnsi="Times New Roman" w:cs="Times New Roman"/>
        </w:rPr>
        <w:t xml:space="preserve"> should be enforced</w:t>
      </w:r>
      <w:r w:rsidR="005B1859" w:rsidRPr="009A3069">
        <w:rPr>
          <w:rFonts w:ascii="Times New Roman" w:hAnsi="Times New Roman" w:cs="Times New Roman"/>
        </w:rPr>
        <w:t>, which leads to the discussion of an important concept—consideration</w:t>
      </w:r>
      <w:r w:rsidR="00F8498D" w:rsidRPr="009A3069">
        <w:rPr>
          <w:rFonts w:ascii="Times New Roman" w:hAnsi="Times New Roman" w:cs="Times New Roman"/>
        </w:rPr>
        <w:t xml:space="preserve"> </w:t>
      </w:r>
      <w:r w:rsidR="00F8498D" w:rsidRPr="009A3069">
        <w:rPr>
          <w:rFonts w:ascii="Times New Roman" w:hAnsi="Times New Roman" w:cs="Times New Roman"/>
        </w:rPr>
        <w:fldChar w:fldCharType="begin"/>
      </w:r>
      <w:r w:rsidR="00F8498D" w:rsidRPr="009A3069">
        <w:rPr>
          <w:rFonts w:ascii="Times New Roman" w:hAnsi="Times New Roman" w:cs="Times New Roman"/>
        </w:rPr>
        <w:instrText xml:space="preserve"> ADDIN ZOTERO_ITEM CSL_CITATION {"citationID":"IixAhV1o","properties":{"formattedCitation":"(Eisenberg, 1982)","plainCitation":"(Eisenberg, 1982)","noteIndex":0},"citationItems":[{"id":41,"uris":["http://zotero.org/users/local/LRYjC9Ia/items/DK5VLUFL"],"itemData":{"id":41,"type":"article-journal","container-title":"Cornell Law Review","ISSN":"0010-8847","issue":"4","page":"640-665","title":"Principles of Consideration","volume":"67","author":[{"family":"Eisenberg","given":"Melvin"}],"issued":{"date-parts":[["1982",4,1]]}}}],"schema":"https://github.com/citation-style-language/schema/raw/master/csl-citation.json"} </w:instrText>
      </w:r>
      <w:r w:rsidR="00F8498D" w:rsidRPr="009A3069">
        <w:rPr>
          <w:rFonts w:ascii="Times New Roman" w:hAnsi="Times New Roman" w:cs="Times New Roman"/>
        </w:rPr>
        <w:fldChar w:fldCharType="separate"/>
      </w:r>
      <w:r w:rsidR="00F8498D" w:rsidRPr="009A3069">
        <w:rPr>
          <w:rFonts w:ascii="Times New Roman" w:eastAsia="等线" w:hAnsi="Times New Roman" w:cs="Times New Roman"/>
        </w:rPr>
        <w:t>(Eisenberg, 1982)</w:t>
      </w:r>
      <w:r w:rsidR="00F8498D" w:rsidRPr="009A3069">
        <w:rPr>
          <w:rFonts w:ascii="Times New Roman" w:hAnsi="Times New Roman" w:cs="Times New Roman"/>
        </w:rPr>
        <w:fldChar w:fldCharType="end"/>
      </w:r>
      <w:r w:rsidR="005B1859" w:rsidRPr="009A3069">
        <w:rPr>
          <w:rFonts w:ascii="Times New Roman" w:hAnsi="Times New Roman" w:cs="Times New Roman"/>
        </w:rPr>
        <w:t xml:space="preserve">. </w:t>
      </w:r>
    </w:p>
    <w:p w14:paraId="64741E7A" w14:textId="71C5981F" w:rsidR="00FD7C2B" w:rsidRDefault="00C96EF6" w:rsidP="00FD7C2B">
      <w:pPr>
        <w:spacing w:after="100"/>
        <w:ind w:firstLine="360"/>
        <w:jc w:val="both"/>
        <w:rPr>
          <w:rFonts w:ascii="Times New Roman" w:hAnsi="Times New Roman" w:cs="Times New Roman"/>
        </w:rPr>
      </w:pPr>
      <w:r w:rsidRPr="009A3069">
        <w:rPr>
          <w:rFonts w:ascii="Times New Roman" w:hAnsi="Times New Roman" w:cs="Times New Roman"/>
        </w:rPr>
        <w:t xml:space="preserve">Consideration refers to </w:t>
      </w:r>
      <w:r w:rsidR="00D640A9" w:rsidRPr="009A3069">
        <w:rPr>
          <w:rFonts w:ascii="Times New Roman" w:hAnsi="Times New Roman" w:cs="Times New Roman"/>
        </w:rPr>
        <w:t xml:space="preserve">the things </w:t>
      </w:r>
      <w:r w:rsidRPr="009A3069">
        <w:rPr>
          <w:rFonts w:ascii="Times New Roman" w:hAnsi="Times New Roman" w:cs="Times New Roman"/>
        </w:rPr>
        <w:t>of value exchanged between the parties</w:t>
      </w:r>
      <w:r w:rsidR="001B21D5" w:rsidRPr="009A3069">
        <w:rPr>
          <w:rFonts w:ascii="Times New Roman" w:hAnsi="Times New Roman" w:cs="Times New Roman"/>
        </w:rPr>
        <w:t>, which can also be defined as a promise of a promise</w:t>
      </w:r>
      <w:r w:rsidR="00A06406" w:rsidRPr="009A3069">
        <w:rPr>
          <w:rFonts w:ascii="Times New Roman" w:hAnsi="Times New Roman" w:cs="Times New Roman"/>
        </w:rPr>
        <w:t xml:space="preserve"> </w:t>
      </w:r>
      <w:r w:rsidR="00F8498D" w:rsidRPr="009A3069">
        <w:rPr>
          <w:rFonts w:ascii="Times New Roman" w:hAnsi="Times New Roman" w:cs="Times New Roman"/>
        </w:rPr>
        <w:fldChar w:fldCharType="begin"/>
      </w:r>
      <w:r w:rsidR="00F8498D" w:rsidRPr="009A3069">
        <w:rPr>
          <w:rFonts w:ascii="Times New Roman" w:hAnsi="Times New Roman" w:cs="Times New Roman"/>
        </w:rPr>
        <w:instrText xml:space="preserve"> ADDIN ZOTERO_ITEM CSL_CITATION {"citationID":"ipTDmW4f","properties":{"formattedCitation":"(Benson, 2011)","plainCitation":"(Benson, 2011)","noteIndex":0},"citationItems":[{"id":43,"uris":["http://zotero.org/users/local/LRYjC9Ia/items/TAIN5ZTA"],"itemData":{"id":43,"type":"article-journal","abstract":"No doctrine of the common law of contract has been longer settled or more carefully developed than consideration. Yet none has proved more intractable to theoretical justification. This article suggests that the problem is not with consideration but rather with the theories that defend or challenge it, theories not equipped to explain the doctrine because they invoke functions and purposes that do not belong to the specific kind of relation that consideration necessarily establishes. In contrast with current approaches, the article argues that consideration is not a control device that, for various policy reasons, negatively excludes certain prima facie enforceable promises. Rather, it is constitutive of a kind of interaction that is the only basis on which parties may reasonably be held to have undertaken fully contractual obligations enforceable by expectation remedies. The article sets out the main features of the promise for consideration relation; then seeks to explain the juridical meaning and role of this relation; and finally brings out the contrast with reliance.","container-title":"University of Toronto Law Journal","DOI":"10.2307/23018568","journalAbbreviation":"University of Toronto Law Journal","page":"241-278","source":"ResearchGate","title":"The Idea of Consideration","volume":"61","author":[{"family":"Benson","given":"Peter"}],"issued":{"date-parts":[["2011",4,1]]}}}],"schema":"https://github.com/citation-style-language/schema/raw/master/csl-citation.json"} </w:instrText>
      </w:r>
      <w:r w:rsidR="00F8498D" w:rsidRPr="009A3069">
        <w:rPr>
          <w:rFonts w:ascii="Times New Roman" w:hAnsi="Times New Roman" w:cs="Times New Roman"/>
        </w:rPr>
        <w:fldChar w:fldCharType="separate"/>
      </w:r>
      <w:r w:rsidR="00F8498D" w:rsidRPr="009A3069">
        <w:rPr>
          <w:rFonts w:ascii="Times New Roman" w:eastAsia="等线" w:hAnsi="Times New Roman" w:cs="Times New Roman"/>
        </w:rPr>
        <w:t>(Benson, 2011)</w:t>
      </w:r>
      <w:r w:rsidR="00F8498D" w:rsidRPr="009A3069">
        <w:rPr>
          <w:rFonts w:ascii="Times New Roman" w:hAnsi="Times New Roman" w:cs="Times New Roman"/>
        </w:rPr>
        <w:fldChar w:fldCharType="end"/>
      </w:r>
      <w:r w:rsidR="001B21D5" w:rsidRPr="009A3069">
        <w:rPr>
          <w:rFonts w:ascii="Times New Roman" w:hAnsi="Times New Roman" w:cs="Times New Roman"/>
        </w:rPr>
        <w:t xml:space="preserve">. </w:t>
      </w:r>
      <w:r w:rsidR="00C138CE" w:rsidRPr="009A3069">
        <w:rPr>
          <w:rFonts w:ascii="Times New Roman" w:hAnsi="Times New Roman" w:cs="Times New Roman"/>
        </w:rPr>
        <w:t xml:space="preserve">In Currie v Misa [1875], </w:t>
      </w:r>
      <w:r w:rsidR="00A06406" w:rsidRPr="009A3069">
        <w:rPr>
          <w:rFonts w:ascii="Times New Roman" w:hAnsi="Times New Roman" w:cs="Times New Roman"/>
        </w:rPr>
        <w:t>t</w:t>
      </w:r>
      <w:r w:rsidR="003C72DA" w:rsidRPr="009A3069">
        <w:rPr>
          <w:rFonts w:ascii="Times New Roman" w:hAnsi="Times New Roman" w:cs="Times New Roman"/>
        </w:rPr>
        <w:t>he court claimed</w:t>
      </w:r>
      <w:r w:rsidR="00335AC1" w:rsidRPr="009A3069">
        <w:rPr>
          <w:rFonts w:ascii="Times New Roman" w:hAnsi="Times New Roman" w:cs="Times New Roman"/>
        </w:rPr>
        <w:t xml:space="preserve"> the absence of </w:t>
      </w:r>
      <w:r w:rsidR="009A7C6F" w:rsidRPr="009A3069">
        <w:rPr>
          <w:rFonts w:ascii="Times New Roman" w:hAnsi="Times New Roman" w:cs="Times New Roman"/>
        </w:rPr>
        <w:t xml:space="preserve">consideration </w:t>
      </w:r>
      <w:r w:rsidR="00A06406" w:rsidRPr="009A3069">
        <w:rPr>
          <w:rFonts w:ascii="Times New Roman" w:hAnsi="Times New Roman" w:cs="Times New Roman"/>
        </w:rPr>
        <w:t xml:space="preserve">for existing debt </w:t>
      </w:r>
      <w:r w:rsidR="00335AC1" w:rsidRPr="009A3069">
        <w:rPr>
          <w:rFonts w:ascii="Times New Roman" w:hAnsi="Times New Roman" w:cs="Times New Roman"/>
        </w:rPr>
        <w:t xml:space="preserve">and </w:t>
      </w:r>
      <w:r w:rsidR="003C72DA" w:rsidRPr="009A3069">
        <w:rPr>
          <w:rFonts w:ascii="Times New Roman" w:hAnsi="Times New Roman" w:cs="Times New Roman"/>
        </w:rPr>
        <w:t xml:space="preserve">defined </w:t>
      </w:r>
      <w:r w:rsidR="009A7C6F" w:rsidRPr="009A3069">
        <w:rPr>
          <w:rFonts w:ascii="Times New Roman" w:hAnsi="Times New Roman" w:cs="Times New Roman"/>
        </w:rPr>
        <w:t xml:space="preserve">it </w:t>
      </w:r>
      <w:r w:rsidR="003C72DA" w:rsidRPr="009A3069">
        <w:rPr>
          <w:rFonts w:ascii="Times New Roman" w:hAnsi="Times New Roman" w:cs="Times New Roman"/>
        </w:rPr>
        <w:t>as “</w:t>
      </w:r>
      <w:r w:rsidR="00C138CE" w:rsidRPr="009A3069">
        <w:rPr>
          <w:rFonts w:ascii="Times New Roman" w:hAnsi="Times New Roman" w:cs="Times New Roman"/>
        </w:rPr>
        <w:t>some right, interest, profit or benefit accruing to one party, or some forbearance, detriment, loss or responsibility given, suffered or undertaken by the other</w:t>
      </w:r>
      <w:r w:rsidR="003C72DA" w:rsidRPr="009A3069">
        <w:rPr>
          <w:rFonts w:ascii="Times New Roman" w:hAnsi="Times New Roman" w:cs="Times New Roman"/>
        </w:rPr>
        <w:t>.” (p. 162), emphasizing that consideration must be offered based on mutual benefits and detriments</w:t>
      </w:r>
      <w:r w:rsidR="00A06406" w:rsidRPr="009A3069">
        <w:rPr>
          <w:rFonts w:ascii="Times New Roman" w:hAnsi="Times New Roman" w:cs="Times New Roman"/>
        </w:rPr>
        <w:t>, which is a necessity for consideration to be</w:t>
      </w:r>
      <w:r w:rsidR="009437F4" w:rsidRPr="009A3069">
        <w:rPr>
          <w:rFonts w:ascii="Times New Roman" w:hAnsi="Times New Roman" w:cs="Times New Roman"/>
        </w:rPr>
        <w:t xml:space="preserve"> valid.</w:t>
      </w:r>
      <w:r w:rsidR="00FD7C2B">
        <w:rPr>
          <w:rFonts w:ascii="Times New Roman" w:hAnsi="Times New Roman" w:cs="Times New Roman" w:hint="eastAsia"/>
        </w:rPr>
        <w:t xml:space="preserve"> </w:t>
      </w:r>
    </w:p>
    <w:p w14:paraId="2A8416DE" w14:textId="33C9EC1F" w:rsidR="003334DC" w:rsidRPr="009A3069" w:rsidRDefault="001B21D5" w:rsidP="00FD7C2B">
      <w:pPr>
        <w:spacing w:after="100"/>
        <w:ind w:firstLine="360"/>
        <w:jc w:val="both"/>
        <w:rPr>
          <w:rFonts w:ascii="Times New Roman" w:hAnsi="Times New Roman" w:cs="Times New Roman"/>
        </w:rPr>
      </w:pPr>
      <w:r w:rsidRPr="009A3069">
        <w:rPr>
          <w:rFonts w:ascii="Times New Roman" w:hAnsi="Times New Roman" w:cs="Times New Roman"/>
        </w:rPr>
        <w:t xml:space="preserve">In a contract, each party must be both a promisor and a </w:t>
      </w:r>
      <w:proofErr w:type="spellStart"/>
      <w:r w:rsidRPr="009A3069">
        <w:rPr>
          <w:rFonts w:ascii="Times New Roman" w:hAnsi="Times New Roman" w:cs="Times New Roman"/>
        </w:rPr>
        <w:t>promise</w:t>
      </w:r>
      <w:r w:rsidR="000D46BF">
        <w:rPr>
          <w:rFonts w:ascii="Times New Roman" w:hAnsi="Times New Roman" w:cs="Times New Roman" w:hint="eastAsia"/>
        </w:rPr>
        <w:t>e</w:t>
      </w:r>
      <w:proofErr w:type="spellEnd"/>
      <w:r w:rsidRPr="009A3069">
        <w:rPr>
          <w:rFonts w:ascii="Times New Roman" w:hAnsi="Times New Roman" w:cs="Times New Roman"/>
        </w:rPr>
        <w:t xml:space="preserve">, who should not only gain a benefit but suffer a detriment </w:t>
      </w:r>
      <w:r w:rsidR="00F8498D" w:rsidRPr="009A3069">
        <w:rPr>
          <w:rFonts w:ascii="Times New Roman" w:hAnsi="Times New Roman" w:cs="Times New Roman"/>
        </w:rPr>
        <w:fldChar w:fldCharType="begin"/>
      </w:r>
      <w:r w:rsidR="00F8498D" w:rsidRPr="009A3069">
        <w:rPr>
          <w:rFonts w:ascii="Times New Roman" w:hAnsi="Times New Roman" w:cs="Times New Roman"/>
        </w:rPr>
        <w:instrText xml:space="preserve"> ADDIN ZOTERO_ITEM CSL_CITATION {"citationID":"re5YQuqs","properties":{"formattedCitation":"(Kraus, 2009)","plainCitation":"(Kraus, 2009)","noteIndex":0},"citationItems":[{"id":45,"uris":["http://zotero.org/users/local/LRYjC9Ia/items/Q64D2Z82"],"itemData":{"id":45,"type":"article-journal","container-title":"Columbia Law Review","journalAbbreviation":"Colum. L. Rev.","page":"1603","title":"The Correspondence of Contract and Promise","volume":"109","author":[{"family":"Kraus","given":"Jody S."}],"issued":{"date-parts":[["2009"]]}}}],"schema":"https://github.com/citation-style-language/schema/raw/master/csl-citation.json"} </w:instrText>
      </w:r>
      <w:r w:rsidR="00F8498D" w:rsidRPr="009A3069">
        <w:rPr>
          <w:rFonts w:ascii="Times New Roman" w:hAnsi="Times New Roman" w:cs="Times New Roman"/>
        </w:rPr>
        <w:fldChar w:fldCharType="separate"/>
      </w:r>
      <w:r w:rsidR="00F8498D" w:rsidRPr="009A3069">
        <w:rPr>
          <w:rFonts w:ascii="Times New Roman" w:eastAsia="等线" w:hAnsi="Times New Roman" w:cs="Times New Roman"/>
        </w:rPr>
        <w:t>(Kraus, 2009)</w:t>
      </w:r>
      <w:r w:rsidR="00F8498D" w:rsidRPr="009A3069">
        <w:rPr>
          <w:rFonts w:ascii="Times New Roman" w:hAnsi="Times New Roman" w:cs="Times New Roman"/>
        </w:rPr>
        <w:fldChar w:fldCharType="end"/>
      </w:r>
      <w:r w:rsidRPr="009A3069">
        <w:rPr>
          <w:rFonts w:ascii="Times New Roman" w:hAnsi="Times New Roman" w:cs="Times New Roman"/>
        </w:rPr>
        <w:t>. Th</w:t>
      </w:r>
      <w:r w:rsidR="00A06406" w:rsidRPr="009A3069">
        <w:rPr>
          <w:rFonts w:ascii="Times New Roman" w:hAnsi="Times New Roman" w:cs="Times New Roman"/>
        </w:rPr>
        <w:t>e</w:t>
      </w:r>
      <w:r w:rsidRPr="009A3069">
        <w:rPr>
          <w:rFonts w:ascii="Times New Roman" w:hAnsi="Times New Roman" w:cs="Times New Roman"/>
        </w:rPr>
        <w:t xml:space="preserve"> </w:t>
      </w:r>
      <w:r w:rsidR="00A06406" w:rsidRPr="009A3069">
        <w:rPr>
          <w:rFonts w:ascii="Times New Roman" w:hAnsi="Times New Roman" w:cs="Times New Roman"/>
        </w:rPr>
        <w:t xml:space="preserve">mutuality </w:t>
      </w:r>
      <w:r w:rsidR="001B48EC" w:rsidRPr="009A3069">
        <w:rPr>
          <w:rFonts w:ascii="Times New Roman" w:hAnsi="Times New Roman" w:cs="Times New Roman"/>
        </w:rPr>
        <w:t xml:space="preserve">of benefits and detriments </w:t>
      </w:r>
      <w:r w:rsidRPr="009A3069">
        <w:rPr>
          <w:rFonts w:ascii="Times New Roman" w:hAnsi="Times New Roman" w:cs="Times New Roman"/>
        </w:rPr>
        <w:t xml:space="preserve">involved in the contract </w:t>
      </w:r>
      <w:r w:rsidR="009A3069">
        <w:rPr>
          <w:rFonts w:ascii="Times New Roman" w:hAnsi="Times New Roman" w:cs="Times New Roman"/>
        </w:rPr>
        <w:t>contributes</w:t>
      </w:r>
      <w:r w:rsidRPr="009A3069">
        <w:rPr>
          <w:rFonts w:ascii="Times New Roman" w:hAnsi="Times New Roman" w:cs="Times New Roman"/>
        </w:rPr>
        <w:t xml:space="preserve"> to the core of consideration, which are also the elements distinguishing a contract from a mere gift. </w:t>
      </w:r>
      <w:r w:rsidR="003334DC" w:rsidRPr="009A3069">
        <w:rPr>
          <w:rFonts w:ascii="Times New Roman" w:hAnsi="Times New Roman" w:cs="Times New Roman"/>
        </w:rPr>
        <w:t xml:space="preserve">Besides, a valid consideration should also be made of economic value with sufficiency, and must not be past or involve </w:t>
      </w:r>
      <w:r w:rsidR="009A3069">
        <w:rPr>
          <w:rFonts w:ascii="Times New Roman" w:hAnsi="Times New Roman" w:cs="Times New Roman"/>
        </w:rPr>
        <w:t xml:space="preserve">the </w:t>
      </w:r>
      <w:r w:rsidR="003334DC" w:rsidRPr="009A3069">
        <w:rPr>
          <w:rFonts w:ascii="Times New Roman" w:hAnsi="Times New Roman" w:cs="Times New Roman"/>
        </w:rPr>
        <w:t>performance of an existing duty. These requirements ensure the reasonableness as well as the enforceability of the consideration.</w:t>
      </w:r>
    </w:p>
    <w:p w14:paraId="62FDC65F" w14:textId="6C3FD1B0" w:rsidR="00E31EFB" w:rsidRPr="009A3069" w:rsidRDefault="00E31EFB" w:rsidP="00B84D11">
      <w:pPr>
        <w:spacing w:after="100"/>
        <w:ind w:firstLine="357"/>
        <w:jc w:val="both"/>
        <w:rPr>
          <w:rFonts w:ascii="Times New Roman" w:hAnsi="Times New Roman" w:cs="Times New Roman"/>
        </w:rPr>
      </w:pPr>
      <w:r w:rsidRPr="009A3069">
        <w:rPr>
          <w:rFonts w:ascii="Times New Roman" w:hAnsi="Times New Roman" w:cs="Times New Roman"/>
        </w:rPr>
        <w:t xml:space="preserve">Consideration is often divided into two types: executory and executed </w:t>
      </w:r>
      <w:r w:rsidR="00C80597" w:rsidRPr="009A3069">
        <w:rPr>
          <w:rFonts w:ascii="Times New Roman" w:hAnsi="Times New Roman" w:cs="Times New Roman"/>
        </w:rPr>
        <w:fldChar w:fldCharType="begin"/>
      </w:r>
      <w:r w:rsidR="00C80597" w:rsidRPr="009A3069">
        <w:rPr>
          <w:rFonts w:ascii="Times New Roman" w:hAnsi="Times New Roman" w:cs="Times New Roman"/>
        </w:rPr>
        <w:instrText xml:space="preserve"> ADDIN ZOTERO_ITEM CSL_CITATION {"citationID":"3xtDVcC7","properties":{"formattedCitation":"(Quinn Frances and Elliott Catherine, 2019)","plainCitation":"(Quinn Frances and Elliott Catherine, 2019)","noteIndex":0},"citationItems":[{"id":47,"uris":["http://zotero.org/users/local/LRYjC9Ia/items/IDKGCTPT"],"itemData":{"id":47,"type":"book","edition":"Twelfth edition","event-place":"Harlow","ISBN":"978-1-292-25140-0","language":"eng","publisher":"Pearson","publisher-place":"Harlow","source":"librarysearch.uwtsd.ac.uk","title":"Elliott &amp; Quinn's contract law","author":[{"literal":"Quinn Frances"},{"literal":"Elliott Catherine"}],"issued":{"date-parts":[["2019"]]}}}],"schema":"https://github.com/citation-style-language/schema/raw/master/csl-citation.json"} </w:instrText>
      </w:r>
      <w:r w:rsidR="00C80597" w:rsidRPr="009A3069">
        <w:rPr>
          <w:rFonts w:ascii="Times New Roman" w:hAnsi="Times New Roman" w:cs="Times New Roman"/>
        </w:rPr>
        <w:fldChar w:fldCharType="separate"/>
      </w:r>
      <w:r w:rsidR="00C80597" w:rsidRPr="009A3069">
        <w:rPr>
          <w:rFonts w:ascii="Times New Roman" w:eastAsia="等线" w:hAnsi="Times New Roman" w:cs="Times New Roman"/>
        </w:rPr>
        <w:t>(Quinn Frances and Elliott Catherine, 2019)</w:t>
      </w:r>
      <w:r w:rsidR="00C80597" w:rsidRPr="009A3069">
        <w:rPr>
          <w:rFonts w:ascii="Times New Roman" w:hAnsi="Times New Roman" w:cs="Times New Roman"/>
        </w:rPr>
        <w:fldChar w:fldCharType="end"/>
      </w:r>
      <w:r w:rsidRPr="009A3069">
        <w:rPr>
          <w:rFonts w:ascii="Times New Roman" w:hAnsi="Times New Roman" w:cs="Times New Roman"/>
        </w:rPr>
        <w:t xml:space="preserve">. </w:t>
      </w:r>
      <w:r w:rsidR="001B48EC" w:rsidRPr="009A3069">
        <w:rPr>
          <w:rFonts w:ascii="Times New Roman" w:hAnsi="Times New Roman" w:cs="Times New Roman"/>
        </w:rPr>
        <w:t xml:space="preserve">The one </w:t>
      </w:r>
      <w:r w:rsidRPr="009A3069">
        <w:rPr>
          <w:rFonts w:ascii="Times New Roman" w:hAnsi="Times New Roman" w:cs="Times New Roman"/>
        </w:rPr>
        <w:t>where the promise should be acted in the future after the formation of the contract is called executory consideration</w:t>
      </w:r>
      <w:r w:rsidR="003334DC" w:rsidRPr="009A3069">
        <w:rPr>
          <w:rFonts w:ascii="Times New Roman" w:hAnsi="Times New Roman" w:cs="Times New Roman"/>
        </w:rPr>
        <w:t xml:space="preserve">. </w:t>
      </w:r>
      <w:r w:rsidRPr="009A3069">
        <w:rPr>
          <w:rFonts w:ascii="Times New Roman" w:hAnsi="Times New Roman" w:cs="Times New Roman"/>
        </w:rPr>
        <w:t xml:space="preserve">This type of consideration is often involved in bilateral contracts. For example, the contract that a company promises to pay for a </w:t>
      </w:r>
      <w:r w:rsidRPr="009A3069">
        <w:rPr>
          <w:rFonts w:ascii="Times New Roman" w:hAnsi="Times New Roman" w:cs="Times New Roman"/>
        </w:rPr>
        <w:lastRenderedPageBreak/>
        <w:t xml:space="preserve">freight </w:t>
      </w:r>
      <w:r w:rsidR="001B48EC" w:rsidRPr="009A3069">
        <w:rPr>
          <w:rFonts w:ascii="Times New Roman" w:hAnsi="Times New Roman" w:cs="Times New Roman"/>
        </w:rPr>
        <w:t>agency</w:t>
      </w:r>
      <w:r w:rsidRPr="009A3069">
        <w:rPr>
          <w:rFonts w:ascii="Times New Roman" w:hAnsi="Times New Roman" w:cs="Times New Roman"/>
        </w:rPr>
        <w:t xml:space="preserve"> after delivering the </w:t>
      </w:r>
      <w:r w:rsidR="001B48EC" w:rsidRPr="009A3069">
        <w:rPr>
          <w:rFonts w:ascii="Times New Roman" w:hAnsi="Times New Roman" w:cs="Times New Roman"/>
        </w:rPr>
        <w:t xml:space="preserve">required </w:t>
      </w:r>
      <w:r w:rsidR="009A3069">
        <w:rPr>
          <w:rFonts w:ascii="Times New Roman" w:hAnsi="Times New Roman" w:cs="Times New Roman"/>
        </w:rPr>
        <w:t>goods</w:t>
      </w:r>
      <w:r w:rsidRPr="009A3069">
        <w:rPr>
          <w:rFonts w:ascii="Times New Roman" w:hAnsi="Times New Roman" w:cs="Times New Roman"/>
        </w:rPr>
        <w:t xml:space="preserve"> can be seen as </w:t>
      </w:r>
      <w:r w:rsidR="009A3069">
        <w:rPr>
          <w:rFonts w:ascii="Times New Roman" w:hAnsi="Times New Roman" w:cs="Times New Roman"/>
        </w:rPr>
        <w:t xml:space="preserve">a </w:t>
      </w:r>
      <w:r w:rsidRPr="009A3069">
        <w:rPr>
          <w:rFonts w:ascii="Times New Roman" w:hAnsi="Times New Roman" w:cs="Times New Roman"/>
        </w:rPr>
        <w:t xml:space="preserve">good executory consideration. </w:t>
      </w:r>
    </w:p>
    <w:p w14:paraId="0D92AA18" w14:textId="587D37B1" w:rsidR="00E31EFB" w:rsidRPr="009A3069" w:rsidRDefault="00E31EFB" w:rsidP="00B84D11">
      <w:pPr>
        <w:spacing w:after="100"/>
        <w:ind w:firstLine="357"/>
        <w:jc w:val="both"/>
        <w:rPr>
          <w:rFonts w:ascii="Times New Roman" w:hAnsi="Times New Roman" w:cs="Times New Roman"/>
        </w:rPr>
      </w:pPr>
      <w:r w:rsidRPr="009A3069">
        <w:rPr>
          <w:rFonts w:ascii="Times New Roman" w:hAnsi="Times New Roman" w:cs="Times New Roman"/>
        </w:rPr>
        <w:t xml:space="preserve">Executed consideration is where the consideration provided at the moment has been performed. It is often related to a unilateral offer made by the promisor, which is accepted by the </w:t>
      </w:r>
      <w:proofErr w:type="spellStart"/>
      <w:r w:rsidRPr="009A3069">
        <w:rPr>
          <w:rFonts w:ascii="Times New Roman" w:hAnsi="Times New Roman" w:cs="Times New Roman"/>
        </w:rPr>
        <w:t>promisee’s</w:t>
      </w:r>
      <w:proofErr w:type="spellEnd"/>
      <w:r w:rsidRPr="009A3069">
        <w:rPr>
          <w:rFonts w:ascii="Times New Roman" w:hAnsi="Times New Roman" w:cs="Times New Roman"/>
        </w:rPr>
        <w:t xml:space="preserve"> performance (Carlill v Carbolic Smoke Ball Co</w:t>
      </w:r>
      <w:r w:rsidR="004965EC">
        <w:rPr>
          <w:rFonts w:ascii="Times New Roman" w:hAnsi="Times New Roman" w:cs="Times New Roman" w:hint="eastAsia"/>
        </w:rPr>
        <w:t xml:space="preserve"> [1893]</w:t>
      </w:r>
      <w:r w:rsidRPr="009A3069">
        <w:rPr>
          <w:rFonts w:ascii="Times New Roman" w:hAnsi="Times New Roman" w:cs="Times New Roman"/>
        </w:rPr>
        <w:t xml:space="preserve">). A typical example of executed consideration as a unilateral contract is a reward </w:t>
      </w:r>
      <w:r w:rsidR="00C80597" w:rsidRPr="009A3069">
        <w:rPr>
          <w:rFonts w:ascii="Times New Roman" w:hAnsi="Times New Roman" w:cs="Times New Roman"/>
        </w:rPr>
        <w:fldChar w:fldCharType="begin"/>
      </w:r>
      <w:r w:rsidR="00C80597" w:rsidRPr="009A3069">
        <w:rPr>
          <w:rFonts w:ascii="Times New Roman" w:hAnsi="Times New Roman" w:cs="Times New Roman"/>
        </w:rPr>
        <w:instrText xml:space="preserve"> ADDIN ZOTERO_ITEM CSL_CITATION {"citationID":"Elcde93a","properties":{"formattedCitation":"(Pettit, 1983)","plainCitation":"(Pettit, 1983)","noteIndex":0},"citationItems":[{"id":48,"uris":["http://zotero.org/users/local/LRYjC9Ia/items/YYI6AX59"],"itemData":{"id":48,"type":"article-journal","container-title":"Boston University Law Review","issue":"3","page":"551","title":"Modern Unilateral Contracts","volume":"63","author":[{"family":"Pettit","given":"Mark"}],"issued":{"date-parts":[["1983",5,1]]}}}],"schema":"https://github.com/citation-style-language/schema/raw/master/csl-citation.json"} </w:instrText>
      </w:r>
      <w:r w:rsidR="00C80597" w:rsidRPr="009A3069">
        <w:rPr>
          <w:rFonts w:ascii="Times New Roman" w:hAnsi="Times New Roman" w:cs="Times New Roman"/>
        </w:rPr>
        <w:fldChar w:fldCharType="separate"/>
      </w:r>
      <w:r w:rsidR="00C80597" w:rsidRPr="009A3069">
        <w:rPr>
          <w:rFonts w:ascii="Times New Roman" w:eastAsia="等线" w:hAnsi="Times New Roman" w:cs="Times New Roman"/>
        </w:rPr>
        <w:t>(Pettit, 1983)</w:t>
      </w:r>
      <w:r w:rsidR="00C80597" w:rsidRPr="009A3069">
        <w:rPr>
          <w:rFonts w:ascii="Times New Roman" w:hAnsi="Times New Roman" w:cs="Times New Roman"/>
        </w:rPr>
        <w:fldChar w:fldCharType="end"/>
      </w:r>
      <w:r w:rsidRPr="009A3069">
        <w:rPr>
          <w:rFonts w:ascii="Times New Roman" w:hAnsi="Times New Roman" w:cs="Times New Roman"/>
        </w:rPr>
        <w:t>, such as for the return of a lost dog.</w:t>
      </w:r>
    </w:p>
    <w:p w14:paraId="28373D36" w14:textId="4AE5569E" w:rsidR="000F7EBA" w:rsidRPr="009A3069" w:rsidRDefault="00B14D65" w:rsidP="00B84D11">
      <w:pPr>
        <w:spacing w:beforeLines="150" w:before="468" w:after="100"/>
        <w:ind w:firstLine="357"/>
        <w:jc w:val="both"/>
        <w:rPr>
          <w:rFonts w:ascii="Times New Roman" w:hAnsi="Times New Roman" w:cs="Times New Roman"/>
        </w:rPr>
      </w:pPr>
      <w:r w:rsidRPr="009A3069">
        <w:rPr>
          <w:rFonts w:ascii="Times New Roman" w:hAnsi="Times New Roman" w:cs="Times New Roman"/>
        </w:rPr>
        <w:t xml:space="preserve">In addition to the traditional sense of promise exchange, in reality, we will encounter more complex and </w:t>
      </w:r>
      <w:r w:rsidR="001B48EC" w:rsidRPr="009A3069">
        <w:rPr>
          <w:rFonts w:ascii="Times New Roman" w:hAnsi="Times New Roman" w:cs="Times New Roman"/>
        </w:rPr>
        <w:t>various</w:t>
      </w:r>
      <w:r w:rsidRPr="009A3069">
        <w:rPr>
          <w:rFonts w:ascii="Times New Roman" w:hAnsi="Times New Roman" w:cs="Times New Roman"/>
        </w:rPr>
        <w:t xml:space="preserve"> forms of consideration, which leads to the emergence of some controvert issues. The scope and definition of consideration </w:t>
      </w:r>
      <w:r w:rsidR="009A3069">
        <w:rPr>
          <w:rFonts w:ascii="Times New Roman" w:hAnsi="Times New Roman" w:cs="Times New Roman"/>
        </w:rPr>
        <w:t>have</w:t>
      </w:r>
      <w:r w:rsidRPr="009A3069">
        <w:rPr>
          <w:rFonts w:ascii="Times New Roman" w:hAnsi="Times New Roman" w:cs="Times New Roman"/>
        </w:rPr>
        <w:t xml:space="preserve"> also evolved with the progress of society and the change </w:t>
      </w:r>
      <w:r w:rsidR="00C21918">
        <w:rPr>
          <w:rFonts w:ascii="Times New Roman" w:hAnsi="Times New Roman" w:cs="Times New Roman"/>
        </w:rPr>
        <w:t>in</w:t>
      </w:r>
      <w:r w:rsidRPr="009A3069">
        <w:rPr>
          <w:rFonts w:ascii="Times New Roman" w:hAnsi="Times New Roman" w:cs="Times New Roman"/>
        </w:rPr>
        <w:t xml:space="preserve"> people's concepts</w:t>
      </w:r>
      <w:r w:rsidR="00070BF1" w:rsidRPr="009A3069">
        <w:rPr>
          <w:rFonts w:ascii="Times New Roman" w:hAnsi="Times New Roman" w:cs="Times New Roman"/>
        </w:rPr>
        <w:t xml:space="preserve"> </w:t>
      </w:r>
      <w:r w:rsidR="00070BF1" w:rsidRPr="009A3069">
        <w:rPr>
          <w:rFonts w:ascii="Times New Roman" w:hAnsi="Times New Roman" w:cs="Times New Roman"/>
        </w:rPr>
        <w:fldChar w:fldCharType="begin"/>
      </w:r>
      <w:r w:rsidR="00070BF1" w:rsidRPr="009A3069">
        <w:rPr>
          <w:rFonts w:ascii="Times New Roman" w:hAnsi="Times New Roman" w:cs="Times New Roman"/>
        </w:rPr>
        <w:instrText xml:space="preserve"> ADDIN ZOTERO_ITEM CSL_CITATION {"citationID":"kxzOFeIG","properties":{"formattedCitation":"(Sim, 2009)","plainCitation":"(Sim, 2009)","noteIndex":0},"citationItems":[{"id":23,"uris":["http://zotero.org/users/local/LRYjC9Ia/items/5DZDDM5A"],"itemData":{"id":23,"type":"article-journal","note":"publisher: David Sim","source":"Google Scholar","title":"Contract, Consideration and Consistency","URL":"https://ourarchive.otago.ac.nz/handle/10523/1566","author":[{"family":"Sim","given":"David"}],"accessed":{"date-parts":[["2024",3,7]]},"issued":{"date-parts":[["2009"]]}}}],"schema":"https://github.com/citation-style-language/schema/raw/master/csl-citation.json"} </w:instrText>
      </w:r>
      <w:r w:rsidR="00070BF1" w:rsidRPr="009A3069">
        <w:rPr>
          <w:rFonts w:ascii="Times New Roman" w:hAnsi="Times New Roman" w:cs="Times New Roman"/>
        </w:rPr>
        <w:fldChar w:fldCharType="separate"/>
      </w:r>
      <w:r w:rsidR="00070BF1" w:rsidRPr="009A3069">
        <w:rPr>
          <w:rFonts w:ascii="Times New Roman" w:hAnsi="Times New Roman" w:cs="Times New Roman"/>
        </w:rPr>
        <w:t>(Sim, 2009)</w:t>
      </w:r>
      <w:r w:rsidR="00070BF1" w:rsidRPr="009A3069">
        <w:rPr>
          <w:rFonts w:ascii="Times New Roman" w:hAnsi="Times New Roman" w:cs="Times New Roman"/>
        </w:rPr>
        <w:fldChar w:fldCharType="end"/>
      </w:r>
      <w:r w:rsidRPr="009A3069">
        <w:rPr>
          <w:rFonts w:ascii="Times New Roman" w:hAnsi="Times New Roman" w:cs="Times New Roman"/>
        </w:rPr>
        <w:t>. These issues create more possibilities for consideration, increase its flexibility, and make it more efficiently enforced in the real world.</w:t>
      </w:r>
    </w:p>
    <w:p w14:paraId="59D30751" w14:textId="5CEDC440" w:rsidR="001A69C4" w:rsidRPr="009A3069" w:rsidRDefault="001A69C4" w:rsidP="00B84D11">
      <w:pPr>
        <w:spacing w:after="100"/>
        <w:ind w:firstLine="357"/>
        <w:jc w:val="both"/>
        <w:rPr>
          <w:rFonts w:ascii="Times New Roman" w:hAnsi="Times New Roman" w:cs="Times New Roman"/>
        </w:rPr>
      </w:pPr>
      <w:r w:rsidRPr="009A3069">
        <w:rPr>
          <w:rFonts w:ascii="Times New Roman" w:hAnsi="Times New Roman" w:cs="Times New Roman"/>
        </w:rPr>
        <w:t xml:space="preserve">According to </w:t>
      </w:r>
      <w:r w:rsidR="00857D4A" w:rsidRPr="009A3069">
        <w:rPr>
          <w:rFonts w:ascii="Times New Roman" w:hAnsi="Times New Roman" w:cs="Times New Roman"/>
        </w:rPr>
        <w:t>a fundamental principle in c</w:t>
      </w:r>
      <w:r w:rsidRPr="009A3069">
        <w:rPr>
          <w:rFonts w:ascii="Times New Roman" w:hAnsi="Times New Roman" w:cs="Times New Roman"/>
        </w:rPr>
        <w:t>ontract Law, consideration must be sufficient but need not be adequate. In the famous case Thomas v Thomas [1842], Mrs. Thomas was allowed to live in the house after her husband’s death by paying peppercorn</w:t>
      </w:r>
      <w:r w:rsidR="00070BF1" w:rsidRPr="009A3069">
        <w:rPr>
          <w:rFonts w:ascii="Times New Roman" w:hAnsi="Times New Roman" w:cs="Times New Roman"/>
        </w:rPr>
        <w:t>s</w:t>
      </w:r>
      <w:r w:rsidRPr="009A3069">
        <w:rPr>
          <w:rFonts w:ascii="Times New Roman" w:hAnsi="Times New Roman" w:cs="Times New Roman"/>
        </w:rPr>
        <w:t xml:space="preserve"> worth £1 per year</w:t>
      </w:r>
      <w:r w:rsidR="00857D4A" w:rsidRPr="009A3069">
        <w:rPr>
          <w:rFonts w:ascii="Times New Roman" w:hAnsi="Times New Roman" w:cs="Times New Roman"/>
        </w:rPr>
        <w:t xml:space="preserve">. </w:t>
      </w:r>
      <w:r w:rsidRPr="009A3069">
        <w:rPr>
          <w:rFonts w:ascii="Times New Roman" w:hAnsi="Times New Roman" w:cs="Times New Roman"/>
        </w:rPr>
        <w:t xml:space="preserve">It was firstly argued that Mrs. Thomas provided inadequate consideration which was not enough to rent a house. However, </w:t>
      </w:r>
      <w:r w:rsidR="00F34F10">
        <w:rPr>
          <w:rFonts w:ascii="Times New Roman" w:hAnsi="Times New Roman" w:cs="Times New Roman" w:hint="eastAsia"/>
        </w:rPr>
        <w:t xml:space="preserve">the outcome claimed by the court proved that </w:t>
      </w:r>
      <w:r w:rsidRPr="009A3069">
        <w:rPr>
          <w:rFonts w:ascii="Times New Roman" w:hAnsi="Times New Roman" w:cs="Times New Roman"/>
        </w:rPr>
        <w:t>the consideration need not be equal to the true market value promised by the other party. Contract law does not care whether the parties are exchanging something of equal value as long as they are satisfied with the value of the promises they are exchanging</w:t>
      </w:r>
      <w:r w:rsidR="00070BF1" w:rsidRPr="009A3069">
        <w:rPr>
          <w:rFonts w:ascii="Times New Roman" w:hAnsi="Times New Roman" w:cs="Times New Roman"/>
        </w:rPr>
        <w:t xml:space="preserve"> </w:t>
      </w:r>
      <w:r w:rsidR="00070BF1" w:rsidRPr="009A3069">
        <w:rPr>
          <w:rFonts w:ascii="Times New Roman" w:hAnsi="Times New Roman" w:cs="Times New Roman"/>
        </w:rPr>
        <w:fldChar w:fldCharType="begin"/>
      </w:r>
      <w:r w:rsidR="00070BF1" w:rsidRPr="009A3069">
        <w:rPr>
          <w:rFonts w:ascii="Times New Roman" w:hAnsi="Times New Roman" w:cs="Times New Roman"/>
        </w:rPr>
        <w:instrText xml:space="preserve"> ADDIN ZOTERO_ITEM CSL_CITATION {"citationID":"tF1idHlD","properties":{"formattedCitation":"(Fried, 2015)","plainCitation":"(Fried, 2015)","noteIndex":0},"citationItems":[{"id":25,"uris":["http://zotero.org/users/local/LRYjC9Ia/items/XZAEITC7"],"itemData":{"id":25,"type":"book","publisher":"Oxford University Press, USA","source":"Google Scholar","title":"Contract as promise: A theory of contractual obligation","title-short":"Contract as promise","URL":"https://books.google.com/books?hl=zh-CN&amp;lr=&amp;id=KM8YBwAAQBAJ&amp;oi=fnd&amp;pg=PP1&amp;dq=Contract+law+does+not+care+whether+the+parties+are+exchanging+something+of+equal+value+as+long+as+they+are+satisfied+with+the+value+of+the+promises+they+are+exchanging.&amp;ots=rC5Hsp-TJ3&amp;sig=qTv_q5Ohi3foucz6k-ZS0MGjbOw","author":[{"family":"Fried","given":"Charles"}],"accessed":{"date-parts":[["2024",3,7]]},"issued":{"date-parts":[["2015"]]}}}],"schema":"https://github.com/citation-style-language/schema/raw/master/csl-citation.json"} </w:instrText>
      </w:r>
      <w:r w:rsidR="00070BF1" w:rsidRPr="009A3069">
        <w:rPr>
          <w:rFonts w:ascii="Times New Roman" w:hAnsi="Times New Roman" w:cs="Times New Roman"/>
        </w:rPr>
        <w:fldChar w:fldCharType="separate"/>
      </w:r>
      <w:r w:rsidR="00070BF1" w:rsidRPr="009A3069">
        <w:rPr>
          <w:rFonts w:ascii="Times New Roman" w:eastAsia="等线" w:hAnsi="Times New Roman" w:cs="Times New Roman"/>
        </w:rPr>
        <w:t>(Fried, 2015)</w:t>
      </w:r>
      <w:r w:rsidR="00070BF1" w:rsidRPr="009A3069">
        <w:rPr>
          <w:rFonts w:ascii="Times New Roman" w:hAnsi="Times New Roman" w:cs="Times New Roman"/>
        </w:rPr>
        <w:fldChar w:fldCharType="end"/>
      </w:r>
      <w:r w:rsidRPr="009A3069">
        <w:rPr>
          <w:rFonts w:ascii="Times New Roman" w:hAnsi="Times New Roman" w:cs="Times New Roman"/>
        </w:rPr>
        <w:t>. Therefore, the contract was enforceable.</w:t>
      </w:r>
    </w:p>
    <w:p w14:paraId="0FCCA0EB" w14:textId="4D8A4F94" w:rsidR="001A69C4" w:rsidRPr="00E91C01" w:rsidRDefault="00447C6A" w:rsidP="00B84D11">
      <w:pPr>
        <w:spacing w:after="100"/>
        <w:ind w:firstLine="357"/>
        <w:jc w:val="both"/>
        <w:rPr>
          <w:rFonts w:ascii="Times New Roman" w:hAnsi="Times New Roman" w:cs="Times New Roman"/>
        </w:rPr>
      </w:pPr>
      <w:r>
        <w:rPr>
          <w:rFonts w:ascii="Times New Roman" w:hAnsi="Times New Roman" w:cs="Times New Roman" w:hint="eastAsia"/>
        </w:rPr>
        <w:t>The importance of t</w:t>
      </w:r>
      <w:r w:rsidR="001A69C4" w:rsidRPr="009A3069">
        <w:rPr>
          <w:rFonts w:ascii="Times New Roman" w:hAnsi="Times New Roman" w:cs="Times New Roman"/>
        </w:rPr>
        <w:t xml:space="preserve">his principle </w:t>
      </w:r>
      <w:r>
        <w:rPr>
          <w:rFonts w:ascii="Times New Roman" w:hAnsi="Times New Roman" w:cs="Times New Roman" w:hint="eastAsia"/>
        </w:rPr>
        <w:t xml:space="preserve">lies in that it </w:t>
      </w:r>
      <w:r w:rsidR="001A69C4" w:rsidRPr="009A3069">
        <w:rPr>
          <w:rFonts w:ascii="Times New Roman" w:hAnsi="Times New Roman" w:cs="Times New Roman"/>
        </w:rPr>
        <w:t>allows parties to freely negotiate and enter into contracts based on their assessment of value without sticking to the economic fairness of the exchange</w:t>
      </w:r>
      <w:r w:rsidR="00604A5E" w:rsidRPr="009A3069">
        <w:rPr>
          <w:rFonts w:ascii="Times New Roman" w:hAnsi="Times New Roman" w:cs="Times New Roman"/>
        </w:rPr>
        <w:t>, largely preserving the freedom of contract and the parties' autonomy in determining the terms of their agreement</w:t>
      </w:r>
      <w:r w:rsidR="00E65923" w:rsidRPr="009A3069">
        <w:rPr>
          <w:rFonts w:ascii="Times New Roman" w:hAnsi="Times New Roman" w:cs="Times New Roman"/>
        </w:rPr>
        <w:t xml:space="preserve"> </w:t>
      </w:r>
      <w:r w:rsidR="00E65923" w:rsidRPr="009A3069">
        <w:rPr>
          <w:rFonts w:ascii="Times New Roman" w:hAnsi="Times New Roman" w:cs="Times New Roman"/>
        </w:rPr>
        <w:fldChar w:fldCharType="begin"/>
      </w:r>
      <w:r w:rsidR="00E65923" w:rsidRPr="009A3069">
        <w:rPr>
          <w:rFonts w:ascii="Times New Roman" w:hAnsi="Times New Roman" w:cs="Times New Roman"/>
        </w:rPr>
        <w:instrText xml:space="preserve"> ADDIN ZOTERO_ITEM CSL_CITATION {"citationID":"DdLUqyjv","properties":{"formattedCitation":"(Daya-Winterbottom, 2022)","plainCitation":"(Daya-Winterbottom, 2022)","noteIndex":0},"citationItems":[{"id":26,"uris":["http://zotero.org/users/local/LRYjC9Ia/items/XCGUI34C"],"itemData":{"id":26,"type":"thesis","genre":"PhD Thesis","publisher":"University of Otago","source":"Google Scholar","title":"A Critical Analysis of the Requirement of Consideration for Contractual Variations","URL":"https://ourarchive.otago.ac.nz/bitstream/handle/10523/14689/Daya-WinterbottomMichael2020LLM.pdf?sequence=1","author":[{"family":"Daya-Winterbottom","given":"Michael Anil"}],"accessed":{"date-parts":[["2024",3,7]]},"issued":{"date-parts":[["2022"]]}}}],"schema":"https://github.com/citation-style-language/schema/raw/master/csl-citation.json"} </w:instrText>
      </w:r>
      <w:r w:rsidR="00E65923" w:rsidRPr="009A3069">
        <w:rPr>
          <w:rFonts w:ascii="Times New Roman" w:hAnsi="Times New Roman" w:cs="Times New Roman"/>
        </w:rPr>
        <w:fldChar w:fldCharType="separate"/>
      </w:r>
      <w:r w:rsidR="00E65923" w:rsidRPr="009A3069">
        <w:rPr>
          <w:rFonts w:ascii="Times New Roman" w:eastAsia="等线" w:hAnsi="Times New Roman" w:cs="Times New Roman"/>
        </w:rPr>
        <w:t>(Daya-Winterbottom, 2022)</w:t>
      </w:r>
      <w:r w:rsidR="00E65923" w:rsidRPr="009A3069">
        <w:rPr>
          <w:rFonts w:ascii="Times New Roman" w:hAnsi="Times New Roman" w:cs="Times New Roman"/>
        </w:rPr>
        <w:fldChar w:fldCharType="end"/>
      </w:r>
      <w:r w:rsidR="00604A5E" w:rsidRPr="009A3069">
        <w:rPr>
          <w:rFonts w:ascii="Times New Roman" w:hAnsi="Times New Roman" w:cs="Times New Roman"/>
        </w:rPr>
        <w:t xml:space="preserve">. The </w:t>
      </w:r>
      <w:r>
        <w:rPr>
          <w:rFonts w:ascii="Times New Roman" w:hAnsi="Times New Roman" w:cs="Times New Roman" w:hint="eastAsia"/>
        </w:rPr>
        <w:t xml:space="preserve">supporting </w:t>
      </w:r>
      <w:r w:rsidR="00F34F10">
        <w:rPr>
          <w:rFonts w:ascii="Times New Roman" w:hAnsi="Times New Roman" w:cs="Times New Roman" w:hint="eastAsia"/>
        </w:rPr>
        <w:t xml:space="preserve">point </w:t>
      </w:r>
      <w:r>
        <w:rPr>
          <w:rFonts w:ascii="Times New Roman" w:hAnsi="Times New Roman" w:cs="Times New Roman" w:hint="eastAsia"/>
        </w:rPr>
        <w:t xml:space="preserve">is </w:t>
      </w:r>
      <w:r w:rsidR="00604A5E" w:rsidRPr="009A3069">
        <w:rPr>
          <w:rFonts w:ascii="Times New Roman" w:hAnsi="Times New Roman" w:cs="Times New Roman"/>
        </w:rPr>
        <w:t xml:space="preserve">that individuals have different values and preferences, and what </w:t>
      </w:r>
      <w:r w:rsidR="00E65923" w:rsidRPr="009A3069">
        <w:rPr>
          <w:rFonts w:ascii="Times New Roman" w:hAnsi="Times New Roman" w:cs="Times New Roman"/>
        </w:rPr>
        <w:t xml:space="preserve">is </w:t>
      </w:r>
      <w:r w:rsidR="00604A5E" w:rsidRPr="009A3069">
        <w:rPr>
          <w:rFonts w:ascii="Times New Roman" w:hAnsi="Times New Roman" w:cs="Times New Roman"/>
        </w:rPr>
        <w:t>valuable to one party may not be to another, but courts are generally not equipped to make subjective judgments about the adequacy of consideration</w:t>
      </w:r>
      <w:r w:rsidR="00335A70" w:rsidRPr="009A3069">
        <w:rPr>
          <w:rFonts w:ascii="Times New Roman" w:hAnsi="Times New Roman" w:cs="Times New Roman"/>
        </w:rPr>
        <w:t xml:space="preserve"> </w:t>
      </w:r>
      <w:r w:rsidR="00335A70" w:rsidRPr="009A3069">
        <w:rPr>
          <w:rFonts w:ascii="Times New Roman" w:hAnsi="Times New Roman" w:cs="Times New Roman"/>
        </w:rPr>
        <w:fldChar w:fldCharType="begin"/>
      </w:r>
      <w:r w:rsidR="00335A70" w:rsidRPr="009A3069">
        <w:rPr>
          <w:rFonts w:ascii="Times New Roman" w:hAnsi="Times New Roman" w:cs="Times New Roman"/>
        </w:rPr>
        <w:instrText xml:space="preserve"> ADDIN ZOTERO_ITEM CSL_CITATION {"citationID":"lKVHbaG3","properties":{"formattedCitation":"(Polubinski Jr, 1968)","plainCitation":"(Polubinski Jr, 1968)","noteIndex":0},"citationItems":[{"id":28,"uris":["http://zotero.org/users/local/LRYjC9Ia/items/EMLJ7C95"],"itemData":{"id":28,"type":"article-journal","container-title":"Wm. &amp; Mary L. Rev.","note":"publisher: HeinOnline","page":"201","source":"Google Scholar","title":"The peppercorn theory and the Restatement of Contracts","volume":"10","author":[{"family":"Polubinski Jr","given":"Edmund"}],"issued":{"date-parts":[["1968"]]}}}],"schema":"https://github.com/citation-style-language/schema/raw/master/csl-citation.json"} </w:instrText>
      </w:r>
      <w:r w:rsidR="00335A70" w:rsidRPr="009A3069">
        <w:rPr>
          <w:rFonts w:ascii="Times New Roman" w:hAnsi="Times New Roman" w:cs="Times New Roman"/>
        </w:rPr>
        <w:fldChar w:fldCharType="separate"/>
      </w:r>
      <w:r w:rsidR="00335A70" w:rsidRPr="009A3069">
        <w:rPr>
          <w:rFonts w:ascii="Times New Roman" w:eastAsia="等线" w:hAnsi="Times New Roman" w:cs="Times New Roman"/>
        </w:rPr>
        <w:t>(Polubinski Jr, 1968)</w:t>
      </w:r>
      <w:r w:rsidR="00335A70" w:rsidRPr="009A3069">
        <w:rPr>
          <w:rFonts w:ascii="Times New Roman" w:hAnsi="Times New Roman" w:cs="Times New Roman"/>
        </w:rPr>
        <w:fldChar w:fldCharType="end"/>
      </w:r>
      <w:r w:rsidR="00604A5E" w:rsidRPr="009A3069">
        <w:rPr>
          <w:rFonts w:ascii="Times New Roman" w:hAnsi="Times New Roman" w:cs="Times New Roman"/>
        </w:rPr>
        <w:t xml:space="preserve">. </w:t>
      </w:r>
      <w:r w:rsidR="00E91C01">
        <w:rPr>
          <w:rFonts w:ascii="Times New Roman" w:hAnsi="Times New Roman" w:cs="Times New Roman" w:hint="eastAsia"/>
        </w:rPr>
        <w:t>The most e</w:t>
      </w:r>
      <w:r w:rsidR="00E91C01" w:rsidRPr="00E91C01">
        <w:rPr>
          <w:rFonts w:ascii="Times New Roman" w:hAnsi="Times New Roman" w:cs="Times New Roman"/>
        </w:rPr>
        <w:t>asy</w:t>
      </w:r>
      <w:r w:rsidR="00E91C01">
        <w:rPr>
          <w:rFonts w:ascii="Times New Roman" w:hAnsi="Times New Roman" w:cs="Times New Roman" w:hint="eastAsia"/>
        </w:rPr>
        <w:t>-</w:t>
      </w:r>
      <w:r w:rsidR="00E91C01" w:rsidRPr="00E91C01">
        <w:rPr>
          <w:rFonts w:ascii="Times New Roman" w:hAnsi="Times New Roman" w:cs="Times New Roman"/>
        </w:rPr>
        <w:t>to</w:t>
      </w:r>
      <w:r w:rsidR="00E91C01">
        <w:rPr>
          <w:rFonts w:ascii="Times New Roman" w:hAnsi="Times New Roman" w:cs="Times New Roman" w:hint="eastAsia"/>
        </w:rPr>
        <w:t>-</w:t>
      </w:r>
      <w:r w:rsidR="00E91C01" w:rsidRPr="00E91C01">
        <w:rPr>
          <w:rFonts w:ascii="Times New Roman" w:hAnsi="Times New Roman" w:cs="Times New Roman"/>
        </w:rPr>
        <w:t>understand</w:t>
      </w:r>
      <w:r w:rsidR="00E91C01">
        <w:rPr>
          <w:rFonts w:ascii="Times New Roman" w:hAnsi="Times New Roman" w:cs="Times New Roman" w:hint="eastAsia"/>
        </w:rPr>
        <w:t xml:space="preserve"> example is the</w:t>
      </w:r>
      <w:r w:rsidR="00E91C01" w:rsidRPr="00E91C01">
        <w:t xml:space="preserve"> </w:t>
      </w:r>
      <w:r w:rsidR="00E91C01">
        <w:rPr>
          <w:rFonts w:hint="eastAsia"/>
        </w:rPr>
        <w:t>a</w:t>
      </w:r>
      <w:r w:rsidR="00E91C01" w:rsidRPr="00E91C01">
        <w:rPr>
          <w:rFonts w:ascii="Times New Roman" w:hAnsi="Times New Roman" w:cs="Times New Roman"/>
        </w:rPr>
        <w:t>ssessment of the painting's value in the art market</w:t>
      </w:r>
      <w:r w:rsidR="00E91C01">
        <w:rPr>
          <w:rFonts w:ascii="Times New Roman" w:hAnsi="Times New Roman" w:cs="Times New Roman" w:hint="eastAsia"/>
        </w:rPr>
        <w:t xml:space="preserve">, </w:t>
      </w:r>
      <w:r w:rsidR="00E91C01">
        <w:rPr>
          <w:rFonts w:ascii="Times New Roman" w:hAnsi="Times New Roman" w:cs="Times New Roman"/>
        </w:rPr>
        <w:t>which</w:t>
      </w:r>
      <w:r w:rsidR="00E91C01">
        <w:rPr>
          <w:rFonts w:ascii="Times New Roman" w:hAnsi="Times New Roman" w:cs="Times New Roman" w:hint="eastAsia"/>
        </w:rPr>
        <w:t xml:space="preserve"> may vary a lot in different people</w:t>
      </w:r>
      <w:r w:rsidR="00E91C01">
        <w:rPr>
          <w:rFonts w:ascii="Times New Roman" w:hAnsi="Times New Roman" w:cs="Times New Roman"/>
        </w:rPr>
        <w:t>’</w:t>
      </w:r>
      <w:r w:rsidR="00E91C01">
        <w:rPr>
          <w:rFonts w:ascii="Times New Roman" w:hAnsi="Times New Roman" w:cs="Times New Roman" w:hint="eastAsia"/>
        </w:rPr>
        <w:t xml:space="preserve">s eyes </w:t>
      </w:r>
      <w:r w:rsidR="00E91C01" w:rsidRPr="00E91C01">
        <w:rPr>
          <w:rFonts w:ascii="Times New Roman" w:hAnsi="Times New Roman" w:cs="Times New Roman"/>
        </w:rPr>
        <w:t>(Anderson, 1974).</w:t>
      </w:r>
      <w:r w:rsidR="00E91C01">
        <w:rPr>
          <w:rFonts w:ascii="Times New Roman" w:hAnsi="Times New Roman" w:cs="Times New Roman" w:hint="eastAsia"/>
        </w:rPr>
        <w:t xml:space="preserve"> </w:t>
      </w:r>
      <w:r w:rsidR="00604A5E" w:rsidRPr="009A3069">
        <w:rPr>
          <w:rFonts w:ascii="Times New Roman" w:hAnsi="Times New Roman" w:cs="Times New Roman"/>
        </w:rPr>
        <w:t>The principle allows for a more straightforward assessment of a fair exchange by leaving it to the parties to evaluate the worth by themselves</w:t>
      </w:r>
      <w:r w:rsidR="00E91C01">
        <w:rPr>
          <w:rFonts w:ascii="Times New Roman" w:hAnsi="Times New Roman" w:cs="Times New Roman" w:hint="eastAsia"/>
        </w:rPr>
        <w:t>, proving the thesis about consideration</w:t>
      </w:r>
      <w:r w:rsidR="00E91C01">
        <w:rPr>
          <w:rFonts w:ascii="Times New Roman" w:hAnsi="Times New Roman" w:cs="Times New Roman"/>
        </w:rPr>
        <w:t>’</w:t>
      </w:r>
      <w:r w:rsidR="00E91C01">
        <w:rPr>
          <w:rFonts w:ascii="Times New Roman" w:hAnsi="Times New Roman" w:cs="Times New Roman" w:hint="eastAsia"/>
        </w:rPr>
        <w:t xml:space="preserve">s </w:t>
      </w:r>
      <w:r w:rsidR="008A5836">
        <w:rPr>
          <w:rFonts w:ascii="Times New Roman" w:hAnsi="Times New Roman" w:cs="Times New Roman"/>
        </w:rPr>
        <w:t>gradual</w:t>
      </w:r>
      <w:r w:rsidR="00E91C01">
        <w:rPr>
          <w:rFonts w:ascii="Times New Roman" w:hAnsi="Times New Roman" w:cs="Times New Roman" w:hint="eastAsia"/>
        </w:rPr>
        <w:t xml:space="preserve"> </w:t>
      </w:r>
      <w:r w:rsidR="00672B26">
        <w:rPr>
          <w:rFonts w:ascii="Times New Roman" w:hAnsi="Times New Roman" w:cs="Times New Roman" w:hint="eastAsia"/>
        </w:rPr>
        <w:t>flexibility</w:t>
      </w:r>
      <w:r w:rsidR="00E91C01">
        <w:rPr>
          <w:rFonts w:ascii="Times New Roman" w:hAnsi="Times New Roman" w:cs="Times New Roman" w:hint="eastAsia"/>
        </w:rPr>
        <w:t>.</w:t>
      </w:r>
    </w:p>
    <w:p w14:paraId="2D49533A" w14:textId="6119887E" w:rsidR="001A69C4" w:rsidRDefault="00604A5E" w:rsidP="00B84D11">
      <w:pPr>
        <w:spacing w:after="100"/>
        <w:ind w:firstLine="357"/>
        <w:jc w:val="both"/>
        <w:rPr>
          <w:rFonts w:ascii="Times New Roman" w:hAnsi="Times New Roman" w:cs="Times New Roman"/>
        </w:rPr>
      </w:pPr>
      <w:r w:rsidRPr="009A3069">
        <w:rPr>
          <w:rFonts w:ascii="Times New Roman" w:hAnsi="Times New Roman" w:cs="Times New Roman"/>
        </w:rPr>
        <w:t>However, this sufficiency princip</w:t>
      </w:r>
      <w:r w:rsidR="00E65923" w:rsidRPr="009A3069">
        <w:rPr>
          <w:rFonts w:ascii="Times New Roman" w:hAnsi="Times New Roman" w:cs="Times New Roman"/>
        </w:rPr>
        <w:t>le</w:t>
      </w:r>
      <w:r w:rsidRPr="009A3069">
        <w:rPr>
          <w:rFonts w:ascii="Times New Roman" w:hAnsi="Times New Roman" w:cs="Times New Roman"/>
        </w:rPr>
        <w:t xml:space="preserve"> could lead to concerns about unfairness. It creates opportunities for exploitation, especially if one party is in a significantly stronger position</w:t>
      </w:r>
      <w:r w:rsidR="00E65923" w:rsidRPr="009A3069">
        <w:rPr>
          <w:rFonts w:ascii="Times New Roman" w:hAnsi="Times New Roman" w:cs="Times New Roman"/>
        </w:rPr>
        <w:t xml:space="preserve">, </w:t>
      </w:r>
      <w:r w:rsidRPr="009A3069">
        <w:rPr>
          <w:rFonts w:ascii="Times New Roman" w:hAnsi="Times New Roman" w:cs="Times New Roman"/>
        </w:rPr>
        <w:t xml:space="preserve">where </w:t>
      </w:r>
      <w:r w:rsidR="00672B26">
        <w:rPr>
          <w:rFonts w:ascii="Times New Roman" w:hAnsi="Times New Roman" w:cs="Times New Roman" w:hint="eastAsia"/>
        </w:rPr>
        <w:t>the other</w:t>
      </w:r>
      <w:r w:rsidRPr="009A3069">
        <w:rPr>
          <w:rFonts w:ascii="Times New Roman" w:hAnsi="Times New Roman" w:cs="Times New Roman"/>
        </w:rPr>
        <w:t xml:space="preserve"> receives disproportionately </w:t>
      </w:r>
      <w:r w:rsidR="009A3069">
        <w:rPr>
          <w:rFonts w:ascii="Times New Roman" w:hAnsi="Times New Roman" w:cs="Times New Roman"/>
        </w:rPr>
        <w:t>fewer</w:t>
      </w:r>
      <w:r w:rsidRPr="009A3069">
        <w:rPr>
          <w:rFonts w:ascii="Times New Roman" w:hAnsi="Times New Roman" w:cs="Times New Roman"/>
        </w:rPr>
        <w:t xml:space="preserve"> benefits than what their promise is worth</w:t>
      </w:r>
      <w:r w:rsidR="00335A70" w:rsidRPr="009A3069">
        <w:rPr>
          <w:rFonts w:ascii="Times New Roman" w:hAnsi="Times New Roman" w:cs="Times New Roman"/>
        </w:rPr>
        <w:t xml:space="preserve"> </w:t>
      </w:r>
      <w:r w:rsidR="00335A70" w:rsidRPr="009A3069">
        <w:rPr>
          <w:rFonts w:ascii="Times New Roman" w:hAnsi="Times New Roman" w:cs="Times New Roman"/>
        </w:rPr>
        <w:fldChar w:fldCharType="begin"/>
      </w:r>
      <w:r w:rsidR="00335A70" w:rsidRPr="009A3069">
        <w:rPr>
          <w:rFonts w:ascii="Times New Roman" w:hAnsi="Times New Roman" w:cs="Times New Roman"/>
        </w:rPr>
        <w:instrText xml:space="preserve"> ADDIN ZOTERO_ITEM CSL_CITATION {"citationID":"Z4NQ26P7","properties":{"formattedCitation":"(Wong, 2021)","plainCitation":"(Wong, 2021)","noteIndex":0},"citationItems":[{"id":30,"uris":["http://zotero.org/users/local/LRYjC9Ia/items/MSIEJ5IA"],"itemData":{"id":30,"type":"article-journal","container-title":"UBCL Rev.","note":"publisher: HeinOnline","page":"483","source":"Google Scholar","title":"Fresh Consideration Rule: Insights from Its Resurrection in Quach v Mitrux Services Ltd","title-short":"Fresh Consideration Rule","volume":"54","author":[{"family":"Wong","given":"Anna SP"}],"issued":{"date-parts":[["2021"]]}}}],"schema":"https://github.com/citation-style-language/schema/raw/master/csl-citation.json"} </w:instrText>
      </w:r>
      <w:r w:rsidR="00335A70" w:rsidRPr="009A3069">
        <w:rPr>
          <w:rFonts w:ascii="Times New Roman" w:hAnsi="Times New Roman" w:cs="Times New Roman"/>
        </w:rPr>
        <w:fldChar w:fldCharType="separate"/>
      </w:r>
      <w:r w:rsidR="00335A70" w:rsidRPr="009A3069">
        <w:rPr>
          <w:rFonts w:ascii="Times New Roman" w:eastAsia="等线" w:hAnsi="Times New Roman" w:cs="Times New Roman"/>
        </w:rPr>
        <w:t>(Wong, 2021)</w:t>
      </w:r>
      <w:r w:rsidR="00335A70" w:rsidRPr="009A3069">
        <w:rPr>
          <w:rFonts w:ascii="Times New Roman" w:hAnsi="Times New Roman" w:cs="Times New Roman"/>
        </w:rPr>
        <w:fldChar w:fldCharType="end"/>
      </w:r>
      <w:r w:rsidRPr="009A3069">
        <w:rPr>
          <w:rFonts w:ascii="Times New Roman" w:hAnsi="Times New Roman" w:cs="Times New Roman"/>
        </w:rPr>
        <w:t>.</w:t>
      </w:r>
      <w:r w:rsidR="00086CC8">
        <w:rPr>
          <w:rFonts w:ascii="Times New Roman" w:hAnsi="Times New Roman" w:cs="Times New Roman" w:hint="eastAsia"/>
        </w:rPr>
        <w:t xml:space="preserve"> Therefore, related reform </w:t>
      </w:r>
      <w:r w:rsidR="008A5836">
        <w:rPr>
          <w:rFonts w:ascii="Times New Roman" w:hAnsi="Times New Roman" w:cs="Times New Roman"/>
        </w:rPr>
        <w:t>suggestions</w:t>
      </w:r>
      <w:r w:rsidR="00086CC8">
        <w:rPr>
          <w:rFonts w:ascii="Times New Roman" w:hAnsi="Times New Roman" w:cs="Times New Roman" w:hint="eastAsia"/>
        </w:rPr>
        <w:t xml:space="preserve"> can be made.</w:t>
      </w:r>
    </w:p>
    <w:p w14:paraId="2979FD41" w14:textId="68E4DB64" w:rsidR="00E91C01" w:rsidRPr="00E91C01" w:rsidRDefault="00086CC8" w:rsidP="00B84D11">
      <w:pPr>
        <w:spacing w:after="100"/>
        <w:ind w:firstLine="357"/>
        <w:jc w:val="both"/>
        <w:rPr>
          <w:rFonts w:ascii="Times New Roman" w:hAnsi="Times New Roman" w:cs="Times New Roman" w:hint="eastAsia"/>
        </w:rPr>
      </w:pPr>
      <w:r>
        <w:rPr>
          <w:rFonts w:ascii="Times New Roman" w:hAnsi="Times New Roman" w:cs="Times New Roman" w:hint="eastAsia"/>
        </w:rPr>
        <w:lastRenderedPageBreak/>
        <w:t>Firstly, i</w:t>
      </w:r>
      <w:r w:rsidR="00E91C01" w:rsidRPr="00086CC8">
        <w:rPr>
          <w:rFonts w:ascii="Times New Roman" w:hAnsi="Times New Roman" w:cs="Times New Roman"/>
        </w:rPr>
        <w:t xml:space="preserve">t is essential to introduce a fairness standard that allows courts to intervene in cases where the exchange is deemed unconscionable, especially in situations where there is a significant power imbalance between the parties. According to Harris </w:t>
      </w:r>
      <w:r w:rsidR="00E91C01" w:rsidRPr="00086CC8">
        <w:rPr>
          <w:rFonts w:ascii="Times New Roman" w:hAnsi="Times New Roman" w:cs="Times New Roman"/>
        </w:rPr>
        <w:fldChar w:fldCharType="begin"/>
      </w:r>
      <w:r w:rsidR="00E91C01" w:rsidRPr="00086CC8">
        <w:rPr>
          <w:rFonts w:ascii="Times New Roman" w:hAnsi="Times New Roman" w:cs="Times New Roman"/>
        </w:rPr>
        <w:instrText xml:space="preserve"> ADDIN ZOTERO_ITEM CSL_CITATION {"citationID":"i1Tgm6z7","properties":{"formattedCitation":"(Harris, 2000)","plainCitation":"(Harris, 2000)","noteIndex":0},"citationItems":[{"id":9,"uris":["http://zotero.org/users/local/LRYjC9Ia/items/APL9EEED"],"itemData":{"id":9,"type":"article-journal","container-title":"Hofstra Labor &amp; Employment Law Journal","journalAbbreviation":"Hofstra Lab. &amp; Emp. L. J.","page":"19","title":"Conceptions of Fairness and the Fair Labor Standards Act","volume":"18","author":[{"family":"Harris","given":"Seth D."}],"issued":{"date-parts":[["2000"]],"season":"2001"}}}],"schema":"https://github.com/citation-style-language/schema/raw/master/csl-citation.json"} </w:instrText>
      </w:r>
      <w:r w:rsidR="00E91C01" w:rsidRPr="00086CC8">
        <w:rPr>
          <w:rFonts w:ascii="Times New Roman" w:hAnsi="Times New Roman" w:cs="Times New Roman"/>
        </w:rPr>
        <w:fldChar w:fldCharType="separate"/>
      </w:r>
      <w:r w:rsidR="00E91C01" w:rsidRPr="00086CC8">
        <w:rPr>
          <w:rFonts w:ascii="Times New Roman" w:hAnsi="Times New Roman" w:cs="Times New Roman"/>
        </w:rPr>
        <w:t>(2000)</w:t>
      </w:r>
      <w:r w:rsidR="00E91C01" w:rsidRPr="00086CC8">
        <w:rPr>
          <w:rFonts w:ascii="Times New Roman" w:hAnsi="Times New Roman" w:cs="Times New Roman"/>
        </w:rPr>
        <w:fldChar w:fldCharType="end"/>
      </w:r>
      <w:r w:rsidR="00E91C01" w:rsidRPr="00086CC8">
        <w:rPr>
          <w:rFonts w:ascii="Times New Roman" w:hAnsi="Times New Roman" w:cs="Times New Roman"/>
        </w:rPr>
        <w:t>, the consideration of labor fairness has been fully discussed in the Fair Labor Standards Act (FLSA), but equitable provisions in other legal acts need to be further improved to maximize the fairness of consideration.</w:t>
      </w:r>
      <w:r>
        <w:rPr>
          <w:rFonts w:ascii="Times New Roman" w:hAnsi="Times New Roman" w:cs="Times New Roman" w:hint="eastAsia"/>
        </w:rPr>
        <w:t xml:space="preserve"> Secondly, </w:t>
      </w:r>
      <w:r w:rsidR="00672B26">
        <w:rPr>
          <w:rFonts w:ascii="Times New Roman" w:hAnsi="Times New Roman" w:cs="Times New Roman" w:hint="eastAsia"/>
        </w:rPr>
        <w:t>l</w:t>
      </w:r>
      <w:r w:rsidR="00E91C01" w:rsidRPr="00086CC8">
        <w:rPr>
          <w:rFonts w:ascii="Times New Roman" w:hAnsi="Times New Roman" w:cs="Times New Roman"/>
        </w:rPr>
        <w:t xml:space="preserve">egislation could also establish a minimum threshold for consideration to ensure a meaningful exchange of value. Relevant authorities could provide specific guidelines for reference, providing more room for fairness in contract consideration, such as </w:t>
      </w:r>
      <w:r w:rsidR="00E91C01" w:rsidRPr="00086CC8">
        <w:rPr>
          <w:rFonts w:ascii="Times New Roman" w:hAnsi="Times New Roman" w:cs="Times New Roman"/>
        </w:rPr>
        <w:fldChar w:fldCharType="begin"/>
      </w:r>
      <w:r w:rsidR="00E91C01" w:rsidRPr="00086CC8">
        <w:rPr>
          <w:rFonts w:ascii="Times New Roman" w:hAnsi="Times New Roman" w:cs="Times New Roman"/>
        </w:rPr>
        <w:instrText xml:space="preserve"> ADDIN ZOTERO_ITEM CSL_CITATION {"citationID":"TqZGroVZ","properties":{"formattedCitation":"({\\i{}Procurement Policy Note 11/20: Reserving below threshold procurements}, 2021)","plainCitation":"(Procurement Policy Note 11/20: Reserving below threshold procurements, 2021)","noteIndex":0},"citationItems":[{"id":13,"uris":["http://zotero.org/users/local/LRYjC9Ia/items/DIRVDZSD"],"itemData":{"id":13,"type":"webpage","abstract":"This procurement policy note set out the options that may be considered by Contracting Authorities when procuring contracts for goods, services and works with a value below the applicable thresholds.","container-title":"GOV.UK","language":"en","title":"Procurement Policy Note 11/20: Reserving below threshold procurements","title-short":"Procurement Policy Note 11/20","URL":"https://www.gov.uk/government/publications/procurement-policy-note-1120-reserving-below-threshold-procurements","accessed":{"date-parts":[["2024",3,5]]},"issued":{"date-parts":[["2021",9,3]]}}}],"schema":"https://github.com/citation-style-language/schema/raw/master/csl-citation.json"} </w:instrText>
      </w:r>
      <w:r w:rsidR="00E91C01" w:rsidRPr="00086CC8">
        <w:rPr>
          <w:rFonts w:ascii="Times New Roman" w:hAnsi="Times New Roman" w:cs="Times New Roman"/>
        </w:rPr>
        <w:fldChar w:fldCharType="separate"/>
      </w:r>
      <w:r w:rsidR="00E91C01" w:rsidRPr="00086CC8">
        <w:rPr>
          <w:rFonts w:ascii="Times New Roman" w:hAnsi="Times New Roman" w:cs="Times New Roman"/>
        </w:rPr>
        <w:t>Procurement Policy Note 11/20: Reserving below threshold procurements (2021)</w:t>
      </w:r>
      <w:r w:rsidR="00E91C01" w:rsidRPr="00086CC8">
        <w:rPr>
          <w:rFonts w:ascii="Times New Roman" w:hAnsi="Times New Roman" w:cs="Times New Roman"/>
        </w:rPr>
        <w:fldChar w:fldCharType="end"/>
      </w:r>
      <w:r w:rsidR="00E91C01" w:rsidRPr="00086CC8">
        <w:rPr>
          <w:rFonts w:ascii="Times New Roman" w:hAnsi="Times New Roman" w:cs="Times New Roman"/>
        </w:rPr>
        <w:t>.</w:t>
      </w:r>
      <w:r>
        <w:rPr>
          <w:rFonts w:ascii="Times New Roman" w:hAnsi="Times New Roman" w:cs="Times New Roman" w:hint="eastAsia"/>
        </w:rPr>
        <w:t xml:space="preserve"> Finally, </w:t>
      </w:r>
      <w:r w:rsidR="00FD7C2B">
        <w:rPr>
          <w:rFonts w:ascii="Times New Roman" w:hAnsi="Times New Roman" w:cs="Times New Roman" w:hint="eastAsia"/>
        </w:rPr>
        <w:t>s</w:t>
      </w:r>
      <w:r w:rsidR="00E91C01" w:rsidRPr="00086CC8">
        <w:rPr>
          <w:rFonts w:ascii="Times New Roman" w:hAnsi="Times New Roman" w:cs="Times New Roman"/>
        </w:rPr>
        <w:t xml:space="preserve">trengthening existing consumer protection laws could also be helpful in providing additional safeguards for individuals who may be at a disadvantage in contractual negotiations. This could include provisions that limit certain clauses in standard-form contracts or contracts with significant disparities in bargaining power </w:t>
      </w:r>
      <w:r w:rsidR="00E91C01" w:rsidRPr="00086CC8">
        <w:rPr>
          <w:rFonts w:ascii="Times New Roman" w:hAnsi="Times New Roman" w:cs="Times New Roman"/>
        </w:rPr>
        <w:fldChar w:fldCharType="begin"/>
      </w:r>
      <w:r w:rsidR="00E91C01" w:rsidRPr="00086CC8">
        <w:rPr>
          <w:rFonts w:ascii="Times New Roman" w:hAnsi="Times New Roman" w:cs="Times New Roman"/>
        </w:rPr>
        <w:instrText xml:space="preserve"> ADDIN ZOTERO_ITEM CSL_CITATION {"citationID":"dOkpUoRR","properties":{"formattedCitation":"(Barnhizer, 2004)","plainCitation":"(Barnhizer, 2004)","noteIndex":0},"citationItems":[{"id":18,"uris":["http://zotero.org/users/local/LRYjC9Ia/items/5VKEK232"],"itemData":{"id":18,"type":"article-journal","container-title":"MSU Legal Studies Research Paper","issue":"02-01","source":"Google Scholar","title":"Inequality of Bargaining Power","URL":"https://papers.ssrn.com/sol3/papers.cfm?abstract_id=570705","author":[{"family":"Barnhizer","given":"Daniel D."}],"accessed":{"date-parts":[["2024",3,5]]},"issued":{"date-parts":[["2004"]]}}}],"schema":"https://github.com/citation-style-language/schema/raw/master/csl-citation.json"} </w:instrText>
      </w:r>
      <w:r w:rsidR="00E91C01" w:rsidRPr="00086CC8">
        <w:rPr>
          <w:rFonts w:ascii="Times New Roman" w:hAnsi="Times New Roman" w:cs="Times New Roman"/>
        </w:rPr>
        <w:fldChar w:fldCharType="separate"/>
      </w:r>
      <w:r w:rsidR="00E91C01" w:rsidRPr="00086CC8">
        <w:rPr>
          <w:rFonts w:ascii="Times New Roman" w:hAnsi="Times New Roman" w:cs="Times New Roman"/>
        </w:rPr>
        <w:t>(Barnhizer, 2004)</w:t>
      </w:r>
      <w:r w:rsidR="00E91C01" w:rsidRPr="00086CC8">
        <w:rPr>
          <w:rFonts w:ascii="Times New Roman" w:hAnsi="Times New Roman" w:cs="Times New Roman"/>
        </w:rPr>
        <w:fldChar w:fldCharType="end"/>
      </w:r>
      <w:r w:rsidR="00E91C01" w:rsidRPr="00086CC8">
        <w:rPr>
          <w:rFonts w:ascii="Times New Roman" w:hAnsi="Times New Roman" w:cs="Times New Roman"/>
        </w:rPr>
        <w:t>.</w:t>
      </w:r>
      <w:r w:rsidR="007129CC">
        <w:rPr>
          <w:rFonts w:ascii="Times New Roman" w:hAnsi="Times New Roman" w:cs="Times New Roman" w:hint="eastAsia"/>
        </w:rPr>
        <w:t xml:space="preserve"> Except for the suggestions mentioned, the conclusive point we can draw is the necessity of continuous reforms. </w:t>
      </w:r>
    </w:p>
    <w:p w14:paraId="54467AA3" w14:textId="2DC531E2" w:rsidR="00227C57" w:rsidRPr="009A3069" w:rsidRDefault="00604A5E" w:rsidP="001A0B7F">
      <w:pPr>
        <w:spacing w:beforeLines="150" w:before="468" w:after="100"/>
        <w:ind w:firstLine="357"/>
        <w:jc w:val="both"/>
        <w:rPr>
          <w:rFonts w:ascii="Times New Roman" w:hAnsi="Times New Roman" w:cs="Times New Roman"/>
        </w:rPr>
      </w:pPr>
      <w:r w:rsidRPr="009A3069">
        <w:rPr>
          <w:rFonts w:ascii="Times New Roman" w:hAnsi="Times New Roman" w:cs="Times New Roman"/>
        </w:rPr>
        <w:t xml:space="preserve">There is a rule of consideration </w:t>
      </w:r>
      <w:r w:rsidR="007129CC">
        <w:rPr>
          <w:rFonts w:ascii="Times New Roman" w:hAnsi="Times New Roman" w:cs="Times New Roman" w:hint="eastAsia"/>
        </w:rPr>
        <w:t>that</w:t>
      </w:r>
      <w:r w:rsidRPr="009A3069">
        <w:rPr>
          <w:rFonts w:ascii="Times New Roman" w:hAnsi="Times New Roman" w:cs="Times New Roman"/>
        </w:rPr>
        <w:t xml:space="preserve"> </w:t>
      </w:r>
      <w:r w:rsidR="007129CC">
        <w:rPr>
          <w:rFonts w:ascii="Times New Roman" w:hAnsi="Times New Roman" w:cs="Times New Roman" w:hint="eastAsia"/>
        </w:rPr>
        <w:t xml:space="preserve">it </w:t>
      </w:r>
      <w:r w:rsidRPr="009A3069">
        <w:rPr>
          <w:rFonts w:ascii="Times New Roman" w:hAnsi="Times New Roman" w:cs="Times New Roman"/>
        </w:rPr>
        <w:t>must be of economic value, though, as the wrappers shown in Chappell and Co Ltd v Nestle Co Ltd [1960], the physical value may be negligible</w:t>
      </w:r>
      <w:r w:rsidR="00AB0320">
        <w:rPr>
          <w:rFonts w:ascii="Times New Roman" w:hAnsi="Times New Roman" w:cs="Times New Roman" w:hint="eastAsia"/>
        </w:rPr>
        <w:t xml:space="preserve"> </w:t>
      </w:r>
      <w:r w:rsidR="00AB0320">
        <w:rPr>
          <w:rFonts w:ascii="Times New Roman" w:hAnsi="Times New Roman" w:cs="Times New Roman"/>
        </w:rPr>
        <w:fldChar w:fldCharType="begin"/>
      </w:r>
      <w:r w:rsidR="00AB0320">
        <w:rPr>
          <w:rFonts w:ascii="Times New Roman" w:hAnsi="Times New Roman" w:cs="Times New Roman"/>
        </w:rPr>
        <w:instrText xml:space="preserve"> ADDIN ZOTERO_ITEM CSL_CITATION {"citationID":"Ve4mVN7H","properties":{"formattedCitation":"(Quinn and Elliott, 2019)","plainCitation":"(Quinn and Elliott, 2019)","noteIndex":0},"citationItems":[{"id":47,"uris":["http://zotero.org/users/local/LRYjC9Ia/items/IDKGCTPT"],"itemData":{"id":47,"type":"book","edition":"Twelfth edition","event-place":"Harlow","ISBN":"978-1-292-25140-0","language":"eng","publisher":"Pearson","publisher-place":"Harlow","source":"librarysearch.uwtsd.ac.uk","title":"Elliott &amp; Quinn's contract law","author":[{"family":"Quinn","given":"Frances"},{"family":"Elliott","given":"Catherine"}],"issued":{"date-parts":[["2019"]]}}}],"schema":"https://github.com/citation-style-language/schema/raw/master/csl-citation.json"} </w:instrText>
      </w:r>
      <w:r w:rsidR="00AB0320">
        <w:rPr>
          <w:rFonts w:ascii="Times New Roman" w:hAnsi="Times New Roman" w:cs="Times New Roman"/>
        </w:rPr>
        <w:fldChar w:fldCharType="separate"/>
      </w:r>
      <w:r w:rsidR="00AB0320" w:rsidRPr="00AB0320">
        <w:rPr>
          <w:rFonts w:ascii="Times New Roman" w:hAnsi="Times New Roman" w:cs="Times New Roman"/>
        </w:rPr>
        <w:t>(Quinn and Elliott, 2019)</w:t>
      </w:r>
      <w:r w:rsidR="00AB0320">
        <w:rPr>
          <w:rFonts w:ascii="Times New Roman" w:hAnsi="Times New Roman" w:cs="Times New Roman"/>
        </w:rPr>
        <w:fldChar w:fldCharType="end"/>
      </w:r>
      <w:r w:rsidR="00AB0320">
        <w:rPr>
          <w:rFonts w:ascii="Times New Roman" w:hAnsi="Times New Roman" w:cs="Times New Roman" w:hint="eastAsia"/>
        </w:rPr>
        <w:t>.</w:t>
      </w:r>
      <w:r w:rsidR="00446010" w:rsidRPr="009A3069">
        <w:rPr>
          <w:rFonts w:ascii="Times New Roman" w:hAnsi="Times New Roman" w:cs="Times New Roman"/>
        </w:rPr>
        <w:t xml:space="preserve"> </w:t>
      </w:r>
      <w:r w:rsidR="00C80597" w:rsidRPr="009A3069">
        <w:rPr>
          <w:rFonts w:ascii="Times New Roman" w:hAnsi="Times New Roman" w:cs="Times New Roman"/>
        </w:rPr>
        <w:fldChar w:fldCharType="begin"/>
      </w:r>
      <w:r w:rsidR="00AB0320">
        <w:rPr>
          <w:rFonts w:ascii="Times New Roman" w:hAnsi="Times New Roman" w:cs="Times New Roman"/>
        </w:rPr>
        <w:instrText xml:space="preserve"> ADDIN ZOTERO_ITEM CSL_CITATION {"citationID":"xjv7BTF5","properties":{"formattedCitation":"(Quinn Frances and Elliott Catherine, 2019)","plainCitation":"(Quinn Frances and Elliott Catherine, 2019)","dontUpdate":true,"noteIndex":0},"citationItems":[{"id":47,"uris":["http://zotero.org/users/local/LRYjC9Ia/items/IDKGCTPT"],"itemData":{"id":47,"type":"book","edition":"Twelfth edition","event-place":"Harlow","ISBN":"978-1-292-25140-0","language":"eng","publisher":"Pearson","publisher-place":"Harlow","source":"librarysearch.uwtsd.ac.uk","title":"Elliott &amp; Quinn's contract law","author":[{"family":"Quinn","given":"Frances"},{"family":"Elliott","given":"Catherine"}],"issued":{"date-parts":[["2019"]]}}}],"schema":"https://github.com/citation-style-language/schema/raw/master/csl-citation.json"} </w:instrText>
      </w:r>
      <w:r w:rsidR="00C80597" w:rsidRPr="009A3069">
        <w:rPr>
          <w:rFonts w:ascii="Times New Roman" w:hAnsi="Times New Roman" w:cs="Times New Roman"/>
        </w:rPr>
        <w:fldChar w:fldCharType="separate"/>
      </w:r>
      <w:r w:rsidR="00C80597" w:rsidRPr="009A3069">
        <w:rPr>
          <w:rFonts w:ascii="Times New Roman" w:hAnsi="Times New Roman" w:cs="Times New Roman"/>
        </w:rPr>
        <w:fldChar w:fldCharType="end"/>
      </w:r>
      <w:r w:rsidR="00227C57" w:rsidRPr="009A3069">
        <w:rPr>
          <w:rFonts w:ascii="Times New Roman" w:hAnsi="Times New Roman" w:cs="Times New Roman"/>
        </w:rPr>
        <w:t xml:space="preserve">However, </w:t>
      </w:r>
      <w:r w:rsidR="00C21918">
        <w:rPr>
          <w:rFonts w:ascii="Times New Roman" w:hAnsi="Times New Roman" w:cs="Times New Roman"/>
        </w:rPr>
        <w:t>sometimes</w:t>
      </w:r>
      <w:r w:rsidR="00943033">
        <w:rPr>
          <w:rFonts w:ascii="Times New Roman" w:hAnsi="Times New Roman" w:cs="Times New Roman" w:hint="eastAsia"/>
        </w:rPr>
        <w:t xml:space="preserve"> consideration </w:t>
      </w:r>
      <w:r w:rsidR="002C3892" w:rsidRPr="009A3069">
        <w:rPr>
          <w:rFonts w:ascii="Times New Roman" w:hAnsi="Times New Roman" w:cs="Times New Roman"/>
        </w:rPr>
        <w:t xml:space="preserve">could </w:t>
      </w:r>
      <w:r w:rsidR="00943033">
        <w:rPr>
          <w:rFonts w:ascii="Times New Roman" w:hAnsi="Times New Roman" w:cs="Times New Roman" w:hint="eastAsia"/>
        </w:rPr>
        <w:t xml:space="preserve">also </w:t>
      </w:r>
      <w:r w:rsidR="00227C57" w:rsidRPr="009A3069">
        <w:rPr>
          <w:rFonts w:ascii="Times New Roman" w:hAnsi="Times New Roman" w:cs="Times New Roman"/>
        </w:rPr>
        <w:t xml:space="preserve">involve a tangible and measurable action. </w:t>
      </w:r>
    </w:p>
    <w:p w14:paraId="10DD8417" w14:textId="5EEFBCEF" w:rsidR="00604A5E" w:rsidRPr="009A3069" w:rsidRDefault="004965EC" w:rsidP="00E321E5">
      <w:pPr>
        <w:spacing w:after="100"/>
        <w:ind w:firstLine="357"/>
        <w:jc w:val="both"/>
        <w:rPr>
          <w:rFonts w:ascii="Times New Roman" w:hAnsi="Times New Roman" w:cs="Times New Roman" w:hint="eastAsia"/>
        </w:rPr>
      </w:pPr>
      <w:r w:rsidRPr="00C86F8E">
        <w:rPr>
          <w:rFonts w:ascii="Times New Roman" w:hAnsi="Times New Roman" w:cs="Times New Roman"/>
        </w:rPr>
        <w:t xml:space="preserve">Shadwell v. Shadwell [1860] </w:t>
      </w:r>
      <w:r w:rsidR="00604A5E" w:rsidRPr="00C86F8E">
        <w:rPr>
          <w:rFonts w:ascii="Times New Roman" w:hAnsi="Times New Roman" w:cs="Times New Roman"/>
        </w:rPr>
        <w:t xml:space="preserve">was a noted </w:t>
      </w:r>
      <w:r w:rsidRPr="00C86F8E">
        <w:rPr>
          <w:rFonts w:ascii="Times New Roman" w:hAnsi="Times New Roman" w:cs="Times New Roman" w:hint="eastAsia"/>
        </w:rPr>
        <w:t>case where conducting a</w:t>
      </w:r>
      <w:r w:rsidR="00C86F8E" w:rsidRPr="00C86F8E">
        <w:rPr>
          <w:rFonts w:ascii="Times New Roman" w:hAnsi="Times New Roman" w:cs="Times New Roman" w:hint="eastAsia"/>
        </w:rPr>
        <w:t>n</w:t>
      </w:r>
      <w:r w:rsidRPr="00C86F8E">
        <w:rPr>
          <w:rFonts w:ascii="Times New Roman" w:hAnsi="Times New Roman" w:cs="Times New Roman" w:hint="eastAsia"/>
        </w:rPr>
        <w:t xml:space="preserve"> </w:t>
      </w:r>
      <w:r w:rsidR="00C86F8E" w:rsidRPr="00C86F8E">
        <w:rPr>
          <w:rFonts w:ascii="Times New Roman" w:hAnsi="Times New Roman" w:cs="Times New Roman" w:hint="eastAsia"/>
        </w:rPr>
        <w:t xml:space="preserve">action </w:t>
      </w:r>
      <w:r w:rsidR="008A5836">
        <w:rPr>
          <w:rFonts w:ascii="Times New Roman" w:hAnsi="Times New Roman" w:cs="Times New Roman" w:hint="eastAsia"/>
        </w:rPr>
        <w:t>was</w:t>
      </w:r>
      <w:r w:rsidRPr="00C86F8E">
        <w:rPr>
          <w:rFonts w:ascii="Times New Roman" w:hAnsi="Times New Roman" w:cs="Times New Roman" w:hint="eastAsia"/>
        </w:rPr>
        <w:t xml:space="preserve"> viewed as a good consideration. </w:t>
      </w:r>
      <w:r w:rsidRPr="00C86F8E">
        <w:rPr>
          <w:rFonts w:ascii="Times New Roman" w:hAnsi="Times New Roman" w:cs="Times New Roman"/>
        </w:rPr>
        <w:t xml:space="preserve">In this case, the defendant, Shadwell, promised to pay his nephew an annual sum of money if he married </w:t>
      </w:r>
      <w:r w:rsidR="006E526D">
        <w:rPr>
          <w:rFonts w:ascii="Times New Roman" w:hAnsi="Times New Roman" w:cs="Times New Roman" w:hint="eastAsia"/>
        </w:rPr>
        <w:t xml:space="preserve">his </w:t>
      </w:r>
      <w:r w:rsidR="006E526D" w:rsidRPr="006E526D">
        <w:rPr>
          <w:rFonts w:ascii="Times New Roman" w:hAnsi="Times New Roman" w:cs="Times New Roman"/>
        </w:rPr>
        <w:t>fiancée</w:t>
      </w:r>
      <w:r w:rsidR="00C86F8E" w:rsidRPr="00C86F8E">
        <w:rPr>
          <w:rFonts w:ascii="Times New Roman" w:hAnsi="Times New Roman" w:cs="Times New Roman" w:hint="eastAsia"/>
        </w:rPr>
        <w:t xml:space="preserve">. </w:t>
      </w:r>
      <w:r w:rsidR="00C86F8E" w:rsidRPr="00C86F8E">
        <w:rPr>
          <w:rFonts w:ascii="Times New Roman" w:hAnsi="Times New Roman" w:cs="Times New Roman"/>
        </w:rPr>
        <w:t>The nephew accepted the offer</w:t>
      </w:r>
      <w:r w:rsidR="00C86F8E" w:rsidRPr="00C86F8E">
        <w:rPr>
          <w:rFonts w:ascii="Times New Roman" w:hAnsi="Times New Roman" w:cs="Times New Roman" w:hint="eastAsia"/>
        </w:rPr>
        <w:t xml:space="preserve"> but the</w:t>
      </w:r>
      <w:r w:rsidR="00C86F8E" w:rsidRPr="00C86F8E">
        <w:rPr>
          <w:rFonts w:ascii="Times New Roman" w:hAnsi="Times New Roman" w:cs="Times New Roman"/>
        </w:rPr>
        <w:t xml:space="preserve"> defendant failed to make the promised payments, </w:t>
      </w:r>
      <w:r w:rsidR="00C21918">
        <w:rPr>
          <w:rFonts w:ascii="Times New Roman" w:hAnsi="Times New Roman" w:cs="Times New Roman"/>
        </w:rPr>
        <w:t xml:space="preserve">and </w:t>
      </w:r>
      <w:r w:rsidR="00C86F8E" w:rsidRPr="00C86F8E">
        <w:rPr>
          <w:rFonts w:ascii="Times New Roman" w:hAnsi="Times New Roman" w:cs="Times New Roman"/>
        </w:rPr>
        <w:t>the nephew sued him for breach of contract.</w:t>
      </w:r>
      <w:r w:rsidR="00C86F8E" w:rsidRPr="00C86F8E">
        <w:rPr>
          <w:rFonts w:ascii="Times New Roman" w:hAnsi="Times New Roman" w:cs="Times New Roman" w:hint="eastAsia"/>
        </w:rPr>
        <w:t xml:space="preserve"> </w:t>
      </w:r>
      <w:r w:rsidR="00604A5E" w:rsidRPr="009A3069">
        <w:rPr>
          <w:rFonts w:ascii="Times New Roman" w:hAnsi="Times New Roman" w:cs="Times New Roman"/>
        </w:rPr>
        <w:t>On the surface, this case is similar to White v. Bluett</w:t>
      </w:r>
      <w:r w:rsidR="002C3892" w:rsidRPr="009A3069">
        <w:rPr>
          <w:rFonts w:ascii="Times New Roman" w:hAnsi="Times New Roman" w:cs="Times New Roman"/>
        </w:rPr>
        <w:t xml:space="preserve"> [1853]</w:t>
      </w:r>
      <w:r w:rsidR="00604A5E" w:rsidRPr="009A3069">
        <w:rPr>
          <w:rFonts w:ascii="Times New Roman" w:hAnsi="Times New Roman" w:cs="Times New Roman"/>
        </w:rPr>
        <w:t xml:space="preserve">, both relating to </w:t>
      </w:r>
      <w:r w:rsidR="00C86F8E">
        <w:rPr>
          <w:rFonts w:ascii="Times New Roman" w:hAnsi="Times New Roman" w:cs="Times New Roman" w:hint="eastAsia"/>
        </w:rPr>
        <w:t>p</w:t>
      </w:r>
      <w:r w:rsidR="00C86F8E" w:rsidRPr="00C86F8E">
        <w:rPr>
          <w:rFonts w:ascii="Times New Roman" w:hAnsi="Times New Roman" w:cs="Times New Roman"/>
        </w:rPr>
        <w:t xml:space="preserve">erforming certain </w:t>
      </w:r>
      <w:proofErr w:type="spellStart"/>
      <w:r w:rsidR="00C86F8E" w:rsidRPr="00C86F8E">
        <w:rPr>
          <w:rFonts w:ascii="Times New Roman" w:hAnsi="Times New Roman" w:cs="Times New Roman"/>
        </w:rPr>
        <w:t>behavio</w:t>
      </w:r>
      <w:r w:rsidR="00C86F8E">
        <w:rPr>
          <w:rFonts w:ascii="Times New Roman" w:hAnsi="Times New Roman" w:cs="Times New Roman" w:hint="eastAsia"/>
        </w:rPr>
        <w:t>u</w:t>
      </w:r>
      <w:r w:rsidR="00C86F8E" w:rsidRPr="00C86F8E">
        <w:rPr>
          <w:rFonts w:ascii="Times New Roman" w:hAnsi="Times New Roman" w:cs="Times New Roman"/>
        </w:rPr>
        <w:t>rs</w:t>
      </w:r>
      <w:proofErr w:type="spellEnd"/>
      <w:r w:rsidR="00C86F8E" w:rsidRPr="00C86F8E">
        <w:rPr>
          <w:rFonts w:ascii="Times New Roman" w:hAnsi="Times New Roman" w:cs="Times New Roman"/>
        </w:rPr>
        <w:t xml:space="preserve"> at the request of the offeror</w:t>
      </w:r>
      <w:r w:rsidR="00604A5E" w:rsidRPr="009A3069">
        <w:rPr>
          <w:rFonts w:ascii="Times New Roman" w:hAnsi="Times New Roman" w:cs="Times New Roman"/>
        </w:rPr>
        <w:t xml:space="preserve">. However, the </w:t>
      </w:r>
      <w:r w:rsidR="002C3892" w:rsidRPr="009A3069">
        <w:rPr>
          <w:rFonts w:ascii="Times New Roman" w:hAnsi="Times New Roman" w:cs="Times New Roman"/>
        </w:rPr>
        <w:t xml:space="preserve">different </w:t>
      </w:r>
      <w:r w:rsidR="00604A5E" w:rsidRPr="009A3069">
        <w:rPr>
          <w:rFonts w:ascii="Times New Roman" w:hAnsi="Times New Roman" w:cs="Times New Roman"/>
        </w:rPr>
        <w:t>point is that</w:t>
      </w:r>
      <w:r w:rsidR="00C86F8E" w:rsidRPr="00C86F8E">
        <w:t xml:space="preserve"> </w:t>
      </w:r>
      <w:r w:rsidR="00C86F8E" w:rsidRPr="00C86F8E">
        <w:rPr>
          <w:rFonts w:ascii="Times New Roman" w:hAnsi="Times New Roman" w:cs="Times New Roman"/>
        </w:rPr>
        <w:t>by marrying the woman, the nephew had provided a practical benefit to the defendant, as it fulfilled the defendant's wish and potentially brought happiness to the family.</w:t>
      </w:r>
      <w:r w:rsidR="00C86F8E">
        <w:rPr>
          <w:rFonts w:ascii="Times New Roman" w:hAnsi="Times New Roman" w:cs="Times New Roman" w:hint="eastAsia"/>
        </w:rPr>
        <w:t xml:space="preserve"> Moreover</w:t>
      </w:r>
      <w:r w:rsidR="00C86F8E" w:rsidRPr="00C86F8E">
        <w:rPr>
          <w:rFonts w:ascii="Times New Roman" w:hAnsi="Times New Roman" w:cs="Times New Roman"/>
        </w:rPr>
        <w:t xml:space="preserve">, the nephew's forbearance </w:t>
      </w:r>
      <w:r w:rsidR="00C86F8E">
        <w:rPr>
          <w:rFonts w:ascii="Times New Roman" w:hAnsi="Times New Roman" w:cs="Times New Roman" w:hint="eastAsia"/>
        </w:rPr>
        <w:t>of not</w:t>
      </w:r>
      <w:r w:rsidR="00C86F8E" w:rsidRPr="00C86F8E">
        <w:rPr>
          <w:rFonts w:ascii="Times New Roman" w:hAnsi="Times New Roman" w:cs="Times New Roman"/>
        </w:rPr>
        <w:t xml:space="preserve"> marrying </w:t>
      </w:r>
      <w:r w:rsidR="006E526D">
        <w:rPr>
          <w:rFonts w:ascii="Times New Roman" w:hAnsi="Times New Roman" w:cs="Times New Roman" w:hint="eastAsia"/>
        </w:rPr>
        <w:t>other</w:t>
      </w:r>
      <w:r w:rsidR="00C86F8E" w:rsidRPr="00C86F8E">
        <w:rPr>
          <w:rFonts w:ascii="Times New Roman" w:hAnsi="Times New Roman" w:cs="Times New Roman"/>
        </w:rPr>
        <w:t xml:space="preserve"> </w:t>
      </w:r>
      <w:r w:rsidR="00C21918">
        <w:rPr>
          <w:rFonts w:ascii="Times New Roman" w:hAnsi="Times New Roman" w:cs="Times New Roman"/>
        </w:rPr>
        <w:t>women</w:t>
      </w:r>
      <w:r w:rsidR="00C86F8E" w:rsidRPr="00C86F8E">
        <w:rPr>
          <w:rFonts w:ascii="Times New Roman" w:hAnsi="Times New Roman" w:cs="Times New Roman"/>
        </w:rPr>
        <w:t xml:space="preserve"> </w:t>
      </w:r>
      <w:r w:rsidR="006E526D">
        <w:rPr>
          <w:rFonts w:ascii="Times New Roman" w:hAnsi="Times New Roman" w:cs="Times New Roman" w:hint="eastAsia"/>
        </w:rPr>
        <w:t>and the risk of economic problems</w:t>
      </w:r>
      <w:r w:rsidR="00943033">
        <w:rPr>
          <w:rFonts w:ascii="Times New Roman" w:hAnsi="Times New Roman" w:cs="Times New Roman" w:hint="eastAsia"/>
        </w:rPr>
        <w:t xml:space="preserve"> without the promised income</w:t>
      </w:r>
      <w:r w:rsidR="006E526D">
        <w:rPr>
          <w:rFonts w:ascii="Times New Roman" w:hAnsi="Times New Roman" w:cs="Times New Roman" w:hint="eastAsia"/>
        </w:rPr>
        <w:t xml:space="preserve"> </w:t>
      </w:r>
      <w:r w:rsidR="00C86F8E" w:rsidRPr="00C86F8E">
        <w:rPr>
          <w:rFonts w:ascii="Times New Roman" w:hAnsi="Times New Roman" w:cs="Times New Roman"/>
        </w:rPr>
        <w:t xml:space="preserve">constituted </w:t>
      </w:r>
      <w:r w:rsidR="00C86F8E">
        <w:rPr>
          <w:rFonts w:ascii="Times New Roman" w:hAnsi="Times New Roman" w:cs="Times New Roman" w:hint="eastAsia"/>
        </w:rPr>
        <w:t xml:space="preserve">detriments to himself. </w:t>
      </w:r>
      <w:r w:rsidR="00604A5E" w:rsidRPr="009A3069">
        <w:rPr>
          <w:rFonts w:ascii="Times New Roman" w:hAnsi="Times New Roman" w:cs="Times New Roman"/>
        </w:rPr>
        <w:t xml:space="preserve">Therefore, the court ruled that </w:t>
      </w:r>
      <w:r w:rsidR="00C86F8E">
        <w:rPr>
          <w:rFonts w:ascii="Times New Roman" w:hAnsi="Times New Roman" w:cs="Times New Roman" w:hint="eastAsia"/>
        </w:rPr>
        <w:t xml:space="preserve">there is a </w:t>
      </w:r>
      <w:r w:rsidR="00C86F8E" w:rsidRPr="00C86F8E">
        <w:rPr>
          <w:rFonts w:ascii="Times New Roman" w:hAnsi="Times New Roman" w:cs="Times New Roman"/>
        </w:rPr>
        <w:t>valid consideration for the promise</w:t>
      </w:r>
      <w:r w:rsidR="00C86F8E">
        <w:rPr>
          <w:rFonts w:ascii="Times New Roman" w:hAnsi="Times New Roman" w:cs="Times New Roman" w:hint="eastAsia"/>
        </w:rPr>
        <w:t xml:space="preserve">, since it is obvious that </w:t>
      </w:r>
      <w:r w:rsidR="00717A45">
        <w:rPr>
          <w:rFonts w:ascii="Times New Roman" w:hAnsi="Times New Roman" w:cs="Times New Roman" w:hint="eastAsia"/>
        </w:rPr>
        <w:t xml:space="preserve">the presence of both </w:t>
      </w:r>
      <w:r w:rsidR="00C86F8E">
        <w:rPr>
          <w:rFonts w:ascii="Times New Roman" w:hAnsi="Times New Roman" w:cs="Times New Roman" w:hint="eastAsia"/>
        </w:rPr>
        <w:t>benefits and detriments validate a promise.</w:t>
      </w:r>
      <w:r w:rsidR="00717A45">
        <w:rPr>
          <w:rFonts w:ascii="Times New Roman" w:hAnsi="Times New Roman" w:cs="Times New Roman" w:hint="eastAsia"/>
        </w:rPr>
        <w:t xml:space="preserve"> </w:t>
      </w:r>
      <w:r w:rsidR="00717A45" w:rsidRPr="00717A45">
        <w:rPr>
          <w:rFonts w:ascii="Times New Roman" w:hAnsi="Times New Roman" w:cs="Times New Roman"/>
        </w:rPr>
        <w:t xml:space="preserve">This </w:t>
      </w:r>
      <w:r w:rsidR="00717A45">
        <w:rPr>
          <w:rFonts w:ascii="Times New Roman" w:hAnsi="Times New Roman" w:cs="Times New Roman" w:hint="eastAsia"/>
        </w:rPr>
        <w:t xml:space="preserve">issue </w:t>
      </w:r>
      <w:r w:rsidR="00717A45" w:rsidRPr="00717A45">
        <w:rPr>
          <w:rFonts w:ascii="Times New Roman" w:hAnsi="Times New Roman" w:cs="Times New Roman"/>
        </w:rPr>
        <w:t>nicely supports the thesis of this</w:t>
      </w:r>
      <w:r w:rsidR="00717A45">
        <w:rPr>
          <w:rFonts w:ascii="Times New Roman" w:hAnsi="Times New Roman" w:cs="Times New Roman" w:hint="eastAsia"/>
        </w:rPr>
        <w:t xml:space="preserve"> essay</w:t>
      </w:r>
      <w:r w:rsidR="00717A45" w:rsidRPr="00717A45">
        <w:rPr>
          <w:rFonts w:ascii="Times New Roman" w:hAnsi="Times New Roman" w:cs="Times New Roman"/>
        </w:rPr>
        <w:t xml:space="preserve">, which is that </w:t>
      </w:r>
      <w:r w:rsidR="00717A45">
        <w:rPr>
          <w:rFonts w:ascii="Times New Roman" w:hAnsi="Times New Roman" w:cs="Times New Roman" w:hint="eastAsia"/>
        </w:rPr>
        <w:t xml:space="preserve">consideration </w:t>
      </w:r>
      <w:r w:rsidR="00717A45" w:rsidRPr="00717A45">
        <w:rPr>
          <w:rFonts w:ascii="Times New Roman" w:hAnsi="Times New Roman" w:cs="Times New Roman"/>
        </w:rPr>
        <w:t xml:space="preserve">is </w:t>
      </w:r>
      <w:r w:rsidR="00E321E5">
        <w:rPr>
          <w:rFonts w:ascii="Times New Roman" w:hAnsi="Times New Roman" w:cs="Times New Roman" w:hint="eastAsia"/>
        </w:rPr>
        <w:t>n</w:t>
      </w:r>
      <w:r w:rsidR="00E321E5" w:rsidRPr="00717A45">
        <w:rPr>
          <w:rFonts w:ascii="Times New Roman" w:hAnsi="Times New Roman" w:cs="Times New Roman"/>
        </w:rPr>
        <w:t>ot just limited to economic value</w:t>
      </w:r>
      <w:r w:rsidR="00E321E5">
        <w:rPr>
          <w:rFonts w:ascii="Times New Roman" w:hAnsi="Times New Roman" w:cs="Times New Roman" w:hint="eastAsia"/>
        </w:rPr>
        <w:t xml:space="preserve"> but </w:t>
      </w:r>
      <w:r w:rsidR="00717A45">
        <w:rPr>
          <w:rFonts w:ascii="Times New Roman" w:hAnsi="Times New Roman" w:cs="Times New Roman" w:hint="eastAsia"/>
        </w:rPr>
        <w:t xml:space="preserve">gradually </w:t>
      </w:r>
      <w:r w:rsidR="00E321E5">
        <w:rPr>
          <w:rFonts w:ascii="Times New Roman" w:hAnsi="Times New Roman" w:cs="Times New Roman" w:hint="eastAsia"/>
        </w:rPr>
        <w:t>involves more forms.</w:t>
      </w:r>
    </w:p>
    <w:p w14:paraId="68B54113" w14:textId="1ECBA6AD" w:rsidR="000F7EBA" w:rsidRPr="009A3069" w:rsidRDefault="00E321E5" w:rsidP="001A0B7F">
      <w:pPr>
        <w:spacing w:after="100"/>
        <w:ind w:firstLine="357"/>
        <w:jc w:val="both"/>
        <w:rPr>
          <w:rFonts w:ascii="Times New Roman" w:hAnsi="Times New Roman" w:cs="Times New Roman"/>
        </w:rPr>
      </w:pPr>
      <w:r>
        <w:rPr>
          <w:rFonts w:ascii="Times New Roman" w:hAnsi="Times New Roman" w:cs="Times New Roman" w:hint="eastAsia"/>
        </w:rPr>
        <w:t xml:space="preserve">Forbearance can be a major part </w:t>
      </w:r>
      <w:r w:rsidR="00C21918">
        <w:rPr>
          <w:rFonts w:ascii="Times New Roman" w:hAnsi="Times New Roman" w:cs="Times New Roman"/>
        </w:rPr>
        <w:t>of</w:t>
      </w:r>
      <w:r>
        <w:rPr>
          <w:rFonts w:ascii="Times New Roman" w:hAnsi="Times New Roman" w:cs="Times New Roman" w:hint="eastAsia"/>
        </w:rPr>
        <w:t xml:space="preserve"> </w:t>
      </w:r>
      <w:proofErr w:type="spellStart"/>
      <w:r>
        <w:rPr>
          <w:rFonts w:ascii="Times New Roman" w:hAnsi="Times New Roman" w:cs="Times New Roman" w:hint="eastAsia"/>
        </w:rPr>
        <w:t>behavioural</w:t>
      </w:r>
      <w:proofErr w:type="spellEnd"/>
      <w:r>
        <w:rPr>
          <w:rFonts w:ascii="Times New Roman" w:hAnsi="Times New Roman" w:cs="Times New Roman" w:hint="eastAsia"/>
        </w:rPr>
        <w:t xml:space="preserve"> consideration. </w:t>
      </w:r>
      <w:r w:rsidR="00717A45">
        <w:rPr>
          <w:rFonts w:ascii="Times New Roman" w:hAnsi="Times New Roman" w:cs="Times New Roman" w:hint="eastAsia"/>
        </w:rPr>
        <w:t xml:space="preserve">To be specific, </w:t>
      </w:r>
      <w:r w:rsidR="008A7E44">
        <w:rPr>
          <w:rFonts w:ascii="Times New Roman" w:hAnsi="Times New Roman" w:cs="Times New Roman" w:hint="eastAsia"/>
        </w:rPr>
        <w:t>the existence of</w:t>
      </w:r>
      <w:r>
        <w:rPr>
          <w:rFonts w:ascii="Times New Roman" w:hAnsi="Times New Roman" w:cs="Times New Roman" w:hint="eastAsia"/>
        </w:rPr>
        <w:t xml:space="preserve"> it</w:t>
      </w:r>
      <w:r w:rsidR="008A7E44">
        <w:rPr>
          <w:rFonts w:ascii="Times New Roman" w:hAnsi="Times New Roman" w:cs="Times New Roman" w:hint="eastAsia"/>
        </w:rPr>
        <w:t xml:space="preserve"> plays a significant role in consideration setting </w:t>
      </w:r>
      <w:r w:rsidR="008A7E44">
        <w:rPr>
          <w:rFonts w:ascii="Times New Roman" w:hAnsi="Times New Roman" w:cs="Times New Roman"/>
        </w:rPr>
        <w:t>because</w:t>
      </w:r>
      <w:r w:rsidR="008A7E44">
        <w:rPr>
          <w:rFonts w:ascii="Times New Roman" w:hAnsi="Times New Roman" w:cs="Times New Roman" w:hint="eastAsia"/>
        </w:rPr>
        <w:t xml:space="preserve"> it</w:t>
      </w:r>
      <w:r w:rsidR="000F7EBA" w:rsidRPr="009A3069">
        <w:rPr>
          <w:rFonts w:ascii="Times New Roman" w:hAnsi="Times New Roman" w:cs="Times New Roman"/>
        </w:rPr>
        <w:t xml:space="preserve"> adds flexibility to contractual agreements. </w:t>
      </w:r>
      <w:r>
        <w:rPr>
          <w:rFonts w:ascii="Times New Roman" w:hAnsi="Times New Roman" w:cs="Times New Roman" w:hint="eastAsia"/>
        </w:rPr>
        <w:t>T</w:t>
      </w:r>
      <w:r w:rsidR="000F7EBA" w:rsidRPr="009A3069">
        <w:rPr>
          <w:rFonts w:ascii="Times New Roman" w:hAnsi="Times New Roman" w:cs="Times New Roman"/>
        </w:rPr>
        <w:t xml:space="preserve">he </w:t>
      </w:r>
      <w:r>
        <w:rPr>
          <w:rFonts w:ascii="Times New Roman" w:hAnsi="Times New Roman" w:cs="Times New Roman" w:hint="eastAsia"/>
        </w:rPr>
        <w:t xml:space="preserve">performance of </w:t>
      </w:r>
      <w:r w:rsidR="000F7EBA" w:rsidRPr="009A3069">
        <w:rPr>
          <w:rFonts w:ascii="Times New Roman" w:hAnsi="Times New Roman" w:cs="Times New Roman"/>
        </w:rPr>
        <w:t>certain actions</w:t>
      </w:r>
      <w:r w:rsidR="00717A45">
        <w:rPr>
          <w:rFonts w:ascii="Times New Roman" w:hAnsi="Times New Roman" w:cs="Times New Roman" w:hint="eastAsia"/>
        </w:rPr>
        <w:t xml:space="preserve"> </w:t>
      </w:r>
      <w:r w:rsidR="000F7EBA" w:rsidRPr="009A3069">
        <w:rPr>
          <w:rFonts w:ascii="Times New Roman" w:hAnsi="Times New Roman" w:cs="Times New Roman"/>
        </w:rPr>
        <w:t xml:space="preserve">provides an alternative form of consideration beyond traditional exchanges of goods or services. In </w:t>
      </w:r>
      <w:r w:rsidR="000D4E8F" w:rsidRPr="009A3069">
        <w:rPr>
          <w:rFonts w:ascii="Times New Roman" w:hAnsi="Times New Roman" w:cs="Times New Roman"/>
        </w:rPr>
        <w:t>real-life</w:t>
      </w:r>
      <w:r w:rsidR="000F7EBA" w:rsidRPr="009A3069">
        <w:rPr>
          <w:rFonts w:ascii="Times New Roman" w:hAnsi="Times New Roman" w:cs="Times New Roman"/>
        </w:rPr>
        <w:t xml:space="preserve"> </w:t>
      </w:r>
      <w:r w:rsidR="000D4E8F" w:rsidRPr="009A3069">
        <w:rPr>
          <w:rFonts w:ascii="Times New Roman" w:hAnsi="Times New Roman" w:cs="Times New Roman"/>
        </w:rPr>
        <w:t>situations</w:t>
      </w:r>
      <w:r w:rsidR="000F7EBA" w:rsidRPr="009A3069">
        <w:rPr>
          <w:rFonts w:ascii="Times New Roman" w:hAnsi="Times New Roman" w:cs="Times New Roman"/>
        </w:rPr>
        <w:t xml:space="preserve">, forbearance is often </w:t>
      </w:r>
      <w:r w:rsidR="000F7EBA" w:rsidRPr="009A3069">
        <w:rPr>
          <w:rFonts w:ascii="Times New Roman" w:hAnsi="Times New Roman" w:cs="Times New Roman"/>
        </w:rPr>
        <w:lastRenderedPageBreak/>
        <w:t xml:space="preserve">strategically employed in settlement agreements and compromises. </w:t>
      </w:r>
      <w:r w:rsidR="00EE758A">
        <w:rPr>
          <w:rFonts w:ascii="Times New Roman" w:hAnsi="Times New Roman" w:cs="Times New Roman" w:hint="eastAsia"/>
        </w:rPr>
        <w:t xml:space="preserve">The evidence can be seen </w:t>
      </w:r>
      <w:r w:rsidR="00C21918">
        <w:rPr>
          <w:rFonts w:ascii="Times New Roman" w:hAnsi="Times New Roman" w:cs="Times New Roman"/>
        </w:rPr>
        <w:t>in</w:t>
      </w:r>
      <w:r w:rsidR="00EE758A">
        <w:rPr>
          <w:rFonts w:ascii="Times New Roman" w:hAnsi="Times New Roman" w:cs="Times New Roman" w:hint="eastAsia"/>
        </w:rPr>
        <w:t xml:space="preserve"> many employment disputes. </w:t>
      </w:r>
      <w:r w:rsidR="00EE758A" w:rsidRPr="00EE758A">
        <w:rPr>
          <w:rFonts w:ascii="Times New Roman" w:hAnsi="Times New Roman" w:cs="Times New Roman"/>
        </w:rPr>
        <w:t>For instance, an employer may agree to forbear from contesting an employee's unemployment benefits claim in exchange for the employee agreeing not to file a lawsuit for wrongful termination</w:t>
      </w:r>
      <w:r w:rsidR="00EE758A">
        <w:rPr>
          <w:rFonts w:ascii="Times New Roman" w:hAnsi="Times New Roman" w:cs="Times New Roman" w:hint="eastAsia"/>
        </w:rPr>
        <w:t xml:space="preserve"> </w:t>
      </w:r>
      <w:r w:rsidR="00EE758A">
        <w:rPr>
          <w:rFonts w:ascii="Times New Roman" w:hAnsi="Times New Roman" w:cs="Times New Roman"/>
        </w:rPr>
        <w:fldChar w:fldCharType="begin"/>
      </w:r>
      <w:r w:rsidR="00EE758A">
        <w:rPr>
          <w:rFonts w:ascii="Times New Roman" w:hAnsi="Times New Roman" w:cs="Times New Roman"/>
        </w:rPr>
        <w:instrText xml:space="preserve"> ADDIN ZOTERO_ITEM CSL_CITATION {"citationID":"Rk3aCCpi","properties":{"formattedCitation":"(Perritt Jr, 1989)","plainCitation":"(Perritt Jr, 1989)","noteIndex":0},"citationItems":[{"id":60,"uris":["http://zotero.org/users/local/LRYjC9Ia/items/U5LIUZC2"],"itemData":{"id":60,"type":"article-journal","container-title":"U. Cin. L. Rev.","note":"publisher: HeinOnline","page":"397","source":"Google Scholar","title":"The Future of Wrongful Dismissal Claims: Where Does Employer Self Interest Lie","title-short":"The Future of Wrongful Dismissal Claims","volume":"58","author":[{"family":"Perritt Jr","given":"Henry H."}],"issued":{"date-parts":[["1989"]]}}}],"schema":"https://github.com/citation-style-language/schema/raw/master/csl-citation.json"} </w:instrText>
      </w:r>
      <w:r w:rsidR="00EE758A">
        <w:rPr>
          <w:rFonts w:ascii="Times New Roman" w:hAnsi="Times New Roman" w:cs="Times New Roman"/>
        </w:rPr>
        <w:fldChar w:fldCharType="separate"/>
      </w:r>
      <w:r w:rsidR="00EE758A" w:rsidRPr="00EE758A">
        <w:rPr>
          <w:rFonts w:ascii="Times New Roman" w:hAnsi="Times New Roman" w:cs="Times New Roman"/>
        </w:rPr>
        <w:t>(Perritt Jr, 1989)</w:t>
      </w:r>
      <w:r w:rsidR="00EE758A">
        <w:rPr>
          <w:rFonts w:ascii="Times New Roman" w:hAnsi="Times New Roman" w:cs="Times New Roman"/>
        </w:rPr>
        <w:fldChar w:fldCharType="end"/>
      </w:r>
      <w:r w:rsidR="00EE758A" w:rsidRPr="00EE758A">
        <w:rPr>
          <w:rFonts w:ascii="Times New Roman" w:hAnsi="Times New Roman" w:cs="Times New Roman"/>
        </w:rPr>
        <w:t>.</w:t>
      </w:r>
      <w:r w:rsidR="00EE758A">
        <w:rPr>
          <w:rFonts w:ascii="Times New Roman" w:hAnsi="Times New Roman" w:cs="Times New Roman" w:hint="eastAsia"/>
        </w:rPr>
        <w:t xml:space="preserve"> </w:t>
      </w:r>
      <w:r w:rsidR="000F7EBA" w:rsidRPr="009A3069">
        <w:rPr>
          <w:rFonts w:ascii="Times New Roman" w:hAnsi="Times New Roman" w:cs="Times New Roman"/>
        </w:rPr>
        <w:t>Parties may agree to forbear from pursuing legal claims, leading to resolutions without the need for lengthy litigation</w:t>
      </w:r>
      <w:r w:rsidR="00CC080B" w:rsidRPr="009A3069">
        <w:rPr>
          <w:rFonts w:ascii="Times New Roman" w:hAnsi="Times New Roman" w:cs="Times New Roman"/>
        </w:rPr>
        <w:t xml:space="preserve">, serving as </w:t>
      </w:r>
      <w:r w:rsidR="00247E2A" w:rsidRPr="009A3069">
        <w:rPr>
          <w:rFonts w:ascii="Times New Roman" w:hAnsi="Times New Roman" w:cs="Times New Roman"/>
        </w:rPr>
        <w:t>an Alternative Dispute Resolution (ADR)</w:t>
      </w:r>
      <w:r w:rsidR="00077A37" w:rsidRPr="009A3069">
        <w:rPr>
          <w:rFonts w:ascii="Times New Roman" w:hAnsi="Times New Roman" w:cs="Times New Roman"/>
        </w:rPr>
        <w:t xml:space="preserve"> </w:t>
      </w:r>
      <w:r w:rsidR="00077A37" w:rsidRPr="009A3069">
        <w:rPr>
          <w:rFonts w:ascii="Times New Roman" w:hAnsi="Times New Roman" w:cs="Times New Roman"/>
        </w:rPr>
        <w:fldChar w:fldCharType="begin"/>
      </w:r>
      <w:r w:rsidR="00077A37" w:rsidRPr="009A3069">
        <w:rPr>
          <w:rFonts w:ascii="Times New Roman" w:hAnsi="Times New Roman" w:cs="Times New Roman"/>
        </w:rPr>
        <w:instrText xml:space="preserve"> ADDIN ZOTERO_ITEM CSL_CITATION {"citationID":"90Ac6Gha","properties":{"formattedCitation":"(Cheung, 2010)","plainCitation":"(Cheung, 2010)","noteIndex":0},"citationItems":[{"id":33,"uris":["http://zotero.org/users/local/LRYjC9Ia/items/BHMU9IFI"],"itemData":{"id":33,"type":"article-journal","container-title":"Journal of Legal Affairs and Dispute Resolution in Engineering and Construction","DOI":"10.1061/(ASCE)LA.1943-4170.0000022","ISSN":"1943-4162, 1943-4170","issue":"3","journalAbbreviation":"J. Leg. Aff. Dispute Resolut. Eng. Constr.","language":"en","page":"169-174","source":"DOI.org (Crossref)","title":"Construction Mediation Landscape in the Civil Justice System in Hong Kong","volume":"2","author":[{"family":"Cheung","given":"Sai On"}],"issued":{"date-parts":[["2010",8]]}}}],"schema":"https://github.com/citation-style-language/schema/raw/master/csl-citation.json"} </w:instrText>
      </w:r>
      <w:r w:rsidR="00077A37" w:rsidRPr="009A3069">
        <w:rPr>
          <w:rFonts w:ascii="Times New Roman" w:hAnsi="Times New Roman" w:cs="Times New Roman"/>
        </w:rPr>
        <w:fldChar w:fldCharType="separate"/>
      </w:r>
      <w:r w:rsidR="00077A37" w:rsidRPr="009A3069">
        <w:rPr>
          <w:rFonts w:ascii="Times New Roman" w:eastAsia="等线" w:hAnsi="Times New Roman" w:cs="Times New Roman"/>
        </w:rPr>
        <w:t>(Cheung, 2010)</w:t>
      </w:r>
      <w:r w:rsidR="00077A37" w:rsidRPr="009A3069">
        <w:rPr>
          <w:rFonts w:ascii="Times New Roman" w:hAnsi="Times New Roman" w:cs="Times New Roman"/>
        </w:rPr>
        <w:fldChar w:fldCharType="end"/>
      </w:r>
      <w:r w:rsidR="00077A37" w:rsidRPr="009A3069">
        <w:rPr>
          <w:rFonts w:ascii="Times New Roman" w:hAnsi="Times New Roman" w:cs="Times New Roman"/>
        </w:rPr>
        <w:t>.</w:t>
      </w:r>
    </w:p>
    <w:p w14:paraId="7C59858D" w14:textId="18A1D1CE" w:rsidR="000F7EBA" w:rsidRPr="009A3069" w:rsidRDefault="000F7EBA" w:rsidP="001A0B7F">
      <w:pPr>
        <w:spacing w:after="100"/>
        <w:ind w:firstLine="357"/>
        <w:jc w:val="both"/>
        <w:rPr>
          <w:rFonts w:ascii="Times New Roman" w:hAnsi="Times New Roman" w:cs="Times New Roman"/>
        </w:rPr>
      </w:pPr>
      <w:r w:rsidRPr="009A3069">
        <w:rPr>
          <w:rFonts w:ascii="Times New Roman" w:hAnsi="Times New Roman" w:cs="Times New Roman"/>
        </w:rPr>
        <w:t xml:space="preserve">However, in some cases, determining the true extent of forbearance and its value can be subjective. </w:t>
      </w:r>
      <w:r w:rsidR="002C3892" w:rsidRPr="009A3069">
        <w:rPr>
          <w:rFonts w:ascii="Times New Roman" w:hAnsi="Times New Roman" w:cs="Times New Roman"/>
        </w:rPr>
        <w:t>Although it is being refined, t</w:t>
      </w:r>
      <w:r w:rsidRPr="009A3069">
        <w:rPr>
          <w:rFonts w:ascii="Times New Roman" w:hAnsi="Times New Roman" w:cs="Times New Roman"/>
        </w:rPr>
        <w:t>he concept may be open to interpretation, leading to potential ambiguity in assessing whether the party genuinely refrained from a legal right</w:t>
      </w:r>
      <w:r w:rsidR="002C3892" w:rsidRPr="009A3069">
        <w:rPr>
          <w:rFonts w:ascii="Times New Roman" w:hAnsi="Times New Roman" w:cs="Times New Roman"/>
        </w:rPr>
        <w:t xml:space="preserve"> </w:t>
      </w:r>
      <w:r w:rsidR="002C3892" w:rsidRPr="009A3069">
        <w:rPr>
          <w:rFonts w:ascii="Times New Roman" w:hAnsi="Times New Roman" w:cs="Times New Roman"/>
        </w:rPr>
        <w:fldChar w:fldCharType="begin"/>
      </w:r>
      <w:r w:rsidR="002C3892" w:rsidRPr="009A3069">
        <w:rPr>
          <w:rFonts w:ascii="Times New Roman" w:hAnsi="Times New Roman" w:cs="Times New Roman"/>
        </w:rPr>
        <w:instrText xml:space="preserve"> ADDIN ZOTERO_ITEM CSL_CITATION {"citationID":"NXJU3FJC","properties":{"formattedCitation":"(Whitehead, 1962)","plainCitation":"(Whitehead, 1962)","noteIndex":0},"citationItems":[{"id":37,"uris":["http://zotero.org/users/local/LRYjC9Ia/items/5IZIA2GJ"],"itemData":{"id":37,"type":"article-journal","container-title":"Kentucky Law Journal","ISSN":"0023-026X","issue":"1","title":"Contracts--Consideration--Forbearance to Assert an Invalid Claim","URL":"https://uknowledge.uky.edu/klj/vol51/iss1/12","volume":"51","author":[{"family":"Whitehead","given":"Charles"}],"issued":{"date-parts":[["1962",1,1]]}}}],"schema":"https://github.com/citation-style-language/schema/raw/master/csl-citation.json"} </w:instrText>
      </w:r>
      <w:r w:rsidR="002C3892" w:rsidRPr="009A3069">
        <w:rPr>
          <w:rFonts w:ascii="Times New Roman" w:hAnsi="Times New Roman" w:cs="Times New Roman"/>
        </w:rPr>
        <w:fldChar w:fldCharType="separate"/>
      </w:r>
      <w:r w:rsidR="002C3892" w:rsidRPr="009A3069">
        <w:rPr>
          <w:rFonts w:ascii="Times New Roman" w:eastAsia="等线" w:hAnsi="Times New Roman" w:cs="Times New Roman"/>
        </w:rPr>
        <w:t>(Whitehead, 1962)</w:t>
      </w:r>
      <w:r w:rsidR="002C3892" w:rsidRPr="009A3069">
        <w:rPr>
          <w:rFonts w:ascii="Times New Roman" w:hAnsi="Times New Roman" w:cs="Times New Roman"/>
        </w:rPr>
        <w:fldChar w:fldCharType="end"/>
      </w:r>
      <w:r w:rsidRPr="009A3069">
        <w:rPr>
          <w:rFonts w:ascii="Times New Roman" w:hAnsi="Times New Roman" w:cs="Times New Roman"/>
        </w:rPr>
        <w:t>. As societal values evolve, legal considerations of forbearance may need to accommodate new standards and expectations</w:t>
      </w:r>
      <w:r w:rsidR="008A7E44">
        <w:rPr>
          <w:rFonts w:ascii="Times New Roman" w:hAnsi="Times New Roman" w:cs="Times New Roman" w:hint="eastAsia"/>
        </w:rPr>
        <w:t xml:space="preserve">. The related reform suggestions may include </w:t>
      </w:r>
      <w:r w:rsidR="008A7E44" w:rsidRPr="008A7E44">
        <w:rPr>
          <w:rFonts w:ascii="Times New Roman" w:hAnsi="Times New Roman" w:cs="Times New Roman"/>
        </w:rPr>
        <w:t>clearer</w:t>
      </w:r>
      <w:r w:rsidR="00447C6A">
        <w:rPr>
          <w:rFonts w:ascii="Times New Roman" w:hAnsi="Times New Roman" w:cs="Times New Roman" w:hint="eastAsia"/>
        </w:rPr>
        <w:t xml:space="preserve"> and fresher</w:t>
      </w:r>
      <w:r w:rsidR="008A7E44" w:rsidRPr="008A7E44">
        <w:rPr>
          <w:rFonts w:ascii="Times New Roman" w:hAnsi="Times New Roman" w:cs="Times New Roman"/>
        </w:rPr>
        <w:t xml:space="preserve"> guidelines and standards</w:t>
      </w:r>
      <w:r w:rsidR="008A7E44">
        <w:rPr>
          <w:rFonts w:ascii="Times New Roman" w:hAnsi="Times New Roman" w:cs="Times New Roman" w:hint="eastAsia"/>
        </w:rPr>
        <w:t>, the e</w:t>
      </w:r>
      <w:r w:rsidR="008A7E44" w:rsidRPr="008A7E44">
        <w:rPr>
          <w:rFonts w:ascii="Times New Roman" w:hAnsi="Times New Roman" w:cs="Times New Roman"/>
        </w:rPr>
        <w:t>ncourag</w:t>
      </w:r>
      <w:r w:rsidR="008A7E44">
        <w:rPr>
          <w:rFonts w:ascii="Times New Roman" w:hAnsi="Times New Roman" w:cs="Times New Roman" w:hint="eastAsia"/>
        </w:rPr>
        <w:t>ement of</w:t>
      </w:r>
      <w:r w:rsidR="008A7E44" w:rsidRPr="008A7E44">
        <w:rPr>
          <w:rFonts w:ascii="Times New Roman" w:hAnsi="Times New Roman" w:cs="Times New Roman"/>
        </w:rPr>
        <w:t xml:space="preserve"> the use of </w:t>
      </w:r>
      <w:r w:rsidR="008A7E44">
        <w:rPr>
          <w:rFonts w:ascii="Times New Roman" w:hAnsi="Times New Roman" w:cs="Times New Roman" w:hint="eastAsia"/>
        </w:rPr>
        <w:t xml:space="preserve">ADR </w:t>
      </w:r>
      <w:r w:rsidR="008A7E44" w:rsidRPr="008A7E44">
        <w:rPr>
          <w:rFonts w:ascii="Times New Roman" w:hAnsi="Times New Roman" w:cs="Times New Roman"/>
        </w:rPr>
        <w:t>mechanisms</w:t>
      </w:r>
      <w:r w:rsidR="00447C6A">
        <w:rPr>
          <w:rFonts w:ascii="Times New Roman" w:hAnsi="Times New Roman" w:cs="Times New Roman" w:hint="eastAsia"/>
        </w:rPr>
        <w:t xml:space="preserve">, </w:t>
      </w:r>
      <w:r w:rsidR="00447C6A" w:rsidRPr="00447C6A">
        <w:rPr>
          <w:rFonts w:ascii="Times New Roman" w:hAnsi="Times New Roman" w:cs="Times New Roman"/>
        </w:rPr>
        <w:t>periodic reviews</w:t>
      </w:r>
      <w:r w:rsidR="00447C6A">
        <w:rPr>
          <w:rFonts w:ascii="Times New Roman" w:hAnsi="Times New Roman" w:cs="Times New Roman" w:hint="eastAsia"/>
        </w:rPr>
        <w:t xml:space="preserve"> </w:t>
      </w:r>
      <w:r w:rsidR="008A7E44">
        <w:rPr>
          <w:rFonts w:ascii="Times New Roman" w:hAnsi="Times New Roman" w:cs="Times New Roman" w:hint="eastAsia"/>
        </w:rPr>
        <w:t>and so on, which further</w:t>
      </w:r>
      <w:r w:rsidR="008A7E44" w:rsidRPr="008A7E44">
        <w:rPr>
          <w:rFonts w:ascii="Times New Roman" w:hAnsi="Times New Roman" w:cs="Times New Roman"/>
        </w:rPr>
        <w:t xml:space="preserve"> </w:t>
      </w:r>
      <w:r w:rsidR="00C21918">
        <w:rPr>
          <w:rFonts w:ascii="Times New Roman" w:hAnsi="Times New Roman" w:cs="Times New Roman"/>
        </w:rPr>
        <w:t>support</w:t>
      </w:r>
      <w:r w:rsidR="008A7E44" w:rsidRPr="008A7E44">
        <w:rPr>
          <w:rFonts w:ascii="Times New Roman" w:hAnsi="Times New Roman" w:cs="Times New Roman"/>
        </w:rPr>
        <w:t xml:space="preserve"> the </w:t>
      </w:r>
      <w:r w:rsidR="008A7E44">
        <w:rPr>
          <w:rFonts w:ascii="Times New Roman" w:hAnsi="Times New Roman" w:cs="Times New Roman" w:hint="eastAsia"/>
        </w:rPr>
        <w:t xml:space="preserve">conclusion of </w:t>
      </w:r>
      <w:r w:rsidR="008A7E44" w:rsidRPr="008A7E44">
        <w:rPr>
          <w:rFonts w:ascii="Times New Roman" w:hAnsi="Times New Roman" w:cs="Times New Roman"/>
        </w:rPr>
        <w:t xml:space="preserve">continued reforms mentioned in </w:t>
      </w:r>
      <w:r w:rsidR="008A7E44">
        <w:rPr>
          <w:rFonts w:ascii="Times New Roman" w:hAnsi="Times New Roman" w:cs="Times New Roman" w:hint="eastAsia"/>
        </w:rPr>
        <w:t xml:space="preserve">the thesis statement. </w:t>
      </w:r>
    </w:p>
    <w:p w14:paraId="5F754FB6" w14:textId="70A8279A" w:rsidR="001803A7" w:rsidRPr="009A3069" w:rsidRDefault="001803A7" w:rsidP="00B84D11">
      <w:pPr>
        <w:spacing w:beforeLines="150" w:before="468" w:after="100"/>
        <w:ind w:firstLine="357"/>
        <w:jc w:val="both"/>
        <w:rPr>
          <w:rFonts w:ascii="Times New Roman" w:hAnsi="Times New Roman" w:cs="Times New Roman"/>
        </w:rPr>
      </w:pPr>
      <w:r w:rsidRPr="009A3069">
        <w:rPr>
          <w:rFonts w:ascii="Times New Roman" w:hAnsi="Times New Roman" w:cs="Times New Roman"/>
        </w:rPr>
        <w:t xml:space="preserve">Mutuality of consideration is another doctrine requiring both parties must be bound to perform. If only a single party is bound by a contract, it is “illusory,” and thus unenforceable </w:t>
      </w:r>
      <w:r w:rsidR="00C80597" w:rsidRPr="009A3069">
        <w:rPr>
          <w:rFonts w:ascii="Times New Roman" w:hAnsi="Times New Roman" w:cs="Times New Roman"/>
        </w:rPr>
        <w:fldChar w:fldCharType="begin"/>
      </w:r>
      <w:r w:rsidR="00C80597" w:rsidRPr="009A3069">
        <w:rPr>
          <w:rFonts w:ascii="Times New Roman" w:hAnsi="Times New Roman" w:cs="Times New Roman"/>
        </w:rPr>
        <w:instrText xml:space="preserve"> ADDIN ZOTERO_ITEM CSL_CITATION {"citationID":"L3DQiNwt","properties":{"formattedCitation":"(Corbin, 1926)","plainCitation":"(Corbin, 1926)","noteIndex":0},"citationItems":[{"id":50,"uris":["http://zotero.org/users/local/LRYjC9Ia/items/47UVAJEF"],"itemData":{"id":50,"type":"article-journal","container-title":"Columbia Law Review","DOI":"10.2307/1113706","ISSN":"0010-1958","issue":"5","note":"publisher: Columbia Law Review Association, Inc.","page":"550-558","source":"JSTOR","title":"Non-Binding Promises as Consideration","volume":"26","author":[{"family":"Corbin","given":"Arthur L."}],"issued":{"date-parts":[["1926"]]}}}],"schema":"https://github.com/citation-style-language/schema/raw/master/csl-citation.json"} </w:instrText>
      </w:r>
      <w:r w:rsidR="00C80597" w:rsidRPr="009A3069">
        <w:rPr>
          <w:rFonts w:ascii="Times New Roman" w:hAnsi="Times New Roman" w:cs="Times New Roman"/>
        </w:rPr>
        <w:fldChar w:fldCharType="separate"/>
      </w:r>
      <w:r w:rsidR="00C80597" w:rsidRPr="009A3069">
        <w:rPr>
          <w:rFonts w:ascii="Times New Roman" w:eastAsia="等线" w:hAnsi="Times New Roman" w:cs="Times New Roman"/>
        </w:rPr>
        <w:t>(Corbin, 1926)</w:t>
      </w:r>
      <w:r w:rsidR="00C80597" w:rsidRPr="009A3069">
        <w:rPr>
          <w:rFonts w:ascii="Times New Roman" w:hAnsi="Times New Roman" w:cs="Times New Roman"/>
        </w:rPr>
        <w:fldChar w:fldCharType="end"/>
      </w:r>
      <w:r w:rsidRPr="009A3069">
        <w:rPr>
          <w:rFonts w:ascii="Times New Roman" w:hAnsi="Times New Roman" w:cs="Times New Roman"/>
        </w:rPr>
        <w:t xml:space="preserve">, which is fully illustrated by the case of White v Bluett [1853]. </w:t>
      </w:r>
    </w:p>
    <w:p w14:paraId="327FDB93" w14:textId="73265F0A" w:rsidR="001803A7" w:rsidRPr="009A3069" w:rsidRDefault="001803A7" w:rsidP="001A0B7F">
      <w:pPr>
        <w:spacing w:after="100"/>
        <w:ind w:firstLine="360"/>
        <w:jc w:val="both"/>
        <w:rPr>
          <w:rFonts w:ascii="Times New Roman" w:hAnsi="Times New Roman" w:cs="Times New Roman"/>
        </w:rPr>
      </w:pPr>
      <w:r w:rsidRPr="009A3069">
        <w:rPr>
          <w:rFonts w:ascii="Times New Roman" w:hAnsi="Times New Roman" w:cs="Times New Roman"/>
        </w:rPr>
        <w:t>However, there could be some exceptions to the rules of mutuality</w:t>
      </w:r>
      <w:r w:rsidR="00A55214" w:rsidRPr="009A3069">
        <w:rPr>
          <w:rFonts w:ascii="Times New Roman" w:hAnsi="Times New Roman" w:cs="Times New Roman"/>
        </w:rPr>
        <w:t xml:space="preserve"> in real-world business activities</w:t>
      </w:r>
      <w:r w:rsidRPr="009A3069">
        <w:rPr>
          <w:rFonts w:ascii="Times New Roman" w:hAnsi="Times New Roman" w:cs="Times New Roman"/>
        </w:rPr>
        <w:t xml:space="preserve">. A Requirement Contract is an agreement where a buyer agrees to purchase all the goods or services needed from the seller, while an Output Contract is that a seller agrees to sell all the goods or services they produce to a particular buyer. Both types of contracts could be considered illusory since the agreements only bind one party. Nevertheless, these contracts are considered enforceable </w:t>
      </w:r>
      <w:r w:rsidR="00C179A3" w:rsidRPr="009A3069">
        <w:rPr>
          <w:rFonts w:ascii="Times New Roman" w:hAnsi="Times New Roman" w:cs="Times New Roman"/>
        </w:rPr>
        <w:fldChar w:fldCharType="begin"/>
      </w:r>
      <w:r w:rsidR="00C179A3" w:rsidRPr="009A3069">
        <w:rPr>
          <w:rFonts w:ascii="Times New Roman" w:hAnsi="Times New Roman" w:cs="Times New Roman"/>
        </w:rPr>
        <w:instrText xml:space="preserve"> ADDIN ZOTERO_ITEM CSL_CITATION {"citationID":"qRLOy6lk","properties":{"formattedCitation":"(Gwyn, 1952)","plainCitation":"(Gwyn, 1952)","noteIndex":0},"citationItems":[{"id":54,"uris":["http://zotero.org/users/local/LRYjC9Ia/items/465QL7DB"],"itemData":{"id":54,"type":"article-journal","container-title":"Duke Law Journal","ISSN":"0012-7086","issue":"2","page":"180-194","title":"Requirement and Output Contracts","volume":"2","author":[{"family":"Gwyn","given":"Julius"}],"issued":{"date-parts":[["1952",4,1]]}}}],"schema":"https://github.com/citation-style-language/schema/raw/master/csl-citation.json"} </w:instrText>
      </w:r>
      <w:r w:rsidR="00C179A3" w:rsidRPr="009A3069">
        <w:rPr>
          <w:rFonts w:ascii="Times New Roman" w:hAnsi="Times New Roman" w:cs="Times New Roman"/>
        </w:rPr>
        <w:fldChar w:fldCharType="separate"/>
      </w:r>
      <w:r w:rsidR="00C179A3" w:rsidRPr="009A3069">
        <w:rPr>
          <w:rFonts w:ascii="Times New Roman" w:eastAsia="等线" w:hAnsi="Times New Roman" w:cs="Times New Roman"/>
        </w:rPr>
        <w:t>(Gwyn, 1952)</w:t>
      </w:r>
      <w:r w:rsidR="00C179A3" w:rsidRPr="009A3069">
        <w:rPr>
          <w:rFonts w:ascii="Times New Roman" w:hAnsi="Times New Roman" w:cs="Times New Roman"/>
        </w:rPr>
        <w:fldChar w:fldCharType="end"/>
      </w:r>
      <w:r w:rsidRPr="009A3069">
        <w:rPr>
          <w:rFonts w:ascii="Times New Roman" w:hAnsi="Times New Roman" w:cs="Times New Roman"/>
        </w:rPr>
        <w:t>.</w:t>
      </w:r>
    </w:p>
    <w:p w14:paraId="55E070C8" w14:textId="5A29B2EF" w:rsidR="00E06815" w:rsidRPr="009A3069" w:rsidRDefault="001803A7" w:rsidP="001A0B7F">
      <w:pPr>
        <w:spacing w:after="100"/>
        <w:ind w:firstLine="360"/>
        <w:jc w:val="both"/>
        <w:rPr>
          <w:rFonts w:ascii="Times New Roman" w:hAnsi="Times New Roman" w:cs="Times New Roman"/>
        </w:rPr>
      </w:pPr>
      <w:r w:rsidRPr="009A3069">
        <w:rPr>
          <w:rFonts w:ascii="Times New Roman" w:hAnsi="Times New Roman" w:cs="Times New Roman"/>
        </w:rPr>
        <w:t xml:space="preserve">In Eastern Air Lines, Inc. v. Gulf Oil Corp. [1975], Eastern entered into a requirement contract, </w:t>
      </w:r>
      <w:r w:rsidR="00E06815" w:rsidRPr="009A3069">
        <w:rPr>
          <w:rFonts w:ascii="Times New Roman" w:hAnsi="Times New Roman" w:cs="Times New Roman"/>
        </w:rPr>
        <w:t xml:space="preserve">agreed by </w:t>
      </w:r>
      <w:r w:rsidRPr="009A3069">
        <w:rPr>
          <w:rFonts w:ascii="Times New Roman" w:hAnsi="Times New Roman" w:cs="Times New Roman"/>
        </w:rPr>
        <w:t xml:space="preserve">Gulf to supply all of Eastern's jet fuel requirements. </w:t>
      </w:r>
      <w:r w:rsidR="00E06815" w:rsidRPr="009A3069">
        <w:rPr>
          <w:rFonts w:ascii="Times New Roman" w:hAnsi="Times New Roman" w:cs="Times New Roman"/>
        </w:rPr>
        <w:t xml:space="preserve">Due to the price dispute, Gulf </w:t>
      </w:r>
      <w:r w:rsidR="009A3069">
        <w:rPr>
          <w:rFonts w:ascii="Times New Roman" w:hAnsi="Times New Roman" w:cs="Times New Roman"/>
        </w:rPr>
        <w:t>claimed</w:t>
      </w:r>
      <w:r w:rsidRPr="009A3069">
        <w:rPr>
          <w:rFonts w:ascii="Times New Roman" w:hAnsi="Times New Roman" w:cs="Times New Roman"/>
        </w:rPr>
        <w:t xml:space="preserve"> that the contract was void for want of mutuality</w:t>
      </w:r>
      <w:r w:rsidR="00644DFF">
        <w:rPr>
          <w:rFonts w:ascii="Times New Roman" w:hAnsi="Times New Roman" w:cs="Times New Roman" w:hint="eastAsia"/>
        </w:rPr>
        <w:t>, but t</w:t>
      </w:r>
      <w:r w:rsidRPr="009A3069">
        <w:rPr>
          <w:rFonts w:ascii="Times New Roman" w:hAnsi="Times New Roman" w:cs="Times New Roman"/>
        </w:rPr>
        <w:t>he court upheld the contract,</w:t>
      </w:r>
      <w:r w:rsidR="00644DFF">
        <w:rPr>
          <w:rFonts w:ascii="Times New Roman" w:hAnsi="Times New Roman" w:cs="Times New Roman" w:hint="eastAsia"/>
        </w:rPr>
        <w:t xml:space="preserve"> </w:t>
      </w:r>
      <w:r w:rsidRPr="009A3069">
        <w:rPr>
          <w:rFonts w:ascii="Times New Roman" w:hAnsi="Times New Roman" w:cs="Times New Roman"/>
        </w:rPr>
        <w:t>emphasizing t</w:t>
      </w:r>
      <w:r w:rsidR="00644DFF">
        <w:rPr>
          <w:rFonts w:ascii="Times New Roman" w:hAnsi="Times New Roman" w:cs="Times New Roman" w:hint="eastAsia"/>
        </w:rPr>
        <w:t>hat</w:t>
      </w:r>
      <w:r w:rsidRPr="009A3069">
        <w:rPr>
          <w:rFonts w:ascii="Times New Roman" w:hAnsi="Times New Roman" w:cs="Times New Roman"/>
        </w:rPr>
        <w:t xml:space="preserve"> Eastern was bound to purchase fuel solely from </w:t>
      </w:r>
      <w:r w:rsidR="009A3069">
        <w:rPr>
          <w:rFonts w:ascii="Times New Roman" w:hAnsi="Times New Roman" w:cs="Times New Roman"/>
        </w:rPr>
        <w:t xml:space="preserve">the </w:t>
      </w:r>
      <w:r w:rsidRPr="009A3069">
        <w:rPr>
          <w:rFonts w:ascii="Times New Roman" w:hAnsi="Times New Roman" w:cs="Times New Roman"/>
        </w:rPr>
        <w:t xml:space="preserve">Gulf, and in return, </w:t>
      </w:r>
      <w:r w:rsidR="009A3069">
        <w:rPr>
          <w:rFonts w:ascii="Times New Roman" w:hAnsi="Times New Roman" w:cs="Times New Roman"/>
        </w:rPr>
        <w:t xml:space="preserve">the </w:t>
      </w:r>
      <w:r w:rsidRPr="009A3069">
        <w:rPr>
          <w:rFonts w:ascii="Times New Roman" w:hAnsi="Times New Roman" w:cs="Times New Roman"/>
        </w:rPr>
        <w:t xml:space="preserve">Gulf was obligated to supply Eastern's needs. The mutuality of consideration was shown in the reciprocal promises made by both parties and courts could hold that the seemingly "non-bound" party is responsible for producing the goods reasonably required by the buyer from "good faith". </w:t>
      </w:r>
    </w:p>
    <w:p w14:paraId="0AEB2F7A" w14:textId="7F77928B" w:rsidR="00400796" w:rsidRPr="009A3069" w:rsidRDefault="009A3069" w:rsidP="001A0B7F">
      <w:pPr>
        <w:spacing w:after="100"/>
        <w:ind w:firstLine="360"/>
        <w:jc w:val="both"/>
        <w:rPr>
          <w:rFonts w:ascii="Times New Roman" w:hAnsi="Times New Roman" w:cs="Times New Roman"/>
        </w:rPr>
      </w:pPr>
      <w:r>
        <w:rPr>
          <w:rFonts w:ascii="Times New Roman" w:hAnsi="Times New Roman" w:cs="Times New Roman"/>
        </w:rPr>
        <w:t>For</w:t>
      </w:r>
      <w:r w:rsidR="001803A7" w:rsidRPr="009A3069">
        <w:rPr>
          <w:rFonts w:ascii="Times New Roman" w:hAnsi="Times New Roman" w:cs="Times New Roman"/>
        </w:rPr>
        <w:t xml:space="preserve"> output contracts, U.C.C. Section 2-306 </w:t>
      </w:r>
      <w:r w:rsidR="00E06815" w:rsidRPr="009A3069">
        <w:rPr>
          <w:rFonts w:ascii="Times New Roman" w:hAnsi="Times New Roman" w:cs="Times New Roman"/>
        </w:rPr>
        <w:t xml:space="preserve">also </w:t>
      </w:r>
      <w:r w:rsidR="001803A7" w:rsidRPr="009A3069">
        <w:rPr>
          <w:rFonts w:ascii="Times New Roman" w:hAnsi="Times New Roman" w:cs="Times New Roman"/>
        </w:rPr>
        <w:t xml:space="preserve">recognizes it by stating the term that measuring the quantity by the output of the seller or the requirements of the buyer is valid </w:t>
      </w:r>
      <w:r w:rsidR="00C179A3" w:rsidRPr="009A3069">
        <w:rPr>
          <w:rFonts w:ascii="Times New Roman" w:hAnsi="Times New Roman" w:cs="Times New Roman"/>
        </w:rPr>
        <w:fldChar w:fldCharType="begin"/>
      </w:r>
      <w:r w:rsidR="00C179A3" w:rsidRPr="009A3069">
        <w:rPr>
          <w:rFonts w:ascii="Times New Roman" w:hAnsi="Times New Roman" w:cs="Times New Roman"/>
        </w:rPr>
        <w:instrText xml:space="preserve"> ADDIN ZOTERO_ITEM CSL_CITATION {"citationID":"vQDvkLkx","properties":{"formattedCitation":"(Weistart, 1973)","plainCitation":"(Weistart, 1973)","noteIndex":0},"citationItems":[{"id":58,"uris":["http://zotero.org/users/local/LRYjC9Ia/items/B7E6WD5C"],"itemData":{"id":58,"type":"article-journal","container-title":"Duke Law Journal","ISSN":"0012-7086","issue":"3","page":"599-648","title":"Requirements and Output Contracts: Quantity Variations Under the UCC","title-short":"Requirements and Output Contracts","volume":"22","author":[{"family":"Weistart","given":"John"}],"issued":{"date-parts":[["1973",8,1]]}}}],"schema":"https://github.com/citation-style-language/schema/raw/master/csl-citation.json"} </w:instrText>
      </w:r>
      <w:r w:rsidR="00C179A3" w:rsidRPr="009A3069">
        <w:rPr>
          <w:rFonts w:ascii="Times New Roman" w:hAnsi="Times New Roman" w:cs="Times New Roman"/>
        </w:rPr>
        <w:fldChar w:fldCharType="separate"/>
      </w:r>
      <w:r w:rsidR="00C179A3" w:rsidRPr="009A3069">
        <w:rPr>
          <w:rFonts w:ascii="Times New Roman" w:eastAsia="等线" w:hAnsi="Times New Roman" w:cs="Times New Roman"/>
        </w:rPr>
        <w:t>(Weistart, 1973)</w:t>
      </w:r>
      <w:r w:rsidR="00C179A3" w:rsidRPr="009A3069">
        <w:rPr>
          <w:rFonts w:ascii="Times New Roman" w:hAnsi="Times New Roman" w:cs="Times New Roman"/>
        </w:rPr>
        <w:fldChar w:fldCharType="end"/>
      </w:r>
      <w:r w:rsidR="001803A7" w:rsidRPr="009A3069">
        <w:rPr>
          <w:rFonts w:ascii="Times New Roman" w:hAnsi="Times New Roman" w:cs="Times New Roman"/>
        </w:rPr>
        <w:t xml:space="preserve">. </w:t>
      </w:r>
    </w:p>
    <w:p w14:paraId="758D31D7" w14:textId="3148D6D6" w:rsidR="009A3069" w:rsidRPr="00086CC8" w:rsidRDefault="001803A7" w:rsidP="001A0B7F">
      <w:pPr>
        <w:spacing w:after="100"/>
        <w:ind w:firstLine="360"/>
        <w:jc w:val="both"/>
        <w:rPr>
          <w:rFonts w:ascii="Times New Roman" w:hAnsi="Times New Roman" w:cs="Times New Roman"/>
        </w:rPr>
      </w:pPr>
      <w:r w:rsidRPr="009A3069">
        <w:rPr>
          <w:rFonts w:ascii="Times New Roman" w:hAnsi="Times New Roman" w:cs="Times New Roman"/>
        </w:rPr>
        <w:t xml:space="preserve">The above cases all illustrate the </w:t>
      </w:r>
      <w:r w:rsidR="00A55214" w:rsidRPr="009A3069">
        <w:rPr>
          <w:rFonts w:ascii="Times New Roman" w:hAnsi="Times New Roman" w:cs="Times New Roman"/>
        </w:rPr>
        <w:t xml:space="preserve">exception, or in other words, </w:t>
      </w:r>
      <w:r w:rsidR="00400796" w:rsidRPr="009A3069">
        <w:rPr>
          <w:rFonts w:ascii="Times New Roman" w:hAnsi="Times New Roman" w:cs="Times New Roman"/>
        </w:rPr>
        <w:t>varian</w:t>
      </w:r>
      <w:r w:rsidR="00A55214" w:rsidRPr="009A3069">
        <w:rPr>
          <w:rFonts w:ascii="Times New Roman" w:hAnsi="Times New Roman" w:cs="Times New Roman"/>
        </w:rPr>
        <w:t>ts</w:t>
      </w:r>
      <w:r w:rsidRPr="009A3069">
        <w:rPr>
          <w:rFonts w:ascii="Times New Roman" w:hAnsi="Times New Roman" w:cs="Times New Roman"/>
        </w:rPr>
        <w:t xml:space="preserve"> of mutuality in consideration</w:t>
      </w:r>
      <w:r w:rsidR="00400796" w:rsidRPr="009A3069">
        <w:rPr>
          <w:rFonts w:ascii="Times New Roman" w:hAnsi="Times New Roman" w:cs="Times New Roman"/>
        </w:rPr>
        <w:t xml:space="preserve">. </w:t>
      </w:r>
      <w:r w:rsidR="00086CC8">
        <w:rPr>
          <w:rFonts w:ascii="Times New Roman" w:hAnsi="Times New Roman" w:cs="Times New Roman" w:hint="eastAsia"/>
        </w:rPr>
        <w:t>The importance lies in that a</w:t>
      </w:r>
      <w:r w:rsidR="009A3069">
        <w:rPr>
          <w:rFonts w:ascii="Times New Roman" w:hAnsi="Times New Roman" w:cs="Times New Roman"/>
        </w:rPr>
        <w:t>llowing</w:t>
      </w:r>
      <w:r w:rsidR="00400796" w:rsidRPr="009A3069">
        <w:rPr>
          <w:rFonts w:ascii="Times New Roman" w:hAnsi="Times New Roman" w:cs="Times New Roman"/>
        </w:rPr>
        <w:t xml:space="preserve"> for exceptions to strict mutuality can be</w:t>
      </w:r>
      <w:r w:rsidR="00086CC8">
        <w:rPr>
          <w:rFonts w:ascii="Times New Roman" w:hAnsi="Times New Roman" w:cs="Times New Roman" w:hint="eastAsia"/>
        </w:rPr>
        <w:t xml:space="preserve"> </w:t>
      </w:r>
      <w:r w:rsidR="00086CC8">
        <w:rPr>
          <w:rFonts w:ascii="Times New Roman" w:hAnsi="Times New Roman" w:cs="Times New Roman" w:hint="eastAsia"/>
        </w:rPr>
        <w:lastRenderedPageBreak/>
        <w:t>really</w:t>
      </w:r>
      <w:r w:rsidR="00400796" w:rsidRPr="009A3069">
        <w:rPr>
          <w:rFonts w:ascii="Times New Roman" w:hAnsi="Times New Roman" w:cs="Times New Roman"/>
        </w:rPr>
        <w:t xml:space="preserve"> practical in certain business contexts. Requirement and output contracts are often used in industries where flexibility is essential due to fluctuating needs and production capabilities</w:t>
      </w:r>
      <w:r w:rsidR="003C2976" w:rsidRPr="009A3069">
        <w:rPr>
          <w:rFonts w:ascii="Times New Roman" w:hAnsi="Times New Roman" w:cs="Times New Roman"/>
        </w:rPr>
        <w:t>, which</w:t>
      </w:r>
      <w:r w:rsidR="00400796" w:rsidRPr="009A3069">
        <w:rPr>
          <w:rFonts w:ascii="Times New Roman" w:hAnsi="Times New Roman" w:cs="Times New Roman"/>
        </w:rPr>
        <w:t xml:space="preserve"> contribute</w:t>
      </w:r>
      <w:r w:rsidR="003C2976" w:rsidRPr="009A3069">
        <w:rPr>
          <w:rFonts w:ascii="Times New Roman" w:hAnsi="Times New Roman" w:cs="Times New Roman"/>
        </w:rPr>
        <w:t>s</w:t>
      </w:r>
      <w:r w:rsidR="00400796" w:rsidRPr="009A3069">
        <w:rPr>
          <w:rFonts w:ascii="Times New Roman" w:hAnsi="Times New Roman" w:cs="Times New Roman"/>
        </w:rPr>
        <w:t xml:space="preserve"> to business efficiency and adaptability</w:t>
      </w:r>
      <w:r w:rsidR="003C2976" w:rsidRPr="009A3069">
        <w:rPr>
          <w:rFonts w:ascii="Times New Roman" w:hAnsi="Times New Roman" w:cs="Times New Roman"/>
        </w:rPr>
        <w:t xml:space="preserve"> </w:t>
      </w:r>
      <w:r w:rsidR="003C2976" w:rsidRPr="009A3069">
        <w:rPr>
          <w:rFonts w:ascii="Times New Roman" w:hAnsi="Times New Roman" w:cs="Times New Roman"/>
        </w:rPr>
        <w:fldChar w:fldCharType="begin"/>
      </w:r>
      <w:r w:rsidR="003C2976" w:rsidRPr="009A3069">
        <w:rPr>
          <w:rFonts w:ascii="Times New Roman" w:hAnsi="Times New Roman" w:cs="Times New Roman"/>
        </w:rPr>
        <w:instrText xml:space="preserve"> ADDIN ZOTERO_ITEM CSL_CITATION {"citationID":"RHiDHrn4","properties":{"formattedCitation":"(Rasmusen, 2015)","plainCitation":"(Rasmusen, 2015)","noteIndex":0},"citationItems":[{"id":39,"uris":["http://zotero.org/users/local/LRYjC9Ia/items/B37H6PMJ"],"itemData":{"id":39,"type":"article-journal","source":"Google Scholar","title":"Why Use Requirement Contracts? The Tradeoff between Hold-Up and Breach","title-short":"Why Use Requirement Contracts?","URL":"https://extranet.sioe.org/uploads/isnie2015/rasmusen.pdf","author":[{"family":"Rasmusen","given":"Eric"}],"accessed":{"date-parts":[["2024",3,7]]},"issued":{"date-parts":[["2015"]]}}}],"schema":"https://github.com/citation-style-language/schema/raw/master/csl-citation.json"} </w:instrText>
      </w:r>
      <w:r w:rsidR="003C2976" w:rsidRPr="009A3069">
        <w:rPr>
          <w:rFonts w:ascii="Times New Roman" w:hAnsi="Times New Roman" w:cs="Times New Roman"/>
        </w:rPr>
        <w:fldChar w:fldCharType="separate"/>
      </w:r>
      <w:r w:rsidR="003C2976" w:rsidRPr="009A3069">
        <w:rPr>
          <w:rFonts w:ascii="Times New Roman" w:eastAsia="等线" w:hAnsi="Times New Roman" w:cs="Times New Roman"/>
        </w:rPr>
        <w:t>(Rasmusen, 2015)</w:t>
      </w:r>
      <w:r w:rsidR="003C2976" w:rsidRPr="009A3069">
        <w:rPr>
          <w:rFonts w:ascii="Times New Roman" w:hAnsi="Times New Roman" w:cs="Times New Roman"/>
        </w:rPr>
        <w:fldChar w:fldCharType="end"/>
      </w:r>
      <w:r w:rsidR="00400796" w:rsidRPr="009A3069">
        <w:rPr>
          <w:rFonts w:ascii="Times New Roman" w:hAnsi="Times New Roman" w:cs="Times New Roman"/>
        </w:rPr>
        <w:t xml:space="preserve">. Overall, </w:t>
      </w:r>
      <w:r w:rsidR="00A55214" w:rsidRPr="009A3069">
        <w:rPr>
          <w:rFonts w:ascii="Times New Roman" w:hAnsi="Times New Roman" w:cs="Times New Roman"/>
        </w:rPr>
        <w:t>i</w:t>
      </w:r>
      <w:r w:rsidR="00400796" w:rsidRPr="009A3069">
        <w:rPr>
          <w:rFonts w:ascii="Times New Roman" w:hAnsi="Times New Roman" w:cs="Times New Roman"/>
        </w:rPr>
        <w:t>t aligns with the demands of modern business practices</w:t>
      </w:r>
      <w:r w:rsidR="00086CC8">
        <w:rPr>
          <w:rFonts w:ascii="Times New Roman" w:hAnsi="Times New Roman" w:cs="Times New Roman" w:hint="eastAsia"/>
        </w:rPr>
        <w:t xml:space="preserve"> and also </w:t>
      </w:r>
      <w:r w:rsidR="00086CC8" w:rsidRPr="00086CC8">
        <w:rPr>
          <w:rFonts w:ascii="Times New Roman" w:hAnsi="Times New Roman" w:cs="Times New Roman"/>
        </w:rPr>
        <w:t>validates the main</w:t>
      </w:r>
      <w:r w:rsidR="00086CC8">
        <w:rPr>
          <w:rFonts w:ascii="Times New Roman" w:hAnsi="Times New Roman" w:cs="Times New Roman" w:hint="eastAsia"/>
        </w:rPr>
        <w:t xml:space="preserve"> idea of the essay</w:t>
      </w:r>
      <w:r w:rsidR="00086CC8" w:rsidRPr="00086CC8">
        <w:rPr>
          <w:rFonts w:ascii="Times New Roman" w:hAnsi="Times New Roman" w:cs="Times New Roman"/>
        </w:rPr>
        <w:t xml:space="preserve">, that is, more </w:t>
      </w:r>
      <w:r w:rsidR="00644DFF">
        <w:rPr>
          <w:rFonts w:ascii="Times New Roman" w:hAnsi="Times New Roman" w:cs="Times New Roman" w:hint="eastAsia"/>
        </w:rPr>
        <w:t xml:space="preserve">flexible </w:t>
      </w:r>
      <w:r w:rsidR="00086CC8" w:rsidRPr="00086CC8">
        <w:rPr>
          <w:rFonts w:ascii="Times New Roman" w:hAnsi="Times New Roman" w:cs="Times New Roman"/>
        </w:rPr>
        <w:t>consideration</w:t>
      </w:r>
      <w:r w:rsidR="00644DFF">
        <w:rPr>
          <w:rFonts w:ascii="Times New Roman" w:hAnsi="Times New Roman" w:cs="Times New Roman" w:hint="eastAsia"/>
        </w:rPr>
        <w:t xml:space="preserve"> emerges</w:t>
      </w:r>
      <w:r w:rsidR="00086CC8">
        <w:rPr>
          <w:rFonts w:ascii="Times New Roman" w:hAnsi="Times New Roman" w:cs="Times New Roman" w:hint="eastAsia"/>
        </w:rPr>
        <w:t xml:space="preserve"> in modern society.</w:t>
      </w:r>
    </w:p>
    <w:p w14:paraId="73AC670C" w14:textId="078ADCF6" w:rsidR="00FE41CB" w:rsidRPr="001A0B7F" w:rsidRDefault="00086CC8" w:rsidP="00FD7C2B">
      <w:pPr>
        <w:spacing w:after="100"/>
        <w:ind w:firstLine="360"/>
        <w:jc w:val="both"/>
        <w:rPr>
          <w:rFonts w:ascii="Times New Roman" w:hAnsi="Times New Roman" w:cs="Times New Roman"/>
        </w:rPr>
      </w:pPr>
      <w:r>
        <w:rPr>
          <w:rFonts w:ascii="Times New Roman" w:hAnsi="Times New Roman" w:cs="Times New Roman" w:hint="eastAsia"/>
        </w:rPr>
        <w:t>About the future of consideration, the essay suggests that w</w:t>
      </w:r>
      <w:r w:rsidR="001573EE" w:rsidRPr="009A3069">
        <w:rPr>
          <w:rFonts w:ascii="Times New Roman" w:hAnsi="Times New Roman" w:cs="Times New Roman"/>
        </w:rPr>
        <w:t>ith the development of time, more forms of consideration need to be certified to ensure the legal basis of social activities</w:t>
      </w:r>
      <w:r w:rsidR="003C38F0" w:rsidRPr="009A3069">
        <w:rPr>
          <w:rFonts w:ascii="Times New Roman" w:hAnsi="Times New Roman" w:cs="Times New Roman"/>
        </w:rPr>
        <w:t xml:space="preserve">. </w:t>
      </w:r>
      <w:r>
        <w:rPr>
          <w:rFonts w:ascii="Times New Roman" w:hAnsi="Times New Roman" w:cs="Times New Roman" w:hint="eastAsia"/>
        </w:rPr>
        <w:t>Firstly, n</w:t>
      </w:r>
      <w:r w:rsidR="001573EE" w:rsidRPr="00086CC8">
        <w:rPr>
          <w:rFonts w:ascii="Times New Roman" w:hAnsi="Times New Roman" w:cs="Times New Roman"/>
        </w:rPr>
        <w:t xml:space="preserve">on-monetary </w:t>
      </w:r>
      <w:r w:rsidR="009A3069" w:rsidRPr="00086CC8">
        <w:rPr>
          <w:rFonts w:ascii="Times New Roman" w:hAnsi="Times New Roman" w:cs="Times New Roman"/>
        </w:rPr>
        <w:t>considerations</w:t>
      </w:r>
      <w:r w:rsidR="00644DFF">
        <w:rPr>
          <w:rFonts w:ascii="Times New Roman" w:hAnsi="Times New Roman" w:cs="Times New Roman" w:hint="eastAsia"/>
        </w:rPr>
        <w:t xml:space="preserve">, </w:t>
      </w:r>
      <w:r w:rsidR="001A0B7F">
        <w:rPr>
          <w:rFonts w:ascii="Times New Roman" w:hAnsi="Times New Roman" w:cs="Times New Roman" w:hint="eastAsia"/>
        </w:rPr>
        <w:t>like</w:t>
      </w:r>
      <w:r w:rsidR="001573EE" w:rsidRPr="00086CC8">
        <w:rPr>
          <w:rFonts w:ascii="Times New Roman" w:hAnsi="Times New Roman" w:cs="Times New Roman"/>
        </w:rPr>
        <w:t xml:space="preserve"> </w:t>
      </w:r>
      <w:r w:rsidR="00E0094C" w:rsidRPr="00086CC8">
        <w:rPr>
          <w:rFonts w:ascii="Times New Roman" w:hAnsi="Times New Roman" w:cs="Times New Roman"/>
        </w:rPr>
        <w:t>digital assets,</w:t>
      </w:r>
      <w:r>
        <w:rPr>
          <w:rFonts w:ascii="Times New Roman" w:hAnsi="Times New Roman" w:cs="Times New Roman" w:hint="eastAsia"/>
        </w:rPr>
        <w:t xml:space="preserve"> AI</w:t>
      </w:r>
      <w:r w:rsidR="001A0B7F">
        <w:rPr>
          <w:rFonts w:ascii="Times New Roman" w:hAnsi="Times New Roman" w:cs="Times New Roman" w:hint="eastAsia"/>
        </w:rPr>
        <w:t>-related agreements</w:t>
      </w:r>
      <w:r>
        <w:rPr>
          <w:rFonts w:ascii="Times New Roman" w:hAnsi="Times New Roman" w:cs="Times New Roman" w:hint="eastAsia"/>
        </w:rPr>
        <w:t>,</w:t>
      </w:r>
      <w:r w:rsidR="00E0094C" w:rsidRPr="00086CC8">
        <w:rPr>
          <w:rFonts w:ascii="Times New Roman" w:hAnsi="Times New Roman" w:cs="Times New Roman"/>
        </w:rPr>
        <w:t xml:space="preserve"> cryptocurrencies, or other intangible goods</w:t>
      </w:r>
      <w:r w:rsidR="00644DFF">
        <w:rPr>
          <w:rFonts w:ascii="Times New Roman" w:hAnsi="Times New Roman" w:cs="Times New Roman" w:hint="eastAsia"/>
        </w:rPr>
        <w:t xml:space="preserve">, </w:t>
      </w:r>
      <w:r w:rsidR="00644DFF" w:rsidRPr="00086CC8">
        <w:rPr>
          <w:rFonts w:ascii="Times New Roman" w:hAnsi="Times New Roman" w:cs="Times New Roman"/>
        </w:rPr>
        <w:t>should be acknowledged as valid</w:t>
      </w:r>
      <w:r w:rsidR="00845AD7" w:rsidRPr="00086CC8">
        <w:rPr>
          <w:rFonts w:ascii="Times New Roman" w:hAnsi="Times New Roman" w:cs="Times New Roman"/>
        </w:rPr>
        <w:t xml:space="preserve"> </w:t>
      </w:r>
      <w:r w:rsidR="00845AD7" w:rsidRPr="00086CC8">
        <w:rPr>
          <w:rFonts w:ascii="Times New Roman" w:hAnsi="Times New Roman" w:cs="Times New Roman"/>
        </w:rPr>
        <w:fldChar w:fldCharType="begin"/>
      </w:r>
      <w:r w:rsidR="00845AD7" w:rsidRPr="00086CC8">
        <w:rPr>
          <w:rFonts w:ascii="Times New Roman" w:hAnsi="Times New Roman" w:cs="Times New Roman"/>
        </w:rPr>
        <w:instrText xml:space="preserve"> ADDIN ZOTERO_ITEM CSL_CITATION {"citationID":"jOOrJjGA","properties":{"formattedCitation":"(Fox, 2018)","plainCitation":"(Fox, 2018)","noteIndex":0},"citationItems":[{"id":19,"uris":["http://zotero.org/users/local/LRYjC9Ia/items/KIGRPNZG"],"itemData":{"id":19,"type":"article-journal","container-title":"Available at SSRN 3232501","source":"Google Scholar","title":"Cryptocurrencies in the common law of property","URL":"https://papers.ssrn.com/sol3/papers.cfm?abstract_id=3232501","author":[{"family":"Fox","given":"David"}],"accessed":{"date-parts":[["2024",3,5]]},"issued":{"date-parts":[["2018"]]}}}],"schema":"https://github.com/citation-style-language/schema/raw/master/csl-citation.json"} </w:instrText>
      </w:r>
      <w:r w:rsidR="00845AD7" w:rsidRPr="00086CC8">
        <w:rPr>
          <w:rFonts w:ascii="Times New Roman" w:hAnsi="Times New Roman" w:cs="Times New Roman"/>
        </w:rPr>
        <w:fldChar w:fldCharType="separate"/>
      </w:r>
      <w:r w:rsidR="00845AD7" w:rsidRPr="00086CC8">
        <w:rPr>
          <w:rFonts w:ascii="Times New Roman" w:hAnsi="Times New Roman" w:cs="Times New Roman"/>
        </w:rPr>
        <w:t>(Fox, 2018)</w:t>
      </w:r>
      <w:r w:rsidR="00845AD7" w:rsidRPr="00086CC8">
        <w:rPr>
          <w:rFonts w:ascii="Times New Roman" w:hAnsi="Times New Roman" w:cs="Times New Roman"/>
        </w:rPr>
        <w:fldChar w:fldCharType="end"/>
      </w:r>
      <w:r w:rsidR="00644DFF">
        <w:rPr>
          <w:rFonts w:ascii="Times New Roman" w:hAnsi="Times New Roman" w:cs="Times New Roman" w:hint="eastAsia"/>
        </w:rPr>
        <w:t>, supporting the</w:t>
      </w:r>
      <w:r w:rsidR="001A6751" w:rsidRPr="00086CC8">
        <w:rPr>
          <w:rFonts w:ascii="Times New Roman" w:hAnsi="Times New Roman" w:cs="Times New Roman"/>
        </w:rPr>
        <w:t xml:space="preserve"> value of data and information by </w:t>
      </w:r>
      <w:r w:rsidR="001A0B7F" w:rsidRPr="001A0B7F">
        <w:rPr>
          <w:rFonts w:ascii="Times New Roman" w:hAnsi="Times New Roman" w:cs="Times New Roman"/>
        </w:rPr>
        <w:t>clear guidelines on ownership and usage</w:t>
      </w:r>
      <w:r w:rsidR="001A0B7F">
        <w:rPr>
          <w:rFonts w:ascii="Times New Roman" w:hAnsi="Times New Roman" w:cs="Times New Roman" w:hint="eastAsia"/>
        </w:rPr>
        <w:t xml:space="preserve"> </w:t>
      </w:r>
      <w:r w:rsidR="001A6751" w:rsidRPr="00086CC8">
        <w:rPr>
          <w:rFonts w:ascii="Times New Roman" w:hAnsi="Times New Roman" w:cs="Times New Roman"/>
        </w:rPr>
        <w:fldChar w:fldCharType="begin"/>
      </w:r>
      <w:r w:rsidR="001A6751" w:rsidRPr="00086CC8">
        <w:rPr>
          <w:rFonts w:ascii="Times New Roman" w:hAnsi="Times New Roman" w:cs="Times New Roman"/>
        </w:rPr>
        <w:instrText xml:space="preserve"> ADDIN ZOTERO_ITEM CSL_CITATION {"citationID":"v4tCuhgl","properties":{"formattedCitation":"(Langhanke and Schmidt-Kessel, 2015)","plainCitation":"(Langhanke and Schmidt-Kessel, 2015)","noteIndex":0},"citationItems":[{"id":20,"uris":["http://zotero.org/users/local/LRYjC9Ia/items/8UURWDZR"],"itemData":{"id":20,"type":"article-journal","container-title":"J. Eur. Consumer &amp; Mkt. L.","note":"publisher: HeinOnline","page":"218","source":"Google Scholar","title":"Consumer data as consideration","volume":"4","author":[{"family":"Langhanke","given":"Carmen"},{"family":"Schmidt-Kessel","given":"Martin"}],"issued":{"date-parts":[["2015"]]}}}],"schema":"https://github.com/citation-style-language/schema/raw/master/csl-citation.json"} </w:instrText>
      </w:r>
      <w:r w:rsidR="001A6751" w:rsidRPr="00086CC8">
        <w:rPr>
          <w:rFonts w:ascii="Times New Roman" w:hAnsi="Times New Roman" w:cs="Times New Roman"/>
        </w:rPr>
        <w:fldChar w:fldCharType="separate"/>
      </w:r>
      <w:r w:rsidR="001A6751" w:rsidRPr="00086CC8">
        <w:rPr>
          <w:rFonts w:ascii="Times New Roman" w:hAnsi="Times New Roman" w:cs="Times New Roman"/>
        </w:rPr>
        <w:t>(Langhanke and Schmidt-Kessel, 2015)</w:t>
      </w:r>
      <w:r w:rsidR="001A6751" w:rsidRPr="00086CC8">
        <w:rPr>
          <w:rFonts w:ascii="Times New Roman" w:hAnsi="Times New Roman" w:cs="Times New Roman"/>
        </w:rPr>
        <w:fldChar w:fldCharType="end"/>
      </w:r>
      <w:r w:rsidR="001A0B7F">
        <w:rPr>
          <w:rFonts w:ascii="Times New Roman" w:hAnsi="Times New Roman" w:cs="Times New Roman" w:hint="eastAsia"/>
        </w:rPr>
        <w:t xml:space="preserve">. </w:t>
      </w:r>
      <w:r w:rsidR="003C38F0" w:rsidRPr="009A3069">
        <w:rPr>
          <w:rFonts w:ascii="Times New Roman" w:hAnsi="Times New Roman" w:cs="Times New Roman"/>
        </w:rPr>
        <w:t>Moreover, with the increasing awareness of social responsibility</w:t>
      </w:r>
      <w:r w:rsidR="00FE41CB" w:rsidRPr="009A3069">
        <w:rPr>
          <w:rFonts w:ascii="Times New Roman" w:hAnsi="Times New Roman" w:cs="Times New Roman"/>
        </w:rPr>
        <w:t xml:space="preserve"> among </w:t>
      </w:r>
      <w:r w:rsidR="009A3069">
        <w:rPr>
          <w:rFonts w:ascii="Times New Roman" w:hAnsi="Times New Roman" w:cs="Times New Roman"/>
        </w:rPr>
        <w:t xml:space="preserve">the </w:t>
      </w:r>
      <w:r w:rsidR="00FE41CB" w:rsidRPr="009A3069">
        <w:rPr>
          <w:rFonts w:ascii="Times New Roman" w:hAnsi="Times New Roman" w:cs="Times New Roman"/>
        </w:rPr>
        <w:t>general public, i</w:t>
      </w:r>
      <w:r w:rsidR="003C38F0" w:rsidRPr="009A3069">
        <w:rPr>
          <w:rFonts w:ascii="Times New Roman" w:hAnsi="Times New Roman" w:cs="Times New Roman"/>
        </w:rPr>
        <w:t>ntroduc</w:t>
      </w:r>
      <w:r w:rsidR="00FE41CB" w:rsidRPr="009A3069">
        <w:rPr>
          <w:rFonts w:ascii="Times New Roman" w:hAnsi="Times New Roman" w:cs="Times New Roman"/>
        </w:rPr>
        <w:t>ing</w:t>
      </w:r>
      <w:r w:rsidR="003C38F0" w:rsidRPr="009A3069">
        <w:rPr>
          <w:rFonts w:ascii="Times New Roman" w:hAnsi="Times New Roman" w:cs="Times New Roman"/>
        </w:rPr>
        <w:t xml:space="preserve"> provisions </w:t>
      </w:r>
      <w:r w:rsidR="00644DFF">
        <w:rPr>
          <w:rFonts w:ascii="Times New Roman" w:hAnsi="Times New Roman" w:cs="Times New Roman" w:hint="eastAsia"/>
        </w:rPr>
        <w:t xml:space="preserve">of </w:t>
      </w:r>
      <w:r w:rsidR="003C38F0" w:rsidRPr="009A3069">
        <w:rPr>
          <w:rFonts w:ascii="Times New Roman" w:hAnsi="Times New Roman" w:cs="Times New Roman"/>
        </w:rPr>
        <w:t>environmental considerations</w:t>
      </w:r>
      <w:r w:rsidR="001A0B7F">
        <w:rPr>
          <w:rFonts w:ascii="Times New Roman" w:hAnsi="Times New Roman" w:cs="Times New Roman" w:hint="eastAsia"/>
        </w:rPr>
        <w:t xml:space="preserve">, </w:t>
      </w:r>
      <w:r w:rsidR="00644DFF">
        <w:rPr>
          <w:rFonts w:ascii="Times New Roman" w:hAnsi="Times New Roman" w:cs="Times New Roman" w:hint="eastAsia"/>
        </w:rPr>
        <w:t>such as</w:t>
      </w:r>
      <w:r w:rsidR="001A0B7F">
        <w:rPr>
          <w:rFonts w:ascii="Times New Roman" w:hAnsi="Times New Roman" w:cs="Times New Roman" w:hint="eastAsia"/>
        </w:rPr>
        <w:t xml:space="preserve"> </w:t>
      </w:r>
      <w:r w:rsidR="001A0B7F" w:rsidRPr="009A3069">
        <w:rPr>
          <w:rFonts w:ascii="Times New Roman" w:hAnsi="Times New Roman" w:cs="Times New Roman"/>
        </w:rPr>
        <w:t>carbon credits</w:t>
      </w:r>
      <w:r w:rsidR="00644DFF">
        <w:rPr>
          <w:rFonts w:ascii="Times New Roman" w:hAnsi="Times New Roman" w:cs="Times New Roman" w:hint="eastAsia"/>
        </w:rPr>
        <w:t xml:space="preserve"> and </w:t>
      </w:r>
      <w:r w:rsidR="001A0B7F" w:rsidRPr="009A3069">
        <w:rPr>
          <w:rFonts w:ascii="Times New Roman" w:hAnsi="Times New Roman" w:cs="Times New Roman"/>
        </w:rPr>
        <w:t>sustainable practices</w:t>
      </w:r>
      <w:r w:rsidR="001A0B7F">
        <w:rPr>
          <w:rFonts w:ascii="Times New Roman" w:hAnsi="Times New Roman" w:cs="Times New Roman" w:hint="eastAsia"/>
        </w:rPr>
        <w:t>,</w:t>
      </w:r>
      <w:r w:rsidR="00FE41CB" w:rsidRPr="009A3069">
        <w:rPr>
          <w:rFonts w:ascii="Times New Roman" w:hAnsi="Times New Roman" w:cs="Times New Roman"/>
        </w:rPr>
        <w:t xml:space="preserve"> can be worthwhile reform </w:t>
      </w:r>
      <w:r w:rsidR="00FE41CB" w:rsidRPr="009A3069">
        <w:rPr>
          <w:rFonts w:ascii="Times New Roman" w:hAnsi="Times New Roman" w:cs="Times New Roman"/>
        </w:rPr>
        <w:fldChar w:fldCharType="begin"/>
      </w:r>
      <w:r w:rsidR="00FE41CB" w:rsidRPr="009A3069">
        <w:rPr>
          <w:rFonts w:ascii="Times New Roman" w:hAnsi="Times New Roman" w:cs="Times New Roman"/>
        </w:rPr>
        <w:instrText xml:space="preserve"> ADDIN ZOTERO_ITEM CSL_CITATION {"citationID":"gknF1uMc","properties":{"formattedCitation":"(Palmujoki, Parikka\\uc0\\u8208{}Alhola and Ekroos, 2010)","plainCitation":"(Palmujoki, Parikka‐Alhola and Ekroos, 2010)","noteIndex":0},"citationItems":[{"id":21,"uris":["http://zotero.org/users/local/LRYjC9Ia/items/D8MSIQ8U"],"itemData":{"id":21,"type":"article-journal","abstract":"Increasing environmental concerns regarding the actions and policies of the EU have meant that green aspects have become an important factor in public procurement. Although green purchasing criteria are fostered by many EU level and national action plans, and thus are more often included in calls for tenders, it is not necessarily the case that they are integrated into the final contract clauses. Opportunities for incorporating environmental aspects into contract clauses are important in order to ensure that the environmental criteria of the tender documents are fulfilled by the purchased products and services during the contract period.\n            In this article we examine and analyse environmental criteria in public procurement contracts and calls for tenders, and focus on the relevance of environmental contractual terms, i.e. the existence and applicability of environmental criteria in the procurement contracts. We also discuss the comprehensiveness and enforceability of the drafted terms and conditions in the procurement contracts, highlighting the contract practices that we see as the most functional and practical from the procuring authorities' point of view.","container-title":"Review of European Community &amp; International Environmental Law","DOI":"10.1111/j.1467-9388.2010.00681.x","ISSN":"0962-8797, 1467-9388","issue":"2","journalAbbreviation":"Review of European Community &amp; International Environmental Law","language":"en","page":"250-262","source":"DOI.org (Crossref)","title":"Green Public Procurement: Analysis on the Use of Environmental Criteria in Contracts","title-short":"Green Public Procurement","volume":"19","author":[{"family":"Palmujoki","given":"Antti"},{"family":"Parikka‐Alhola","given":"Katriina"},{"family":"Ekroos","given":"Ari"}],"issued":{"date-parts":[["2010",7]]}}}],"schema":"https://github.com/citation-style-language/schema/raw/master/csl-citation.json"} </w:instrText>
      </w:r>
      <w:r w:rsidR="00FE41CB" w:rsidRPr="009A3069">
        <w:rPr>
          <w:rFonts w:ascii="Times New Roman" w:hAnsi="Times New Roman" w:cs="Times New Roman"/>
        </w:rPr>
        <w:fldChar w:fldCharType="separate"/>
      </w:r>
      <w:r w:rsidR="00FE41CB" w:rsidRPr="009A3069">
        <w:rPr>
          <w:rFonts w:ascii="Times New Roman" w:hAnsi="Times New Roman" w:cs="Times New Roman"/>
        </w:rPr>
        <w:t>(Palmujoki, Parikka‐Alhola</w:t>
      </w:r>
      <w:r w:rsidR="009A3069">
        <w:rPr>
          <w:rFonts w:ascii="Times New Roman" w:hAnsi="Times New Roman" w:cs="Times New Roman"/>
        </w:rPr>
        <w:t>,</w:t>
      </w:r>
      <w:r w:rsidR="00FE41CB" w:rsidRPr="009A3069">
        <w:rPr>
          <w:rFonts w:ascii="Times New Roman" w:hAnsi="Times New Roman" w:cs="Times New Roman"/>
        </w:rPr>
        <w:t xml:space="preserve"> and Ekroos, 2010)</w:t>
      </w:r>
      <w:r w:rsidR="00FE41CB" w:rsidRPr="009A3069">
        <w:rPr>
          <w:rFonts w:ascii="Times New Roman" w:hAnsi="Times New Roman" w:cs="Times New Roman"/>
        </w:rPr>
        <w:fldChar w:fldCharType="end"/>
      </w:r>
      <w:r w:rsidR="00FE41CB" w:rsidRPr="009A3069">
        <w:rPr>
          <w:rFonts w:ascii="Times New Roman" w:hAnsi="Times New Roman" w:cs="Times New Roman"/>
        </w:rPr>
        <w:t>, aligning with evolving corporate social responsibility (CSR) standards.</w:t>
      </w:r>
    </w:p>
    <w:p w14:paraId="7B6F3399" w14:textId="45796257" w:rsidR="007404D1" w:rsidRPr="009A3069" w:rsidRDefault="00B7013C" w:rsidP="001A0B7F">
      <w:pPr>
        <w:widowControl/>
        <w:spacing w:beforeLines="200" w:before="624"/>
        <w:ind w:firstLine="420"/>
        <w:jc w:val="both"/>
        <w:rPr>
          <w:rFonts w:ascii="Times New Roman" w:hAnsi="Times New Roman" w:cs="Times New Roman"/>
          <w:color w:val="222222"/>
          <w:sz w:val="20"/>
          <w:szCs w:val="20"/>
          <w:shd w:val="clear" w:color="auto" w:fill="FFFFFF"/>
        </w:rPr>
      </w:pPr>
      <w:r w:rsidRPr="009A3069">
        <w:rPr>
          <w:rFonts w:ascii="Times New Roman" w:hAnsi="Times New Roman" w:cs="Times New Roman"/>
        </w:rPr>
        <w:t xml:space="preserve">In conclusion, the above analysis </w:t>
      </w:r>
      <w:r w:rsidR="009A3069">
        <w:rPr>
          <w:rFonts w:ascii="Times New Roman" w:hAnsi="Times New Roman" w:cs="Times New Roman"/>
        </w:rPr>
        <w:t>focuses</w:t>
      </w:r>
      <w:r w:rsidRPr="009A3069">
        <w:rPr>
          <w:rFonts w:ascii="Times New Roman" w:hAnsi="Times New Roman" w:cs="Times New Roman"/>
        </w:rPr>
        <w:t xml:space="preserve"> on the issues of consideration in </w:t>
      </w:r>
      <w:r w:rsidR="009A3069">
        <w:rPr>
          <w:rFonts w:ascii="Times New Roman" w:hAnsi="Times New Roman" w:cs="Times New Roman"/>
        </w:rPr>
        <w:t>contract-making</w:t>
      </w:r>
      <w:r w:rsidRPr="009A3069">
        <w:rPr>
          <w:rFonts w:ascii="Times New Roman" w:hAnsi="Times New Roman" w:cs="Times New Roman"/>
        </w:rPr>
        <w:t xml:space="preserve"> in modern social activities, making us rethink the scope and meaning of consideration. The existence of some issues may improv</w:t>
      </w:r>
      <w:r w:rsidR="00644DFF">
        <w:rPr>
          <w:rFonts w:ascii="Times New Roman" w:hAnsi="Times New Roman" w:cs="Times New Roman" w:hint="eastAsia"/>
        </w:rPr>
        <w:t>e</w:t>
      </w:r>
      <w:r w:rsidRPr="009A3069">
        <w:rPr>
          <w:rFonts w:ascii="Times New Roman" w:hAnsi="Times New Roman" w:cs="Times New Roman"/>
        </w:rPr>
        <w:t xml:space="preserve"> the concept of consideration</w:t>
      </w:r>
      <w:r w:rsidR="00644DFF">
        <w:rPr>
          <w:rFonts w:ascii="Times New Roman" w:hAnsi="Times New Roman" w:cs="Times New Roman" w:hint="eastAsia"/>
        </w:rPr>
        <w:t xml:space="preserve"> but </w:t>
      </w:r>
      <w:r w:rsidR="00C21918">
        <w:rPr>
          <w:rFonts w:ascii="Times New Roman" w:hAnsi="Times New Roman" w:cs="Times New Roman"/>
        </w:rPr>
        <w:t>has</w:t>
      </w:r>
      <w:r w:rsidR="00644DFF" w:rsidRPr="009A3069">
        <w:rPr>
          <w:rFonts w:ascii="Times New Roman" w:hAnsi="Times New Roman" w:cs="Times New Roman"/>
        </w:rPr>
        <w:t xml:space="preserve"> limitations</w:t>
      </w:r>
      <w:r w:rsidRPr="009A3069">
        <w:rPr>
          <w:rFonts w:ascii="Times New Roman" w:hAnsi="Times New Roman" w:cs="Times New Roman"/>
        </w:rPr>
        <w:t xml:space="preserve">. </w:t>
      </w:r>
      <w:r w:rsidR="00F8498D" w:rsidRPr="009A3069">
        <w:rPr>
          <w:rFonts w:ascii="Times New Roman" w:hAnsi="Times New Roman" w:cs="Times New Roman"/>
        </w:rPr>
        <w:t>Thus, t</w:t>
      </w:r>
      <w:r w:rsidRPr="009A3069">
        <w:rPr>
          <w:rFonts w:ascii="Times New Roman" w:hAnsi="Times New Roman" w:cs="Times New Roman"/>
        </w:rPr>
        <w:t xml:space="preserve">he analysis of their advantages and disadvantages and the reform suggestions will help </w:t>
      </w:r>
      <w:r w:rsidR="009A3069">
        <w:rPr>
          <w:rFonts w:ascii="Times New Roman" w:hAnsi="Times New Roman" w:cs="Times New Roman"/>
        </w:rPr>
        <w:t>legislation</w:t>
      </w:r>
      <w:r w:rsidRPr="009A3069">
        <w:rPr>
          <w:rFonts w:ascii="Times New Roman" w:hAnsi="Times New Roman" w:cs="Times New Roman"/>
        </w:rPr>
        <w:t xml:space="preserve"> further improve the relevant provisions of consideration.</w:t>
      </w:r>
      <w:r w:rsidR="001A0B7F">
        <w:rPr>
          <w:rFonts w:ascii="Times New Roman" w:hAnsi="Times New Roman" w:cs="Times New Roman" w:hint="eastAsia"/>
        </w:rPr>
        <w:t xml:space="preserve"> In conclusion</w:t>
      </w:r>
      <w:r w:rsidR="00F8498D" w:rsidRPr="009A3069">
        <w:rPr>
          <w:rFonts w:ascii="Times New Roman" w:hAnsi="Times New Roman" w:cs="Times New Roman"/>
        </w:rPr>
        <w:t>,</w:t>
      </w:r>
      <w:r w:rsidR="001A0B7F">
        <w:rPr>
          <w:rFonts w:ascii="Times New Roman" w:hAnsi="Times New Roman" w:cs="Times New Roman" w:hint="eastAsia"/>
        </w:rPr>
        <w:t xml:space="preserve"> </w:t>
      </w:r>
      <w:r w:rsidR="001A0B7F" w:rsidRPr="001A0B7F">
        <w:rPr>
          <w:rFonts w:ascii="Times New Roman" w:hAnsi="Times New Roman" w:cs="Times New Roman"/>
        </w:rPr>
        <w:t xml:space="preserve">while consideration has become increasingly </w:t>
      </w:r>
      <w:r w:rsidR="001A0B7F">
        <w:rPr>
          <w:rFonts w:ascii="Times New Roman" w:hAnsi="Times New Roman" w:cs="Times New Roman" w:hint="eastAsia"/>
        </w:rPr>
        <w:t xml:space="preserve">flexible and inclusive </w:t>
      </w:r>
      <w:r w:rsidR="001A0B7F" w:rsidRPr="001A0B7F">
        <w:rPr>
          <w:rFonts w:ascii="Times New Roman" w:hAnsi="Times New Roman" w:cs="Times New Roman"/>
        </w:rPr>
        <w:t>in its form and content</w:t>
      </w:r>
      <w:r w:rsidR="00644DFF">
        <w:rPr>
          <w:rFonts w:ascii="Times New Roman" w:hAnsi="Times New Roman" w:cs="Times New Roman" w:hint="eastAsia"/>
        </w:rPr>
        <w:t xml:space="preserve"> in terms of these issues</w:t>
      </w:r>
      <w:r w:rsidR="001A0B7F" w:rsidRPr="001A0B7F">
        <w:rPr>
          <w:rFonts w:ascii="Times New Roman" w:hAnsi="Times New Roman" w:cs="Times New Roman"/>
        </w:rPr>
        <w:t>, ongoing innovation is necessary to keep pace with societal advancements.</w:t>
      </w:r>
      <w:r w:rsidR="00F8498D" w:rsidRPr="009A3069">
        <w:rPr>
          <w:rFonts w:ascii="Times New Roman" w:hAnsi="Times New Roman" w:cs="Times New Roman"/>
        </w:rPr>
        <w:t xml:space="preserve"> </w:t>
      </w:r>
      <w:r w:rsidR="001A0B7F">
        <w:rPr>
          <w:rFonts w:ascii="Times New Roman" w:hAnsi="Times New Roman" w:cs="Times New Roman" w:hint="eastAsia"/>
        </w:rPr>
        <w:t>R</w:t>
      </w:r>
      <w:r w:rsidRPr="009A3069">
        <w:rPr>
          <w:rFonts w:ascii="Times New Roman" w:hAnsi="Times New Roman" w:cs="Times New Roman"/>
        </w:rPr>
        <w:t>egularly reviewing and updating contract law can help address emerging issues and foster a better legal environment.</w:t>
      </w:r>
      <w:r w:rsidR="00492C67" w:rsidRPr="009A3069">
        <w:rPr>
          <w:rFonts w:ascii="Times New Roman" w:hAnsi="Times New Roman" w:cs="Times New Roman"/>
          <w:color w:val="222222"/>
          <w:sz w:val="20"/>
          <w:szCs w:val="20"/>
          <w:shd w:val="clear" w:color="auto" w:fill="FFFFFF"/>
        </w:rPr>
        <w:br w:type="page"/>
      </w:r>
    </w:p>
    <w:p w14:paraId="0201FE42" w14:textId="053F3A37" w:rsidR="008B1B6F" w:rsidRPr="009A3069" w:rsidRDefault="007C2C42" w:rsidP="007C2C42">
      <w:pPr>
        <w:pStyle w:val="NormalWeb"/>
        <w:jc w:val="both"/>
        <w:outlineLvl w:val="1"/>
        <w:rPr>
          <w:rFonts w:ascii="Times New Roman" w:hAnsi="Times New Roman" w:cs="Times New Roman"/>
          <w:b/>
          <w:bCs/>
          <w:sz w:val="28"/>
          <w:szCs w:val="28"/>
        </w:rPr>
      </w:pPr>
      <w:bookmarkStart w:id="0" w:name="_Toc160729990"/>
      <w:r w:rsidRPr="009A3069">
        <w:rPr>
          <w:rFonts w:ascii="Times New Roman" w:hAnsi="Times New Roman" w:cs="Times New Roman"/>
          <w:b/>
          <w:bCs/>
          <w:sz w:val="28"/>
          <w:szCs w:val="28"/>
        </w:rPr>
        <w:lastRenderedPageBreak/>
        <w:t>Reference</w:t>
      </w:r>
      <w:bookmarkEnd w:id="0"/>
    </w:p>
    <w:p w14:paraId="23D6C205" w14:textId="77777777" w:rsidR="00AB0320" w:rsidRPr="00AB0320" w:rsidRDefault="00C179A3" w:rsidP="00097DD2">
      <w:pPr>
        <w:pStyle w:val="Bibliography"/>
        <w:ind w:left="440" w:hangingChars="200" w:hanging="440"/>
        <w:rPr>
          <w:rFonts w:ascii="Times New Roman" w:hAnsi="Times New Roman" w:cs="Times New Roman"/>
        </w:rPr>
      </w:pPr>
      <w:r w:rsidRPr="00167B37">
        <w:rPr>
          <w:szCs w:val="22"/>
        </w:rPr>
        <w:fldChar w:fldCharType="begin"/>
      </w:r>
      <w:r w:rsidRPr="00167B37">
        <w:rPr>
          <w:szCs w:val="22"/>
        </w:rPr>
        <w:instrText xml:space="preserve"> ADDIN ZOTERO_BIBL {"uncited":[],"omitted":[],"custom":[]} CSL_BIBLIOGRAPHY </w:instrText>
      </w:r>
      <w:r w:rsidRPr="00167B37">
        <w:rPr>
          <w:szCs w:val="22"/>
        </w:rPr>
        <w:fldChar w:fldCharType="separate"/>
      </w:r>
      <w:r w:rsidR="00AB0320" w:rsidRPr="00AB0320">
        <w:rPr>
          <w:rFonts w:ascii="Times New Roman" w:hAnsi="Times New Roman" w:cs="Times New Roman"/>
        </w:rPr>
        <w:t xml:space="preserve">Barnhizer, D.D. (2004) ‘Inequality of Bargaining Power’, </w:t>
      </w:r>
      <w:r w:rsidR="00AB0320" w:rsidRPr="00AB0320">
        <w:rPr>
          <w:rFonts w:ascii="Times New Roman" w:hAnsi="Times New Roman" w:cs="Times New Roman"/>
          <w:i/>
          <w:iCs/>
        </w:rPr>
        <w:t>MSU Legal Studies Research Paper</w:t>
      </w:r>
      <w:r w:rsidR="00AB0320" w:rsidRPr="00AB0320">
        <w:rPr>
          <w:rFonts w:ascii="Times New Roman" w:hAnsi="Times New Roman" w:cs="Times New Roman"/>
        </w:rPr>
        <w:t xml:space="preserve"> [Preprint], (02–01). Available at: https://papers.ssrn.com/sol3/papers.cfm?abstract_id=570705 (Accessed: 5 March 2024).</w:t>
      </w:r>
    </w:p>
    <w:p w14:paraId="00DE10BD"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Benson, P. (2011) ‘The Idea of Consideration’, </w:t>
      </w:r>
      <w:r w:rsidRPr="00AB0320">
        <w:rPr>
          <w:rFonts w:ascii="Times New Roman" w:hAnsi="Times New Roman" w:cs="Times New Roman"/>
          <w:i/>
          <w:iCs/>
        </w:rPr>
        <w:t>University of Toronto Law Journal</w:t>
      </w:r>
      <w:r w:rsidRPr="00AB0320">
        <w:rPr>
          <w:rFonts w:ascii="Times New Roman" w:hAnsi="Times New Roman" w:cs="Times New Roman"/>
        </w:rPr>
        <w:t>, 61, pp. 241–278. Available at: https://doi.org/10.2307/23018568.</w:t>
      </w:r>
    </w:p>
    <w:p w14:paraId="320D5478" w14:textId="77777777" w:rsidR="00644DFF" w:rsidRPr="00167B37" w:rsidRDefault="00644DFF" w:rsidP="00097DD2">
      <w:pPr>
        <w:ind w:left="440" w:hangingChars="200" w:hanging="440"/>
        <w:rPr>
          <w:rFonts w:ascii="Times New Roman" w:hAnsi="Times New Roman" w:cs="Times New Roman"/>
          <w:szCs w:val="22"/>
        </w:rPr>
      </w:pPr>
      <w:hyperlink r:id="rId11" w:history="1">
        <w:r w:rsidRPr="00167B37">
          <w:rPr>
            <w:rStyle w:val="Hyperlink"/>
            <w:rFonts w:ascii="Times New Roman" w:hAnsi="Times New Roman" w:cs="Times New Roman"/>
            <w:i/>
            <w:iCs/>
            <w:color w:val="004B91"/>
            <w:szCs w:val="22"/>
            <w:bdr w:val="none" w:sz="0" w:space="0" w:color="auto" w:frame="1"/>
            <w:shd w:val="clear" w:color="auto" w:fill="FFFFFF"/>
          </w:rPr>
          <w:t>Boulton v Jones </w:t>
        </w:r>
        <w:r w:rsidRPr="00167B37">
          <w:rPr>
            <w:rStyle w:val="Hyperlink"/>
            <w:rFonts w:ascii="Times New Roman" w:hAnsi="Times New Roman" w:cs="Times New Roman"/>
            <w:color w:val="004B91"/>
            <w:szCs w:val="22"/>
            <w:bdr w:val="none" w:sz="0" w:space="0" w:color="auto" w:frame="1"/>
            <w:shd w:val="clear" w:color="auto" w:fill="FFFFFF"/>
          </w:rPr>
          <w:t>(1857) 2 H &amp; N 5</w:t>
        </w:r>
        <w:r w:rsidRPr="00167B37">
          <w:rPr>
            <w:rStyle w:val="Hyperlink"/>
            <w:rFonts w:ascii="Times New Roman" w:hAnsi="Times New Roman" w:cs="Times New Roman"/>
            <w:color w:val="004B91"/>
            <w:szCs w:val="22"/>
            <w:bdr w:val="none" w:sz="0" w:space="0" w:color="auto" w:frame="1"/>
            <w:shd w:val="clear" w:color="auto" w:fill="FFFFFF"/>
          </w:rPr>
          <w:t>6</w:t>
        </w:r>
        <w:r w:rsidRPr="00167B37">
          <w:rPr>
            <w:rStyle w:val="Hyperlink"/>
            <w:rFonts w:ascii="Times New Roman" w:hAnsi="Times New Roman" w:cs="Times New Roman"/>
            <w:color w:val="004B91"/>
            <w:szCs w:val="22"/>
            <w:bdr w:val="none" w:sz="0" w:space="0" w:color="auto" w:frame="1"/>
            <w:shd w:val="clear" w:color="auto" w:fill="FFFFFF"/>
          </w:rPr>
          <w:t>4, 27 LJ Ex 117, 3 Jur NS 1156, 6 WR 107, 157 ER 232, 30 LTOS 188</w:t>
        </w:r>
      </w:hyperlink>
    </w:p>
    <w:p w14:paraId="446E58C2" w14:textId="77777777" w:rsidR="00644DFF" w:rsidRPr="00167B37" w:rsidRDefault="00644DFF" w:rsidP="00097DD2">
      <w:pPr>
        <w:pStyle w:val="NormalWeb"/>
        <w:ind w:left="440" w:hangingChars="200" w:hanging="440"/>
        <w:rPr>
          <w:rStyle w:val="Hyperlink"/>
          <w:rFonts w:ascii="Times New Roman" w:hAnsi="Times New Roman" w:cs="Times New Roman"/>
          <w:color w:val="004B91"/>
          <w:sz w:val="22"/>
          <w:szCs w:val="22"/>
          <w:bdr w:val="none" w:sz="0" w:space="0" w:color="auto" w:frame="1"/>
          <w:shd w:val="clear" w:color="auto" w:fill="FFFFFF"/>
        </w:rPr>
      </w:pPr>
      <w:hyperlink r:id="rId12" w:history="1">
        <w:r w:rsidRPr="00167B37">
          <w:rPr>
            <w:rStyle w:val="Hyperlink"/>
            <w:rFonts w:ascii="Times New Roman" w:hAnsi="Times New Roman" w:cs="Times New Roman"/>
            <w:i/>
            <w:iCs/>
            <w:color w:val="004B91"/>
            <w:sz w:val="22"/>
            <w:szCs w:val="22"/>
            <w:bdr w:val="none" w:sz="0" w:space="0" w:color="auto" w:frame="1"/>
            <w:shd w:val="clear" w:color="auto" w:fill="FFFFFF"/>
          </w:rPr>
          <w:t>Carlill v Carbolic Smoke Ball Co</w:t>
        </w:r>
        <w:r w:rsidRPr="00167B37">
          <w:rPr>
            <w:rStyle w:val="Hyperlink"/>
            <w:rFonts w:ascii="Times New Roman" w:hAnsi="Times New Roman" w:cs="Times New Roman"/>
            <w:color w:val="004B91"/>
            <w:sz w:val="22"/>
            <w:szCs w:val="22"/>
            <w:bdr w:val="none" w:sz="0" w:space="0" w:color="auto" w:frame="1"/>
            <w:shd w:val="clear" w:color="auto" w:fill="FFFFFF"/>
          </w:rPr>
          <w:t> [1893] 1 QB 256, 57 JP 325, 62 LJQB 257, 4 R 176, 41 WR 210, [1891-94] All ER Rep 127, 67 LT 837, 9 TLR 124</w:t>
        </w:r>
      </w:hyperlink>
    </w:p>
    <w:p w14:paraId="2435766F" w14:textId="584FEA29" w:rsidR="00644DFF" w:rsidRDefault="00644DFF" w:rsidP="00097DD2">
      <w:pPr>
        <w:pStyle w:val="Bibliography"/>
        <w:ind w:left="440" w:hangingChars="200" w:hanging="440"/>
        <w:rPr>
          <w:rFonts w:ascii="Times New Roman" w:hAnsi="Times New Roman" w:cs="Times New Roman"/>
        </w:rPr>
      </w:pPr>
      <w:hyperlink r:id="rId13" w:history="1">
        <w:r w:rsidRPr="00167B37">
          <w:rPr>
            <w:rStyle w:val="Hyperlink"/>
            <w:rFonts w:ascii="Times New Roman" w:hAnsi="Times New Roman" w:cs="Times New Roman"/>
            <w:i/>
            <w:iCs/>
            <w:color w:val="004B91"/>
            <w:szCs w:val="22"/>
            <w:bdr w:val="none" w:sz="0" w:space="0" w:color="auto" w:frame="1"/>
            <w:shd w:val="clear" w:color="auto" w:fill="FFFFFF"/>
          </w:rPr>
          <w:t>Chappell &amp; Co Ltd v Nestlé Co Ltd</w:t>
        </w:r>
        <w:r w:rsidRPr="00167B37">
          <w:rPr>
            <w:rStyle w:val="Hyperlink"/>
            <w:rFonts w:ascii="Times New Roman" w:hAnsi="Times New Roman" w:cs="Times New Roman"/>
            <w:color w:val="004B91"/>
            <w:szCs w:val="22"/>
            <w:bdr w:val="none" w:sz="0" w:space="0" w:color="auto" w:frame="1"/>
            <w:shd w:val="clear" w:color="auto" w:fill="FFFFFF"/>
          </w:rPr>
          <w:t> [1960] AC 87, [1959] 2 All ER 701, [1959] 3 WLR 168, 103 Sol Jo 561</w:t>
        </w:r>
      </w:hyperlink>
    </w:p>
    <w:p w14:paraId="6234CABF" w14:textId="450D2446"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Cheung, S.O. (2010) ‘Construction Mediation Landscape in the Civil Justice System in Hong Kong’, </w:t>
      </w:r>
      <w:r w:rsidRPr="00AB0320">
        <w:rPr>
          <w:rFonts w:ascii="Times New Roman" w:hAnsi="Times New Roman" w:cs="Times New Roman"/>
          <w:i/>
          <w:iCs/>
        </w:rPr>
        <w:t>Journal of Legal Affairs and Dispute Resolution in Engineering and Construction</w:t>
      </w:r>
      <w:r w:rsidRPr="00AB0320">
        <w:rPr>
          <w:rFonts w:ascii="Times New Roman" w:hAnsi="Times New Roman" w:cs="Times New Roman"/>
        </w:rPr>
        <w:t>, 2(3), pp. 169–174. Available at: https://doi.org/10.1061/(ASCE)LA.1943-4170.0000022.</w:t>
      </w:r>
    </w:p>
    <w:p w14:paraId="1E52E20C"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Corbin, A.L. (1926) ‘Non-Binding Promises as Consideration’, </w:t>
      </w:r>
      <w:r w:rsidRPr="00AB0320">
        <w:rPr>
          <w:rFonts w:ascii="Times New Roman" w:hAnsi="Times New Roman" w:cs="Times New Roman"/>
          <w:i/>
          <w:iCs/>
        </w:rPr>
        <w:t>Columbia Law Review</w:t>
      </w:r>
      <w:r w:rsidRPr="00AB0320">
        <w:rPr>
          <w:rFonts w:ascii="Times New Roman" w:hAnsi="Times New Roman" w:cs="Times New Roman"/>
        </w:rPr>
        <w:t>, 26(5), pp. 550–558. Available at: https://doi.org/10.2307/1113706.</w:t>
      </w:r>
    </w:p>
    <w:p w14:paraId="4B3C94CD" w14:textId="2A10E55D" w:rsidR="00097DD2" w:rsidRPr="00097DD2" w:rsidRDefault="00097DD2" w:rsidP="00097DD2">
      <w:pPr>
        <w:ind w:left="440" w:hangingChars="200" w:hanging="440"/>
        <w:rPr>
          <w:rFonts w:ascii="Times New Roman" w:hAnsi="Times New Roman" w:cs="Times New Roman" w:hint="eastAsia"/>
          <w:szCs w:val="22"/>
        </w:rPr>
      </w:pPr>
      <w:hyperlink r:id="rId14" w:history="1">
        <w:r w:rsidRPr="00167B37">
          <w:rPr>
            <w:rStyle w:val="Hyperlink"/>
            <w:rFonts w:ascii="Times New Roman" w:hAnsi="Times New Roman" w:cs="Times New Roman"/>
            <w:i/>
            <w:iCs/>
            <w:color w:val="BE161D"/>
            <w:szCs w:val="22"/>
            <w:bdr w:val="none" w:sz="0" w:space="0" w:color="auto" w:frame="1"/>
            <w:shd w:val="clear" w:color="auto" w:fill="FFFFFF"/>
          </w:rPr>
          <w:t>Currie v Misa</w:t>
        </w:r>
        <w:r w:rsidRPr="00167B37">
          <w:rPr>
            <w:rStyle w:val="Hyperlink"/>
            <w:rFonts w:ascii="Times New Roman" w:hAnsi="Times New Roman" w:cs="Times New Roman"/>
            <w:color w:val="BE161D"/>
            <w:szCs w:val="22"/>
            <w:bdr w:val="none" w:sz="0" w:space="0" w:color="auto" w:frame="1"/>
            <w:shd w:val="clear" w:color="auto" w:fill="FFFFFF"/>
          </w:rPr>
          <w:t> (1875) LR 10 Exch 153, 44 LJ Ex 94, 23 WR 450</w:t>
        </w:r>
      </w:hyperlink>
    </w:p>
    <w:p w14:paraId="6CB6B16F" w14:textId="337C8665"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Daya-Winterbottom, M.A. (2022) </w:t>
      </w:r>
      <w:r w:rsidRPr="00AB0320">
        <w:rPr>
          <w:rFonts w:ascii="Times New Roman" w:hAnsi="Times New Roman" w:cs="Times New Roman"/>
          <w:i/>
          <w:iCs/>
        </w:rPr>
        <w:t>A Critical Analysis of the Requirement of Consideration for Contractual Variations</w:t>
      </w:r>
      <w:r w:rsidRPr="00AB0320">
        <w:rPr>
          <w:rFonts w:ascii="Times New Roman" w:hAnsi="Times New Roman" w:cs="Times New Roman"/>
        </w:rPr>
        <w:t>. PhD Thesis. University of Otago. Available at: https://ourarchive.otago.ac.nz/bitstream/handle/10523/14689/Daya-WinterbottomMichael2020LLM.pdf?sequence=1 (Accessed: 7 March 2024).</w:t>
      </w:r>
    </w:p>
    <w:p w14:paraId="6E6365CA" w14:textId="4F2914F7" w:rsidR="00644DFF" w:rsidRPr="00644DFF" w:rsidRDefault="00644DFF" w:rsidP="00097DD2">
      <w:pPr>
        <w:ind w:left="440" w:hangingChars="200" w:hanging="440"/>
        <w:rPr>
          <w:rFonts w:ascii="Times New Roman" w:hAnsi="Times New Roman" w:cs="Times New Roman" w:hint="eastAsia"/>
          <w:szCs w:val="22"/>
        </w:rPr>
      </w:pPr>
      <w:hyperlink r:id="rId15" w:history="1">
        <w:r w:rsidRPr="00167B37">
          <w:rPr>
            <w:rStyle w:val="Hyperlink"/>
            <w:rFonts w:ascii="Times New Roman" w:hAnsi="Times New Roman" w:cs="Times New Roman"/>
            <w:szCs w:val="22"/>
            <w:shd w:val="clear" w:color="auto" w:fill="FFFFFF"/>
          </w:rPr>
          <w:t>Eastern Air Lines, Inc. v. Gulf Oil Corp., 415 F. Supp. 429 (S.D. Fla. 1975)</w:t>
        </w:r>
      </w:hyperlink>
    </w:p>
    <w:p w14:paraId="37C1EFAD" w14:textId="0971D0C9"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Eisenberg, M. (1982) ‘Principles of Consideration’, </w:t>
      </w:r>
      <w:r w:rsidRPr="00AB0320">
        <w:rPr>
          <w:rFonts w:ascii="Times New Roman" w:hAnsi="Times New Roman" w:cs="Times New Roman"/>
          <w:i/>
          <w:iCs/>
        </w:rPr>
        <w:t>Cornell Law Review</w:t>
      </w:r>
      <w:r w:rsidRPr="00AB0320">
        <w:rPr>
          <w:rFonts w:ascii="Times New Roman" w:hAnsi="Times New Roman" w:cs="Times New Roman"/>
        </w:rPr>
        <w:t>, 67(4), pp. 640–665.</w:t>
      </w:r>
    </w:p>
    <w:p w14:paraId="26149F88"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Fox, D. (2018) ‘Cryptocurrencies in the common law of property’, </w:t>
      </w:r>
      <w:r w:rsidRPr="00AB0320">
        <w:rPr>
          <w:rFonts w:ascii="Times New Roman" w:hAnsi="Times New Roman" w:cs="Times New Roman"/>
          <w:i/>
          <w:iCs/>
        </w:rPr>
        <w:t>Available at SSRN 3232501</w:t>
      </w:r>
      <w:r w:rsidRPr="00AB0320">
        <w:rPr>
          <w:rFonts w:ascii="Times New Roman" w:hAnsi="Times New Roman" w:cs="Times New Roman"/>
        </w:rPr>
        <w:t xml:space="preserve"> [Preprint]. Available at: https://papers.ssrn.com/sol3/papers.cfm?abstract_id=3232501 (Accessed: 5 March 2024).</w:t>
      </w:r>
    </w:p>
    <w:p w14:paraId="0038FC87"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Fried, C. (2015) </w:t>
      </w:r>
      <w:r w:rsidRPr="00AB0320">
        <w:rPr>
          <w:rFonts w:ascii="Times New Roman" w:hAnsi="Times New Roman" w:cs="Times New Roman"/>
          <w:i/>
          <w:iCs/>
        </w:rPr>
        <w:t>Contract as promise: A theory of contractual obligation</w:t>
      </w:r>
      <w:r w:rsidRPr="00AB0320">
        <w:rPr>
          <w:rFonts w:ascii="Times New Roman" w:hAnsi="Times New Roman" w:cs="Times New Roman"/>
        </w:rPr>
        <w:t>. Oxford University Press, USA. Available at: https://books.google.com/books?hl=zh-CN&amp;lr=&amp;id=KM8YBwAAQBAJ&amp;oi=fnd&amp;pg=PP1&amp;dq=Contract+law+does+not+care</w:t>
      </w:r>
      <w:r w:rsidRPr="00AB0320">
        <w:rPr>
          <w:rFonts w:ascii="Times New Roman" w:hAnsi="Times New Roman" w:cs="Times New Roman"/>
        </w:rPr>
        <w:lastRenderedPageBreak/>
        <w:t>+whether+the+parties+are+exchanging+something+of+equal+value+as+long+as+they+are+satisfied+with+the+value+of+the+promises+they+are+exchanging.&amp;ots=rC5Hsp-TJ3&amp;sig=qTv_q5Ohi3foucz6k-ZS0MGjbOw (Accessed: 7 March 2024).</w:t>
      </w:r>
    </w:p>
    <w:p w14:paraId="253C6B89" w14:textId="77777777" w:rsidR="00AB0320" w:rsidRPr="00AB0320" w:rsidRDefault="00AB0320" w:rsidP="00097DD2">
      <w:pPr>
        <w:pStyle w:val="Bibliography"/>
        <w:ind w:left="440" w:hangingChars="200" w:hanging="440"/>
        <w:rPr>
          <w:rFonts w:ascii="Times New Roman" w:hAnsi="Times New Roman" w:cs="Times New Roman"/>
        </w:rPr>
      </w:pPr>
      <w:proofErr w:type="spellStart"/>
      <w:r w:rsidRPr="00AB0320">
        <w:rPr>
          <w:rFonts w:ascii="Times New Roman" w:hAnsi="Times New Roman" w:cs="Times New Roman"/>
        </w:rPr>
        <w:t>Furmston</w:t>
      </w:r>
      <w:proofErr w:type="spellEnd"/>
      <w:r w:rsidRPr="00AB0320">
        <w:rPr>
          <w:rFonts w:ascii="Times New Roman" w:hAnsi="Times New Roman" w:cs="Times New Roman"/>
        </w:rPr>
        <w:t xml:space="preserve">, M. and Tolhurst, G.J. (2010) </w:t>
      </w:r>
      <w:r w:rsidRPr="00AB0320">
        <w:rPr>
          <w:rFonts w:ascii="Times New Roman" w:hAnsi="Times New Roman" w:cs="Times New Roman"/>
          <w:i/>
          <w:iCs/>
        </w:rPr>
        <w:t>Contract Formation: Law and Practice</w:t>
      </w:r>
      <w:r w:rsidRPr="00AB0320">
        <w:rPr>
          <w:rFonts w:ascii="Times New Roman" w:hAnsi="Times New Roman" w:cs="Times New Roman"/>
        </w:rPr>
        <w:t>. OUP Oxford.</w:t>
      </w:r>
    </w:p>
    <w:p w14:paraId="19F62BDC"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Gwyn, J. (1952) ‘Requirement and Output Contracts’, </w:t>
      </w:r>
      <w:r w:rsidRPr="00AB0320">
        <w:rPr>
          <w:rFonts w:ascii="Times New Roman" w:hAnsi="Times New Roman" w:cs="Times New Roman"/>
          <w:i/>
          <w:iCs/>
        </w:rPr>
        <w:t>Duke Law Journal</w:t>
      </w:r>
      <w:r w:rsidRPr="00AB0320">
        <w:rPr>
          <w:rFonts w:ascii="Times New Roman" w:hAnsi="Times New Roman" w:cs="Times New Roman"/>
        </w:rPr>
        <w:t>, 2(2), pp. 180–194.</w:t>
      </w:r>
    </w:p>
    <w:p w14:paraId="13FD448E"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Harris, S.D. (2000) ‘Conceptions of Fairness and the Fair Labor Standards Act’, </w:t>
      </w:r>
      <w:r w:rsidRPr="00AB0320">
        <w:rPr>
          <w:rFonts w:ascii="Times New Roman" w:hAnsi="Times New Roman" w:cs="Times New Roman"/>
          <w:i/>
          <w:iCs/>
        </w:rPr>
        <w:t>Hofstra Labor &amp; Employment Law Journal</w:t>
      </w:r>
      <w:r w:rsidRPr="00AB0320">
        <w:rPr>
          <w:rFonts w:ascii="Times New Roman" w:hAnsi="Times New Roman" w:cs="Times New Roman"/>
        </w:rPr>
        <w:t>, 18, p. 19.</w:t>
      </w:r>
    </w:p>
    <w:p w14:paraId="763BC6D0"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Kraus, J.S. (2009) ‘The Correspondence of Contract and Promise’, </w:t>
      </w:r>
      <w:r w:rsidRPr="00AB0320">
        <w:rPr>
          <w:rFonts w:ascii="Times New Roman" w:hAnsi="Times New Roman" w:cs="Times New Roman"/>
          <w:i/>
          <w:iCs/>
        </w:rPr>
        <w:t>Columbia Law Review</w:t>
      </w:r>
      <w:r w:rsidRPr="00AB0320">
        <w:rPr>
          <w:rFonts w:ascii="Times New Roman" w:hAnsi="Times New Roman" w:cs="Times New Roman"/>
        </w:rPr>
        <w:t>, 109, p. 1603.</w:t>
      </w:r>
    </w:p>
    <w:p w14:paraId="6E47017C" w14:textId="77777777" w:rsidR="00AB0320" w:rsidRPr="00AB0320" w:rsidRDefault="00AB0320" w:rsidP="00097DD2">
      <w:pPr>
        <w:pStyle w:val="Bibliography"/>
        <w:ind w:left="440" w:hangingChars="200" w:hanging="440"/>
        <w:rPr>
          <w:rFonts w:ascii="Times New Roman" w:hAnsi="Times New Roman" w:cs="Times New Roman"/>
        </w:rPr>
      </w:pPr>
      <w:proofErr w:type="spellStart"/>
      <w:r w:rsidRPr="00AB0320">
        <w:rPr>
          <w:rFonts w:ascii="Times New Roman" w:hAnsi="Times New Roman" w:cs="Times New Roman"/>
        </w:rPr>
        <w:t>Langhanke</w:t>
      </w:r>
      <w:proofErr w:type="spellEnd"/>
      <w:r w:rsidRPr="00AB0320">
        <w:rPr>
          <w:rFonts w:ascii="Times New Roman" w:hAnsi="Times New Roman" w:cs="Times New Roman"/>
        </w:rPr>
        <w:t xml:space="preserve">, C. and Schmidt-Kessel, M. (2015) ‘Consumer data as consideration’, </w:t>
      </w:r>
      <w:r w:rsidRPr="00AB0320">
        <w:rPr>
          <w:rFonts w:ascii="Times New Roman" w:hAnsi="Times New Roman" w:cs="Times New Roman"/>
          <w:i/>
          <w:iCs/>
        </w:rPr>
        <w:t>J. Eur. Consumer &amp; Mkt. L.</w:t>
      </w:r>
      <w:r w:rsidRPr="00AB0320">
        <w:rPr>
          <w:rFonts w:ascii="Times New Roman" w:hAnsi="Times New Roman" w:cs="Times New Roman"/>
        </w:rPr>
        <w:t>, 4, p. 218.</w:t>
      </w:r>
    </w:p>
    <w:p w14:paraId="3510EFDA" w14:textId="77777777" w:rsidR="00AB0320" w:rsidRPr="00AB0320" w:rsidRDefault="00AB0320" w:rsidP="00097DD2">
      <w:pPr>
        <w:pStyle w:val="Bibliography"/>
        <w:ind w:left="440" w:hangingChars="200" w:hanging="440"/>
        <w:rPr>
          <w:rFonts w:ascii="Times New Roman" w:hAnsi="Times New Roman" w:cs="Times New Roman"/>
        </w:rPr>
      </w:pPr>
      <w:proofErr w:type="spellStart"/>
      <w:r w:rsidRPr="00AB0320">
        <w:rPr>
          <w:rFonts w:ascii="Times New Roman" w:hAnsi="Times New Roman" w:cs="Times New Roman"/>
        </w:rPr>
        <w:t>Palmujoki</w:t>
      </w:r>
      <w:proofErr w:type="spellEnd"/>
      <w:r w:rsidRPr="00AB0320">
        <w:rPr>
          <w:rFonts w:ascii="Times New Roman" w:hAnsi="Times New Roman" w:cs="Times New Roman"/>
        </w:rPr>
        <w:t>, A., Parikka‐</w:t>
      </w:r>
      <w:proofErr w:type="spellStart"/>
      <w:r w:rsidRPr="00AB0320">
        <w:rPr>
          <w:rFonts w:ascii="Times New Roman" w:hAnsi="Times New Roman" w:cs="Times New Roman"/>
        </w:rPr>
        <w:t>Alhola</w:t>
      </w:r>
      <w:proofErr w:type="spellEnd"/>
      <w:r w:rsidRPr="00AB0320">
        <w:rPr>
          <w:rFonts w:ascii="Times New Roman" w:hAnsi="Times New Roman" w:cs="Times New Roman"/>
        </w:rPr>
        <w:t xml:space="preserve">, K. and </w:t>
      </w:r>
      <w:proofErr w:type="spellStart"/>
      <w:r w:rsidRPr="00AB0320">
        <w:rPr>
          <w:rFonts w:ascii="Times New Roman" w:hAnsi="Times New Roman" w:cs="Times New Roman"/>
        </w:rPr>
        <w:t>Ekroos</w:t>
      </w:r>
      <w:proofErr w:type="spellEnd"/>
      <w:r w:rsidRPr="00AB0320">
        <w:rPr>
          <w:rFonts w:ascii="Times New Roman" w:hAnsi="Times New Roman" w:cs="Times New Roman"/>
        </w:rPr>
        <w:t xml:space="preserve">, A. (2010) ‘Green Public Procurement: Analysis on the Use of Environmental Criteria in Contracts’, </w:t>
      </w:r>
      <w:r w:rsidRPr="00AB0320">
        <w:rPr>
          <w:rFonts w:ascii="Times New Roman" w:hAnsi="Times New Roman" w:cs="Times New Roman"/>
          <w:i/>
          <w:iCs/>
        </w:rPr>
        <w:t>Review of European Community &amp; International Environmental Law</w:t>
      </w:r>
      <w:r w:rsidRPr="00AB0320">
        <w:rPr>
          <w:rFonts w:ascii="Times New Roman" w:hAnsi="Times New Roman" w:cs="Times New Roman"/>
        </w:rPr>
        <w:t>, 19(2), pp. 250–262. Available at: https://doi.org/10.1111/j.1467-9388.2010.00681.x.</w:t>
      </w:r>
    </w:p>
    <w:p w14:paraId="65CE5722"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Perritt Jr, H.H. (1989) ‘The Future of Wrongful Dismissal Claims: Where Does Employer Self Interest Lie’, </w:t>
      </w:r>
      <w:r w:rsidRPr="00AB0320">
        <w:rPr>
          <w:rFonts w:ascii="Times New Roman" w:hAnsi="Times New Roman" w:cs="Times New Roman"/>
          <w:i/>
          <w:iCs/>
        </w:rPr>
        <w:t>U. Cin. L. Rev.</w:t>
      </w:r>
      <w:r w:rsidRPr="00AB0320">
        <w:rPr>
          <w:rFonts w:ascii="Times New Roman" w:hAnsi="Times New Roman" w:cs="Times New Roman"/>
        </w:rPr>
        <w:t>, 58, p. 397.</w:t>
      </w:r>
    </w:p>
    <w:p w14:paraId="37F1A47E"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Pettit, M. (1983) ‘Modern Unilateral Contracts’, </w:t>
      </w:r>
      <w:r w:rsidRPr="00AB0320">
        <w:rPr>
          <w:rFonts w:ascii="Times New Roman" w:hAnsi="Times New Roman" w:cs="Times New Roman"/>
          <w:i/>
          <w:iCs/>
        </w:rPr>
        <w:t>Boston University Law Review</w:t>
      </w:r>
      <w:r w:rsidRPr="00AB0320">
        <w:rPr>
          <w:rFonts w:ascii="Times New Roman" w:hAnsi="Times New Roman" w:cs="Times New Roman"/>
        </w:rPr>
        <w:t>, 63(3), p. 551.</w:t>
      </w:r>
    </w:p>
    <w:p w14:paraId="4C405A40" w14:textId="77777777" w:rsidR="00AB0320" w:rsidRPr="00AB0320" w:rsidRDefault="00AB0320" w:rsidP="00097DD2">
      <w:pPr>
        <w:pStyle w:val="Bibliography"/>
        <w:ind w:left="440" w:hangingChars="200" w:hanging="440"/>
        <w:rPr>
          <w:rFonts w:ascii="Times New Roman" w:hAnsi="Times New Roman" w:cs="Times New Roman"/>
        </w:rPr>
      </w:pPr>
      <w:proofErr w:type="spellStart"/>
      <w:r w:rsidRPr="00AB0320">
        <w:rPr>
          <w:rFonts w:ascii="Times New Roman" w:hAnsi="Times New Roman" w:cs="Times New Roman"/>
        </w:rPr>
        <w:t>Polubinski</w:t>
      </w:r>
      <w:proofErr w:type="spellEnd"/>
      <w:r w:rsidRPr="00AB0320">
        <w:rPr>
          <w:rFonts w:ascii="Times New Roman" w:hAnsi="Times New Roman" w:cs="Times New Roman"/>
        </w:rPr>
        <w:t xml:space="preserve"> Jr, E. (1968) ‘The peppercorn theory and the Restatement of Contracts’, </w:t>
      </w:r>
      <w:r w:rsidRPr="00AB0320">
        <w:rPr>
          <w:rFonts w:ascii="Times New Roman" w:hAnsi="Times New Roman" w:cs="Times New Roman"/>
          <w:i/>
          <w:iCs/>
        </w:rPr>
        <w:t>Wm. &amp; Mary L. Rev.</w:t>
      </w:r>
      <w:r w:rsidRPr="00AB0320">
        <w:rPr>
          <w:rFonts w:ascii="Times New Roman" w:hAnsi="Times New Roman" w:cs="Times New Roman"/>
        </w:rPr>
        <w:t>, 10, p. 201.</w:t>
      </w:r>
    </w:p>
    <w:p w14:paraId="5BD33957"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i/>
          <w:iCs/>
        </w:rPr>
        <w:t>Procurement Policy Note 11/20: Reserving below threshold procurements</w:t>
      </w:r>
      <w:r w:rsidRPr="00AB0320">
        <w:rPr>
          <w:rFonts w:ascii="Times New Roman" w:hAnsi="Times New Roman" w:cs="Times New Roman"/>
        </w:rPr>
        <w:t xml:space="preserve"> (2021) </w:t>
      </w:r>
      <w:r w:rsidRPr="00AB0320">
        <w:rPr>
          <w:rFonts w:ascii="Times New Roman" w:hAnsi="Times New Roman" w:cs="Times New Roman"/>
          <w:i/>
          <w:iCs/>
        </w:rPr>
        <w:t>GOV.UK</w:t>
      </w:r>
      <w:r w:rsidRPr="00AB0320">
        <w:rPr>
          <w:rFonts w:ascii="Times New Roman" w:hAnsi="Times New Roman" w:cs="Times New Roman"/>
        </w:rPr>
        <w:t>. Available at: https://www.gov.uk/government/publications/procurement-policy-note-1120-reserving-below-threshold-procurements (Accessed: 5 March 2024).</w:t>
      </w:r>
    </w:p>
    <w:p w14:paraId="514BB49E"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Quinn, F. and Elliott, C. (2019) </w:t>
      </w:r>
      <w:r w:rsidRPr="00AB0320">
        <w:rPr>
          <w:rFonts w:ascii="Times New Roman" w:hAnsi="Times New Roman" w:cs="Times New Roman"/>
          <w:i/>
          <w:iCs/>
        </w:rPr>
        <w:t>Elliott &amp; Quinn’s contract law</w:t>
      </w:r>
      <w:r w:rsidRPr="00AB0320">
        <w:rPr>
          <w:rFonts w:ascii="Times New Roman" w:hAnsi="Times New Roman" w:cs="Times New Roman"/>
        </w:rPr>
        <w:t>. Twelfth edition. Harlow: Pearson.</w:t>
      </w:r>
    </w:p>
    <w:p w14:paraId="605CEE75" w14:textId="77777777" w:rsid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Rasmusen, E. (2015) ‘Why Use Requirement Contracts? The Tradeoff between Hold-Up and Breach’. Available at: https://extranet.sioe.org/uploads/isnie2015/rasmusen.pdf (Accessed: 7 March 2024).</w:t>
      </w:r>
    </w:p>
    <w:p w14:paraId="069DF960" w14:textId="12E1EF92" w:rsidR="00644DFF" w:rsidRPr="00644DFF" w:rsidRDefault="00644DFF" w:rsidP="00097DD2">
      <w:pPr>
        <w:pStyle w:val="Bibliography"/>
        <w:ind w:left="440" w:hangingChars="200" w:hanging="440"/>
        <w:rPr>
          <w:rFonts w:ascii="Times New Roman" w:hAnsi="Times New Roman" w:cs="Times New Roman" w:hint="eastAsia"/>
          <w:szCs w:val="22"/>
        </w:rPr>
      </w:pPr>
      <w:hyperlink r:id="rId16" w:history="1">
        <w:r w:rsidRPr="00167B37">
          <w:rPr>
            <w:rStyle w:val="Hyperlink"/>
            <w:rFonts w:ascii="Times New Roman" w:hAnsi="Times New Roman" w:cs="Times New Roman"/>
            <w:i/>
            <w:iCs/>
            <w:color w:val="004B91"/>
            <w:szCs w:val="22"/>
            <w:bdr w:val="none" w:sz="0" w:space="0" w:color="auto" w:frame="1"/>
            <w:shd w:val="clear" w:color="auto" w:fill="FFFFFF"/>
          </w:rPr>
          <w:t>Shadwell v Shadwell</w:t>
        </w:r>
        <w:r w:rsidRPr="00167B37">
          <w:rPr>
            <w:rStyle w:val="Hyperlink"/>
            <w:rFonts w:ascii="Times New Roman" w:hAnsi="Times New Roman" w:cs="Times New Roman"/>
            <w:color w:val="004B91"/>
            <w:szCs w:val="22"/>
            <w:bdr w:val="none" w:sz="0" w:space="0" w:color="auto" w:frame="1"/>
            <w:shd w:val="clear" w:color="auto" w:fill="FFFFFF"/>
          </w:rPr>
          <w:t> (1859) 6 CBNS 679, 28 LJCP 315, 5 Jur NS 1410, 141 ER 618</w:t>
        </w:r>
      </w:hyperlink>
    </w:p>
    <w:p w14:paraId="6834EF45"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Sim, D. (2009) ‘Contract, Consideration and Consistency’. Available at: https://ourarchive.otago.ac.nz/handle/10523/1566 (Accessed: 7 March 2024).</w:t>
      </w:r>
    </w:p>
    <w:p w14:paraId="7FB107CC" w14:textId="1C443486" w:rsidR="00644DFF" w:rsidRPr="00644DFF" w:rsidRDefault="00644DFF" w:rsidP="00097DD2">
      <w:pPr>
        <w:ind w:left="440" w:hangingChars="200" w:hanging="440"/>
        <w:rPr>
          <w:rFonts w:ascii="Times New Roman" w:hAnsi="Times New Roman" w:cs="Times New Roman" w:hint="eastAsia"/>
          <w:szCs w:val="22"/>
        </w:rPr>
      </w:pPr>
      <w:hyperlink r:id="rId17" w:history="1">
        <w:r w:rsidRPr="00167B37">
          <w:rPr>
            <w:rStyle w:val="Hyperlink"/>
            <w:rFonts w:ascii="Times New Roman" w:hAnsi="Times New Roman" w:cs="Times New Roman"/>
            <w:i/>
            <w:iCs/>
            <w:color w:val="004B91"/>
            <w:szCs w:val="22"/>
            <w:bdr w:val="none" w:sz="0" w:space="0" w:color="auto" w:frame="1"/>
            <w:shd w:val="clear" w:color="auto" w:fill="FFFFFF"/>
          </w:rPr>
          <w:t>Thomas v Thomas</w:t>
        </w:r>
        <w:r w:rsidRPr="00167B37">
          <w:rPr>
            <w:rStyle w:val="Hyperlink"/>
            <w:rFonts w:ascii="Times New Roman" w:hAnsi="Times New Roman" w:cs="Times New Roman"/>
            <w:color w:val="004B91"/>
            <w:szCs w:val="22"/>
            <w:bdr w:val="none" w:sz="0" w:space="0" w:color="auto" w:frame="1"/>
            <w:shd w:val="clear" w:color="auto" w:fill="FFFFFF"/>
          </w:rPr>
          <w:t> (1842) 2 QB 851, 11 LJQB 104, 2 Gal and 2 Gal and Dav 226, 6 Jur 645, 114 ER 330</w:t>
        </w:r>
      </w:hyperlink>
    </w:p>
    <w:p w14:paraId="51CC1211" w14:textId="2E8000F2" w:rsidR="00AB0320" w:rsidRPr="00AB0320" w:rsidRDefault="00AB0320" w:rsidP="00097DD2">
      <w:pPr>
        <w:pStyle w:val="Bibliography"/>
        <w:ind w:left="440" w:hangingChars="200" w:hanging="440"/>
        <w:rPr>
          <w:rFonts w:ascii="Times New Roman" w:hAnsi="Times New Roman" w:cs="Times New Roman"/>
        </w:rPr>
      </w:pPr>
      <w:proofErr w:type="spellStart"/>
      <w:r w:rsidRPr="00AB0320">
        <w:rPr>
          <w:rFonts w:ascii="Times New Roman" w:hAnsi="Times New Roman" w:cs="Times New Roman"/>
        </w:rPr>
        <w:t>Weistart</w:t>
      </w:r>
      <w:proofErr w:type="spellEnd"/>
      <w:r w:rsidRPr="00AB0320">
        <w:rPr>
          <w:rFonts w:ascii="Times New Roman" w:hAnsi="Times New Roman" w:cs="Times New Roman"/>
        </w:rPr>
        <w:t xml:space="preserve">, J. (1973) ‘Requirements and Output Contracts: Quantity Variations Under the UCC’, </w:t>
      </w:r>
      <w:r w:rsidRPr="00AB0320">
        <w:rPr>
          <w:rFonts w:ascii="Times New Roman" w:hAnsi="Times New Roman" w:cs="Times New Roman"/>
          <w:i/>
          <w:iCs/>
        </w:rPr>
        <w:t>Duke Law Journal</w:t>
      </w:r>
      <w:r w:rsidRPr="00AB0320">
        <w:rPr>
          <w:rFonts w:ascii="Times New Roman" w:hAnsi="Times New Roman" w:cs="Times New Roman"/>
        </w:rPr>
        <w:t>, 22(3), pp. 599–648.</w:t>
      </w:r>
    </w:p>
    <w:p w14:paraId="1CDDF483" w14:textId="77777777"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Whitehead, C. (1962) ‘Contracts--Consideration--Forbearance to Assert an Invalid Claim’, </w:t>
      </w:r>
      <w:r w:rsidRPr="00AB0320">
        <w:rPr>
          <w:rFonts w:ascii="Times New Roman" w:hAnsi="Times New Roman" w:cs="Times New Roman"/>
          <w:i/>
          <w:iCs/>
        </w:rPr>
        <w:t>Kentucky Law Journal</w:t>
      </w:r>
      <w:r w:rsidRPr="00AB0320">
        <w:rPr>
          <w:rFonts w:ascii="Times New Roman" w:hAnsi="Times New Roman" w:cs="Times New Roman"/>
        </w:rPr>
        <w:t>, 51(1). Available at: https://uknowledge.uky.edu/klj/vol51/iss1/12.</w:t>
      </w:r>
    </w:p>
    <w:p w14:paraId="2E0BEA9C" w14:textId="0479FDC3" w:rsidR="00644DFF" w:rsidRPr="00097DD2" w:rsidRDefault="00644DFF" w:rsidP="00097DD2">
      <w:pPr>
        <w:ind w:left="440" w:hangingChars="200" w:hanging="440"/>
        <w:rPr>
          <w:rFonts w:ascii="Times New Roman" w:hAnsi="Times New Roman" w:cs="Times New Roman" w:hint="eastAsia"/>
          <w:szCs w:val="22"/>
        </w:rPr>
      </w:pPr>
      <w:hyperlink r:id="rId18" w:history="1">
        <w:r w:rsidRPr="00167B37">
          <w:rPr>
            <w:rStyle w:val="Hyperlink"/>
            <w:rFonts w:ascii="Times New Roman" w:hAnsi="Times New Roman" w:cs="Times New Roman"/>
            <w:i/>
            <w:iCs/>
            <w:color w:val="004B91"/>
            <w:szCs w:val="22"/>
            <w:bdr w:val="none" w:sz="0" w:space="0" w:color="auto" w:frame="1"/>
            <w:shd w:val="clear" w:color="auto" w:fill="FFFFFF"/>
          </w:rPr>
          <w:t>White v Bluett</w:t>
        </w:r>
        <w:r w:rsidRPr="00167B37">
          <w:rPr>
            <w:rStyle w:val="Hyperlink"/>
            <w:rFonts w:ascii="Times New Roman" w:hAnsi="Times New Roman" w:cs="Times New Roman"/>
            <w:color w:val="004B91"/>
            <w:szCs w:val="22"/>
            <w:bdr w:val="none" w:sz="0" w:space="0" w:color="auto" w:frame="1"/>
            <w:shd w:val="clear" w:color="auto" w:fill="FFFFFF"/>
          </w:rPr>
          <w:t> (1853) 23 LJ Ex 36, 2 WR 75, 2 CLR 301, 22 LTOS 123</w:t>
        </w:r>
      </w:hyperlink>
    </w:p>
    <w:p w14:paraId="09FA135E" w14:textId="761F68FF" w:rsidR="00AB0320" w:rsidRPr="00AB0320" w:rsidRDefault="00AB0320" w:rsidP="00097DD2">
      <w:pPr>
        <w:pStyle w:val="Bibliography"/>
        <w:ind w:left="440" w:hangingChars="200" w:hanging="440"/>
        <w:rPr>
          <w:rFonts w:ascii="Times New Roman" w:hAnsi="Times New Roman" w:cs="Times New Roman"/>
        </w:rPr>
      </w:pPr>
      <w:r w:rsidRPr="00AB0320">
        <w:rPr>
          <w:rFonts w:ascii="Times New Roman" w:hAnsi="Times New Roman" w:cs="Times New Roman"/>
        </w:rPr>
        <w:t xml:space="preserve">Wong, A.S. (2021) ‘Fresh Consideration Rule: Insights from Its Resurrection in Quach v </w:t>
      </w:r>
      <w:proofErr w:type="spellStart"/>
      <w:r w:rsidRPr="00AB0320">
        <w:rPr>
          <w:rFonts w:ascii="Times New Roman" w:hAnsi="Times New Roman" w:cs="Times New Roman"/>
        </w:rPr>
        <w:t>Mitrux</w:t>
      </w:r>
      <w:proofErr w:type="spellEnd"/>
      <w:r w:rsidRPr="00AB0320">
        <w:rPr>
          <w:rFonts w:ascii="Times New Roman" w:hAnsi="Times New Roman" w:cs="Times New Roman"/>
        </w:rPr>
        <w:t xml:space="preserve"> Services Ltd’, </w:t>
      </w:r>
      <w:r w:rsidRPr="00AB0320">
        <w:rPr>
          <w:rFonts w:ascii="Times New Roman" w:hAnsi="Times New Roman" w:cs="Times New Roman"/>
          <w:i/>
          <w:iCs/>
        </w:rPr>
        <w:t>UBCL Rev.</w:t>
      </w:r>
      <w:r w:rsidRPr="00AB0320">
        <w:rPr>
          <w:rFonts w:ascii="Times New Roman" w:hAnsi="Times New Roman" w:cs="Times New Roman"/>
        </w:rPr>
        <w:t>, 54, p. 483.</w:t>
      </w:r>
    </w:p>
    <w:p w14:paraId="55FEA807" w14:textId="5CF1D88B" w:rsidR="00644DFF" w:rsidRDefault="00C179A3" w:rsidP="00097DD2">
      <w:pPr>
        <w:ind w:left="440" w:hangingChars="200" w:hanging="440"/>
        <w:rPr>
          <w:rStyle w:val="Hyperlink"/>
          <w:rFonts w:ascii="Times New Roman" w:hAnsi="Times New Roman" w:cs="Times New Roman"/>
          <w:color w:val="004B91"/>
          <w:szCs w:val="22"/>
          <w:bdr w:val="none" w:sz="0" w:space="0" w:color="auto" w:frame="1"/>
          <w:shd w:val="clear" w:color="auto" w:fill="FFFFFF"/>
        </w:rPr>
      </w:pPr>
      <w:r w:rsidRPr="00167B37">
        <w:rPr>
          <w:rFonts w:ascii="Times New Roman" w:hAnsi="Times New Roman" w:cs="Times New Roman"/>
          <w:szCs w:val="22"/>
        </w:rPr>
        <w:fldChar w:fldCharType="end"/>
      </w:r>
      <w:r w:rsidR="00644DFF">
        <w:rPr>
          <w:rStyle w:val="Hyperlink"/>
          <w:rFonts w:ascii="Times New Roman" w:hAnsi="Times New Roman" w:cs="Times New Roman"/>
          <w:color w:val="004B91"/>
          <w:szCs w:val="22"/>
          <w:bdr w:val="none" w:sz="0" w:space="0" w:color="auto" w:frame="1"/>
          <w:shd w:val="clear" w:color="auto" w:fill="FFFFFF"/>
        </w:rPr>
        <w:t xml:space="preserve"> </w:t>
      </w:r>
    </w:p>
    <w:p w14:paraId="5D997F08" w14:textId="5A4E172D" w:rsidR="00AB0320" w:rsidRDefault="00AB0320" w:rsidP="00AB0320">
      <w:pPr>
        <w:pStyle w:val="NormalWeb"/>
        <w:ind w:left="440" w:hangingChars="200" w:hanging="440"/>
        <w:rPr>
          <w:rStyle w:val="Hyperlink"/>
          <w:rFonts w:ascii="Times New Roman" w:hAnsi="Times New Roman" w:cs="Times New Roman"/>
          <w:color w:val="004B91"/>
          <w:sz w:val="22"/>
          <w:szCs w:val="22"/>
          <w:bdr w:val="none" w:sz="0" w:space="0" w:color="auto" w:frame="1"/>
          <w:shd w:val="clear" w:color="auto" w:fill="FFFFFF"/>
        </w:rPr>
      </w:pPr>
    </w:p>
    <w:p w14:paraId="573E29CA" w14:textId="77777777" w:rsidR="00AB0320" w:rsidRPr="00AB0320" w:rsidRDefault="00AB0320" w:rsidP="00AB0320">
      <w:pPr>
        <w:pStyle w:val="NormalWeb"/>
        <w:ind w:left="440" w:hangingChars="200" w:hanging="440"/>
        <w:rPr>
          <w:rFonts w:ascii="Times New Roman" w:hAnsi="Times New Roman" w:cs="Times New Roman"/>
          <w:sz w:val="22"/>
          <w:szCs w:val="22"/>
        </w:rPr>
      </w:pPr>
    </w:p>
    <w:p w14:paraId="3770104D" w14:textId="64AB4061" w:rsidR="00447C6A" w:rsidRPr="00AB0320" w:rsidRDefault="00447C6A" w:rsidP="00167B37">
      <w:pPr>
        <w:pStyle w:val="ListParagraph"/>
        <w:ind w:left="440" w:hangingChars="200" w:hanging="440"/>
      </w:pPr>
    </w:p>
    <w:p w14:paraId="3A265F9C" w14:textId="77777777" w:rsidR="00EE758A" w:rsidRPr="00EE758A" w:rsidRDefault="00EE758A" w:rsidP="00167B37">
      <w:pPr>
        <w:pStyle w:val="ListParagraph"/>
        <w:ind w:left="860" w:firstLineChars="200" w:firstLine="440"/>
        <w:rPr>
          <w:rFonts w:ascii="Times New Roman" w:hAnsi="Times New Roman" w:cs="Times New Roman"/>
        </w:rPr>
      </w:pPr>
    </w:p>
    <w:sectPr w:rsidR="00EE758A" w:rsidRPr="00EE758A" w:rsidSect="000E03B2">
      <w:footerReference w:type="default" r:id="rId19"/>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0F3A4" w14:textId="77777777" w:rsidR="000E03B2" w:rsidRDefault="000E03B2" w:rsidP="00AD24BD">
      <w:pPr>
        <w:spacing w:after="0" w:line="240" w:lineRule="auto"/>
      </w:pPr>
      <w:r>
        <w:separator/>
      </w:r>
    </w:p>
  </w:endnote>
  <w:endnote w:type="continuationSeparator" w:id="0">
    <w:p w14:paraId="3BAA5682" w14:textId="77777777" w:rsidR="000E03B2" w:rsidRDefault="000E03B2" w:rsidP="00AD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18902"/>
      <w:docPartObj>
        <w:docPartGallery w:val="Page Numbers (Bottom of Page)"/>
        <w:docPartUnique/>
      </w:docPartObj>
    </w:sdtPr>
    <w:sdtContent>
      <w:p w14:paraId="1514CAE0" w14:textId="5A43F242" w:rsidR="007C2C42" w:rsidRDefault="007C2C42">
        <w:pPr>
          <w:pStyle w:val="Footer"/>
          <w:jc w:val="center"/>
        </w:pPr>
        <w:r>
          <w:fldChar w:fldCharType="begin"/>
        </w:r>
        <w:r>
          <w:instrText>PAGE   \* MERGEFORMAT</w:instrText>
        </w:r>
        <w:r>
          <w:fldChar w:fldCharType="separate"/>
        </w:r>
        <w:r>
          <w:rPr>
            <w:lang w:val="en-GB"/>
          </w:rPr>
          <w:t>2</w:t>
        </w:r>
        <w:r>
          <w:fldChar w:fldCharType="end"/>
        </w:r>
      </w:p>
    </w:sdtContent>
  </w:sdt>
  <w:p w14:paraId="534596FE" w14:textId="77777777" w:rsidR="007C2C42" w:rsidRDefault="007C2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2BFEC" w14:textId="77777777" w:rsidR="000E03B2" w:rsidRDefault="000E03B2" w:rsidP="00AD24BD">
      <w:pPr>
        <w:spacing w:after="0" w:line="240" w:lineRule="auto"/>
      </w:pPr>
      <w:r>
        <w:separator/>
      </w:r>
    </w:p>
  </w:footnote>
  <w:footnote w:type="continuationSeparator" w:id="0">
    <w:p w14:paraId="3EE2B37C" w14:textId="77777777" w:rsidR="000E03B2" w:rsidRDefault="000E03B2" w:rsidP="00AD2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9306C"/>
    <w:multiLevelType w:val="hybridMultilevel"/>
    <w:tmpl w:val="5A34100E"/>
    <w:lvl w:ilvl="0" w:tplc="62D4DAEC">
      <w:start w:val="1"/>
      <w:numFmt w:val="decimal"/>
      <w:lvlText w:val="%1)"/>
      <w:lvlJc w:val="left"/>
      <w:pPr>
        <w:ind w:left="360" w:hanging="360"/>
      </w:pPr>
      <w:rPr>
        <w:rFonts w:hint="default"/>
        <w:b/>
        <w:b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21D0544"/>
    <w:multiLevelType w:val="hybridMultilevel"/>
    <w:tmpl w:val="435451E8"/>
    <w:lvl w:ilvl="0" w:tplc="CDDC0EF0">
      <w:numFmt w:val="bullet"/>
      <w:lvlText w:val="-"/>
      <w:lvlJc w:val="left"/>
      <w:pPr>
        <w:ind w:left="360" w:hanging="360"/>
      </w:pPr>
      <w:rPr>
        <w:rFonts w:ascii="Times New Roman" w:eastAsia="Times New Roman" w:hAnsi="Times New Roman" w:cs="Times New Roman" w:hint="default"/>
        <w:sz w:val="28"/>
      </w:rPr>
    </w:lvl>
    <w:lvl w:ilvl="1" w:tplc="08090003">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2A37B3"/>
    <w:multiLevelType w:val="hybridMultilevel"/>
    <w:tmpl w:val="8D06844E"/>
    <w:lvl w:ilvl="0" w:tplc="792E5CEE">
      <w:start w:val="1"/>
      <w:numFmt w:val="decimal"/>
      <w:lvlText w:val="%1."/>
      <w:lvlJc w:val="left"/>
      <w:pPr>
        <w:ind w:left="360" w:hanging="360"/>
      </w:pPr>
      <w:rPr>
        <w:rFonts w:hint="eastAsia"/>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3DD65E4"/>
    <w:multiLevelType w:val="hybridMultilevel"/>
    <w:tmpl w:val="64D01506"/>
    <w:lvl w:ilvl="0" w:tplc="A774B822">
      <w:start w:val="1"/>
      <w:numFmt w:val="decimal"/>
      <w:lvlText w:val="%1."/>
      <w:lvlJc w:val="left"/>
      <w:pPr>
        <w:ind w:left="717" w:hanging="360"/>
      </w:pPr>
      <w:rPr>
        <w:rFonts w:hint="default"/>
      </w:rPr>
    </w:lvl>
    <w:lvl w:ilvl="1" w:tplc="04090019" w:tentative="1">
      <w:start w:val="1"/>
      <w:numFmt w:val="lowerLetter"/>
      <w:lvlText w:val="%2)"/>
      <w:lvlJc w:val="left"/>
      <w:pPr>
        <w:ind w:left="1237" w:hanging="440"/>
      </w:pPr>
    </w:lvl>
    <w:lvl w:ilvl="2" w:tplc="0409001B" w:tentative="1">
      <w:start w:val="1"/>
      <w:numFmt w:val="lowerRoman"/>
      <w:lvlText w:val="%3."/>
      <w:lvlJc w:val="right"/>
      <w:pPr>
        <w:ind w:left="1677" w:hanging="440"/>
      </w:pPr>
    </w:lvl>
    <w:lvl w:ilvl="3" w:tplc="0409000F" w:tentative="1">
      <w:start w:val="1"/>
      <w:numFmt w:val="decimal"/>
      <w:lvlText w:val="%4."/>
      <w:lvlJc w:val="left"/>
      <w:pPr>
        <w:ind w:left="2117" w:hanging="440"/>
      </w:pPr>
    </w:lvl>
    <w:lvl w:ilvl="4" w:tplc="04090019" w:tentative="1">
      <w:start w:val="1"/>
      <w:numFmt w:val="lowerLetter"/>
      <w:lvlText w:val="%5)"/>
      <w:lvlJc w:val="left"/>
      <w:pPr>
        <w:ind w:left="2557" w:hanging="440"/>
      </w:pPr>
    </w:lvl>
    <w:lvl w:ilvl="5" w:tplc="0409001B" w:tentative="1">
      <w:start w:val="1"/>
      <w:numFmt w:val="lowerRoman"/>
      <w:lvlText w:val="%6."/>
      <w:lvlJc w:val="right"/>
      <w:pPr>
        <w:ind w:left="2997" w:hanging="440"/>
      </w:pPr>
    </w:lvl>
    <w:lvl w:ilvl="6" w:tplc="0409000F" w:tentative="1">
      <w:start w:val="1"/>
      <w:numFmt w:val="decimal"/>
      <w:lvlText w:val="%7."/>
      <w:lvlJc w:val="left"/>
      <w:pPr>
        <w:ind w:left="3437" w:hanging="440"/>
      </w:pPr>
    </w:lvl>
    <w:lvl w:ilvl="7" w:tplc="04090019" w:tentative="1">
      <w:start w:val="1"/>
      <w:numFmt w:val="lowerLetter"/>
      <w:lvlText w:val="%8)"/>
      <w:lvlJc w:val="left"/>
      <w:pPr>
        <w:ind w:left="3877" w:hanging="440"/>
      </w:pPr>
    </w:lvl>
    <w:lvl w:ilvl="8" w:tplc="0409001B" w:tentative="1">
      <w:start w:val="1"/>
      <w:numFmt w:val="lowerRoman"/>
      <w:lvlText w:val="%9."/>
      <w:lvlJc w:val="right"/>
      <w:pPr>
        <w:ind w:left="4317" w:hanging="440"/>
      </w:pPr>
    </w:lvl>
  </w:abstractNum>
  <w:abstractNum w:abstractNumId="4" w15:restartNumberingAfterBreak="0">
    <w:nsid w:val="33FD1B9B"/>
    <w:multiLevelType w:val="hybridMultilevel"/>
    <w:tmpl w:val="95F09A08"/>
    <w:lvl w:ilvl="0" w:tplc="AFB67D22">
      <w:start w:val="1"/>
      <w:numFmt w:val="decimal"/>
      <w:lvlText w:val="%1)"/>
      <w:lvlJc w:val="left"/>
      <w:pPr>
        <w:ind w:left="797" w:hanging="440"/>
      </w:pPr>
      <w:rPr>
        <w:rFonts w:asciiTheme="minorHAnsi" w:eastAsiaTheme="minorEastAsia" w:hAnsiTheme="minorHAnsi" w:cstheme="minorBidi"/>
      </w:rPr>
    </w:lvl>
    <w:lvl w:ilvl="1" w:tplc="04090003" w:tentative="1">
      <w:start w:val="1"/>
      <w:numFmt w:val="bullet"/>
      <w:lvlText w:val=""/>
      <w:lvlJc w:val="left"/>
      <w:pPr>
        <w:ind w:left="1237" w:hanging="440"/>
      </w:pPr>
      <w:rPr>
        <w:rFonts w:ascii="Wingdings" w:hAnsi="Wingdings" w:hint="default"/>
      </w:rPr>
    </w:lvl>
    <w:lvl w:ilvl="2" w:tplc="04090005" w:tentative="1">
      <w:start w:val="1"/>
      <w:numFmt w:val="bullet"/>
      <w:lvlText w:val=""/>
      <w:lvlJc w:val="left"/>
      <w:pPr>
        <w:ind w:left="1677" w:hanging="440"/>
      </w:pPr>
      <w:rPr>
        <w:rFonts w:ascii="Wingdings" w:hAnsi="Wingdings" w:hint="default"/>
      </w:rPr>
    </w:lvl>
    <w:lvl w:ilvl="3" w:tplc="04090001" w:tentative="1">
      <w:start w:val="1"/>
      <w:numFmt w:val="bullet"/>
      <w:lvlText w:val=""/>
      <w:lvlJc w:val="left"/>
      <w:pPr>
        <w:ind w:left="2117" w:hanging="440"/>
      </w:pPr>
      <w:rPr>
        <w:rFonts w:ascii="Wingdings" w:hAnsi="Wingdings" w:hint="default"/>
      </w:rPr>
    </w:lvl>
    <w:lvl w:ilvl="4" w:tplc="04090003" w:tentative="1">
      <w:start w:val="1"/>
      <w:numFmt w:val="bullet"/>
      <w:lvlText w:val=""/>
      <w:lvlJc w:val="left"/>
      <w:pPr>
        <w:ind w:left="2557" w:hanging="440"/>
      </w:pPr>
      <w:rPr>
        <w:rFonts w:ascii="Wingdings" w:hAnsi="Wingdings" w:hint="default"/>
      </w:rPr>
    </w:lvl>
    <w:lvl w:ilvl="5" w:tplc="04090005" w:tentative="1">
      <w:start w:val="1"/>
      <w:numFmt w:val="bullet"/>
      <w:lvlText w:val=""/>
      <w:lvlJc w:val="left"/>
      <w:pPr>
        <w:ind w:left="2997" w:hanging="440"/>
      </w:pPr>
      <w:rPr>
        <w:rFonts w:ascii="Wingdings" w:hAnsi="Wingdings" w:hint="default"/>
      </w:rPr>
    </w:lvl>
    <w:lvl w:ilvl="6" w:tplc="04090001" w:tentative="1">
      <w:start w:val="1"/>
      <w:numFmt w:val="bullet"/>
      <w:lvlText w:val=""/>
      <w:lvlJc w:val="left"/>
      <w:pPr>
        <w:ind w:left="3437" w:hanging="440"/>
      </w:pPr>
      <w:rPr>
        <w:rFonts w:ascii="Wingdings" w:hAnsi="Wingdings" w:hint="default"/>
      </w:rPr>
    </w:lvl>
    <w:lvl w:ilvl="7" w:tplc="04090003" w:tentative="1">
      <w:start w:val="1"/>
      <w:numFmt w:val="bullet"/>
      <w:lvlText w:val=""/>
      <w:lvlJc w:val="left"/>
      <w:pPr>
        <w:ind w:left="3877" w:hanging="440"/>
      </w:pPr>
      <w:rPr>
        <w:rFonts w:ascii="Wingdings" w:hAnsi="Wingdings" w:hint="default"/>
      </w:rPr>
    </w:lvl>
    <w:lvl w:ilvl="8" w:tplc="04090005" w:tentative="1">
      <w:start w:val="1"/>
      <w:numFmt w:val="bullet"/>
      <w:lvlText w:val=""/>
      <w:lvlJc w:val="left"/>
      <w:pPr>
        <w:ind w:left="4317" w:hanging="440"/>
      </w:pPr>
      <w:rPr>
        <w:rFonts w:ascii="Wingdings" w:hAnsi="Wingdings" w:hint="default"/>
      </w:rPr>
    </w:lvl>
  </w:abstractNum>
  <w:abstractNum w:abstractNumId="5" w15:restartNumberingAfterBreak="0">
    <w:nsid w:val="353747CA"/>
    <w:multiLevelType w:val="hybridMultilevel"/>
    <w:tmpl w:val="97AACDFC"/>
    <w:lvl w:ilvl="0" w:tplc="2690E54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7811B00"/>
    <w:multiLevelType w:val="hybridMultilevel"/>
    <w:tmpl w:val="013EF868"/>
    <w:lvl w:ilvl="0" w:tplc="4AC87258">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3C5C529D"/>
    <w:multiLevelType w:val="hybridMultilevel"/>
    <w:tmpl w:val="2F9A6E8C"/>
    <w:lvl w:ilvl="0" w:tplc="7A5C9AD4">
      <w:start w:val="1"/>
      <w:numFmt w:val="decimal"/>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1EF24E5"/>
    <w:multiLevelType w:val="hybridMultilevel"/>
    <w:tmpl w:val="94702F9E"/>
    <w:lvl w:ilvl="0" w:tplc="68B2D39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C2F79B8"/>
    <w:multiLevelType w:val="hybridMultilevel"/>
    <w:tmpl w:val="B4E8B6F0"/>
    <w:lvl w:ilvl="0" w:tplc="0409000F">
      <w:start w:val="1"/>
      <w:numFmt w:val="decimal"/>
      <w:lvlText w:val="%1."/>
      <w:lvlJc w:val="left"/>
      <w:pPr>
        <w:ind w:left="360" w:hanging="36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0" w15:restartNumberingAfterBreak="0">
    <w:nsid w:val="53A65A4B"/>
    <w:multiLevelType w:val="hybridMultilevel"/>
    <w:tmpl w:val="95F09A08"/>
    <w:lvl w:ilvl="0" w:tplc="FFFFFFFF">
      <w:start w:val="1"/>
      <w:numFmt w:val="decimal"/>
      <w:lvlText w:val="%1)"/>
      <w:lvlJc w:val="left"/>
      <w:pPr>
        <w:ind w:left="797" w:hanging="440"/>
      </w:pPr>
      <w:rPr>
        <w:rFonts w:asciiTheme="minorHAnsi" w:eastAsiaTheme="minorEastAsia" w:hAnsiTheme="minorHAnsi" w:cstheme="minorBidi"/>
      </w:rPr>
    </w:lvl>
    <w:lvl w:ilvl="1" w:tplc="FFFFFFFF" w:tentative="1">
      <w:start w:val="1"/>
      <w:numFmt w:val="bullet"/>
      <w:lvlText w:val=""/>
      <w:lvlJc w:val="left"/>
      <w:pPr>
        <w:ind w:left="1237" w:hanging="440"/>
      </w:pPr>
      <w:rPr>
        <w:rFonts w:ascii="Wingdings" w:hAnsi="Wingdings" w:hint="default"/>
      </w:rPr>
    </w:lvl>
    <w:lvl w:ilvl="2" w:tplc="FFFFFFFF" w:tentative="1">
      <w:start w:val="1"/>
      <w:numFmt w:val="bullet"/>
      <w:lvlText w:val=""/>
      <w:lvlJc w:val="left"/>
      <w:pPr>
        <w:ind w:left="1677" w:hanging="440"/>
      </w:pPr>
      <w:rPr>
        <w:rFonts w:ascii="Wingdings" w:hAnsi="Wingdings" w:hint="default"/>
      </w:rPr>
    </w:lvl>
    <w:lvl w:ilvl="3" w:tplc="FFFFFFFF" w:tentative="1">
      <w:start w:val="1"/>
      <w:numFmt w:val="bullet"/>
      <w:lvlText w:val=""/>
      <w:lvlJc w:val="left"/>
      <w:pPr>
        <w:ind w:left="2117" w:hanging="440"/>
      </w:pPr>
      <w:rPr>
        <w:rFonts w:ascii="Wingdings" w:hAnsi="Wingdings" w:hint="default"/>
      </w:rPr>
    </w:lvl>
    <w:lvl w:ilvl="4" w:tplc="FFFFFFFF" w:tentative="1">
      <w:start w:val="1"/>
      <w:numFmt w:val="bullet"/>
      <w:lvlText w:val=""/>
      <w:lvlJc w:val="left"/>
      <w:pPr>
        <w:ind w:left="2557" w:hanging="440"/>
      </w:pPr>
      <w:rPr>
        <w:rFonts w:ascii="Wingdings" w:hAnsi="Wingdings" w:hint="default"/>
      </w:rPr>
    </w:lvl>
    <w:lvl w:ilvl="5" w:tplc="FFFFFFFF" w:tentative="1">
      <w:start w:val="1"/>
      <w:numFmt w:val="bullet"/>
      <w:lvlText w:val=""/>
      <w:lvlJc w:val="left"/>
      <w:pPr>
        <w:ind w:left="2997" w:hanging="440"/>
      </w:pPr>
      <w:rPr>
        <w:rFonts w:ascii="Wingdings" w:hAnsi="Wingdings" w:hint="default"/>
      </w:rPr>
    </w:lvl>
    <w:lvl w:ilvl="6" w:tplc="FFFFFFFF" w:tentative="1">
      <w:start w:val="1"/>
      <w:numFmt w:val="bullet"/>
      <w:lvlText w:val=""/>
      <w:lvlJc w:val="left"/>
      <w:pPr>
        <w:ind w:left="3437" w:hanging="440"/>
      </w:pPr>
      <w:rPr>
        <w:rFonts w:ascii="Wingdings" w:hAnsi="Wingdings" w:hint="default"/>
      </w:rPr>
    </w:lvl>
    <w:lvl w:ilvl="7" w:tplc="FFFFFFFF" w:tentative="1">
      <w:start w:val="1"/>
      <w:numFmt w:val="bullet"/>
      <w:lvlText w:val=""/>
      <w:lvlJc w:val="left"/>
      <w:pPr>
        <w:ind w:left="3877" w:hanging="440"/>
      </w:pPr>
      <w:rPr>
        <w:rFonts w:ascii="Wingdings" w:hAnsi="Wingdings" w:hint="default"/>
      </w:rPr>
    </w:lvl>
    <w:lvl w:ilvl="8" w:tplc="FFFFFFFF" w:tentative="1">
      <w:start w:val="1"/>
      <w:numFmt w:val="bullet"/>
      <w:lvlText w:val=""/>
      <w:lvlJc w:val="left"/>
      <w:pPr>
        <w:ind w:left="4317" w:hanging="440"/>
      </w:pPr>
      <w:rPr>
        <w:rFonts w:ascii="Wingdings" w:hAnsi="Wingdings" w:hint="default"/>
      </w:rPr>
    </w:lvl>
  </w:abstractNum>
  <w:abstractNum w:abstractNumId="11" w15:restartNumberingAfterBreak="0">
    <w:nsid w:val="5A251130"/>
    <w:multiLevelType w:val="multilevel"/>
    <w:tmpl w:val="29365C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17702F"/>
    <w:multiLevelType w:val="hybridMultilevel"/>
    <w:tmpl w:val="95F09A08"/>
    <w:lvl w:ilvl="0" w:tplc="FFFFFFFF">
      <w:start w:val="1"/>
      <w:numFmt w:val="decimal"/>
      <w:lvlText w:val="%1)"/>
      <w:lvlJc w:val="left"/>
      <w:pPr>
        <w:ind w:left="797" w:hanging="440"/>
      </w:pPr>
      <w:rPr>
        <w:rFonts w:asciiTheme="minorHAnsi" w:eastAsiaTheme="minorEastAsia" w:hAnsiTheme="minorHAnsi" w:cstheme="minorBidi"/>
      </w:rPr>
    </w:lvl>
    <w:lvl w:ilvl="1" w:tplc="FFFFFFFF" w:tentative="1">
      <w:start w:val="1"/>
      <w:numFmt w:val="bullet"/>
      <w:lvlText w:val=""/>
      <w:lvlJc w:val="left"/>
      <w:pPr>
        <w:ind w:left="1237" w:hanging="440"/>
      </w:pPr>
      <w:rPr>
        <w:rFonts w:ascii="Wingdings" w:hAnsi="Wingdings" w:hint="default"/>
      </w:rPr>
    </w:lvl>
    <w:lvl w:ilvl="2" w:tplc="FFFFFFFF" w:tentative="1">
      <w:start w:val="1"/>
      <w:numFmt w:val="bullet"/>
      <w:lvlText w:val=""/>
      <w:lvlJc w:val="left"/>
      <w:pPr>
        <w:ind w:left="1677" w:hanging="440"/>
      </w:pPr>
      <w:rPr>
        <w:rFonts w:ascii="Wingdings" w:hAnsi="Wingdings" w:hint="default"/>
      </w:rPr>
    </w:lvl>
    <w:lvl w:ilvl="3" w:tplc="FFFFFFFF" w:tentative="1">
      <w:start w:val="1"/>
      <w:numFmt w:val="bullet"/>
      <w:lvlText w:val=""/>
      <w:lvlJc w:val="left"/>
      <w:pPr>
        <w:ind w:left="2117" w:hanging="440"/>
      </w:pPr>
      <w:rPr>
        <w:rFonts w:ascii="Wingdings" w:hAnsi="Wingdings" w:hint="default"/>
      </w:rPr>
    </w:lvl>
    <w:lvl w:ilvl="4" w:tplc="FFFFFFFF" w:tentative="1">
      <w:start w:val="1"/>
      <w:numFmt w:val="bullet"/>
      <w:lvlText w:val=""/>
      <w:lvlJc w:val="left"/>
      <w:pPr>
        <w:ind w:left="2557" w:hanging="440"/>
      </w:pPr>
      <w:rPr>
        <w:rFonts w:ascii="Wingdings" w:hAnsi="Wingdings" w:hint="default"/>
      </w:rPr>
    </w:lvl>
    <w:lvl w:ilvl="5" w:tplc="FFFFFFFF" w:tentative="1">
      <w:start w:val="1"/>
      <w:numFmt w:val="bullet"/>
      <w:lvlText w:val=""/>
      <w:lvlJc w:val="left"/>
      <w:pPr>
        <w:ind w:left="2997" w:hanging="440"/>
      </w:pPr>
      <w:rPr>
        <w:rFonts w:ascii="Wingdings" w:hAnsi="Wingdings" w:hint="default"/>
      </w:rPr>
    </w:lvl>
    <w:lvl w:ilvl="6" w:tplc="FFFFFFFF" w:tentative="1">
      <w:start w:val="1"/>
      <w:numFmt w:val="bullet"/>
      <w:lvlText w:val=""/>
      <w:lvlJc w:val="left"/>
      <w:pPr>
        <w:ind w:left="3437" w:hanging="440"/>
      </w:pPr>
      <w:rPr>
        <w:rFonts w:ascii="Wingdings" w:hAnsi="Wingdings" w:hint="default"/>
      </w:rPr>
    </w:lvl>
    <w:lvl w:ilvl="7" w:tplc="FFFFFFFF" w:tentative="1">
      <w:start w:val="1"/>
      <w:numFmt w:val="bullet"/>
      <w:lvlText w:val=""/>
      <w:lvlJc w:val="left"/>
      <w:pPr>
        <w:ind w:left="3877" w:hanging="440"/>
      </w:pPr>
      <w:rPr>
        <w:rFonts w:ascii="Wingdings" w:hAnsi="Wingdings" w:hint="default"/>
      </w:rPr>
    </w:lvl>
    <w:lvl w:ilvl="8" w:tplc="FFFFFFFF" w:tentative="1">
      <w:start w:val="1"/>
      <w:numFmt w:val="bullet"/>
      <w:lvlText w:val=""/>
      <w:lvlJc w:val="left"/>
      <w:pPr>
        <w:ind w:left="4317" w:hanging="440"/>
      </w:pPr>
      <w:rPr>
        <w:rFonts w:ascii="Wingdings" w:hAnsi="Wingdings" w:hint="default"/>
      </w:rPr>
    </w:lvl>
  </w:abstractNum>
  <w:abstractNum w:abstractNumId="13" w15:restartNumberingAfterBreak="0">
    <w:nsid w:val="646F43F4"/>
    <w:multiLevelType w:val="hybridMultilevel"/>
    <w:tmpl w:val="ED7EB546"/>
    <w:lvl w:ilvl="0" w:tplc="31CE104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667265B5"/>
    <w:multiLevelType w:val="hybridMultilevel"/>
    <w:tmpl w:val="5A864CE6"/>
    <w:lvl w:ilvl="0" w:tplc="47D42596">
      <w:start w:val="1"/>
      <w:numFmt w:val="decimal"/>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67F01E2A"/>
    <w:multiLevelType w:val="hybridMultilevel"/>
    <w:tmpl w:val="E6F26304"/>
    <w:lvl w:ilvl="0" w:tplc="04090011">
      <w:start w:val="1"/>
      <w:numFmt w:val="decimal"/>
      <w:lvlText w:val="%1)"/>
      <w:lvlJc w:val="left"/>
      <w:pPr>
        <w:ind w:left="800" w:hanging="440"/>
      </w:p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6" w15:restartNumberingAfterBreak="0">
    <w:nsid w:val="6AE10AAA"/>
    <w:multiLevelType w:val="hybridMultilevel"/>
    <w:tmpl w:val="BF2A4268"/>
    <w:lvl w:ilvl="0" w:tplc="0409000F">
      <w:start w:val="1"/>
      <w:numFmt w:val="decimal"/>
      <w:lvlText w:val="%1."/>
      <w:lvlJc w:val="left"/>
      <w:pPr>
        <w:ind w:left="860" w:hanging="440"/>
      </w:pPr>
    </w:lvl>
    <w:lvl w:ilvl="1" w:tplc="04090019">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7" w15:restartNumberingAfterBreak="0">
    <w:nsid w:val="6AFC17B0"/>
    <w:multiLevelType w:val="hybridMultilevel"/>
    <w:tmpl w:val="95F09A08"/>
    <w:lvl w:ilvl="0" w:tplc="FFFFFFFF">
      <w:start w:val="1"/>
      <w:numFmt w:val="decimal"/>
      <w:lvlText w:val="%1)"/>
      <w:lvlJc w:val="left"/>
      <w:pPr>
        <w:ind w:left="797" w:hanging="440"/>
      </w:pPr>
      <w:rPr>
        <w:rFonts w:asciiTheme="minorHAnsi" w:eastAsiaTheme="minorEastAsia" w:hAnsiTheme="minorHAnsi" w:cstheme="minorBidi"/>
      </w:rPr>
    </w:lvl>
    <w:lvl w:ilvl="1" w:tplc="FFFFFFFF" w:tentative="1">
      <w:start w:val="1"/>
      <w:numFmt w:val="bullet"/>
      <w:lvlText w:val=""/>
      <w:lvlJc w:val="left"/>
      <w:pPr>
        <w:ind w:left="1237" w:hanging="440"/>
      </w:pPr>
      <w:rPr>
        <w:rFonts w:ascii="Wingdings" w:hAnsi="Wingdings" w:hint="default"/>
      </w:rPr>
    </w:lvl>
    <w:lvl w:ilvl="2" w:tplc="FFFFFFFF" w:tentative="1">
      <w:start w:val="1"/>
      <w:numFmt w:val="bullet"/>
      <w:lvlText w:val=""/>
      <w:lvlJc w:val="left"/>
      <w:pPr>
        <w:ind w:left="1677" w:hanging="440"/>
      </w:pPr>
      <w:rPr>
        <w:rFonts w:ascii="Wingdings" w:hAnsi="Wingdings" w:hint="default"/>
      </w:rPr>
    </w:lvl>
    <w:lvl w:ilvl="3" w:tplc="FFFFFFFF" w:tentative="1">
      <w:start w:val="1"/>
      <w:numFmt w:val="bullet"/>
      <w:lvlText w:val=""/>
      <w:lvlJc w:val="left"/>
      <w:pPr>
        <w:ind w:left="2117" w:hanging="440"/>
      </w:pPr>
      <w:rPr>
        <w:rFonts w:ascii="Wingdings" w:hAnsi="Wingdings" w:hint="default"/>
      </w:rPr>
    </w:lvl>
    <w:lvl w:ilvl="4" w:tplc="FFFFFFFF" w:tentative="1">
      <w:start w:val="1"/>
      <w:numFmt w:val="bullet"/>
      <w:lvlText w:val=""/>
      <w:lvlJc w:val="left"/>
      <w:pPr>
        <w:ind w:left="2557" w:hanging="440"/>
      </w:pPr>
      <w:rPr>
        <w:rFonts w:ascii="Wingdings" w:hAnsi="Wingdings" w:hint="default"/>
      </w:rPr>
    </w:lvl>
    <w:lvl w:ilvl="5" w:tplc="FFFFFFFF" w:tentative="1">
      <w:start w:val="1"/>
      <w:numFmt w:val="bullet"/>
      <w:lvlText w:val=""/>
      <w:lvlJc w:val="left"/>
      <w:pPr>
        <w:ind w:left="2997" w:hanging="440"/>
      </w:pPr>
      <w:rPr>
        <w:rFonts w:ascii="Wingdings" w:hAnsi="Wingdings" w:hint="default"/>
      </w:rPr>
    </w:lvl>
    <w:lvl w:ilvl="6" w:tplc="FFFFFFFF" w:tentative="1">
      <w:start w:val="1"/>
      <w:numFmt w:val="bullet"/>
      <w:lvlText w:val=""/>
      <w:lvlJc w:val="left"/>
      <w:pPr>
        <w:ind w:left="3437" w:hanging="440"/>
      </w:pPr>
      <w:rPr>
        <w:rFonts w:ascii="Wingdings" w:hAnsi="Wingdings" w:hint="default"/>
      </w:rPr>
    </w:lvl>
    <w:lvl w:ilvl="7" w:tplc="FFFFFFFF" w:tentative="1">
      <w:start w:val="1"/>
      <w:numFmt w:val="bullet"/>
      <w:lvlText w:val=""/>
      <w:lvlJc w:val="left"/>
      <w:pPr>
        <w:ind w:left="3877" w:hanging="440"/>
      </w:pPr>
      <w:rPr>
        <w:rFonts w:ascii="Wingdings" w:hAnsi="Wingdings" w:hint="default"/>
      </w:rPr>
    </w:lvl>
    <w:lvl w:ilvl="8" w:tplc="FFFFFFFF" w:tentative="1">
      <w:start w:val="1"/>
      <w:numFmt w:val="bullet"/>
      <w:lvlText w:val=""/>
      <w:lvlJc w:val="left"/>
      <w:pPr>
        <w:ind w:left="4317" w:hanging="440"/>
      </w:pPr>
      <w:rPr>
        <w:rFonts w:ascii="Wingdings" w:hAnsi="Wingdings" w:hint="default"/>
      </w:rPr>
    </w:lvl>
  </w:abstractNum>
  <w:abstractNum w:abstractNumId="18" w15:restartNumberingAfterBreak="0">
    <w:nsid w:val="6D4A6D52"/>
    <w:multiLevelType w:val="hybridMultilevel"/>
    <w:tmpl w:val="79065300"/>
    <w:lvl w:ilvl="0" w:tplc="04090011">
      <w:start w:val="1"/>
      <w:numFmt w:val="decimal"/>
      <w:lvlText w:val="%1)"/>
      <w:lvlJc w:val="left"/>
      <w:pPr>
        <w:ind w:left="800" w:hanging="440"/>
      </w:p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9" w15:restartNumberingAfterBreak="0">
    <w:nsid w:val="6F236342"/>
    <w:multiLevelType w:val="hybridMultilevel"/>
    <w:tmpl w:val="95F09A08"/>
    <w:lvl w:ilvl="0" w:tplc="FFFFFFFF">
      <w:start w:val="1"/>
      <w:numFmt w:val="decimal"/>
      <w:lvlText w:val="%1)"/>
      <w:lvlJc w:val="left"/>
      <w:pPr>
        <w:ind w:left="797" w:hanging="440"/>
      </w:pPr>
      <w:rPr>
        <w:rFonts w:asciiTheme="minorHAnsi" w:eastAsiaTheme="minorEastAsia" w:hAnsiTheme="minorHAnsi" w:cstheme="minorBidi"/>
      </w:rPr>
    </w:lvl>
    <w:lvl w:ilvl="1" w:tplc="FFFFFFFF" w:tentative="1">
      <w:start w:val="1"/>
      <w:numFmt w:val="bullet"/>
      <w:lvlText w:val=""/>
      <w:lvlJc w:val="left"/>
      <w:pPr>
        <w:ind w:left="1237" w:hanging="440"/>
      </w:pPr>
      <w:rPr>
        <w:rFonts w:ascii="Wingdings" w:hAnsi="Wingdings" w:hint="default"/>
      </w:rPr>
    </w:lvl>
    <w:lvl w:ilvl="2" w:tplc="FFFFFFFF" w:tentative="1">
      <w:start w:val="1"/>
      <w:numFmt w:val="bullet"/>
      <w:lvlText w:val=""/>
      <w:lvlJc w:val="left"/>
      <w:pPr>
        <w:ind w:left="1677" w:hanging="440"/>
      </w:pPr>
      <w:rPr>
        <w:rFonts w:ascii="Wingdings" w:hAnsi="Wingdings" w:hint="default"/>
      </w:rPr>
    </w:lvl>
    <w:lvl w:ilvl="3" w:tplc="FFFFFFFF" w:tentative="1">
      <w:start w:val="1"/>
      <w:numFmt w:val="bullet"/>
      <w:lvlText w:val=""/>
      <w:lvlJc w:val="left"/>
      <w:pPr>
        <w:ind w:left="2117" w:hanging="440"/>
      </w:pPr>
      <w:rPr>
        <w:rFonts w:ascii="Wingdings" w:hAnsi="Wingdings" w:hint="default"/>
      </w:rPr>
    </w:lvl>
    <w:lvl w:ilvl="4" w:tplc="FFFFFFFF" w:tentative="1">
      <w:start w:val="1"/>
      <w:numFmt w:val="bullet"/>
      <w:lvlText w:val=""/>
      <w:lvlJc w:val="left"/>
      <w:pPr>
        <w:ind w:left="2557" w:hanging="440"/>
      </w:pPr>
      <w:rPr>
        <w:rFonts w:ascii="Wingdings" w:hAnsi="Wingdings" w:hint="default"/>
      </w:rPr>
    </w:lvl>
    <w:lvl w:ilvl="5" w:tplc="FFFFFFFF" w:tentative="1">
      <w:start w:val="1"/>
      <w:numFmt w:val="bullet"/>
      <w:lvlText w:val=""/>
      <w:lvlJc w:val="left"/>
      <w:pPr>
        <w:ind w:left="2997" w:hanging="440"/>
      </w:pPr>
      <w:rPr>
        <w:rFonts w:ascii="Wingdings" w:hAnsi="Wingdings" w:hint="default"/>
      </w:rPr>
    </w:lvl>
    <w:lvl w:ilvl="6" w:tplc="FFFFFFFF" w:tentative="1">
      <w:start w:val="1"/>
      <w:numFmt w:val="bullet"/>
      <w:lvlText w:val=""/>
      <w:lvlJc w:val="left"/>
      <w:pPr>
        <w:ind w:left="3437" w:hanging="440"/>
      </w:pPr>
      <w:rPr>
        <w:rFonts w:ascii="Wingdings" w:hAnsi="Wingdings" w:hint="default"/>
      </w:rPr>
    </w:lvl>
    <w:lvl w:ilvl="7" w:tplc="FFFFFFFF" w:tentative="1">
      <w:start w:val="1"/>
      <w:numFmt w:val="bullet"/>
      <w:lvlText w:val=""/>
      <w:lvlJc w:val="left"/>
      <w:pPr>
        <w:ind w:left="3877" w:hanging="440"/>
      </w:pPr>
      <w:rPr>
        <w:rFonts w:ascii="Wingdings" w:hAnsi="Wingdings" w:hint="default"/>
      </w:rPr>
    </w:lvl>
    <w:lvl w:ilvl="8" w:tplc="FFFFFFFF" w:tentative="1">
      <w:start w:val="1"/>
      <w:numFmt w:val="bullet"/>
      <w:lvlText w:val=""/>
      <w:lvlJc w:val="left"/>
      <w:pPr>
        <w:ind w:left="4317" w:hanging="440"/>
      </w:pPr>
      <w:rPr>
        <w:rFonts w:ascii="Wingdings" w:hAnsi="Wingdings" w:hint="default"/>
      </w:rPr>
    </w:lvl>
  </w:abstractNum>
  <w:abstractNum w:abstractNumId="20" w15:restartNumberingAfterBreak="0">
    <w:nsid w:val="71A05885"/>
    <w:multiLevelType w:val="hybridMultilevel"/>
    <w:tmpl w:val="A18E50EE"/>
    <w:lvl w:ilvl="0" w:tplc="5798C088">
      <w:start w:val="1"/>
      <w:numFmt w:val="decimal"/>
      <w:lvlText w:val="%1)"/>
      <w:lvlJc w:val="left"/>
      <w:pPr>
        <w:ind w:left="717" w:hanging="360"/>
      </w:pPr>
      <w:rPr>
        <w:rFonts w:hint="default"/>
      </w:rPr>
    </w:lvl>
    <w:lvl w:ilvl="1" w:tplc="04090019" w:tentative="1">
      <w:start w:val="1"/>
      <w:numFmt w:val="lowerLetter"/>
      <w:lvlText w:val="%2)"/>
      <w:lvlJc w:val="left"/>
      <w:pPr>
        <w:ind w:left="1237" w:hanging="440"/>
      </w:pPr>
    </w:lvl>
    <w:lvl w:ilvl="2" w:tplc="0409001B" w:tentative="1">
      <w:start w:val="1"/>
      <w:numFmt w:val="lowerRoman"/>
      <w:lvlText w:val="%3."/>
      <w:lvlJc w:val="right"/>
      <w:pPr>
        <w:ind w:left="1677" w:hanging="440"/>
      </w:pPr>
    </w:lvl>
    <w:lvl w:ilvl="3" w:tplc="0409000F" w:tentative="1">
      <w:start w:val="1"/>
      <w:numFmt w:val="decimal"/>
      <w:lvlText w:val="%4."/>
      <w:lvlJc w:val="left"/>
      <w:pPr>
        <w:ind w:left="2117" w:hanging="440"/>
      </w:pPr>
    </w:lvl>
    <w:lvl w:ilvl="4" w:tplc="04090019" w:tentative="1">
      <w:start w:val="1"/>
      <w:numFmt w:val="lowerLetter"/>
      <w:lvlText w:val="%5)"/>
      <w:lvlJc w:val="left"/>
      <w:pPr>
        <w:ind w:left="2557" w:hanging="440"/>
      </w:pPr>
    </w:lvl>
    <w:lvl w:ilvl="5" w:tplc="0409001B" w:tentative="1">
      <w:start w:val="1"/>
      <w:numFmt w:val="lowerRoman"/>
      <w:lvlText w:val="%6."/>
      <w:lvlJc w:val="right"/>
      <w:pPr>
        <w:ind w:left="2997" w:hanging="440"/>
      </w:pPr>
    </w:lvl>
    <w:lvl w:ilvl="6" w:tplc="0409000F" w:tentative="1">
      <w:start w:val="1"/>
      <w:numFmt w:val="decimal"/>
      <w:lvlText w:val="%7."/>
      <w:lvlJc w:val="left"/>
      <w:pPr>
        <w:ind w:left="3437" w:hanging="440"/>
      </w:pPr>
    </w:lvl>
    <w:lvl w:ilvl="7" w:tplc="04090019" w:tentative="1">
      <w:start w:val="1"/>
      <w:numFmt w:val="lowerLetter"/>
      <w:lvlText w:val="%8)"/>
      <w:lvlJc w:val="left"/>
      <w:pPr>
        <w:ind w:left="3877" w:hanging="440"/>
      </w:pPr>
    </w:lvl>
    <w:lvl w:ilvl="8" w:tplc="0409001B" w:tentative="1">
      <w:start w:val="1"/>
      <w:numFmt w:val="lowerRoman"/>
      <w:lvlText w:val="%9."/>
      <w:lvlJc w:val="right"/>
      <w:pPr>
        <w:ind w:left="4317" w:hanging="440"/>
      </w:pPr>
    </w:lvl>
  </w:abstractNum>
  <w:abstractNum w:abstractNumId="21" w15:restartNumberingAfterBreak="0">
    <w:nsid w:val="71C034A7"/>
    <w:multiLevelType w:val="hybridMultilevel"/>
    <w:tmpl w:val="0CB84278"/>
    <w:lvl w:ilvl="0" w:tplc="70781DF8">
      <w:start w:val="1"/>
      <w:numFmt w:val="decimal"/>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72E91291"/>
    <w:multiLevelType w:val="hybridMultilevel"/>
    <w:tmpl w:val="6236271E"/>
    <w:lvl w:ilvl="0" w:tplc="939EB496">
      <w:start w:val="1"/>
      <w:numFmt w:val="decimal"/>
      <w:lvlText w:val="%1)"/>
      <w:lvlJc w:val="left"/>
      <w:pPr>
        <w:ind w:left="717" w:hanging="360"/>
      </w:pPr>
      <w:rPr>
        <w:rFonts w:hint="default"/>
      </w:rPr>
    </w:lvl>
    <w:lvl w:ilvl="1" w:tplc="04090019" w:tentative="1">
      <w:start w:val="1"/>
      <w:numFmt w:val="lowerLetter"/>
      <w:lvlText w:val="%2)"/>
      <w:lvlJc w:val="left"/>
      <w:pPr>
        <w:ind w:left="1237" w:hanging="440"/>
      </w:pPr>
    </w:lvl>
    <w:lvl w:ilvl="2" w:tplc="0409001B" w:tentative="1">
      <w:start w:val="1"/>
      <w:numFmt w:val="lowerRoman"/>
      <w:lvlText w:val="%3."/>
      <w:lvlJc w:val="right"/>
      <w:pPr>
        <w:ind w:left="1677" w:hanging="440"/>
      </w:pPr>
    </w:lvl>
    <w:lvl w:ilvl="3" w:tplc="0409000F" w:tentative="1">
      <w:start w:val="1"/>
      <w:numFmt w:val="decimal"/>
      <w:lvlText w:val="%4."/>
      <w:lvlJc w:val="left"/>
      <w:pPr>
        <w:ind w:left="2117" w:hanging="440"/>
      </w:pPr>
    </w:lvl>
    <w:lvl w:ilvl="4" w:tplc="04090019" w:tentative="1">
      <w:start w:val="1"/>
      <w:numFmt w:val="lowerLetter"/>
      <w:lvlText w:val="%5)"/>
      <w:lvlJc w:val="left"/>
      <w:pPr>
        <w:ind w:left="2557" w:hanging="440"/>
      </w:pPr>
    </w:lvl>
    <w:lvl w:ilvl="5" w:tplc="0409001B" w:tentative="1">
      <w:start w:val="1"/>
      <w:numFmt w:val="lowerRoman"/>
      <w:lvlText w:val="%6."/>
      <w:lvlJc w:val="right"/>
      <w:pPr>
        <w:ind w:left="2997" w:hanging="440"/>
      </w:pPr>
    </w:lvl>
    <w:lvl w:ilvl="6" w:tplc="0409000F" w:tentative="1">
      <w:start w:val="1"/>
      <w:numFmt w:val="decimal"/>
      <w:lvlText w:val="%7."/>
      <w:lvlJc w:val="left"/>
      <w:pPr>
        <w:ind w:left="3437" w:hanging="440"/>
      </w:pPr>
    </w:lvl>
    <w:lvl w:ilvl="7" w:tplc="04090019" w:tentative="1">
      <w:start w:val="1"/>
      <w:numFmt w:val="lowerLetter"/>
      <w:lvlText w:val="%8)"/>
      <w:lvlJc w:val="left"/>
      <w:pPr>
        <w:ind w:left="3877" w:hanging="440"/>
      </w:pPr>
    </w:lvl>
    <w:lvl w:ilvl="8" w:tplc="0409001B" w:tentative="1">
      <w:start w:val="1"/>
      <w:numFmt w:val="lowerRoman"/>
      <w:lvlText w:val="%9."/>
      <w:lvlJc w:val="right"/>
      <w:pPr>
        <w:ind w:left="4317" w:hanging="440"/>
      </w:pPr>
    </w:lvl>
  </w:abstractNum>
  <w:abstractNum w:abstractNumId="23" w15:restartNumberingAfterBreak="0">
    <w:nsid w:val="7C161DA1"/>
    <w:multiLevelType w:val="hybridMultilevel"/>
    <w:tmpl w:val="A4C6D140"/>
    <w:lvl w:ilvl="0" w:tplc="04090001">
      <w:start w:val="1"/>
      <w:numFmt w:val="bullet"/>
      <w:lvlText w:val=""/>
      <w:lvlJc w:val="left"/>
      <w:pPr>
        <w:ind w:left="865" w:hanging="440"/>
      </w:pPr>
      <w:rPr>
        <w:rFonts w:ascii="Wingdings" w:hAnsi="Wingdings" w:hint="default"/>
      </w:rPr>
    </w:lvl>
    <w:lvl w:ilvl="1" w:tplc="04090003" w:tentative="1">
      <w:start w:val="1"/>
      <w:numFmt w:val="bullet"/>
      <w:lvlText w:val=""/>
      <w:lvlJc w:val="left"/>
      <w:pPr>
        <w:ind w:left="1305" w:hanging="440"/>
      </w:pPr>
      <w:rPr>
        <w:rFonts w:ascii="Wingdings" w:hAnsi="Wingdings" w:hint="default"/>
      </w:rPr>
    </w:lvl>
    <w:lvl w:ilvl="2" w:tplc="04090005" w:tentative="1">
      <w:start w:val="1"/>
      <w:numFmt w:val="bullet"/>
      <w:lvlText w:val=""/>
      <w:lvlJc w:val="left"/>
      <w:pPr>
        <w:ind w:left="1745" w:hanging="440"/>
      </w:pPr>
      <w:rPr>
        <w:rFonts w:ascii="Wingdings" w:hAnsi="Wingdings" w:hint="default"/>
      </w:rPr>
    </w:lvl>
    <w:lvl w:ilvl="3" w:tplc="04090001" w:tentative="1">
      <w:start w:val="1"/>
      <w:numFmt w:val="bullet"/>
      <w:lvlText w:val=""/>
      <w:lvlJc w:val="left"/>
      <w:pPr>
        <w:ind w:left="2185" w:hanging="440"/>
      </w:pPr>
      <w:rPr>
        <w:rFonts w:ascii="Wingdings" w:hAnsi="Wingdings" w:hint="default"/>
      </w:rPr>
    </w:lvl>
    <w:lvl w:ilvl="4" w:tplc="04090003" w:tentative="1">
      <w:start w:val="1"/>
      <w:numFmt w:val="bullet"/>
      <w:lvlText w:val=""/>
      <w:lvlJc w:val="left"/>
      <w:pPr>
        <w:ind w:left="2625" w:hanging="440"/>
      </w:pPr>
      <w:rPr>
        <w:rFonts w:ascii="Wingdings" w:hAnsi="Wingdings" w:hint="default"/>
      </w:rPr>
    </w:lvl>
    <w:lvl w:ilvl="5" w:tplc="04090005" w:tentative="1">
      <w:start w:val="1"/>
      <w:numFmt w:val="bullet"/>
      <w:lvlText w:val=""/>
      <w:lvlJc w:val="left"/>
      <w:pPr>
        <w:ind w:left="3065" w:hanging="440"/>
      </w:pPr>
      <w:rPr>
        <w:rFonts w:ascii="Wingdings" w:hAnsi="Wingdings" w:hint="default"/>
      </w:rPr>
    </w:lvl>
    <w:lvl w:ilvl="6" w:tplc="04090001" w:tentative="1">
      <w:start w:val="1"/>
      <w:numFmt w:val="bullet"/>
      <w:lvlText w:val=""/>
      <w:lvlJc w:val="left"/>
      <w:pPr>
        <w:ind w:left="3505" w:hanging="440"/>
      </w:pPr>
      <w:rPr>
        <w:rFonts w:ascii="Wingdings" w:hAnsi="Wingdings" w:hint="default"/>
      </w:rPr>
    </w:lvl>
    <w:lvl w:ilvl="7" w:tplc="04090003" w:tentative="1">
      <w:start w:val="1"/>
      <w:numFmt w:val="bullet"/>
      <w:lvlText w:val=""/>
      <w:lvlJc w:val="left"/>
      <w:pPr>
        <w:ind w:left="3945" w:hanging="440"/>
      </w:pPr>
      <w:rPr>
        <w:rFonts w:ascii="Wingdings" w:hAnsi="Wingdings" w:hint="default"/>
      </w:rPr>
    </w:lvl>
    <w:lvl w:ilvl="8" w:tplc="04090005" w:tentative="1">
      <w:start w:val="1"/>
      <w:numFmt w:val="bullet"/>
      <w:lvlText w:val=""/>
      <w:lvlJc w:val="left"/>
      <w:pPr>
        <w:ind w:left="4385" w:hanging="440"/>
      </w:pPr>
      <w:rPr>
        <w:rFonts w:ascii="Wingdings" w:hAnsi="Wingdings" w:hint="default"/>
      </w:rPr>
    </w:lvl>
  </w:abstractNum>
  <w:num w:numId="1" w16cid:durableId="2108230208">
    <w:abstractNumId w:val="1"/>
  </w:num>
  <w:num w:numId="2" w16cid:durableId="674379464">
    <w:abstractNumId w:val="11"/>
  </w:num>
  <w:num w:numId="3" w16cid:durableId="1750616904">
    <w:abstractNumId w:val="2"/>
  </w:num>
  <w:num w:numId="4" w16cid:durableId="941036269">
    <w:abstractNumId w:val="21"/>
  </w:num>
  <w:num w:numId="5" w16cid:durableId="327558346">
    <w:abstractNumId w:val="14"/>
  </w:num>
  <w:num w:numId="6" w16cid:durableId="1194999366">
    <w:abstractNumId w:val="7"/>
  </w:num>
  <w:num w:numId="7" w16cid:durableId="2122333665">
    <w:abstractNumId w:val="5"/>
  </w:num>
  <w:num w:numId="8" w16cid:durableId="1743797661">
    <w:abstractNumId w:val="16"/>
  </w:num>
  <w:num w:numId="9" w16cid:durableId="1091002990">
    <w:abstractNumId w:val="3"/>
  </w:num>
  <w:num w:numId="10" w16cid:durableId="1247879381">
    <w:abstractNumId w:val="22"/>
  </w:num>
  <w:num w:numId="11" w16cid:durableId="1076435406">
    <w:abstractNumId w:val="4"/>
  </w:num>
  <w:num w:numId="12" w16cid:durableId="886800238">
    <w:abstractNumId w:val="23"/>
  </w:num>
  <w:num w:numId="13" w16cid:durableId="1461267619">
    <w:abstractNumId w:val="8"/>
  </w:num>
  <w:num w:numId="14" w16cid:durableId="1287202638">
    <w:abstractNumId w:val="6"/>
  </w:num>
  <w:num w:numId="15" w16cid:durableId="1958486256">
    <w:abstractNumId w:val="0"/>
  </w:num>
  <w:num w:numId="16" w16cid:durableId="1946689398">
    <w:abstractNumId w:val="20"/>
  </w:num>
  <w:num w:numId="17" w16cid:durableId="1589726969">
    <w:abstractNumId w:val="17"/>
  </w:num>
  <w:num w:numId="18" w16cid:durableId="675425325">
    <w:abstractNumId w:val="19"/>
  </w:num>
  <w:num w:numId="19" w16cid:durableId="343897937">
    <w:abstractNumId w:val="12"/>
  </w:num>
  <w:num w:numId="20" w16cid:durableId="641542432">
    <w:abstractNumId w:val="10"/>
  </w:num>
  <w:num w:numId="21" w16cid:durableId="691802468">
    <w:abstractNumId w:val="15"/>
  </w:num>
  <w:num w:numId="22" w16cid:durableId="489911049">
    <w:abstractNumId w:val="18"/>
  </w:num>
  <w:num w:numId="23" w16cid:durableId="237447828">
    <w:abstractNumId w:val="13"/>
  </w:num>
  <w:num w:numId="24" w16cid:durableId="16733404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0E0"/>
    <w:rsid w:val="00006056"/>
    <w:rsid w:val="0003648D"/>
    <w:rsid w:val="00070BF1"/>
    <w:rsid w:val="00071B75"/>
    <w:rsid w:val="00077A37"/>
    <w:rsid w:val="00086CC8"/>
    <w:rsid w:val="00097DD2"/>
    <w:rsid w:val="000A1F6A"/>
    <w:rsid w:val="000A3713"/>
    <w:rsid w:val="000B3E14"/>
    <w:rsid w:val="000C0435"/>
    <w:rsid w:val="000C4C06"/>
    <w:rsid w:val="000D46BF"/>
    <w:rsid w:val="000D4E8F"/>
    <w:rsid w:val="000E03B2"/>
    <w:rsid w:val="000E3ACF"/>
    <w:rsid w:val="000F7EBA"/>
    <w:rsid w:val="00130239"/>
    <w:rsid w:val="00136C12"/>
    <w:rsid w:val="001573EE"/>
    <w:rsid w:val="001619DF"/>
    <w:rsid w:val="00167B37"/>
    <w:rsid w:val="0017294C"/>
    <w:rsid w:val="001803A7"/>
    <w:rsid w:val="00193CD3"/>
    <w:rsid w:val="001A0B7F"/>
    <w:rsid w:val="001A6751"/>
    <w:rsid w:val="001A69C4"/>
    <w:rsid w:val="001B21D5"/>
    <w:rsid w:val="001B48EC"/>
    <w:rsid w:val="001B74C8"/>
    <w:rsid w:val="001C6741"/>
    <w:rsid w:val="001E2667"/>
    <w:rsid w:val="00227C57"/>
    <w:rsid w:val="00247881"/>
    <w:rsid w:val="00247E2A"/>
    <w:rsid w:val="0027412A"/>
    <w:rsid w:val="002C3892"/>
    <w:rsid w:val="002C647D"/>
    <w:rsid w:val="003065B4"/>
    <w:rsid w:val="00325B1E"/>
    <w:rsid w:val="003334DC"/>
    <w:rsid w:val="00335A70"/>
    <w:rsid w:val="00335AC1"/>
    <w:rsid w:val="00342C50"/>
    <w:rsid w:val="003A60E0"/>
    <w:rsid w:val="003C237E"/>
    <w:rsid w:val="003C2976"/>
    <w:rsid w:val="003C38F0"/>
    <w:rsid w:val="003C72DA"/>
    <w:rsid w:val="003D0990"/>
    <w:rsid w:val="003D381D"/>
    <w:rsid w:val="003F2CC4"/>
    <w:rsid w:val="00400796"/>
    <w:rsid w:val="00412277"/>
    <w:rsid w:val="00446010"/>
    <w:rsid w:val="00447C6A"/>
    <w:rsid w:val="00475D52"/>
    <w:rsid w:val="00492C67"/>
    <w:rsid w:val="00493E46"/>
    <w:rsid w:val="004965EC"/>
    <w:rsid w:val="004E3582"/>
    <w:rsid w:val="004F262A"/>
    <w:rsid w:val="0052219B"/>
    <w:rsid w:val="0052235B"/>
    <w:rsid w:val="005239FE"/>
    <w:rsid w:val="005324ED"/>
    <w:rsid w:val="00555358"/>
    <w:rsid w:val="0057197C"/>
    <w:rsid w:val="005A381B"/>
    <w:rsid w:val="005B10A9"/>
    <w:rsid w:val="005B1859"/>
    <w:rsid w:val="00604A5E"/>
    <w:rsid w:val="00606EFD"/>
    <w:rsid w:val="00611A69"/>
    <w:rsid w:val="00624E1F"/>
    <w:rsid w:val="00644DFF"/>
    <w:rsid w:val="00672B26"/>
    <w:rsid w:val="006920F7"/>
    <w:rsid w:val="006E3B5F"/>
    <w:rsid w:val="006E526D"/>
    <w:rsid w:val="006E697E"/>
    <w:rsid w:val="00706D22"/>
    <w:rsid w:val="007129CC"/>
    <w:rsid w:val="00714876"/>
    <w:rsid w:val="00717A45"/>
    <w:rsid w:val="00732EC3"/>
    <w:rsid w:val="007404D1"/>
    <w:rsid w:val="00761783"/>
    <w:rsid w:val="007955B1"/>
    <w:rsid w:val="00797332"/>
    <w:rsid w:val="007C2C42"/>
    <w:rsid w:val="007C465B"/>
    <w:rsid w:val="007E5A89"/>
    <w:rsid w:val="008003EB"/>
    <w:rsid w:val="008137C8"/>
    <w:rsid w:val="00845AD7"/>
    <w:rsid w:val="0085730A"/>
    <w:rsid w:val="00857D4A"/>
    <w:rsid w:val="00860533"/>
    <w:rsid w:val="008A5836"/>
    <w:rsid w:val="008A7E44"/>
    <w:rsid w:val="008B1B6F"/>
    <w:rsid w:val="008B2777"/>
    <w:rsid w:val="008C1D68"/>
    <w:rsid w:val="008C4FC7"/>
    <w:rsid w:val="008E35B5"/>
    <w:rsid w:val="008E57B2"/>
    <w:rsid w:val="008F3AD8"/>
    <w:rsid w:val="00943033"/>
    <w:rsid w:val="009437F4"/>
    <w:rsid w:val="0096239D"/>
    <w:rsid w:val="009A3069"/>
    <w:rsid w:val="009A7C6F"/>
    <w:rsid w:val="009C64DB"/>
    <w:rsid w:val="009E03C5"/>
    <w:rsid w:val="00A06406"/>
    <w:rsid w:val="00A1285D"/>
    <w:rsid w:val="00A55214"/>
    <w:rsid w:val="00A807C8"/>
    <w:rsid w:val="00AB0320"/>
    <w:rsid w:val="00AD24BD"/>
    <w:rsid w:val="00B075E5"/>
    <w:rsid w:val="00B10298"/>
    <w:rsid w:val="00B14D65"/>
    <w:rsid w:val="00B222CF"/>
    <w:rsid w:val="00B30DCC"/>
    <w:rsid w:val="00B41CE2"/>
    <w:rsid w:val="00B7013C"/>
    <w:rsid w:val="00B72E4E"/>
    <w:rsid w:val="00B84D11"/>
    <w:rsid w:val="00B93236"/>
    <w:rsid w:val="00BA760B"/>
    <w:rsid w:val="00BC7283"/>
    <w:rsid w:val="00BF4589"/>
    <w:rsid w:val="00C138CE"/>
    <w:rsid w:val="00C140DC"/>
    <w:rsid w:val="00C179A3"/>
    <w:rsid w:val="00C21918"/>
    <w:rsid w:val="00C627B3"/>
    <w:rsid w:val="00C80597"/>
    <w:rsid w:val="00C86F8E"/>
    <w:rsid w:val="00C96EF6"/>
    <w:rsid w:val="00CC080B"/>
    <w:rsid w:val="00D03877"/>
    <w:rsid w:val="00D048ED"/>
    <w:rsid w:val="00D305DC"/>
    <w:rsid w:val="00D4040E"/>
    <w:rsid w:val="00D561E3"/>
    <w:rsid w:val="00D640A9"/>
    <w:rsid w:val="00D866C8"/>
    <w:rsid w:val="00D87120"/>
    <w:rsid w:val="00D91523"/>
    <w:rsid w:val="00D92D4C"/>
    <w:rsid w:val="00DA319E"/>
    <w:rsid w:val="00DB0F5D"/>
    <w:rsid w:val="00DB3906"/>
    <w:rsid w:val="00DE5B3D"/>
    <w:rsid w:val="00E0094C"/>
    <w:rsid w:val="00E06815"/>
    <w:rsid w:val="00E15519"/>
    <w:rsid w:val="00E31EFB"/>
    <w:rsid w:val="00E321E5"/>
    <w:rsid w:val="00E41181"/>
    <w:rsid w:val="00E47D84"/>
    <w:rsid w:val="00E511C1"/>
    <w:rsid w:val="00E65923"/>
    <w:rsid w:val="00E86A55"/>
    <w:rsid w:val="00E91C01"/>
    <w:rsid w:val="00E96484"/>
    <w:rsid w:val="00EC4ED4"/>
    <w:rsid w:val="00EE758A"/>
    <w:rsid w:val="00EF57D1"/>
    <w:rsid w:val="00F16DFD"/>
    <w:rsid w:val="00F34F10"/>
    <w:rsid w:val="00F36E45"/>
    <w:rsid w:val="00F8498D"/>
    <w:rsid w:val="00FB55D8"/>
    <w:rsid w:val="00FC348E"/>
    <w:rsid w:val="00FD7C2B"/>
    <w:rsid w:val="00FE41CB"/>
    <w:rsid w:val="00FE4AEF"/>
    <w:rsid w:val="00FF5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A62BF2"/>
  <w15:chartTrackingRefBased/>
  <w15:docId w15:val="{4244132B-3DBB-4FD0-8F87-D7FAEADC0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3A60E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3A60E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3A60E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3A60E0"/>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3A60E0"/>
    <w:pPr>
      <w:keepNext/>
      <w:keepLines/>
      <w:spacing w:before="80" w:after="40"/>
      <w:outlineLvl w:val="4"/>
    </w:pPr>
    <w:rPr>
      <w:rFonts w:cstheme="majorBidi"/>
      <w:color w:val="0F4761" w:themeColor="accent1" w:themeShade="BF"/>
      <w:sz w:val="24"/>
    </w:rPr>
  </w:style>
  <w:style w:type="paragraph" w:styleId="Heading6">
    <w:name w:val="heading 6"/>
    <w:basedOn w:val="Normal"/>
    <w:next w:val="Normal"/>
    <w:link w:val="Heading6Char"/>
    <w:uiPriority w:val="9"/>
    <w:semiHidden/>
    <w:unhideWhenUsed/>
    <w:qFormat/>
    <w:rsid w:val="003A60E0"/>
    <w:pPr>
      <w:keepNext/>
      <w:keepLines/>
      <w:spacing w:before="40" w:after="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3A60E0"/>
    <w:pPr>
      <w:keepNext/>
      <w:keepLines/>
      <w:spacing w:before="40" w:after="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3A60E0"/>
    <w:pPr>
      <w:keepNext/>
      <w:keepLines/>
      <w:spacing w:after="0"/>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3A60E0"/>
    <w:pPr>
      <w:keepNext/>
      <w:keepLines/>
      <w:spacing w:after="0"/>
      <w:outlineLvl w:val="8"/>
    </w:pPr>
    <w:rPr>
      <w:rFonts w:eastAsiaTheme="majorEastAsia" w:cstheme="majorBidi"/>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0E0"/>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3A60E0"/>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3A60E0"/>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3A60E0"/>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3A60E0"/>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3A60E0"/>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3A60E0"/>
    <w:rPr>
      <w:rFonts w:cstheme="majorBidi"/>
      <w:b/>
      <w:bCs/>
      <w:color w:val="595959" w:themeColor="text1" w:themeTint="A6"/>
    </w:rPr>
  </w:style>
  <w:style w:type="character" w:customStyle="1" w:styleId="Heading8Char">
    <w:name w:val="Heading 8 Char"/>
    <w:basedOn w:val="DefaultParagraphFont"/>
    <w:link w:val="Heading8"/>
    <w:uiPriority w:val="9"/>
    <w:semiHidden/>
    <w:rsid w:val="003A60E0"/>
    <w:rPr>
      <w:rFonts w:cstheme="majorBidi"/>
      <w:color w:val="595959" w:themeColor="text1" w:themeTint="A6"/>
    </w:rPr>
  </w:style>
  <w:style w:type="character" w:customStyle="1" w:styleId="Heading9Char">
    <w:name w:val="Heading 9 Char"/>
    <w:basedOn w:val="DefaultParagraphFont"/>
    <w:link w:val="Heading9"/>
    <w:uiPriority w:val="9"/>
    <w:semiHidden/>
    <w:rsid w:val="003A60E0"/>
    <w:rPr>
      <w:rFonts w:eastAsiaTheme="majorEastAsia" w:cstheme="majorBidi"/>
      <w:color w:val="595959" w:themeColor="text1" w:themeTint="A6"/>
    </w:rPr>
  </w:style>
  <w:style w:type="paragraph" w:styleId="Title">
    <w:name w:val="Title"/>
    <w:basedOn w:val="Normal"/>
    <w:next w:val="Normal"/>
    <w:link w:val="TitleChar"/>
    <w:uiPriority w:val="10"/>
    <w:qFormat/>
    <w:rsid w:val="003A60E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0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0E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0E0"/>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3A60E0"/>
    <w:pPr>
      <w:spacing w:before="160"/>
      <w:jc w:val="center"/>
    </w:pPr>
    <w:rPr>
      <w:i/>
      <w:iCs/>
      <w:color w:val="404040" w:themeColor="text1" w:themeTint="BF"/>
    </w:rPr>
  </w:style>
  <w:style w:type="character" w:customStyle="1" w:styleId="QuoteChar">
    <w:name w:val="Quote Char"/>
    <w:basedOn w:val="DefaultParagraphFont"/>
    <w:link w:val="Quote"/>
    <w:uiPriority w:val="29"/>
    <w:rsid w:val="003A60E0"/>
    <w:rPr>
      <w:i/>
      <w:iCs/>
      <w:color w:val="404040" w:themeColor="text1" w:themeTint="BF"/>
    </w:rPr>
  </w:style>
  <w:style w:type="paragraph" w:styleId="ListParagraph">
    <w:name w:val="List Paragraph"/>
    <w:basedOn w:val="Normal"/>
    <w:uiPriority w:val="34"/>
    <w:qFormat/>
    <w:rsid w:val="003A60E0"/>
    <w:pPr>
      <w:ind w:left="720"/>
      <w:contextualSpacing/>
    </w:pPr>
  </w:style>
  <w:style w:type="character" w:styleId="IntenseEmphasis">
    <w:name w:val="Intense Emphasis"/>
    <w:basedOn w:val="DefaultParagraphFont"/>
    <w:uiPriority w:val="21"/>
    <w:qFormat/>
    <w:rsid w:val="003A60E0"/>
    <w:rPr>
      <w:i/>
      <w:iCs/>
      <w:color w:val="0F4761" w:themeColor="accent1" w:themeShade="BF"/>
    </w:rPr>
  </w:style>
  <w:style w:type="paragraph" w:styleId="IntenseQuote">
    <w:name w:val="Intense Quote"/>
    <w:basedOn w:val="Normal"/>
    <w:next w:val="Normal"/>
    <w:link w:val="IntenseQuoteChar"/>
    <w:uiPriority w:val="30"/>
    <w:qFormat/>
    <w:rsid w:val="003A60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0E0"/>
    <w:rPr>
      <w:i/>
      <w:iCs/>
      <w:color w:val="0F4761" w:themeColor="accent1" w:themeShade="BF"/>
    </w:rPr>
  </w:style>
  <w:style w:type="character" w:styleId="IntenseReference">
    <w:name w:val="Intense Reference"/>
    <w:basedOn w:val="DefaultParagraphFont"/>
    <w:uiPriority w:val="32"/>
    <w:qFormat/>
    <w:rsid w:val="003A60E0"/>
    <w:rPr>
      <w:b/>
      <w:bCs/>
      <w:smallCaps/>
      <w:color w:val="0F4761" w:themeColor="accent1" w:themeShade="BF"/>
      <w:spacing w:val="5"/>
    </w:rPr>
  </w:style>
  <w:style w:type="paragraph" w:styleId="Header">
    <w:name w:val="header"/>
    <w:basedOn w:val="Normal"/>
    <w:link w:val="HeaderChar"/>
    <w:uiPriority w:val="99"/>
    <w:unhideWhenUsed/>
    <w:rsid w:val="00AD24BD"/>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AD24BD"/>
    <w:rPr>
      <w:sz w:val="18"/>
      <w:szCs w:val="18"/>
    </w:rPr>
  </w:style>
  <w:style w:type="paragraph" w:styleId="Footer">
    <w:name w:val="footer"/>
    <w:basedOn w:val="Normal"/>
    <w:link w:val="FooterChar"/>
    <w:uiPriority w:val="99"/>
    <w:unhideWhenUsed/>
    <w:rsid w:val="00AD24BD"/>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AD24BD"/>
    <w:rPr>
      <w:sz w:val="18"/>
      <w:szCs w:val="18"/>
    </w:rPr>
  </w:style>
  <w:style w:type="character" w:styleId="Hyperlink">
    <w:name w:val="Hyperlink"/>
    <w:basedOn w:val="DefaultParagraphFont"/>
    <w:uiPriority w:val="99"/>
    <w:unhideWhenUsed/>
    <w:rsid w:val="00E511C1"/>
    <w:rPr>
      <w:color w:val="467886" w:themeColor="hyperlink"/>
      <w:u w:val="single"/>
    </w:rPr>
  </w:style>
  <w:style w:type="character" w:styleId="UnresolvedMention">
    <w:name w:val="Unresolved Mention"/>
    <w:basedOn w:val="DefaultParagraphFont"/>
    <w:uiPriority w:val="99"/>
    <w:semiHidden/>
    <w:unhideWhenUsed/>
    <w:rsid w:val="00E511C1"/>
    <w:rPr>
      <w:color w:val="605E5C"/>
      <w:shd w:val="clear" w:color="auto" w:fill="E1DFDD"/>
    </w:rPr>
  </w:style>
  <w:style w:type="character" w:styleId="Emphasis">
    <w:name w:val="Emphasis"/>
    <w:basedOn w:val="DefaultParagraphFont"/>
    <w:uiPriority w:val="20"/>
    <w:qFormat/>
    <w:rsid w:val="002C647D"/>
    <w:rPr>
      <w:i/>
      <w:iCs/>
    </w:rPr>
  </w:style>
  <w:style w:type="character" w:styleId="FollowedHyperlink">
    <w:name w:val="FollowedHyperlink"/>
    <w:basedOn w:val="DefaultParagraphFont"/>
    <w:uiPriority w:val="99"/>
    <w:semiHidden/>
    <w:unhideWhenUsed/>
    <w:rsid w:val="007955B1"/>
    <w:rPr>
      <w:color w:val="96607D" w:themeColor="followedHyperlink"/>
      <w:u w:val="single"/>
    </w:rPr>
  </w:style>
  <w:style w:type="paragraph" w:styleId="NormalWeb">
    <w:name w:val="Normal (Web)"/>
    <w:basedOn w:val="Normal"/>
    <w:uiPriority w:val="99"/>
    <w:unhideWhenUsed/>
    <w:rsid w:val="00A807C8"/>
    <w:pPr>
      <w:widowControl/>
      <w:spacing w:before="100" w:beforeAutospacing="1" w:after="100" w:afterAutospacing="1" w:line="240" w:lineRule="auto"/>
    </w:pPr>
    <w:rPr>
      <w:rFonts w:ascii="宋体" w:eastAsia="宋体" w:hAnsi="宋体" w:cs="宋体"/>
      <w:kern w:val="0"/>
      <w:sz w:val="24"/>
      <w14:ligatures w14:val="none"/>
    </w:rPr>
  </w:style>
  <w:style w:type="paragraph" w:styleId="Bibliography">
    <w:name w:val="Bibliography"/>
    <w:basedOn w:val="Normal"/>
    <w:next w:val="Normal"/>
    <w:uiPriority w:val="37"/>
    <w:unhideWhenUsed/>
    <w:rsid w:val="007404D1"/>
    <w:pPr>
      <w:spacing w:after="240" w:line="240" w:lineRule="auto"/>
    </w:pPr>
  </w:style>
  <w:style w:type="paragraph" w:styleId="NoSpacing">
    <w:name w:val="No Spacing"/>
    <w:link w:val="NoSpacingChar"/>
    <w:uiPriority w:val="1"/>
    <w:qFormat/>
    <w:rsid w:val="007C2C42"/>
    <w:pPr>
      <w:spacing w:after="0" w:line="240" w:lineRule="auto"/>
    </w:pPr>
    <w:rPr>
      <w:kern w:val="0"/>
      <w:szCs w:val="22"/>
      <w14:ligatures w14:val="none"/>
    </w:rPr>
  </w:style>
  <w:style w:type="character" w:customStyle="1" w:styleId="NoSpacingChar">
    <w:name w:val="No Spacing Char"/>
    <w:basedOn w:val="DefaultParagraphFont"/>
    <w:link w:val="NoSpacing"/>
    <w:uiPriority w:val="1"/>
    <w:rsid w:val="007C2C42"/>
    <w:rPr>
      <w:kern w:val="0"/>
      <w:szCs w:val="22"/>
      <w14:ligatures w14:val="none"/>
    </w:rPr>
  </w:style>
  <w:style w:type="paragraph" w:styleId="TOCHeading">
    <w:name w:val="TOC Heading"/>
    <w:basedOn w:val="Heading1"/>
    <w:next w:val="Normal"/>
    <w:uiPriority w:val="39"/>
    <w:unhideWhenUsed/>
    <w:qFormat/>
    <w:rsid w:val="007C2C42"/>
    <w:pPr>
      <w:widowControl/>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7C2C42"/>
    <w:pPr>
      <w:ind w:leftChars="200" w:left="420"/>
    </w:pPr>
  </w:style>
  <w:style w:type="paragraph" w:styleId="TOC3">
    <w:name w:val="toc 3"/>
    <w:basedOn w:val="Normal"/>
    <w:next w:val="Normal"/>
    <w:autoRedefine/>
    <w:uiPriority w:val="39"/>
    <w:unhideWhenUsed/>
    <w:rsid w:val="007C2C42"/>
    <w:pPr>
      <w:ind w:leftChars="400" w:left="840"/>
    </w:pPr>
  </w:style>
  <w:style w:type="paragraph" w:styleId="TOC4">
    <w:name w:val="toc 4"/>
    <w:basedOn w:val="Normal"/>
    <w:next w:val="Normal"/>
    <w:autoRedefine/>
    <w:uiPriority w:val="39"/>
    <w:unhideWhenUsed/>
    <w:rsid w:val="00706D22"/>
    <w:pPr>
      <w:ind w:leftChars="600" w:left="1260"/>
    </w:pPr>
  </w:style>
  <w:style w:type="character" w:styleId="CommentReference">
    <w:name w:val="annotation reference"/>
    <w:basedOn w:val="DefaultParagraphFont"/>
    <w:uiPriority w:val="99"/>
    <w:semiHidden/>
    <w:unhideWhenUsed/>
    <w:rsid w:val="001E2667"/>
    <w:rPr>
      <w:sz w:val="21"/>
      <w:szCs w:val="21"/>
    </w:rPr>
  </w:style>
  <w:style w:type="paragraph" w:styleId="CommentText">
    <w:name w:val="annotation text"/>
    <w:basedOn w:val="Normal"/>
    <w:link w:val="CommentTextChar"/>
    <w:uiPriority w:val="99"/>
    <w:unhideWhenUsed/>
    <w:rsid w:val="001E2667"/>
  </w:style>
  <w:style w:type="character" w:customStyle="1" w:styleId="CommentTextChar">
    <w:name w:val="Comment Text Char"/>
    <w:basedOn w:val="DefaultParagraphFont"/>
    <w:link w:val="CommentText"/>
    <w:uiPriority w:val="99"/>
    <w:rsid w:val="001E2667"/>
  </w:style>
  <w:style w:type="paragraph" w:styleId="CommentSubject">
    <w:name w:val="annotation subject"/>
    <w:basedOn w:val="CommentText"/>
    <w:next w:val="CommentText"/>
    <w:link w:val="CommentSubjectChar"/>
    <w:uiPriority w:val="99"/>
    <w:semiHidden/>
    <w:unhideWhenUsed/>
    <w:rsid w:val="001E2667"/>
    <w:rPr>
      <w:b/>
      <w:bCs/>
    </w:rPr>
  </w:style>
  <w:style w:type="character" w:customStyle="1" w:styleId="CommentSubjectChar">
    <w:name w:val="Comment Subject Char"/>
    <w:basedOn w:val="CommentTextChar"/>
    <w:link w:val="CommentSubject"/>
    <w:uiPriority w:val="99"/>
    <w:semiHidden/>
    <w:rsid w:val="001E26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029901">
      <w:bodyDiv w:val="1"/>
      <w:marLeft w:val="0"/>
      <w:marRight w:val="0"/>
      <w:marTop w:val="0"/>
      <w:marBottom w:val="0"/>
      <w:divBdr>
        <w:top w:val="none" w:sz="0" w:space="0" w:color="auto"/>
        <w:left w:val="none" w:sz="0" w:space="0" w:color="auto"/>
        <w:bottom w:val="none" w:sz="0" w:space="0" w:color="auto"/>
        <w:right w:val="none" w:sz="0" w:space="0" w:color="auto"/>
      </w:divBdr>
    </w:div>
    <w:div w:id="612593984">
      <w:bodyDiv w:val="1"/>
      <w:marLeft w:val="0"/>
      <w:marRight w:val="0"/>
      <w:marTop w:val="0"/>
      <w:marBottom w:val="0"/>
      <w:divBdr>
        <w:top w:val="none" w:sz="0" w:space="0" w:color="auto"/>
        <w:left w:val="none" w:sz="0" w:space="0" w:color="auto"/>
        <w:bottom w:val="none" w:sz="0" w:space="0" w:color="auto"/>
        <w:right w:val="none" w:sz="0" w:space="0" w:color="auto"/>
      </w:divBdr>
    </w:div>
    <w:div w:id="638147156">
      <w:bodyDiv w:val="1"/>
      <w:marLeft w:val="0"/>
      <w:marRight w:val="0"/>
      <w:marTop w:val="0"/>
      <w:marBottom w:val="0"/>
      <w:divBdr>
        <w:top w:val="none" w:sz="0" w:space="0" w:color="auto"/>
        <w:left w:val="none" w:sz="0" w:space="0" w:color="auto"/>
        <w:bottom w:val="none" w:sz="0" w:space="0" w:color="auto"/>
        <w:right w:val="none" w:sz="0" w:space="0" w:color="auto"/>
      </w:divBdr>
    </w:div>
    <w:div w:id="834032813">
      <w:bodyDiv w:val="1"/>
      <w:marLeft w:val="0"/>
      <w:marRight w:val="0"/>
      <w:marTop w:val="0"/>
      <w:marBottom w:val="0"/>
      <w:divBdr>
        <w:top w:val="none" w:sz="0" w:space="0" w:color="auto"/>
        <w:left w:val="none" w:sz="0" w:space="0" w:color="auto"/>
        <w:bottom w:val="none" w:sz="0" w:space="0" w:color="auto"/>
        <w:right w:val="none" w:sz="0" w:space="0" w:color="auto"/>
      </w:divBdr>
    </w:div>
    <w:div w:id="952521620">
      <w:bodyDiv w:val="1"/>
      <w:marLeft w:val="0"/>
      <w:marRight w:val="0"/>
      <w:marTop w:val="0"/>
      <w:marBottom w:val="0"/>
      <w:divBdr>
        <w:top w:val="none" w:sz="0" w:space="0" w:color="auto"/>
        <w:left w:val="none" w:sz="0" w:space="0" w:color="auto"/>
        <w:bottom w:val="none" w:sz="0" w:space="0" w:color="auto"/>
        <w:right w:val="none" w:sz="0" w:space="0" w:color="auto"/>
      </w:divBdr>
    </w:div>
    <w:div w:id="1268346148">
      <w:bodyDiv w:val="1"/>
      <w:marLeft w:val="0"/>
      <w:marRight w:val="0"/>
      <w:marTop w:val="0"/>
      <w:marBottom w:val="0"/>
      <w:divBdr>
        <w:top w:val="none" w:sz="0" w:space="0" w:color="auto"/>
        <w:left w:val="none" w:sz="0" w:space="0" w:color="auto"/>
        <w:bottom w:val="none" w:sz="0" w:space="0" w:color="auto"/>
        <w:right w:val="none" w:sz="0" w:space="0" w:color="auto"/>
      </w:divBdr>
    </w:div>
    <w:div w:id="1480806787">
      <w:bodyDiv w:val="1"/>
      <w:marLeft w:val="0"/>
      <w:marRight w:val="0"/>
      <w:marTop w:val="0"/>
      <w:marBottom w:val="0"/>
      <w:divBdr>
        <w:top w:val="none" w:sz="0" w:space="0" w:color="auto"/>
        <w:left w:val="none" w:sz="0" w:space="0" w:color="auto"/>
        <w:bottom w:val="none" w:sz="0" w:space="0" w:color="auto"/>
        <w:right w:val="none" w:sz="0" w:space="0" w:color="auto"/>
      </w:divBdr>
      <w:divsChild>
        <w:div w:id="1161115414">
          <w:marLeft w:val="720"/>
          <w:marRight w:val="0"/>
          <w:marTop w:val="200"/>
          <w:marBottom w:val="0"/>
          <w:divBdr>
            <w:top w:val="none" w:sz="0" w:space="0" w:color="auto"/>
            <w:left w:val="none" w:sz="0" w:space="0" w:color="auto"/>
            <w:bottom w:val="none" w:sz="0" w:space="0" w:color="auto"/>
            <w:right w:val="none" w:sz="0" w:space="0" w:color="auto"/>
          </w:divBdr>
        </w:div>
      </w:divsChild>
    </w:div>
    <w:div w:id="199302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lus-lexis-com.ezproxy.uwtsd.ac.uk/api/document/collection/cases-uk/id/4FXH-FF20-TWW4-21NN-00000-00?cite=Chappell%20%26%20Co%20Ltd%20v%20Nestl%C3%A9%20Co%20Ltd%2C%20%5B1960%5D%20AC%2087%2C%20%5B1959%5D%202%20All%20ER%20701%2C%20%5B1959%5D%203%20WLR%20168%2C%20103%20Sol%20Jo%20561&amp;context=1001073&amp;identityprofileid=R6VFST67341" TargetMode="External"/><Relationship Id="rId18" Type="http://schemas.openxmlformats.org/officeDocument/2006/relationships/hyperlink" Target="https://plus-lexis-com.ezproxy.uwtsd.ac.uk/api/document/collection/cases-uk/id/4FXM-P210-TWW4-212C-00000-00?cite=White%20v%20Bluett%2C%20(1853)%2023%20LJ%20Ex%2036%2C%202%20WR%2075%2C%202%20CLR%20301%2C%2022%20LTOS%20123&amp;context=1001073&amp;identityprofileid=R6VFST6734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plus-lexis-com.ezproxy.uwtsd.ac.uk/api/document/collection/cases-uk/id/4FP2-11N0-TWW4-20MX-00000-00?cite=Carlill%20v%20Carbolic%20Smoke%20Ball%20Co%2C%20%5B1893%5D%201%20QB%20256%2C%2057%20JP%20325%2C%2062%20LJQB%20257%2C%204%20R%20176%2C%2041%20WR%20210%2C%20%5B1891-94%5D%20All%20ER%20Rep%20127%2C%2067%20LT%20837%2C%209%20TLR%20124&amp;context=1001073&amp;identityprofileid=R6VFST67341" TargetMode="External"/><Relationship Id="rId17" Type="http://schemas.openxmlformats.org/officeDocument/2006/relationships/hyperlink" Target="https://plus-lexis-com.ezproxy.uwtsd.ac.uk/api/document/collection/cases-uk/id/4FXN-0M20-TWW4-20P1-00000-00?cite=Thomas%20v%20Thomas%2C%20(1842)%202%20QB%20851%2C%2011%20LJQB%20104%2C%202%20Gal%20%26%202%20Gal%20%26%20Dav%20226%2C%206%20Jur%20645%2C%20114%20ER%20330&amp;context=1001073&amp;identityprofileid=R6VFST67341" TargetMode="External"/><Relationship Id="rId2" Type="http://schemas.openxmlformats.org/officeDocument/2006/relationships/customXml" Target="../customXml/item2.xml"/><Relationship Id="rId16" Type="http://schemas.openxmlformats.org/officeDocument/2006/relationships/hyperlink" Target="https://plus-lexis-com.ezproxy.uwtsd.ac.uk/api/document/collection/cases-uk/id/4FXN-C8R0-TWW4-20GC-00000-00?cite=Shadwell%20v%20Shadwell%2C%20(1859)%206%20CBNS%20679%2C%2028%20LJCP%20315%2C%205%20Jur%20NS%201410%2C%20141%20ER%20618&amp;context=1001073&amp;identityprofileid=R6VFST6734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lexis-com.ezproxy.uwtsd.ac.uk/api/document/collection/cases-uk/id/4FXH-FDG0-TWW4-201C-00000-00?cite=Boulton%20v%20Jones%20%2C%20(1857)%202%20H%20%26%20N%20564%2C%2027%20LJ%20Ex%20117%2C%203%20Jur%20NS%201156%2C%206%20WR%20107%2C%20157%20ER%20232%2C%2030%20LTOS%20188&amp;context=1001073&amp;identityprofileid=R6VFST67341" TargetMode="External"/><Relationship Id="rId5" Type="http://schemas.openxmlformats.org/officeDocument/2006/relationships/settings" Target="settings.xml"/><Relationship Id="rId15" Type="http://schemas.openxmlformats.org/officeDocument/2006/relationships/hyperlink" Target="https://courtroomcast.lexisnexis.com/acf_cases/8950-eastern-air-lines-inc-v-gulf-oil-corporation"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lus-lexis-com.ezproxy.uwtsd.ac.uk/api/document/collection/cases-uk/id/4FXN-5N60-TWW4-21HC-00000-00?cite=Currie%20v%20Misa%2C%20(1875)%20LR%2010%20Exch%20153%2C%2044%20LJ%20Ex%2094%2C%2023%20WR%20450&amp;context=1001073&amp;identityprofileid=R6VFST6734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5A67E5902A482B84B8E5F5A30896E4"/>
        <w:category>
          <w:name w:val="General"/>
          <w:gallery w:val="placeholder"/>
        </w:category>
        <w:types>
          <w:type w:val="bbPlcHdr"/>
        </w:types>
        <w:behaviors>
          <w:behavior w:val="content"/>
        </w:behaviors>
        <w:guid w:val="{49490238-AE23-4EE4-AA1E-A39B27E2E882}"/>
      </w:docPartPr>
      <w:docPartBody>
        <w:p w:rsidR="00FB7109" w:rsidRDefault="00F05ECB" w:rsidP="00F05ECB">
          <w:pPr>
            <w:pStyle w:val="C25A67E5902A482B84B8E5F5A30896E4"/>
          </w:pPr>
          <w:r>
            <w:rPr>
              <w:rFonts w:asciiTheme="majorHAnsi" w:eastAsiaTheme="majorEastAsia" w:hAnsiTheme="majorHAnsi" w:cstheme="majorBidi"/>
              <w:caps/>
              <w:color w:val="4472C4" w:themeColor="accent1"/>
              <w:sz w:val="80"/>
              <w:szCs w:val="80"/>
              <w:lang w:val="en-GB"/>
            </w:rPr>
            <w:t>[Document title]</w:t>
          </w:r>
        </w:p>
      </w:docPartBody>
    </w:docPart>
    <w:docPart>
      <w:docPartPr>
        <w:name w:val="6E82527F0D5F4F5C809A29C3D5F9C937"/>
        <w:category>
          <w:name w:val="General"/>
          <w:gallery w:val="placeholder"/>
        </w:category>
        <w:types>
          <w:type w:val="bbPlcHdr"/>
        </w:types>
        <w:behaviors>
          <w:behavior w:val="content"/>
        </w:behaviors>
        <w:guid w:val="{4CEA3DAB-2375-436C-94BD-08B4AAA0B6DE}"/>
      </w:docPartPr>
      <w:docPartBody>
        <w:p w:rsidR="00FB7109" w:rsidRDefault="00F05ECB" w:rsidP="00F05ECB">
          <w:pPr>
            <w:pStyle w:val="6E82527F0D5F4F5C809A29C3D5F9C937"/>
          </w:pPr>
          <w:r>
            <w:rPr>
              <w:color w:val="4472C4"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CB"/>
    <w:rsid w:val="00043E36"/>
    <w:rsid w:val="00644B7C"/>
    <w:rsid w:val="00694D19"/>
    <w:rsid w:val="008013EC"/>
    <w:rsid w:val="00A97492"/>
    <w:rsid w:val="00E723AD"/>
    <w:rsid w:val="00F05ECB"/>
    <w:rsid w:val="00FB71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5A67E5902A482B84B8E5F5A30896E4">
    <w:name w:val="C25A67E5902A482B84B8E5F5A30896E4"/>
    <w:rsid w:val="00F05ECB"/>
    <w:pPr>
      <w:widowControl w:val="0"/>
    </w:pPr>
  </w:style>
  <w:style w:type="paragraph" w:customStyle="1" w:styleId="6E82527F0D5F4F5C809A29C3D5F9C937">
    <w:name w:val="6E82527F0D5F4F5C809A29C3D5F9C937"/>
    <w:rsid w:val="00F05ECB"/>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4C1A08-B353-4DA7-A7E3-D9675B608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5388</TotalTime>
  <Pages>9</Pages>
  <Words>6651</Words>
  <Characters>38311</Characters>
  <Application>Microsoft Office Word</Application>
  <DocSecurity>0</DocSecurity>
  <Lines>589</Lines>
  <Paragraphs>156</Paragraphs>
  <ScaleCrop>false</ScaleCrop>
  <HeadingPairs>
    <vt:vector size="2" baseType="variant">
      <vt:variant>
        <vt:lpstr>Title</vt:lpstr>
      </vt:variant>
      <vt:variant>
        <vt:i4>1</vt:i4>
      </vt:variant>
    </vt:vector>
  </HeadingPairs>
  <TitlesOfParts>
    <vt:vector size="1" baseType="lpstr">
      <vt:lpstr>the role of consideration in Contract Law</vt:lpstr>
    </vt:vector>
  </TitlesOfParts>
  <Company/>
  <LinksUpToDate>false</LinksUpToDate>
  <CharactersWithSpaces>44806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consideration in Contract Law</dc:title>
  <dc:subject>Jiaying He</dc:subject>
  <dc:creator>JIAYING HE</dc:creator>
  <cp:keywords/>
  <dc:description/>
  <cp:lastModifiedBy>JIAYING HE</cp:lastModifiedBy>
  <cp:revision>42</cp:revision>
  <dcterms:created xsi:type="dcterms:W3CDTF">2024-02-12T19:55:00Z</dcterms:created>
  <dcterms:modified xsi:type="dcterms:W3CDTF">2024-03-13T20:56:00Z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268b6c655d43ceb1ce2b9622404e38dd16f901e0ce288d4f455d474b150f9704</vt:lpwstr>
  </property>
  <property fmtid="{D5CDD505-2E9C-101B-9397-08002B2CF9AE}" pid="3" name="ZOTERO_PREF_1">
    <vt:lpwstr>&lt;data data-version="3" zotero-version="6.0.35"&gt;&lt;session id="IMz8kmWh"/&gt;&lt;style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