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B0F3D" w14:textId="0013FF4E" w:rsidR="009B0BA5" w:rsidRPr="006D055B" w:rsidRDefault="009B0BA5" w:rsidP="009B0BA5">
      <w:pPr>
        <w:spacing w:line="360" w:lineRule="auto"/>
        <w:jc w:val="center"/>
        <w:rPr>
          <w:rFonts w:cs="Arial"/>
          <w:b/>
          <w:bCs/>
        </w:rPr>
      </w:pPr>
    </w:p>
    <w:p w14:paraId="033450EF" w14:textId="77777777" w:rsidR="00737604" w:rsidRPr="006D055B" w:rsidRDefault="002736A7" w:rsidP="00737604">
      <w:pPr>
        <w:jc w:val="center"/>
        <w:rPr>
          <w:rFonts w:cs="Arial"/>
        </w:rPr>
      </w:pPr>
      <w:r w:rsidRPr="006D055B">
        <w:rPr>
          <w:rFonts w:cs="Arial"/>
          <w:noProof/>
        </w:rPr>
        <w:drawing>
          <wp:inline distT="0" distB="0" distL="0" distR="0" wp14:anchorId="45082E60" wp14:editId="65E7F82F">
            <wp:extent cx="3381375" cy="1352550"/>
            <wp:effectExtent l="0" t="0" r="9525" b="0"/>
            <wp:docPr id="2114911125" name="Picture 1" descr="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Trinity Saint Davi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381375" cy="1352550"/>
                    </a:xfrm>
                    <a:prstGeom prst="rect">
                      <a:avLst/>
                    </a:prstGeom>
                    <a:noFill/>
                  </pic:spPr>
                </pic:pic>
              </a:graphicData>
            </a:graphic>
          </wp:inline>
        </w:drawing>
      </w:r>
    </w:p>
    <w:p w14:paraId="09119607" w14:textId="77777777" w:rsidR="00737604" w:rsidRPr="006D055B" w:rsidRDefault="00737604" w:rsidP="00737604">
      <w:pPr>
        <w:rPr>
          <w:rFonts w:cs="Arial"/>
        </w:rPr>
      </w:pPr>
    </w:p>
    <w:p w14:paraId="02B5482C" w14:textId="00AAFC17" w:rsidR="00737604" w:rsidRDefault="002736A7" w:rsidP="00737604">
      <w:pPr>
        <w:jc w:val="center"/>
        <w:rPr>
          <w:rFonts w:cs="Arial"/>
          <w:b/>
          <w:bCs/>
          <w:sz w:val="28"/>
          <w:szCs w:val="28"/>
        </w:rPr>
      </w:pPr>
      <w:r w:rsidRPr="006D055B">
        <w:rPr>
          <w:rFonts w:cs="Arial"/>
          <w:b/>
          <w:bCs/>
          <w:sz w:val="28"/>
          <w:szCs w:val="28"/>
        </w:rPr>
        <w:t xml:space="preserve">Student </w:t>
      </w:r>
      <w:proofErr w:type="spellStart"/>
      <w:proofErr w:type="gramStart"/>
      <w:r w:rsidRPr="006D055B">
        <w:rPr>
          <w:rFonts w:cs="Arial"/>
          <w:b/>
          <w:bCs/>
          <w:sz w:val="28"/>
          <w:szCs w:val="28"/>
        </w:rPr>
        <w:t>Name:</w:t>
      </w:r>
      <w:r w:rsidR="005D51BF">
        <w:rPr>
          <w:rFonts w:cs="Arial"/>
          <w:b/>
          <w:bCs/>
          <w:sz w:val="28"/>
          <w:szCs w:val="28"/>
        </w:rPr>
        <w:t>DHRUPALSINH</w:t>
      </w:r>
      <w:proofErr w:type="spellEnd"/>
      <w:proofErr w:type="gramEnd"/>
      <w:r w:rsidR="005D51BF">
        <w:rPr>
          <w:rFonts w:cs="Arial"/>
          <w:b/>
          <w:bCs/>
          <w:sz w:val="28"/>
          <w:szCs w:val="28"/>
        </w:rPr>
        <w:t xml:space="preserve"> VIJAYSINH GOHEL</w:t>
      </w:r>
    </w:p>
    <w:p w14:paraId="7ACA3F9B" w14:textId="77777777" w:rsidR="005D51BF" w:rsidRPr="006D055B" w:rsidRDefault="005D51BF" w:rsidP="00737604">
      <w:pPr>
        <w:jc w:val="center"/>
        <w:rPr>
          <w:rFonts w:cs="Arial"/>
          <w:b/>
          <w:bCs/>
          <w:sz w:val="28"/>
          <w:szCs w:val="28"/>
        </w:rPr>
      </w:pPr>
    </w:p>
    <w:p w14:paraId="7F9E7EF8" w14:textId="27B08D27" w:rsidR="00737604" w:rsidRDefault="002736A7" w:rsidP="00737604">
      <w:pPr>
        <w:jc w:val="center"/>
        <w:rPr>
          <w:rFonts w:cs="Arial"/>
          <w:b/>
          <w:bCs/>
          <w:sz w:val="28"/>
          <w:szCs w:val="28"/>
        </w:rPr>
      </w:pPr>
      <w:r w:rsidRPr="006D055B">
        <w:rPr>
          <w:rFonts w:cs="Arial"/>
          <w:b/>
          <w:bCs/>
          <w:sz w:val="28"/>
          <w:szCs w:val="28"/>
        </w:rPr>
        <w:t>Student ID:</w:t>
      </w:r>
      <w:r w:rsidR="005D51BF">
        <w:rPr>
          <w:rFonts w:cs="Arial"/>
          <w:b/>
          <w:bCs/>
          <w:sz w:val="28"/>
          <w:szCs w:val="28"/>
        </w:rPr>
        <w:t>2541188</w:t>
      </w:r>
    </w:p>
    <w:p w14:paraId="119023C9" w14:textId="77777777" w:rsidR="005D51BF" w:rsidRPr="006D055B" w:rsidRDefault="005D51BF" w:rsidP="00737604">
      <w:pPr>
        <w:jc w:val="center"/>
        <w:rPr>
          <w:rFonts w:cs="Arial"/>
          <w:b/>
          <w:bCs/>
          <w:sz w:val="28"/>
          <w:szCs w:val="28"/>
        </w:rPr>
      </w:pPr>
    </w:p>
    <w:p w14:paraId="7E79DFAC" w14:textId="489BC805" w:rsidR="00737604" w:rsidRDefault="002736A7" w:rsidP="00737604">
      <w:pPr>
        <w:jc w:val="center"/>
        <w:rPr>
          <w:rFonts w:cs="Arial"/>
          <w:b/>
          <w:bCs/>
          <w:sz w:val="28"/>
          <w:szCs w:val="28"/>
        </w:rPr>
      </w:pPr>
      <w:r w:rsidRPr="006D055B">
        <w:rPr>
          <w:rFonts w:cs="Arial"/>
          <w:b/>
          <w:bCs/>
          <w:sz w:val="28"/>
          <w:szCs w:val="28"/>
        </w:rPr>
        <w:t>Module Name: Marketing Management</w:t>
      </w:r>
    </w:p>
    <w:p w14:paraId="312C170C" w14:textId="77777777" w:rsidR="005D51BF" w:rsidRPr="006D055B" w:rsidRDefault="005D51BF" w:rsidP="00737604">
      <w:pPr>
        <w:jc w:val="center"/>
        <w:rPr>
          <w:rFonts w:cs="Arial"/>
          <w:b/>
          <w:bCs/>
          <w:sz w:val="28"/>
          <w:szCs w:val="28"/>
        </w:rPr>
      </w:pPr>
    </w:p>
    <w:p w14:paraId="2486B502" w14:textId="77777777" w:rsidR="00737604" w:rsidRDefault="002736A7" w:rsidP="00737604">
      <w:pPr>
        <w:jc w:val="center"/>
        <w:rPr>
          <w:rFonts w:cs="Arial"/>
          <w:b/>
          <w:bCs/>
          <w:sz w:val="28"/>
          <w:szCs w:val="28"/>
        </w:rPr>
      </w:pPr>
      <w:r w:rsidRPr="006D055B">
        <w:rPr>
          <w:rFonts w:cs="Arial"/>
          <w:b/>
          <w:bCs/>
          <w:sz w:val="28"/>
          <w:szCs w:val="28"/>
        </w:rPr>
        <w:t>Module Code: LCMB7024</w:t>
      </w:r>
    </w:p>
    <w:p w14:paraId="6E560B2E" w14:textId="77777777" w:rsidR="005D51BF" w:rsidRDefault="005D51BF" w:rsidP="00737604">
      <w:pPr>
        <w:jc w:val="center"/>
        <w:rPr>
          <w:rFonts w:cs="Arial"/>
          <w:b/>
          <w:bCs/>
          <w:sz w:val="28"/>
          <w:szCs w:val="28"/>
        </w:rPr>
      </w:pPr>
    </w:p>
    <w:p w14:paraId="0CF88E1D" w14:textId="16EAA668" w:rsidR="00737604" w:rsidRDefault="002736A7" w:rsidP="005D51BF">
      <w:pPr>
        <w:jc w:val="center"/>
        <w:rPr>
          <w:rFonts w:cs="Arial"/>
          <w:b/>
          <w:bCs/>
          <w:sz w:val="28"/>
          <w:szCs w:val="28"/>
        </w:rPr>
      </w:pPr>
      <w:r w:rsidRPr="006D055B">
        <w:rPr>
          <w:rFonts w:cs="Arial"/>
          <w:b/>
          <w:bCs/>
          <w:sz w:val="28"/>
          <w:szCs w:val="28"/>
        </w:rPr>
        <w:t xml:space="preserve">Lecturer’s </w:t>
      </w:r>
      <w:proofErr w:type="gramStart"/>
      <w:r w:rsidRPr="006D055B">
        <w:rPr>
          <w:rFonts w:cs="Arial"/>
          <w:b/>
          <w:bCs/>
          <w:sz w:val="28"/>
          <w:szCs w:val="28"/>
        </w:rPr>
        <w:t>Name:</w:t>
      </w:r>
      <w:r w:rsidR="005D51BF">
        <w:rPr>
          <w:rFonts w:cs="Arial"/>
          <w:b/>
          <w:bCs/>
          <w:sz w:val="28"/>
          <w:szCs w:val="28"/>
        </w:rPr>
        <w:t>Tushara</w:t>
      </w:r>
      <w:proofErr w:type="gramEnd"/>
      <w:r w:rsidR="005D51BF">
        <w:rPr>
          <w:rFonts w:cs="Arial"/>
          <w:b/>
          <w:bCs/>
          <w:sz w:val="28"/>
          <w:szCs w:val="28"/>
        </w:rPr>
        <w:t xml:space="preserve"> </w:t>
      </w:r>
      <w:proofErr w:type="spellStart"/>
      <w:r w:rsidR="005D51BF">
        <w:rPr>
          <w:rFonts w:cs="Arial"/>
          <w:b/>
          <w:bCs/>
          <w:sz w:val="28"/>
          <w:szCs w:val="28"/>
        </w:rPr>
        <w:t>Balendran</w:t>
      </w:r>
      <w:proofErr w:type="spellEnd"/>
    </w:p>
    <w:p w14:paraId="3E12863E" w14:textId="77777777" w:rsidR="005D51BF" w:rsidRDefault="005D51BF" w:rsidP="005D51BF">
      <w:pPr>
        <w:jc w:val="center"/>
        <w:rPr>
          <w:rFonts w:cs="Arial"/>
          <w:b/>
          <w:bCs/>
          <w:sz w:val="28"/>
          <w:szCs w:val="28"/>
        </w:rPr>
      </w:pPr>
    </w:p>
    <w:p w14:paraId="36709DF7" w14:textId="1A1AF220" w:rsidR="00737604" w:rsidRDefault="005D51BF" w:rsidP="005D51BF">
      <w:pPr>
        <w:jc w:val="center"/>
        <w:rPr>
          <w:rFonts w:cs="Arial"/>
          <w:b/>
          <w:bCs/>
          <w:sz w:val="28"/>
          <w:szCs w:val="28"/>
        </w:rPr>
      </w:pPr>
      <w:r>
        <w:rPr>
          <w:rFonts w:cs="Arial"/>
          <w:b/>
          <w:bCs/>
          <w:sz w:val="28"/>
          <w:szCs w:val="28"/>
        </w:rPr>
        <w:t>Submission date:22/07/2026</w:t>
      </w:r>
    </w:p>
    <w:p w14:paraId="1FAF032F" w14:textId="77777777" w:rsidR="005D51BF" w:rsidRPr="006D055B" w:rsidRDefault="005D51BF" w:rsidP="005D51BF">
      <w:pPr>
        <w:jc w:val="center"/>
        <w:rPr>
          <w:rFonts w:cs="Arial"/>
          <w:b/>
          <w:bCs/>
          <w:sz w:val="28"/>
          <w:szCs w:val="28"/>
        </w:rPr>
      </w:pPr>
    </w:p>
    <w:p w14:paraId="1968E5BF" w14:textId="7F07A636" w:rsidR="00737604" w:rsidRPr="006D055B" w:rsidRDefault="002736A7" w:rsidP="00737604">
      <w:pPr>
        <w:jc w:val="center"/>
        <w:rPr>
          <w:rFonts w:cs="Arial"/>
          <w:b/>
          <w:bCs/>
          <w:sz w:val="28"/>
          <w:szCs w:val="28"/>
        </w:rPr>
      </w:pPr>
      <w:r w:rsidRPr="006D055B">
        <w:rPr>
          <w:rFonts w:cs="Arial"/>
          <w:b/>
          <w:bCs/>
          <w:sz w:val="28"/>
          <w:szCs w:val="28"/>
        </w:rPr>
        <w:t>Word Count:</w:t>
      </w:r>
      <w:r w:rsidR="00356F38" w:rsidRPr="006D055B">
        <w:rPr>
          <w:rFonts w:cs="Arial"/>
          <w:b/>
          <w:bCs/>
          <w:sz w:val="28"/>
          <w:szCs w:val="28"/>
        </w:rPr>
        <w:t xml:space="preserve"> 26</w:t>
      </w:r>
      <w:r w:rsidR="00A9597F" w:rsidRPr="006D055B">
        <w:rPr>
          <w:rFonts w:cs="Arial"/>
          <w:b/>
          <w:bCs/>
          <w:sz w:val="28"/>
          <w:szCs w:val="28"/>
        </w:rPr>
        <w:t>97</w:t>
      </w:r>
    </w:p>
    <w:p w14:paraId="6842A222" w14:textId="77777777" w:rsidR="00737604" w:rsidRPr="006D055B" w:rsidRDefault="00737604" w:rsidP="00737604">
      <w:pPr>
        <w:rPr>
          <w:rFonts w:cs="Arial"/>
          <w:b/>
          <w:bCs/>
          <w:sz w:val="28"/>
          <w:szCs w:val="28"/>
        </w:rPr>
      </w:pPr>
    </w:p>
    <w:p w14:paraId="5F52D2B5" w14:textId="77777777" w:rsidR="00737604" w:rsidRPr="006D055B" w:rsidRDefault="002736A7" w:rsidP="00737604">
      <w:pPr>
        <w:jc w:val="center"/>
        <w:rPr>
          <w:rFonts w:cs="Arial"/>
          <w:b/>
          <w:bCs/>
          <w:sz w:val="28"/>
          <w:szCs w:val="28"/>
        </w:rPr>
      </w:pPr>
      <w:r w:rsidRPr="006D055B">
        <w:rPr>
          <w:rFonts w:cs="Arial"/>
          <w:b/>
          <w:bCs/>
          <w:sz w:val="28"/>
          <w:szCs w:val="28"/>
        </w:rPr>
        <w:t>Term 1</w:t>
      </w:r>
    </w:p>
    <w:p w14:paraId="076A5A3A" w14:textId="77777777" w:rsidR="009B0BA5" w:rsidRPr="006D055B" w:rsidRDefault="009B0BA5" w:rsidP="009B0BA5">
      <w:pPr>
        <w:spacing w:line="360" w:lineRule="auto"/>
        <w:jc w:val="center"/>
        <w:rPr>
          <w:rFonts w:cs="Arial"/>
        </w:rPr>
      </w:pPr>
    </w:p>
    <w:p w14:paraId="161408D6" w14:textId="77777777" w:rsidR="009B0BA5" w:rsidRPr="006D055B" w:rsidRDefault="009B0BA5" w:rsidP="009B0BA5">
      <w:pPr>
        <w:spacing w:line="360" w:lineRule="auto"/>
        <w:jc w:val="center"/>
        <w:rPr>
          <w:rFonts w:cs="Arial"/>
        </w:rPr>
      </w:pPr>
    </w:p>
    <w:p w14:paraId="19A3C233" w14:textId="77777777" w:rsidR="009B0BA5" w:rsidRPr="006D055B" w:rsidRDefault="009B0BA5" w:rsidP="009B0BA5">
      <w:pPr>
        <w:spacing w:line="360" w:lineRule="auto"/>
        <w:jc w:val="center"/>
        <w:rPr>
          <w:rFonts w:cs="Arial"/>
        </w:rPr>
      </w:pPr>
    </w:p>
    <w:p w14:paraId="3A5DEACE" w14:textId="77777777" w:rsidR="009B0BA5" w:rsidRPr="006D055B" w:rsidRDefault="009B0BA5" w:rsidP="009B0BA5">
      <w:pPr>
        <w:spacing w:line="360" w:lineRule="auto"/>
        <w:jc w:val="center"/>
        <w:rPr>
          <w:rFonts w:cs="Arial"/>
        </w:rPr>
      </w:pPr>
    </w:p>
    <w:p w14:paraId="4005B73B" w14:textId="77777777" w:rsidR="009B0BA5" w:rsidRPr="006D055B" w:rsidRDefault="009B0BA5" w:rsidP="009B0BA5">
      <w:pPr>
        <w:spacing w:line="360" w:lineRule="auto"/>
        <w:jc w:val="both"/>
        <w:rPr>
          <w:rFonts w:cs="Arial"/>
        </w:rPr>
      </w:pPr>
    </w:p>
    <w:p w14:paraId="36531678" w14:textId="77777777" w:rsidR="009B0BA5" w:rsidRPr="006D055B" w:rsidRDefault="009B0BA5" w:rsidP="009B0BA5">
      <w:pPr>
        <w:spacing w:line="360" w:lineRule="auto"/>
        <w:jc w:val="both"/>
        <w:rPr>
          <w:rFonts w:cs="Arial"/>
        </w:rPr>
      </w:pPr>
    </w:p>
    <w:p w14:paraId="2C91D0BD" w14:textId="77777777" w:rsidR="009B0BA5" w:rsidRPr="006D055B" w:rsidRDefault="009B0BA5" w:rsidP="009B0BA5">
      <w:pPr>
        <w:spacing w:line="360" w:lineRule="auto"/>
        <w:jc w:val="both"/>
        <w:rPr>
          <w:rFonts w:cs="Arial"/>
        </w:rPr>
      </w:pPr>
    </w:p>
    <w:p w14:paraId="71019FA6" w14:textId="77777777" w:rsidR="009B0BA5" w:rsidRPr="006D055B" w:rsidRDefault="009B0BA5" w:rsidP="009B0BA5">
      <w:pPr>
        <w:spacing w:line="360" w:lineRule="auto"/>
        <w:jc w:val="both"/>
        <w:rPr>
          <w:rFonts w:cs="Arial"/>
        </w:rPr>
      </w:pPr>
    </w:p>
    <w:p w14:paraId="66569DF6" w14:textId="77777777" w:rsidR="009B0BA5" w:rsidRPr="006D055B" w:rsidRDefault="009B0BA5" w:rsidP="009B0BA5">
      <w:pPr>
        <w:spacing w:line="360" w:lineRule="auto"/>
        <w:jc w:val="both"/>
        <w:rPr>
          <w:rFonts w:cs="Arial"/>
        </w:rPr>
      </w:pPr>
    </w:p>
    <w:p w14:paraId="23F6CD8C" w14:textId="77777777" w:rsidR="009B0BA5" w:rsidRPr="006D055B" w:rsidRDefault="009B0BA5" w:rsidP="009B0BA5">
      <w:pPr>
        <w:spacing w:line="360" w:lineRule="auto"/>
        <w:jc w:val="both"/>
        <w:rPr>
          <w:rFonts w:cs="Arial"/>
        </w:rPr>
      </w:pPr>
    </w:p>
    <w:sdt>
      <w:sdtPr>
        <w:rPr>
          <w:rFonts w:ascii="Arial" w:eastAsiaTheme="minorHAnsi" w:hAnsi="Arial" w:cstheme="minorBidi"/>
          <w:color w:val="auto"/>
          <w:kern w:val="2"/>
          <w:sz w:val="24"/>
          <w:szCs w:val="22"/>
          <w:lang w:val="en-IN"/>
          <w14:ligatures w14:val="standardContextual"/>
        </w:rPr>
        <w:id w:val="689414535"/>
        <w:docPartObj>
          <w:docPartGallery w:val="Table of Contents"/>
          <w:docPartUnique/>
        </w:docPartObj>
      </w:sdtPr>
      <w:sdtEndPr>
        <w:rPr>
          <w:b/>
          <w:bCs/>
          <w:noProof/>
        </w:rPr>
      </w:sdtEndPr>
      <w:sdtContent>
        <w:p w14:paraId="663325B2" w14:textId="654B4B11" w:rsidR="00ED3C77" w:rsidRPr="006D055B" w:rsidRDefault="00ED3C77" w:rsidP="008F01FF">
          <w:pPr>
            <w:pStyle w:val="TOCHeading"/>
            <w:spacing w:line="360" w:lineRule="auto"/>
            <w:jc w:val="center"/>
            <w:rPr>
              <w:rFonts w:ascii="Arial" w:hAnsi="Arial" w:cs="Arial"/>
              <w:b/>
              <w:bCs/>
              <w:color w:val="auto"/>
              <w:sz w:val="24"/>
              <w:szCs w:val="24"/>
            </w:rPr>
          </w:pPr>
          <w:r w:rsidRPr="006D055B">
            <w:rPr>
              <w:rFonts w:ascii="Arial" w:hAnsi="Arial" w:cs="Arial"/>
              <w:b/>
              <w:bCs/>
              <w:color w:val="auto"/>
              <w:sz w:val="24"/>
              <w:szCs w:val="24"/>
            </w:rPr>
            <w:t>Table of Contents</w:t>
          </w:r>
        </w:p>
        <w:p w14:paraId="75C8EE07" w14:textId="22760E23" w:rsidR="008F01FF" w:rsidRPr="006D055B" w:rsidRDefault="00ED3C77" w:rsidP="008F01FF">
          <w:pPr>
            <w:pStyle w:val="TOC1"/>
            <w:tabs>
              <w:tab w:val="right" w:leader="dot" w:pos="9016"/>
            </w:tabs>
            <w:spacing w:line="360" w:lineRule="auto"/>
            <w:rPr>
              <w:rFonts w:asciiTheme="minorHAnsi" w:eastAsiaTheme="minorEastAsia" w:hAnsiTheme="minorHAnsi"/>
              <w:noProof/>
              <w:szCs w:val="24"/>
              <w:lang w:eastAsia="en-IN"/>
            </w:rPr>
          </w:pPr>
          <w:r w:rsidRPr="006D055B">
            <w:fldChar w:fldCharType="begin"/>
          </w:r>
          <w:r w:rsidRPr="006D055B">
            <w:instrText xml:space="preserve"> TOC \o "1-3" \h \z \u </w:instrText>
          </w:r>
          <w:r w:rsidRPr="006D055B">
            <w:fldChar w:fldCharType="separate"/>
          </w:r>
          <w:hyperlink w:anchor="_Toc235702990" w:history="1">
            <w:r w:rsidR="008F01FF" w:rsidRPr="006D055B">
              <w:rPr>
                <w:rStyle w:val="Hyperlink"/>
                <w:rFonts w:cs="Arial"/>
                <w:bCs/>
                <w:noProof/>
                <w:color w:val="auto"/>
              </w:rPr>
              <w:t>1.0 Task 1: Marketing Environment Analysis</w:t>
            </w:r>
            <w:r w:rsidR="008F01FF" w:rsidRPr="006D055B">
              <w:rPr>
                <w:noProof/>
                <w:webHidden/>
              </w:rPr>
              <w:tab/>
            </w:r>
            <w:r w:rsidR="008F01FF" w:rsidRPr="006D055B">
              <w:rPr>
                <w:noProof/>
                <w:webHidden/>
              </w:rPr>
              <w:fldChar w:fldCharType="begin"/>
            </w:r>
            <w:r w:rsidR="008F01FF" w:rsidRPr="006D055B">
              <w:rPr>
                <w:noProof/>
                <w:webHidden/>
              </w:rPr>
              <w:instrText xml:space="preserve"> PAGEREF _Toc235702990 \h </w:instrText>
            </w:r>
            <w:r w:rsidR="008F01FF" w:rsidRPr="006D055B">
              <w:rPr>
                <w:noProof/>
                <w:webHidden/>
              </w:rPr>
            </w:r>
            <w:r w:rsidR="008F01FF" w:rsidRPr="006D055B">
              <w:rPr>
                <w:noProof/>
                <w:webHidden/>
              </w:rPr>
              <w:fldChar w:fldCharType="separate"/>
            </w:r>
            <w:r w:rsidR="008F01FF" w:rsidRPr="006D055B">
              <w:rPr>
                <w:noProof/>
                <w:webHidden/>
              </w:rPr>
              <w:t>3</w:t>
            </w:r>
            <w:r w:rsidR="008F01FF" w:rsidRPr="006D055B">
              <w:rPr>
                <w:noProof/>
                <w:webHidden/>
              </w:rPr>
              <w:fldChar w:fldCharType="end"/>
            </w:r>
          </w:hyperlink>
        </w:p>
        <w:p w14:paraId="38606DEA" w14:textId="45A87929"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2991" w:history="1">
            <w:r w:rsidRPr="006D055B">
              <w:rPr>
                <w:rStyle w:val="Hyperlink"/>
                <w:noProof/>
                <w:color w:val="auto"/>
                <w:lang w:val="en-GB"/>
              </w:rPr>
              <w:t>1.1 Company Selection and Context</w:t>
            </w:r>
            <w:r w:rsidRPr="006D055B">
              <w:rPr>
                <w:noProof/>
                <w:webHidden/>
              </w:rPr>
              <w:tab/>
            </w:r>
            <w:r w:rsidRPr="006D055B">
              <w:rPr>
                <w:noProof/>
                <w:webHidden/>
              </w:rPr>
              <w:fldChar w:fldCharType="begin"/>
            </w:r>
            <w:r w:rsidRPr="006D055B">
              <w:rPr>
                <w:noProof/>
                <w:webHidden/>
              </w:rPr>
              <w:instrText xml:space="preserve"> PAGEREF _Toc235702991 \h </w:instrText>
            </w:r>
            <w:r w:rsidRPr="006D055B">
              <w:rPr>
                <w:noProof/>
                <w:webHidden/>
              </w:rPr>
            </w:r>
            <w:r w:rsidRPr="006D055B">
              <w:rPr>
                <w:noProof/>
                <w:webHidden/>
              </w:rPr>
              <w:fldChar w:fldCharType="separate"/>
            </w:r>
            <w:r w:rsidRPr="006D055B">
              <w:rPr>
                <w:noProof/>
                <w:webHidden/>
              </w:rPr>
              <w:t>3</w:t>
            </w:r>
            <w:r w:rsidRPr="006D055B">
              <w:rPr>
                <w:noProof/>
                <w:webHidden/>
              </w:rPr>
              <w:fldChar w:fldCharType="end"/>
            </w:r>
          </w:hyperlink>
        </w:p>
        <w:p w14:paraId="66658F16" w14:textId="1B2E92AE"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2992" w:history="1">
            <w:r w:rsidRPr="006D055B">
              <w:rPr>
                <w:rStyle w:val="Hyperlink"/>
                <w:noProof/>
                <w:color w:val="auto"/>
                <w:lang w:val="en-GB"/>
              </w:rPr>
              <w:t>1.2 External Marketing Environment Actor 1: The Natural Environment</w:t>
            </w:r>
            <w:r w:rsidRPr="006D055B">
              <w:rPr>
                <w:noProof/>
                <w:webHidden/>
              </w:rPr>
              <w:tab/>
            </w:r>
            <w:r w:rsidRPr="006D055B">
              <w:rPr>
                <w:noProof/>
                <w:webHidden/>
              </w:rPr>
              <w:fldChar w:fldCharType="begin"/>
            </w:r>
            <w:r w:rsidRPr="006D055B">
              <w:rPr>
                <w:noProof/>
                <w:webHidden/>
              </w:rPr>
              <w:instrText xml:space="preserve"> PAGEREF _Toc235702992 \h </w:instrText>
            </w:r>
            <w:r w:rsidRPr="006D055B">
              <w:rPr>
                <w:noProof/>
                <w:webHidden/>
              </w:rPr>
            </w:r>
            <w:r w:rsidRPr="006D055B">
              <w:rPr>
                <w:noProof/>
                <w:webHidden/>
              </w:rPr>
              <w:fldChar w:fldCharType="separate"/>
            </w:r>
            <w:r w:rsidRPr="006D055B">
              <w:rPr>
                <w:noProof/>
                <w:webHidden/>
              </w:rPr>
              <w:t>3</w:t>
            </w:r>
            <w:r w:rsidRPr="006D055B">
              <w:rPr>
                <w:noProof/>
                <w:webHidden/>
              </w:rPr>
              <w:fldChar w:fldCharType="end"/>
            </w:r>
          </w:hyperlink>
        </w:p>
        <w:p w14:paraId="612F1A1A" w14:textId="6323A8C7"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2993" w:history="1">
            <w:r w:rsidRPr="006D055B">
              <w:rPr>
                <w:rStyle w:val="Hyperlink"/>
                <w:noProof/>
                <w:color w:val="auto"/>
              </w:rPr>
              <w:t>1.3 External Marketing Environment Actor 2: Regulatory factor</w:t>
            </w:r>
            <w:r w:rsidRPr="006D055B">
              <w:rPr>
                <w:noProof/>
                <w:webHidden/>
              </w:rPr>
              <w:tab/>
            </w:r>
            <w:r w:rsidRPr="006D055B">
              <w:rPr>
                <w:noProof/>
                <w:webHidden/>
              </w:rPr>
              <w:fldChar w:fldCharType="begin"/>
            </w:r>
            <w:r w:rsidRPr="006D055B">
              <w:rPr>
                <w:noProof/>
                <w:webHidden/>
              </w:rPr>
              <w:instrText xml:space="preserve"> PAGEREF _Toc235702993 \h </w:instrText>
            </w:r>
            <w:r w:rsidRPr="006D055B">
              <w:rPr>
                <w:noProof/>
                <w:webHidden/>
              </w:rPr>
            </w:r>
            <w:r w:rsidRPr="006D055B">
              <w:rPr>
                <w:noProof/>
                <w:webHidden/>
              </w:rPr>
              <w:fldChar w:fldCharType="separate"/>
            </w:r>
            <w:r w:rsidRPr="006D055B">
              <w:rPr>
                <w:noProof/>
                <w:webHidden/>
              </w:rPr>
              <w:t>4</w:t>
            </w:r>
            <w:r w:rsidRPr="006D055B">
              <w:rPr>
                <w:noProof/>
                <w:webHidden/>
              </w:rPr>
              <w:fldChar w:fldCharType="end"/>
            </w:r>
          </w:hyperlink>
        </w:p>
        <w:p w14:paraId="670952DA" w14:textId="5337F5F8" w:rsidR="008F01FF" w:rsidRPr="006D055B" w:rsidRDefault="008F01FF" w:rsidP="008F01FF">
          <w:pPr>
            <w:pStyle w:val="TOC1"/>
            <w:tabs>
              <w:tab w:val="right" w:leader="dot" w:pos="9016"/>
            </w:tabs>
            <w:spacing w:line="360" w:lineRule="auto"/>
            <w:rPr>
              <w:rFonts w:asciiTheme="minorHAnsi" w:eastAsiaTheme="minorEastAsia" w:hAnsiTheme="minorHAnsi"/>
              <w:noProof/>
              <w:szCs w:val="24"/>
              <w:lang w:eastAsia="en-IN"/>
            </w:rPr>
          </w:pPr>
          <w:hyperlink w:anchor="_Toc235702994" w:history="1">
            <w:r w:rsidRPr="006D055B">
              <w:rPr>
                <w:rStyle w:val="Hyperlink"/>
                <w:noProof/>
                <w:color w:val="auto"/>
                <w:lang w:val="en-GB"/>
              </w:rPr>
              <w:t>2.0 Task 2: Strategic Growth and Competitive Positioning</w:t>
            </w:r>
            <w:r w:rsidRPr="006D055B">
              <w:rPr>
                <w:noProof/>
                <w:webHidden/>
              </w:rPr>
              <w:tab/>
            </w:r>
            <w:r w:rsidRPr="006D055B">
              <w:rPr>
                <w:noProof/>
                <w:webHidden/>
              </w:rPr>
              <w:fldChar w:fldCharType="begin"/>
            </w:r>
            <w:r w:rsidRPr="006D055B">
              <w:rPr>
                <w:noProof/>
                <w:webHidden/>
              </w:rPr>
              <w:instrText xml:space="preserve"> PAGEREF _Toc235702994 \h </w:instrText>
            </w:r>
            <w:r w:rsidRPr="006D055B">
              <w:rPr>
                <w:noProof/>
                <w:webHidden/>
              </w:rPr>
            </w:r>
            <w:r w:rsidRPr="006D055B">
              <w:rPr>
                <w:noProof/>
                <w:webHidden/>
              </w:rPr>
              <w:fldChar w:fldCharType="separate"/>
            </w:r>
            <w:r w:rsidRPr="006D055B">
              <w:rPr>
                <w:noProof/>
                <w:webHidden/>
              </w:rPr>
              <w:t>5</w:t>
            </w:r>
            <w:r w:rsidRPr="006D055B">
              <w:rPr>
                <w:noProof/>
                <w:webHidden/>
              </w:rPr>
              <w:fldChar w:fldCharType="end"/>
            </w:r>
          </w:hyperlink>
        </w:p>
        <w:p w14:paraId="6BBC5540" w14:textId="5AA995FA"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2995" w:history="1">
            <w:r w:rsidRPr="006D055B">
              <w:rPr>
                <w:rStyle w:val="Hyperlink"/>
                <w:noProof/>
                <w:color w:val="auto"/>
                <w:lang w:val="en-GB"/>
              </w:rPr>
              <w:t>2.1 Strategic Growth Recommendation Using the Ansoff Matrix</w:t>
            </w:r>
            <w:r w:rsidRPr="006D055B">
              <w:rPr>
                <w:noProof/>
                <w:webHidden/>
              </w:rPr>
              <w:tab/>
            </w:r>
            <w:r w:rsidRPr="006D055B">
              <w:rPr>
                <w:noProof/>
                <w:webHidden/>
              </w:rPr>
              <w:fldChar w:fldCharType="begin"/>
            </w:r>
            <w:r w:rsidRPr="006D055B">
              <w:rPr>
                <w:noProof/>
                <w:webHidden/>
              </w:rPr>
              <w:instrText xml:space="preserve"> PAGEREF _Toc235702995 \h </w:instrText>
            </w:r>
            <w:r w:rsidRPr="006D055B">
              <w:rPr>
                <w:noProof/>
                <w:webHidden/>
              </w:rPr>
            </w:r>
            <w:r w:rsidRPr="006D055B">
              <w:rPr>
                <w:noProof/>
                <w:webHidden/>
              </w:rPr>
              <w:fldChar w:fldCharType="separate"/>
            </w:r>
            <w:r w:rsidRPr="006D055B">
              <w:rPr>
                <w:noProof/>
                <w:webHidden/>
              </w:rPr>
              <w:t>5</w:t>
            </w:r>
            <w:r w:rsidRPr="006D055B">
              <w:rPr>
                <w:noProof/>
                <w:webHidden/>
              </w:rPr>
              <w:fldChar w:fldCharType="end"/>
            </w:r>
          </w:hyperlink>
        </w:p>
        <w:p w14:paraId="331F7335" w14:textId="04AA4D15"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2996" w:history="1">
            <w:r w:rsidRPr="006D055B">
              <w:rPr>
                <w:rStyle w:val="Hyperlink"/>
                <w:noProof/>
                <w:color w:val="auto"/>
                <w:lang w:val="en-GB"/>
              </w:rPr>
              <w:t>2.2 Competitive Advantage Through a Lower-Carbon Business Model</w:t>
            </w:r>
            <w:r w:rsidRPr="006D055B">
              <w:rPr>
                <w:noProof/>
                <w:webHidden/>
              </w:rPr>
              <w:tab/>
            </w:r>
            <w:r w:rsidRPr="006D055B">
              <w:rPr>
                <w:noProof/>
                <w:webHidden/>
              </w:rPr>
              <w:fldChar w:fldCharType="begin"/>
            </w:r>
            <w:r w:rsidRPr="006D055B">
              <w:rPr>
                <w:noProof/>
                <w:webHidden/>
              </w:rPr>
              <w:instrText xml:space="preserve"> PAGEREF _Toc235702996 \h </w:instrText>
            </w:r>
            <w:r w:rsidRPr="006D055B">
              <w:rPr>
                <w:noProof/>
                <w:webHidden/>
              </w:rPr>
            </w:r>
            <w:r w:rsidRPr="006D055B">
              <w:rPr>
                <w:noProof/>
                <w:webHidden/>
              </w:rPr>
              <w:fldChar w:fldCharType="separate"/>
            </w:r>
            <w:r w:rsidRPr="006D055B">
              <w:rPr>
                <w:noProof/>
                <w:webHidden/>
              </w:rPr>
              <w:t>7</w:t>
            </w:r>
            <w:r w:rsidRPr="006D055B">
              <w:rPr>
                <w:noProof/>
                <w:webHidden/>
              </w:rPr>
              <w:fldChar w:fldCharType="end"/>
            </w:r>
          </w:hyperlink>
        </w:p>
        <w:p w14:paraId="589394F0" w14:textId="231F15E5" w:rsidR="008F01FF" w:rsidRPr="006D055B" w:rsidRDefault="008F01FF" w:rsidP="008F01FF">
          <w:pPr>
            <w:pStyle w:val="TOC1"/>
            <w:tabs>
              <w:tab w:val="right" w:leader="dot" w:pos="9016"/>
            </w:tabs>
            <w:spacing w:line="360" w:lineRule="auto"/>
            <w:rPr>
              <w:rFonts w:asciiTheme="minorHAnsi" w:eastAsiaTheme="minorEastAsia" w:hAnsiTheme="minorHAnsi"/>
              <w:noProof/>
              <w:szCs w:val="24"/>
              <w:lang w:eastAsia="en-IN"/>
            </w:rPr>
          </w:pPr>
          <w:hyperlink w:anchor="_Toc235702997" w:history="1">
            <w:r w:rsidRPr="006D055B">
              <w:rPr>
                <w:rStyle w:val="Hyperlink"/>
                <w:rFonts w:cs="Arial"/>
                <w:noProof/>
                <w:color w:val="auto"/>
              </w:rPr>
              <w:t>3.0 Task 3: Critical Reflection on AI Usage</w:t>
            </w:r>
            <w:r w:rsidRPr="006D055B">
              <w:rPr>
                <w:noProof/>
                <w:webHidden/>
              </w:rPr>
              <w:tab/>
            </w:r>
            <w:r w:rsidRPr="006D055B">
              <w:rPr>
                <w:noProof/>
                <w:webHidden/>
              </w:rPr>
              <w:fldChar w:fldCharType="begin"/>
            </w:r>
            <w:r w:rsidRPr="006D055B">
              <w:rPr>
                <w:noProof/>
                <w:webHidden/>
              </w:rPr>
              <w:instrText xml:space="preserve"> PAGEREF _Toc235702997 \h </w:instrText>
            </w:r>
            <w:r w:rsidRPr="006D055B">
              <w:rPr>
                <w:noProof/>
                <w:webHidden/>
              </w:rPr>
            </w:r>
            <w:r w:rsidRPr="006D055B">
              <w:rPr>
                <w:noProof/>
                <w:webHidden/>
              </w:rPr>
              <w:fldChar w:fldCharType="separate"/>
            </w:r>
            <w:r w:rsidRPr="006D055B">
              <w:rPr>
                <w:noProof/>
                <w:webHidden/>
              </w:rPr>
              <w:t>9</w:t>
            </w:r>
            <w:r w:rsidRPr="006D055B">
              <w:rPr>
                <w:noProof/>
                <w:webHidden/>
              </w:rPr>
              <w:fldChar w:fldCharType="end"/>
            </w:r>
          </w:hyperlink>
        </w:p>
        <w:p w14:paraId="30C5AF7A" w14:textId="28E909B5"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2998" w:history="1">
            <w:r w:rsidRPr="006D055B">
              <w:rPr>
                <w:rStyle w:val="Hyperlink"/>
                <w:rFonts w:cs="Arial"/>
                <w:noProof/>
                <w:color w:val="auto"/>
              </w:rPr>
              <w:t>3.1 Tool Disclosure</w:t>
            </w:r>
            <w:r w:rsidRPr="006D055B">
              <w:rPr>
                <w:noProof/>
                <w:webHidden/>
              </w:rPr>
              <w:tab/>
            </w:r>
            <w:r w:rsidRPr="006D055B">
              <w:rPr>
                <w:noProof/>
                <w:webHidden/>
              </w:rPr>
              <w:fldChar w:fldCharType="begin"/>
            </w:r>
            <w:r w:rsidRPr="006D055B">
              <w:rPr>
                <w:noProof/>
                <w:webHidden/>
              </w:rPr>
              <w:instrText xml:space="preserve"> PAGEREF _Toc235702998 \h </w:instrText>
            </w:r>
            <w:r w:rsidRPr="006D055B">
              <w:rPr>
                <w:noProof/>
                <w:webHidden/>
              </w:rPr>
            </w:r>
            <w:r w:rsidRPr="006D055B">
              <w:rPr>
                <w:noProof/>
                <w:webHidden/>
              </w:rPr>
              <w:fldChar w:fldCharType="separate"/>
            </w:r>
            <w:r w:rsidRPr="006D055B">
              <w:rPr>
                <w:noProof/>
                <w:webHidden/>
              </w:rPr>
              <w:t>9</w:t>
            </w:r>
            <w:r w:rsidRPr="006D055B">
              <w:rPr>
                <w:noProof/>
                <w:webHidden/>
              </w:rPr>
              <w:fldChar w:fldCharType="end"/>
            </w:r>
          </w:hyperlink>
        </w:p>
        <w:p w14:paraId="2AE9B190" w14:textId="4456D747"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2999" w:history="1">
            <w:r w:rsidRPr="006D055B">
              <w:rPr>
                <w:rStyle w:val="Hyperlink"/>
                <w:rFonts w:cs="Arial"/>
                <w:noProof/>
                <w:color w:val="auto"/>
              </w:rPr>
              <w:t>3.2 Critical Evaluation of AI Output</w:t>
            </w:r>
            <w:r w:rsidRPr="006D055B">
              <w:rPr>
                <w:noProof/>
                <w:webHidden/>
              </w:rPr>
              <w:tab/>
            </w:r>
            <w:r w:rsidRPr="006D055B">
              <w:rPr>
                <w:noProof/>
                <w:webHidden/>
              </w:rPr>
              <w:fldChar w:fldCharType="begin"/>
            </w:r>
            <w:r w:rsidRPr="006D055B">
              <w:rPr>
                <w:noProof/>
                <w:webHidden/>
              </w:rPr>
              <w:instrText xml:space="preserve"> PAGEREF _Toc235702999 \h </w:instrText>
            </w:r>
            <w:r w:rsidRPr="006D055B">
              <w:rPr>
                <w:noProof/>
                <w:webHidden/>
              </w:rPr>
            </w:r>
            <w:r w:rsidRPr="006D055B">
              <w:rPr>
                <w:noProof/>
                <w:webHidden/>
              </w:rPr>
              <w:fldChar w:fldCharType="separate"/>
            </w:r>
            <w:r w:rsidRPr="006D055B">
              <w:rPr>
                <w:noProof/>
                <w:webHidden/>
              </w:rPr>
              <w:t>9</w:t>
            </w:r>
            <w:r w:rsidRPr="006D055B">
              <w:rPr>
                <w:noProof/>
                <w:webHidden/>
              </w:rPr>
              <w:fldChar w:fldCharType="end"/>
            </w:r>
          </w:hyperlink>
        </w:p>
        <w:p w14:paraId="624DBDC6" w14:textId="1C229C2A"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3000" w:history="1">
            <w:r w:rsidRPr="006D055B">
              <w:rPr>
                <w:rStyle w:val="Hyperlink"/>
                <w:rFonts w:cs="Arial"/>
                <w:noProof/>
                <w:color w:val="auto"/>
              </w:rPr>
              <w:t>3.3 Contribution Analysis</w:t>
            </w:r>
            <w:r w:rsidRPr="006D055B">
              <w:rPr>
                <w:noProof/>
                <w:webHidden/>
              </w:rPr>
              <w:tab/>
            </w:r>
            <w:r w:rsidRPr="006D055B">
              <w:rPr>
                <w:noProof/>
                <w:webHidden/>
              </w:rPr>
              <w:fldChar w:fldCharType="begin"/>
            </w:r>
            <w:r w:rsidRPr="006D055B">
              <w:rPr>
                <w:noProof/>
                <w:webHidden/>
              </w:rPr>
              <w:instrText xml:space="preserve"> PAGEREF _Toc235703000 \h </w:instrText>
            </w:r>
            <w:r w:rsidRPr="006D055B">
              <w:rPr>
                <w:noProof/>
                <w:webHidden/>
              </w:rPr>
            </w:r>
            <w:r w:rsidRPr="006D055B">
              <w:rPr>
                <w:noProof/>
                <w:webHidden/>
              </w:rPr>
              <w:fldChar w:fldCharType="separate"/>
            </w:r>
            <w:r w:rsidRPr="006D055B">
              <w:rPr>
                <w:noProof/>
                <w:webHidden/>
              </w:rPr>
              <w:t>9</w:t>
            </w:r>
            <w:r w:rsidRPr="006D055B">
              <w:rPr>
                <w:noProof/>
                <w:webHidden/>
              </w:rPr>
              <w:fldChar w:fldCharType="end"/>
            </w:r>
          </w:hyperlink>
        </w:p>
        <w:p w14:paraId="5B763450" w14:textId="4EE19484"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3001" w:history="1">
            <w:r w:rsidRPr="006D055B">
              <w:rPr>
                <w:rStyle w:val="Hyperlink"/>
                <w:rFonts w:cs="Arial"/>
                <w:noProof/>
                <w:color w:val="auto"/>
              </w:rPr>
              <w:t>3.4 Ethical &amp; Professional Reflection</w:t>
            </w:r>
            <w:r w:rsidRPr="006D055B">
              <w:rPr>
                <w:noProof/>
                <w:webHidden/>
              </w:rPr>
              <w:tab/>
            </w:r>
            <w:r w:rsidRPr="006D055B">
              <w:rPr>
                <w:noProof/>
                <w:webHidden/>
              </w:rPr>
              <w:fldChar w:fldCharType="begin"/>
            </w:r>
            <w:r w:rsidRPr="006D055B">
              <w:rPr>
                <w:noProof/>
                <w:webHidden/>
              </w:rPr>
              <w:instrText xml:space="preserve"> PAGEREF _Toc235703001 \h </w:instrText>
            </w:r>
            <w:r w:rsidRPr="006D055B">
              <w:rPr>
                <w:noProof/>
                <w:webHidden/>
              </w:rPr>
            </w:r>
            <w:r w:rsidRPr="006D055B">
              <w:rPr>
                <w:noProof/>
                <w:webHidden/>
              </w:rPr>
              <w:fldChar w:fldCharType="separate"/>
            </w:r>
            <w:r w:rsidRPr="006D055B">
              <w:rPr>
                <w:noProof/>
                <w:webHidden/>
              </w:rPr>
              <w:t>10</w:t>
            </w:r>
            <w:r w:rsidRPr="006D055B">
              <w:rPr>
                <w:noProof/>
                <w:webHidden/>
              </w:rPr>
              <w:fldChar w:fldCharType="end"/>
            </w:r>
          </w:hyperlink>
        </w:p>
        <w:p w14:paraId="60C1C3AB" w14:textId="32B77525" w:rsidR="008F01FF" w:rsidRPr="006D055B" w:rsidRDefault="008F01FF" w:rsidP="008F01FF">
          <w:pPr>
            <w:pStyle w:val="TOC1"/>
            <w:tabs>
              <w:tab w:val="right" w:leader="dot" w:pos="9016"/>
            </w:tabs>
            <w:spacing w:line="360" w:lineRule="auto"/>
            <w:rPr>
              <w:rFonts w:asciiTheme="minorHAnsi" w:eastAsiaTheme="minorEastAsia" w:hAnsiTheme="minorHAnsi"/>
              <w:noProof/>
              <w:szCs w:val="24"/>
              <w:lang w:eastAsia="en-IN"/>
            </w:rPr>
          </w:pPr>
          <w:hyperlink w:anchor="_Toc235703002" w:history="1">
            <w:r w:rsidRPr="006D055B">
              <w:rPr>
                <w:rStyle w:val="Hyperlink"/>
                <w:noProof/>
                <w:color w:val="auto"/>
              </w:rPr>
              <w:t>Conclusion</w:t>
            </w:r>
            <w:r w:rsidRPr="006D055B">
              <w:rPr>
                <w:noProof/>
                <w:webHidden/>
              </w:rPr>
              <w:tab/>
            </w:r>
            <w:r w:rsidRPr="006D055B">
              <w:rPr>
                <w:noProof/>
                <w:webHidden/>
              </w:rPr>
              <w:fldChar w:fldCharType="begin"/>
            </w:r>
            <w:r w:rsidRPr="006D055B">
              <w:rPr>
                <w:noProof/>
                <w:webHidden/>
              </w:rPr>
              <w:instrText xml:space="preserve"> PAGEREF _Toc235703002 \h </w:instrText>
            </w:r>
            <w:r w:rsidRPr="006D055B">
              <w:rPr>
                <w:noProof/>
                <w:webHidden/>
              </w:rPr>
            </w:r>
            <w:r w:rsidRPr="006D055B">
              <w:rPr>
                <w:noProof/>
                <w:webHidden/>
              </w:rPr>
              <w:fldChar w:fldCharType="separate"/>
            </w:r>
            <w:r w:rsidRPr="006D055B">
              <w:rPr>
                <w:noProof/>
                <w:webHidden/>
              </w:rPr>
              <w:t>10</w:t>
            </w:r>
            <w:r w:rsidRPr="006D055B">
              <w:rPr>
                <w:noProof/>
                <w:webHidden/>
              </w:rPr>
              <w:fldChar w:fldCharType="end"/>
            </w:r>
          </w:hyperlink>
        </w:p>
        <w:p w14:paraId="047C5276" w14:textId="37BD8606" w:rsidR="008F01FF" w:rsidRPr="006D055B" w:rsidRDefault="008F01FF" w:rsidP="008F01FF">
          <w:pPr>
            <w:pStyle w:val="TOC1"/>
            <w:tabs>
              <w:tab w:val="right" w:leader="dot" w:pos="9016"/>
            </w:tabs>
            <w:spacing w:line="360" w:lineRule="auto"/>
            <w:rPr>
              <w:rFonts w:asciiTheme="minorHAnsi" w:eastAsiaTheme="minorEastAsia" w:hAnsiTheme="minorHAnsi"/>
              <w:noProof/>
              <w:szCs w:val="24"/>
              <w:lang w:eastAsia="en-IN"/>
            </w:rPr>
          </w:pPr>
          <w:hyperlink w:anchor="_Toc235703003" w:history="1">
            <w:r w:rsidRPr="006D055B">
              <w:rPr>
                <w:rStyle w:val="Hyperlink"/>
                <w:rFonts w:cs="Arial"/>
                <w:noProof/>
                <w:color w:val="auto"/>
              </w:rPr>
              <w:t>References</w:t>
            </w:r>
            <w:r w:rsidRPr="006D055B">
              <w:rPr>
                <w:noProof/>
                <w:webHidden/>
              </w:rPr>
              <w:tab/>
            </w:r>
            <w:r w:rsidRPr="006D055B">
              <w:rPr>
                <w:noProof/>
                <w:webHidden/>
              </w:rPr>
              <w:fldChar w:fldCharType="begin"/>
            </w:r>
            <w:r w:rsidRPr="006D055B">
              <w:rPr>
                <w:noProof/>
                <w:webHidden/>
              </w:rPr>
              <w:instrText xml:space="preserve"> PAGEREF _Toc235703003 \h </w:instrText>
            </w:r>
            <w:r w:rsidRPr="006D055B">
              <w:rPr>
                <w:noProof/>
                <w:webHidden/>
              </w:rPr>
            </w:r>
            <w:r w:rsidRPr="006D055B">
              <w:rPr>
                <w:noProof/>
                <w:webHidden/>
              </w:rPr>
              <w:fldChar w:fldCharType="separate"/>
            </w:r>
            <w:r w:rsidRPr="006D055B">
              <w:rPr>
                <w:noProof/>
                <w:webHidden/>
              </w:rPr>
              <w:t>11</w:t>
            </w:r>
            <w:r w:rsidRPr="006D055B">
              <w:rPr>
                <w:noProof/>
                <w:webHidden/>
              </w:rPr>
              <w:fldChar w:fldCharType="end"/>
            </w:r>
          </w:hyperlink>
        </w:p>
        <w:p w14:paraId="533A1B18" w14:textId="30743C74" w:rsidR="00ED3C77" w:rsidRPr="006D055B" w:rsidRDefault="00ED3C77" w:rsidP="008F01FF">
          <w:pPr>
            <w:spacing w:line="360" w:lineRule="auto"/>
          </w:pPr>
          <w:r w:rsidRPr="006D055B">
            <w:rPr>
              <w:b/>
              <w:bCs/>
              <w:noProof/>
            </w:rPr>
            <w:fldChar w:fldCharType="end"/>
          </w:r>
        </w:p>
      </w:sdtContent>
    </w:sdt>
    <w:p w14:paraId="2F5BE5C9" w14:textId="77777777" w:rsidR="00ED3C77" w:rsidRPr="006D055B" w:rsidRDefault="00ED3C77" w:rsidP="00175FDC">
      <w:pPr>
        <w:pStyle w:val="Heading1"/>
        <w:rPr>
          <w:rFonts w:cs="Arial"/>
          <w:bCs/>
          <w:color w:val="auto"/>
        </w:rPr>
      </w:pPr>
    </w:p>
    <w:p w14:paraId="3C533449" w14:textId="77777777" w:rsidR="00ED3C77" w:rsidRPr="006D055B" w:rsidRDefault="00ED3C77" w:rsidP="00175FDC">
      <w:pPr>
        <w:pStyle w:val="Heading1"/>
        <w:rPr>
          <w:rFonts w:cs="Arial"/>
          <w:bCs/>
          <w:color w:val="auto"/>
        </w:rPr>
      </w:pPr>
    </w:p>
    <w:p w14:paraId="0FD4E3B8" w14:textId="77777777" w:rsidR="00ED3C77" w:rsidRPr="006D055B" w:rsidRDefault="00ED3C77" w:rsidP="00ED3C77"/>
    <w:p w14:paraId="6C7C6632" w14:textId="77777777" w:rsidR="00ED3C77" w:rsidRPr="006D055B" w:rsidRDefault="00ED3C77" w:rsidP="00ED3C77"/>
    <w:p w14:paraId="1A604DBA" w14:textId="77777777" w:rsidR="00ED3C77" w:rsidRPr="006D055B" w:rsidRDefault="00ED3C77" w:rsidP="00ED3C77"/>
    <w:p w14:paraId="4201E3CA" w14:textId="77777777" w:rsidR="00ED3C77" w:rsidRPr="006D055B" w:rsidRDefault="00ED3C77" w:rsidP="00ED3C77"/>
    <w:p w14:paraId="72A2FA73" w14:textId="77777777" w:rsidR="00ED3C77" w:rsidRPr="006D055B" w:rsidRDefault="00ED3C77" w:rsidP="00ED3C77"/>
    <w:p w14:paraId="4A560081" w14:textId="77777777" w:rsidR="00ED3C77" w:rsidRPr="006D055B" w:rsidRDefault="00ED3C77" w:rsidP="00ED3C77"/>
    <w:p w14:paraId="15CB5CBE" w14:textId="77777777" w:rsidR="00ED3C77" w:rsidRPr="006D055B" w:rsidRDefault="00ED3C77" w:rsidP="00ED3C77"/>
    <w:p w14:paraId="7911B9B8" w14:textId="77777777" w:rsidR="00ED3C77" w:rsidRPr="006D055B" w:rsidRDefault="00ED3C77" w:rsidP="00ED3C77"/>
    <w:p w14:paraId="2BB573BE" w14:textId="77777777" w:rsidR="00ED3C77" w:rsidRPr="006D055B" w:rsidRDefault="00ED3C77" w:rsidP="00ED3C77"/>
    <w:p w14:paraId="2F3F6A85" w14:textId="77777777" w:rsidR="00ED3C77" w:rsidRPr="006D055B" w:rsidRDefault="00ED3C77" w:rsidP="00ED3C77"/>
    <w:p w14:paraId="4E382BE8" w14:textId="738B268F" w:rsidR="005153A3" w:rsidRPr="006D055B" w:rsidRDefault="002736A7" w:rsidP="00175FDC">
      <w:pPr>
        <w:pStyle w:val="Heading1"/>
        <w:rPr>
          <w:rFonts w:cs="Arial"/>
          <w:color w:val="auto"/>
        </w:rPr>
      </w:pPr>
      <w:bookmarkStart w:id="0" w:name="_Toc235702990"/>
      <w:r w:rsidRPr="006D055B">
        <w:rPr>
          <w:rFonts w:cs="Arial"/>
          <w:bCs/>
          <w:color w:val="auto"/>
        </w:rPr>
        <w:t>1.0 Task 1: Marketing Environment Analysis</w:t>
      </w:r>
      <w:bookmarkEnd w:id="0"/>
    </w:p>
    <w:p w14:paraId="5BF93806" w14:textId="77777777" w:rsidR="005153A3" w:rsidRPr="006D055B" w:rsidRDefault="002736A7" w:rsidP="00ED3C77">
      <w:pPr>
        <w:pStyle w:val="Heading2"/>
        <w:spacing w:line="360" w:lineRule="auto"/>
        <w:rPr>
          <w:color w:val="auto"/>
          <w:lang w:val="en-GB"/>
        </w:rPr>
      </w:pPr>
      <w:bookmarkStart w:id="1" w:name="_Toc_1_1"/>
      <w:bookmarkStart w:id="2" w:name="_Toc235702991"/>
      <w:r w:rsidRPr="006D055B">
        <w:rPr>
          <w:color w:val="auto"/>
          <w:lang w:val="en-GB"/>
        </w:rPr>
        <w:t>1.1 Company Selection and Context</w:t>
      </w:r>
      <w:bookmarkEnd w:id="1"/>
      <w:bookmarkEnd w:id="2"/>
    </w:p>
    <w:p w14:paraId="02E728BB" w14:textId="6ED165BB" w:rsidR="005153A3" w:rsidRPr="006D055B" w:rsidRDefault="002736A7" w:rsidP="00ED3C77">
      <w:pPr>
        <w:spacing w:line="360" w:lineRule="auto"/>
        <w:jc w:val="both"/>
        <w:rPr>
          <w:rFonts w:cs="Arial"/>
        </w:rPr>
      </w:pPr>
      <w:r w:rsidRPr="006D055B">
        <w:rPr>
          <w:rFonts w:cs="Arial"/>
          <w:lang w:val="en-US"/>
        </w:rPr>
        <w:t xml:space="preserve">There are many marketing environment factors that influence </w:t>
      </w:r>
      <w:r w:rsidRPr="006D055B">
        <w:rPr>
          <w:rFonts w:cs="Arial"/>
        </w:rPr>
        <w:t xml:space="preserve">the transition process of major metals or mining companies towards lower-carbon products. As opined by </w:t>
      </w:r>
      <w:proofErr w:type="spellStart"/>
      <w:r w:rsidRPr="006D055B">
        <w:rPr>
          <w:rFonts w:cs="Arial"/>
          <w:lang w:val="en-GB"/>
        </w:rPr>
        <w:t>Alova</w:t>
      </w:r>
      <w:proofErr w:type="spellEnd"/>
      <w:r w:rsidRPr="006D055B">
        <w:rPr>
          <w:rFonts w:cs="Arial"/>
          <w:lang w:val="en-GB"/>
        </w:rPr>
        <w:t xml:space="preserve"> (2018</w:t>
      </w:r>
      <w:r w:rsidRPr="006D055B">
        <w:rPr>
          <w:rFonts w:cs="Arial"/>
        </w:rPr>
        <w:t>)</w:t>
      </w:r>
      <w:r w:rsidRPr="006D055B">
        <w:rPr>
          <w:rFonts w:cs="Arial"/>
          <w:lang w:val="en-US"/>
        </w:rPr>
        <w:t xml:space="preserve">, the </w:t>
      </w:r>
      <w:r w:rsidRPr="006D055B">
        <w:rPr>
          <w:rFonts w:cs="Arial"/>
        </w:rPr>
        <w:t xml:space="preserve">natural environment factor and government regulations majorly compel global companies like Tata Steel, Codelco and BHP to gradually adopt lower-carbon products.  This is </w:t>
      </w:r>
      <w:proofErr w:type="gramStart"/>
      <w:r w:rsidRPr="006D055B">
        <w:rPr>
          <w:rFonts w:cs="Arial"/>
        </w:rPr>
        <w:t>actually a</w:t>
      </w:r>
      <w:proofErr w:type="gramEnd"/>
      <w:r w:rsidRPr="006D055B">
        <w:rPr>
          <w:rFonts w:cs="Arial"/>
        </w:rPr>
        <w:t xml:space="preserve"> part of the sustainability transition initiatives of the globally operating metals or mining companies. The consideration of these factors must resonate with stakeholders via data-driven reporting, undertaking strategic collaborations and integrating decarbonisation initiatives for broadening investor relationships. Taking these points into consideration, the main purpose of this report is to analyse the marketing environment, market opportunities and challenges for Tata Steel (India) operations and recomm</w:t>
      </w:r>
      <w:r w:rsidRPr="006D055B">
        <w:rPr>
          <w:rFonts w:cs="Arial"/>
        </w:rPr>
        <w:t>end an appropriate strategic growth approach for it.</w:t>
      </w:r>
    </w:p>
    <w:p w14:paraId="19228C19" w14:textId="7484E1FD" w:rsidR="00117A40" w:rsidRPr="006D055B" w:rsidRDefault="002736A7" w:rsidP="00117A40">
      <w:pPr>
        <w:spacing w:line="360" w:lineRule="auto"/>
        <w:jc w:val="both"/>
        <w:rPr>
          <w:rFonts w:cs="Arial"/>
        </w:rPr>
      </w:pPr>
      <w:r w:rsidRPr="006D055B">
        <w:rPr>
          <w:rFonts w:cs="Arial"/>
        </w:rPr>
        <w:t>Tata Steel (TS) was established as Asia’s 1</w:t>
      </w:r>
      <w:r w:rsidRPr="006D055B">
        <w:rPr>
          <w:rFonts w:cs="Arial"/>
          <w:vertAlign w:val="superscript"/>
        </w:rPr>
        <w:t>st</w:t>
      </w:r>
      <w:r w:rsidRPr="006D055B">
        <w:rPr>
          <w:rFonts w:cs="Arial"/>
        </w:rPr>
        <w:t xml:space="preserve"> integrated private steel company in 1907 in India, along with the development of the country's first industrial city, i.e. Jamshedpur.</w:t>
      </w:r>
      <w:r w:rsidR="00E639FB" w:rsidRPr="006D055B">
        <w:rPr>
          <w:rFonts w:cs="Arial"/>
        </w:rPr>
        <w:t xml:space="preserve"> TS has steel-making facilities in the Netherlands and the UK outside India, along with a majority stake in Thailand-based Millennium Steel. As per 2024 statistics, its crude steel capacity from its India operations is approximately 21.6 MTPA</w:t>
      </w:r>
      <w:r w:rsidR="008A749A" w:rsidRPr="006D055B">
        <w:rPr>
          <w:rFonts w:cs="Arial"/>
        </w:rPr>
        <w:t xml:space="preserve"> (</w:t>
      </w:r>
      <w:r w:rsidR="008A749A" w:rsidRPr="006D055B">
        <w:rPr>
          <w:rFonts w:cs="Arial"/>
          <w:i/>
          <w:iCs/>
        </w:rPr>
        <w:t>Million Tonnes Per Annum</w:t>
      </w:r>
      <w:r w:rsidR="008A749A" w:rsidRPr="006D055B">
        <w:rPr>
          <w:rFonts w:cs="Arial"/>
        </w:rPr>
        <w:t>)</w:t>
      </w:r>
      <w:r w:rsidR="00D54270" w:rsidRPr="006D055B">
        <w:rPr>
          <w:rFonts w:cs="Arial"/>
        </w:rPr>
        <w:t xml:space="preserve"> (TS-Profile, 2025)</w:t>
      </w:r>
      <w:r w:rsidR="008A749A" w:rsidRPr="006D055B">
        <w:rPr>
          <w:rFonts w:cs="Arial"/>
        </w:rPr>
        <w:t xml:space="preserve">. The product portfolio of its Indian operations </w:t>
      </w:r>
      <w:r w:rsidR="00317265" w:rsidRPr="006D055B">
        <w:rPr>
          <w:rFonts w:cs="Arial"/>
        </w:rPr>
        <w:t>includes</w:t>
      </w:r>
      <w:r w:rsidR="008A749A" w:rsidRPr="006D055B">
        <w:rPr>
          <w:rFonts w:cs="Arial"/>
        </w:rPr>
        <w:t xml:space="preserve"> industrial, branded, retail, automotive, special steel products, along with services &amp; solutions.</w:t>
      </w:r>
      <w:r w:rsidRPr="006D055B">
        <w:rPr>
          <w:rFonts w:cs="Arial"/>
        </w:rPr>
        <w:t xml:space="preserve"> TS has been recognised as Steel Sustainability Champion 2026 by the World Steel Association (</w:t>
      </w:r>
      <w:r w:rsidRPr="006D055B">
        <w:rPr>
          <w:rFonts w:cs="Arial"/>
          <w:i/>
          <w:iCs/>
        </w:rPr>
        <w:t>9</w:t>
      </w:r>
      <w:r w:rsidRPr="006D055B">
        <w:rPr>
          <w:rFonts w:cs="Arial"/>
          <w:i/>
          <w:iCs/>
          <w:vertAlign w:val="superscript"/>
        </w:rPr>
        <w:t>th</w:t>
      </w:r>
      <w:r w:rsidRPr="006D055B">
        <w:rPr>
          <w:rFonts w:cs="Arial"/>
          <w:i/>
          <w:iCs/>
        </w:rPr>
        <w:t xml:space="preserve"> consecutive year</w:t>
      </w:r>
      <w:r w:rsidRPr="006D055B">
        <w:rPr>
          <w:rFonts w:cs="Arial"/>
        </w:rPr>
        <w:t>)</w:t>
      </w:r>
      <w:r w:rsidR="00D54270" w:rsidRPr="006D055B">
        <w:rPr>
          <w:rFonts w:cs="Arial"/>
        </w:rPr>
        <w:t xml:space="preserve"> (TS-PR, 2026)</w:t>
      </w:r>
      <w:r w:rsidRPr="006D055B">
        <w:rPr>
          <w:rFonts w:cs="Arial"/>
        </w:rPr>
        <w:t>. This depicts TS’s continued efforts for embedding sustainability in its operations and adopting technologies for transitioning to low-carbon steelmaking</w:t>
      </w:r>
      <w:r w:rsidR="00E657D9" w:rsidRPr="006D055B">
        <w:rPr>
          <w:rFonts w:cs="Arial"/>
        </w:rPr>
        <w:t>.</w:t>
      </w:r>
    </w:p>
    <w:p w14:paraId="5D6551A1" w14:textId="77777777" w:rsidR="005153A3" w:rsidRPr="006D055B" w:rsidRDefault="002736A7" w:rsidP="00ED3C77">
      <w:pPr>
        <w:pStyle w:val="Heading2"/>
        <w:spacing w:line="360" w:lineRule="auto"/>
        <w:rPr>
          <w:color w:val="auto"/>
          <w:lang w:val="en-GB"/>
        </w:rPr>
      </w:pPr>
      <w:bookmarkStart w:id="3" w:name="_Toc_1_2"/>
      <w:bookmarkStart w:id="4" w:name="_Toc235702992"/>
      <w:r w:rsidRPr="006D055B">
        <w:rPr>
          <w:color w:val="auto"/>
          <w:lang w:val="en-GB"/>
        </w:rPr>
        <w:t>1.2 External Marketing Environment Actor 1: The Natural Environment</w:t>
      </w:r>
      <w:bookmarkEnd w:id="3"/>
      <w:bookmarkEnd w:id="4"/>
    </w:p>
    <w:p w14:paraId="12F97052" w14:textId="51B570CF" w:rsidR="00141655" w:rsidRPr="006D055B" w:rsidRDefault="002736A7" w:rsidP="00ED3C77">
      <w:pPr>
        <w:spacing w:line="360" w:lineRule="auto"/>
        <w:jc w:val="both"/>
        <w:rPr>
          <w:rFonts w:cs="Arial"/>
        </w:rPr>
      </w:pPr>
      <w:r w:rsidRPr="006D055B">
        <w:rPr>
          <w:rFonts w:cs="Arial"/>
        </w:rPr>
        <w:t xml:space="preserve">The aspect of climate change is a complicated challenge for the global organisations operating in the steel industry, with one of them being </w:t>
      </w:r>
      <w:r w:rsidR="001E1DB0" w:rsidRPr="006D055B">
        <w:rPr>
          <w:rFonts w:cs="Arial"/>
        </w:rPr>
        <w:t>TS</w:t>
      </w:r>
      <w:r w:rsidRPr="006D055B">
        <w:rPr>
          <w:rFonts w:cs="Arial"/>
        </w:rPr>
        <w:t>. As per Economic Commission for Europe report presented in United Nations (UN) COP27 i.e. 27</w:t>
      </w:r>
      <w:r w:rsidRPr="006D055B">
        <w:rPr>
          <w:rFonts w:cs="Arial"/>
          <w:vertAlign w:val="superscript"/>
        </w:rPr>
        <w:t>th</w:t>
      </w:r>
      <w:r w:rsidRPr="006D055B">
        <w:rPr>
          <w:rFonts w:cs="Arial"/>
        </w:rPr>
        <w:t xml:space="preserve"> Climate Change Conference, the steel industry is responsible for 7%-9% of the anthropogenic carbon emissions taking place globally</w:t>
      </w:r>
      <w:r w:rsidR="005D325A" w:rsidRPr="006D055B">
        <w:rPr>
          <w:rFonts w:cs="Arial"/>
        </w:rPr>
        <w:t xml:space="preserve"> (TG-Sustainability, 2022)</w:t>
      </w:r>
      <w:r w:rsidRPr="006D055B">
        <w:rPr>
          <w:rFonts w:cs="Arial"/>
        </w:rPr>
        <w:t>. This makes the steel industry the 5</w:t>
      </w:r>
      <w:r w:rsidRPr="006D055B">
        <w:rPr>
          <w:rFonts w:cs="Arial"/>
          <w:vertAlign w:val="superscript"/>
        </w:rPr>
        <w:t>th</w:t>
      </w:r>
      <w:r w:rsidRPr="006D055B">
        <w:rPr>
          <w:rFonts w:cs="Arial"/>
        </w:rPr>
        <w:t xml:space="preserve"> largest contributor of carbon dioxide emissions, with </w:t>
      </w:r>
      <w:r w:rsidR="001E1DB0" w:rsidRPr="006D055B">
        <w:rPr>
          <w:rFonts w:cs="Arial"/>
        </w:rPr>
        <w:t>TS</w:t>
      </w:r>
      <w:r w:rsidRPr="006D055B">
        <w:rPr>
          <w:rFonts w:cs="Arial"/>
        </w:rPr>
        <w:t xml:space="preserve"> being a part of the same as well. Also, regarding this factor, it is inclusive of physical resource depletion and weather events that add to the issue of localised ecological limits</w:t>
      </w:r>
      <w:r w:rsidR="005D325A" w:rsidRPr="006D055B">
        <w:rPr>
          <w:rFonts w:cs="Arial"/>
        </w:rPr>
        <w:t xml:space="preserve"> (TG-Sustainability, 2022)</w:t>
      </w:r>
      <w:r w:rsidRPr="006D055B">
        <w:rPr>
          <w:rFonts w:cs="Arial"/>
        </w:rPr>
        <w:t xml:space="preserve">. This has prompted companies like </w:t>
      </w:r>
      <w:r w:rsidR="001E1DB0" w:rsidRPr="006D055B">
        <w:rPr>
          <w:rFonts w:cs="Arial"/>
        </w:rPr>
        <w:t xml:space="preserve">TS </w:t>
      </w:r>
      <w:r w:rsidRPr="006D055B">
        <w:rPr>
          <w:rFonts w:cs="Arial"/>
        </w:rPr>
        <w:t xml:space="preserve">to align with market dynamic shifts of resource extraction to green-certified circular materials. From </w:t>
      </w:r>
      <w:r w:rsidR="001E1DB0" w:rsidRPr="006D055B">
        <w:rPr>
          <w:rFonts w:cs="Arial"/>
        </w:rPr>
        <w:t xml:space="preserve">TS’s </w:t>
      </w:r>
      <w:r w:rsidRPr="006D055B">
        <w:rPr>
          <w:rFonts w:cs="Arial"/>
        </w:rPr>
        <w:t xml:space="preserve">operations in the Netherlands, it is observed that limited availability of </w:t>
      </w:r>
      <w:r w:rsidRPr="006D055B">
        <w:rPr>
          <w:rFonts w:cs="Arial"/>
          <w:i/>
          <w:iCs/>
        </w:rPr>
        <w:t>high</w:t>
      </w:r>
      <w:r w:rsidRPr="006D055B">
        <w:rPr>
          <w:rFonts w:cs="Arial"/>
        </w:rPr>
        <w:t>-quality iron ore and metallurgical coal has, in a way, compelled it to design alternative technologies that run with fewer raw inputs and can use more scrap, i.e. recycled steel (TS-GSP, 2026). Also, the extreme climate events have resulted in halting major mining operations to prevent the disruption of natural habitats like water bodies and forests, with emphasis now given on ecosystem restoration initiatives (TS-ESG, 2024).</w:t>
      </w:r>
    </w:p>
    <w:p w14:paraId="499D54B5" w14:textId="320D42D4" w:rsidR="00E657D9" w:rsidRPr="006D055B" w:rsidRDefault="002736A7" w:rsidP="00141655">
      <w:pPr>
        <w:spacing w:line="360" w:lineRule="auto"/>
        <w:jc w:val="both"/>
        <w:rPr>
          <w:rFonts w:cs="Arial"/>
        </w:rPr>
      </w:pPr>
      <w:r w:rsidRPr="006D055B">
        <w:rPr>
          <w:rFonts w:cs="Arial"/>
        </w:rPr>
        <w:t>The metals and mining domain companies (</w:t>
      </w:r>
      <w:r w:rsidRPr="006D055B">
        <w:rPr>
          <w:rFonts w:cs="Arial"/>
          <w:i/>
          <w:iCs/>
        </w:rPr>
        <w:t>especially the steel producers</w:t>
      </w:r>
      <w:r w:rsidRPr="006D055B">
        <w:rPr>
          <w:rFonts w:cs="Arial"/>
        </w:rPr>
        <w:t>) operating across the globe can very well attain a competitive advantage by transitioning their product portfolio towards transition minerals. As per the International Energy Agency (IEA) report, the steel industry emits 2.6 Gt of carbon dioxide (CO</w:t>
      </w:r>
      <w:r w:rsidRPr="006D055B">
        <w:rPr>
          <w:rFonts w:cs="Arial"/>
          <w:vertAlign w:val="subscript"/>
        </w:rPr>
        <w:t>2</w:t>
      </w:r>
      <w:r w:rsidRPr="006D055B">
        <w:rPr>
          <w:rFonts w:cs="Arial"/>
        </w:rPr>
        <w:t>) on an annual basis, which accounts for 7% to 9% of anthropogenic CO</w:t>
      </w:r>
      <w:r w:rsidRPr="006D055B">
        <w:rPr>
          <w:rFonts w:cs="Arial"/>
          <w:vertAlign w:val="subscript"/>
        </w:rPr>
        <w:t>2</w:t>
      </w:r>
      <w:r w:rsidRPr="006D055B">
        <w:rPr>
          <w:rFonts w:cs="Arial"/>
        </w:rPr>
        <w:t> emissions taking place globally (</w:t>
      </w:r>
      <w:proofErr w:type="gramStart"/>
      <w:r w:rsidRPr="006D055B">
        <w:rPr>
          <w:rFonts w:cs="Arial"/>
          <w:i/>
          <w:iCs/>
        </w:rPr>
        <w:t>similar to</w:t>
      </w:r>
      <w:proofErr w:type="gramEnd"/>
      <w:r w:rsidRPr="006D055B">
        <w:rPr>
          <w:rFonts w:cs="Arial"/>
          <w:i/>
          <w:iCs/>
        </w:rPr>
        <w:t xml:space="preserve"> Economic Commission for Europe report findings</w:t>
      </w:r>
      <w:r w:rsidRPr="006D055B">
        <w:rPr>
          <w:rFonts w:cs="Arial"/>
        </w:rPr>
        <w:t xml:space="preserve">) (TS-CA, 2025). The reason for this steel sector emitting so much GHG is </w:t>
      </w:r>
      <w:proofErr w:type="gramStart"/>
      <w:r w:rsidRPr="006D055B">
        <w:rPr>
          <w:rFonts w:cs="Arial"/>
        </w:rPr>
        <w:t>due to the fact that</w:t>
      </w:r>
      <w:proofErr w:type="gramEnd"/>
      <w:r w:rsidRPr="006D055B">
        <w:rPr>
          <w:rFonts w:cs="Arial"/>
        </w:rPr>
        <w:t xml:space="preserve"> metallurgical coal is used as a reductant for making iron through the blast furnaces (</w:t>
      </w:r>
      <w:r w:rsidRPr="006D055B">
        <w:rPr>
          <w:rFonts w:cs="Arial"/>
          <w:i/>
          <w:iCs/>
        </w:rPr>
        <w:t>basic oxygen furnace route accounts for 70% of the global steel production</w:t>
      </w:r>
      <w:r w:rsidRPr="006D055B">
        <w:rPr>
          <w:rFonts w:cs="Arial"/>
        </w:rPr>
        <w:t>) (</w:t>
      </w:r>
      <w:r w:rsidR="000B706F" w:rsidRPr="006D055B">
        <w:rPr>
          <w:lang w:val="en-GB"/>
        </w:rPr>
        <w:t>Kildahl</w:t>
      </w:r>
      <w:r w:rsidR="000B706F" w:rsidRPr="006D055B">
        <w:t xml:space="preserve"> </w:t>
      </w:r>
      <w:r w:rsidR="000B706F" w:rsidRPr="006D055B">
        <w:rPr>
          <w:i/>
          <w:iCs/>
        </w:rPr>
        <w:t xml:space="preserve">et al., </w:t>
      </w:r>
      <w:r w:rsidR="000B706F" w:rsidRPr="006D055B">
        <w:t>2023</w:t>
      </w:r>
      <w:r w:rsidRPr="006D055B">
        <w:rPr>
          <w:rFonts w:cs="Arial"/>
        </w:rPr>
        <w:t xml:space="preserve">). This has forced companies like TS to opt for transition minerals, including copper, nickel and lithium, which tend to provide market security and drive modernisation using innovative extraction technologies for sustainable strategic growth (SH </w:t>
      </w:r>
      <w:proofErr w:type="spellStart"/>
      <w:r w:rsidRPr="006D055B">
        <w:rPr>
          <w:rFonts w:cs="Arial"/>
        </w:rPr>
        <w:t>Moerenhout</w:t>
      </w:r>
      <w:proofErr w:type="spellEnd"/>
      <w:r w:rsidRPr="006D055B">
        <w:rPr>
          <w:rFonts w:cs="Arial"/>
        </w:rPr>
        <w:t xml:space="preserve">, 2026). </w:t>
      </w:r>
      <w:r w:rsidR="00BA073B" w:rsidRPr="006D055B">
        <w:rPr>
          <w:rFonts w:cs="Arial"/>
        </w:rPr>
        <w:t xml:space="preserve">Other steps </w:t>
      </w:r>
      <w:r w:rsidRPr="006D055B">
        <w:rPr>
          <w:rFonts w:cs="Arial"/>
        </w:rPr>
        <w:t xml:space="preserve">taken by TS </w:t>
      </w:r>
      <w:r w:rsidR="00BA073B" w:rsidRPr="006D055B">
        <w:rPr>
          <w:rFonts w:cs="Arial"/>
        </w:rPr>
        <w:t xml:space="preserve">include expansion into midstream and downstream recycling of the metals, which </w:t>
      </w:r>
      <w:r w:rsidRPr="006D055B">
        <w:rPr>
          <w:rFonts w:cs="Arial"/>
        </w:rPr>
        <w:t xml:space="preserve">has helped it to </w:t>
      </w:r>
      <w:r w:rsidR="00BA073B" w:rsidRPr="006D055B">
        <w:rPr>
          <w:rFonts w:cs="Arial"/>
        </w:rPr>
        <w:t>diversify</w:t>
      </w:r>
      <w:r w:rsidRPr="006D055B">
        <w:rPr>
          <w:rFonts w:cs="Arial"/>
        </w:rPr>
        <w:t xml:space="preserve"> its </w:t>
      </w:r>
      <w:r w:rsidR="00BA073B" w:rsidRPr="006D055B">
        <w:rPr>
          <w:rFonts w:cs="Arial"/>
        </w:rPr>
        <w:t xml:space="preserve">revenue streams. </w:t>
      </w:r>
    </w:p>
    <w:p w14:paraId="33C77893" w14:textId="77777777" w:rsidR="005153A3" w:rsidRPr="006D055B" w:rsidRDefault="002736A7" w:rsidP="00ED3C77">
      <w:pPr>
        <w:pStyle w:val="Heading2"/>
        <w:spacing w:line="360" w:lineRule="auto"/>
        <w:rPr>
          <w:color w:val="auto"/>
        </w:rPr>
      </w:pPr>
      <w:bookmarkStart w:id="5" w:name="_Toc235702993"/>
      <w:r w:rsidRPr="006D055B">
        <w:rPr>
          <w:color w:val="auto"/>
        </w:rPr>
        <w:t>1.3 External Marketing Environment Actor 2: Regulatory factor</w:t>
      </w:r>
      <w:bookmarkEnd w:id="5"/>
    </w:p>
    <w:p w14:paraId="06696A8F" w14:textId="77777777" w:rsidR="00A17B83" w:rsidRPr="006D055B" w:rsidRDefault="002736A7" w:rsidP="00ED3C77">
      <w:pPr>
        <w:spacing w:line="360" w:lineRule="auto"/>
        <w:jc w:val="both"/>
        <w:rPr>
          <w:rFonts w:cs="Arial"/>
        </w:rPr>
      </w:pPr>
      <w:r w:rsidRPr="006D055B">
        <w:rPr>
          <w:rFonts w:cs="Arial"/>
        </w:rPr>
        <w:t xml:space="preserve">This </w:t>
      </w:r>
      <w:r w:rsidR="00D41135" w:rsidRPr="006D055B">
        <w:rPr>
          <w:rFonts w:cs="Arial"/>
        </w:rPr>
        <w:t>f</w:t>
      </w:r>
      <w:r w:rsidR="00A66408" w:rsidRPr="006D055B">
        <w:rPr>
          <w:rFonts w:cs="Arial"/>
        </w:rPr>
        <w:t>actor</w:t>
      </w:r>
      <w:r w:rsidR="0053221B" w:rsidRPr="006D055B">
        <w:rPr>
          <w:rFonts w:cs="Arial"/>
        </w:rPr>
        <w:t xml:space="preserve"> </w:t>
      </w:r>
      <w:r w:rsidR="00A66408" w:rsidRPr="006D055B">
        <w:rPr>
          <w:rFonts w:cs="Arial"/>
        </w:rPr>
        <w:t>is inclusive of carbon pricing mechanisms and international trade policies that are usually followed by global governments.</w:t>
      </w:r>
      <w:r w:rsidR="009838B1" w:rsidRPr="006D055B">
        <w:rPr>
          <w:rFonts w:cs="Arial"/>
        </w:rPr>
        <w:t xml:space="preserve"> An example of this can be seen from the tightening of environmental regulations in the Netherlands that has compelled </w:t>
      </w:r>
      <w:r w:rsidR="001E1DB0" w:rsidRPr="006D055B">
        <w:rPr>
          <w:rFonts w:cs="Arial"/>
        </w:rPr>
        <w:t xml:space="preserve">TS </w:t>
      </w:r>
      <w:r w:rsidR="009838B1" w:rsidRPr="006D055B">
        <w:rPr>
          <w:rFonts w:cs="Arial"/>
        </w:rPr>
        <w:t xml:space="preserve">to abandon </w:t>
      </w:r>
      <w:r w:rsidR="006B591C" w:rsidRPr="006D055B">
        <w:rPr>
          <w:rFonts w:cs="Arial"/>
        </w:rPr>
        <w:t>coal-based</w:t>
      </w:r>
      <w:r w:rsidR="009838B1" w:rsidRPr="006D055B">
        <w:rPr>
          <w:rFonts w:cs="Arial"/>
        </w:rPr>
        <w:t xml:space="preserve"> blast furnaces</w:t>
      </w:r>
      <w:r w:rsidR="00DB72B5" w:rsidRPr="006D055B">
        <w:rPr>
          <w:rFonts w:cs="Arial"/>
        </w:rPr>
        <w:t xml:space="preserve"> (Nair, 2026)</w:t>
      </w:r>
      <w:r w:rsidR="009838B1" w:rsidRPr="006D055B">
        <w:rPr>
          <w:rFonts w:cs="Arial"/>
        </w:rPr>
        <w:t>.</w:t>
      </w:r>
      <w:r w:rsidR="00E657D9" w:rsidRPr="006D055B">
        <w:rPr>
          <w:rFonts w:cs="Arial"/>
        </w:rPr>
        <w:t xml:space="preserve"> </w:t>
      </w:r>
      <w:r w:rsidRPr="006D055B">
        <w:rPr>
          <w:rFonts w:cs="Arial"/>
        </w:rPr>
        <w:t>Other companies like BHP have started to engage in proactive partnership formation with global steelmakers to transform their supply chain to a low-carbon-emitting one. This includes steps like joint ventures with governments to build low-carbon-emitting EAFs</w:t>
      </w:r>
      <w:r w:rsidR="00DB72B5" w:rsidRPr="006D055B">
        <w:rPr>
          <w:rFonts w:cs="Arial"/>
        </w:rPr>
        <w:t xml:space="preserve"> (Wild, 2017)</w:t>
      </w:r>
      <w:r w:rsidRPr="006D055B">
        <w:rPr>
          <w:rFonts w:cs="Arial"/>
        </w:rPr>
        <w:t>.</w:t>
      </w:r>
      <w:r w:rsidR="00E657D9" w:rsidRPr="006D055B">
        <w:rPr>
          <w:rFonts w:cs="Arial"/>
        </w:rPr>
        <w:t xml:space="preserve"> </w:t>
      </w:r>
      <w:r w:rsidRPr="006D055B">
        <w:rPr>
          <w:rFonts w:cs="Arial"/>
        </w:rPr>
        <w:t>There are also policies like the CBAM, i.e., the Carbon Border Adjustment Mechanism of the European Union (EU), that taxes high-carbon imports, thus in a way forcing companies to emphasise producing green-certified steel products</w:t>
      </w:r>
      <w:r w:rsidR="001856AB" w:rsidRPr="006D055B">
        <w:rPr>
          <w:rFonts w:cs="Arial"/>
        </w:rPr>
        <w:t xml:space="preserve"> (</w:t>
      </w:r>
      <w:r w:rsidR="00836E97" w:rsidRPr="006D055B">
        <w:rPr>
          <w:rFonts w:cs="Arial"/>
          <w:lang w:val="en-GB"/>
        </w:rPr>
        <w:t>Leal-</w:t>
      </w:r>
      <w:proofErr w:type="spellStart"/>
      <w:r w:rsidR="00836E97" w:rsidRPr="006D055B">
        <w:rPr>
          <w:rFonts w:cs="Arial"/>
          <w:lang w:val="en-GB"/>
        </w:rPr>
        <w:t>Arcas</w:t>
      </w:r>
      <w:proofErr w:type="spellEnd"/>
      <w:r w:rsidR="00836E97" w:rsidRPr="006D055B">
        <w:rPr>
          <w:rFonts w:cs="Arial"/>
          <w:lang w:val="en-GB"/>
        </w:rPr>
        <w:t xml:space="preserve"> </w:t>
      </w:r>
      <w:r w:rsidR="00836E97" w:rsidRPr="006D055B">
        <w:rPr>
          <w:rFonts w:cs="Arial"/>
          <w:i/>
          <w:iCs/>
          <w:lang w:val="en-GB"/>
        </w:rPr>
        <w:t>et al.,</w:t>
      </w:r>
      <w:r w:rsidR="00836E97" w:rsidRPr="006D055B">
        <w:rPr>
          <w:rFonts w:cs="Arial"/>
          <w:lang w:val="en-GB"/>
        </w:rPr>
        <w:t xml:space="preserve"> 2022</w:t>
      </w:r>
      <w:r w:rsidR="001856AB" w:rsidRPr="006D055B">
        <w:rPr>
          <w:rFonts w:cs="Arial"/>
        </w:rPr>
        <w:t>)</w:t>
      </w:r>
      <w:r w:rsidRPr="006D055B">
        <w:rPr>
          <w:rFonts w:cs="Arial"/>
        </w:rPr>
        <w:t>.</w:t>
      </w:r>
      <w:r w:rsidR="00EC2DF4" w:rsidRPr="006D055B">
        <w:rPr>
          <w:rFonts w:cs="Arial"/>
        </w:rPr>
        <w:t xml:space="preserve"> The verification of these green-certified steels via Environmental Product Declarations (EPD) norms makes the product acceptable as per international market standards</w:t>
      </w:r>
      <w:r w:rsidR="00DB72B5" w:rsidRPr="006D055B">
        <w:rPr>
          <w:rFonts w:cs="Arial"/>
        </w:rPr>
        <w:t xml:space="preserve"> (TS-CA, 2025)</w:t>
      </w:r>
      <w:r w:rsidR="00EC2DF4" w:rsidRPr="006D055B">
        <w:rPr>
          <w:rFonts w:cs="Arial"/>
        </w:rPr>
        <w:t>.</w:t>
      </w:r>
    </w:p>
    <w:p w14:paraId="2CA1A212" w14:textId="4BD748FE" w:rsidR="005B6C21" w:rsidRPr="006D055B" w:rsidRDefault="002736A7" w:rsidP="00230E33">
      <w:pPr>
        <w:spacing w:line="360" w:lineRule="auto"/>
        <w:jc w:val="both"/>
        <w:rPr>
          <w:rFonts w:cs="Arial"/>
        </w:rPr>
      </w:pPr>
      <w:r w:rsidRPr="006D055B">
        <w:rPr>
          <w:rFonts w:cs="Arial"/>
        </w:rPr>
        <w:t xml:space="preserve">Even though </w:t>
      </w:r>
      <w:r w:rsidR="001E1DB0" w:rsidRPr="006D055B">
        <w:rPr>
          <w:rFonts w:cs="Arial"/>
        </w:rPr>
        <w:t xml:space="preserve">TS </w:t>
      </w:r>
      <w:r w:rsidRPr="006D055B">
        <w:rPr>
          <w:rFonts w:cs="Arial"/>
        </w:rPr>
        <w:t>has taken several steps in its India operations to transition to lower carbon products, there are certain challenges faced by it as well. The process of Green Steel manufacturing is highly challenging because the removal of carbon by using Green Hydrogen and Electric Arc Furnaces (EAFs) is a very costly process</w:t>
      </w:r>
      <w:r w:rsidR="00240E7B" w:rsidRPr="006D055B">
        <w:rPr>
          <w:rFonts w:cs="Arial"/>
        </w:rPr>
        <w:t xml:space="preserve"> (</w:t>
      </w:r>
      <w:r w:rsidR="006119DA" w:rsidRPr="006D055B">
        <w:rPr>
          <w:lang w:val="en-GB"/>
        </w:rPr>
        <w:t>Zhang</w:t>
      </w:r>
      <w:r w:rsidR="006119DA" w:rsidRPr="006D055B">
        <w:rPr>
          <w:i/>
          <w:iCs/>
        </w:rPr>
        <w:t xml:space="preserve"> et al., </w:t>
      </w:r>
      <w:r w:rsidR="006119DA" w:rsidRPr="006D055B">
        <w:t>2025</w:t>
      </w:r>
      <w:r w:rsidR="00240E7B" w:rsidRPr="006D055B">
        <w:rPr>
          <w:rFonts w:cs="Arial"/>
        </w:rPr>
        <w:t>)</w:t>
      </w:r>
      <w:r w:rsidRPr="006D055B">
        <w:rPr>
          <w:rFonts w:cs="Arial"/>
        </w:rPr>
        <w:t>. The full-fledged transition is hindered by huge scaling costs and scarcity of high-grade raw materials. This type of transition also requires collaboration from both government and customers for its proper success.</w:t>
      </w:r>
      <w:r w:rsidR="003508E6" w:rsidRPr="006D055B">
        <w:rPr>
          <w:rFonts w:cs="Arial"/>
        </w:rPr>
        <w:t xml:space="preserve"> </w:t>
      </w:r>
      <w:r w:rsidR="00E657D9" w:rsidRPr="006D055B">
        <w:rPr>
          <w:rFonts w:cs="Arial"/>
        </w:rPr>
        <w:t>Additionally, the deployment of renewable microgrids can cut operational expenses in alignment with circular economy principles</w:t>
      </w:r>
      <w:r w:rsidR="003508E6" w:rsidRPr="006D055B">
        <w:rPr>
          <w:rFonts w:cs="Arial"/>
        </w:rPr>
        <w:t>, which is recently encouraged by the governments of many countries</w:t>
      </w:r>
      <w:r w:rsidR="00E657D9" w:rsidRPr="006D055B">
        <w:rPr>
          <w:rFonts w:cs="Arial"/>
        </w:rPr>
        <w:t>. Also, the tracking and on-time reporting of company emissions as per the GHG Protocol has proved helpful for companies like TS to secure premium contracts.</w:t>
      </w:r>
      <w:r w:rsidR="008D19A5" w:rsidRPr="006D055B">
        <w:rPr>
          <w:rFonts w:cs="Arial"/>
        </w:rPr>
        <w:t xml:space="preserve"> Regarding TS's India operations, the transition to the Carbon Credit Trading Scheme (CCTS) adds to uncertainty because of compliance costs impacting profitability</w:t>
      </w:r>
      <w:r w:rsidR="00230E33" w:rsidRPr="006D055B">
        <w:rPr>
          <w:rFonts w:cs="Arial"/>
        </w:rPr>
        <w:t xml:space="preserve"> (Sharma, 2026)</w:t>
      </w:r>
      <w:r w:rsidR="0049083C" w:rsidRPr="006D055B">
        <w:rPr>
          <w:rFonts w:cs="Arial"/>
        </w:rPr>
        <w:t>. Hence, TS has opted for an internal carbon pricing system while managing financial risks of the EU's CBAM on its export operations</w:t>
      </w:r>
      <w:r w:rsidR="0010129C" w:rsidRPr="006D055B">
        <w:rPr>
          <w:rFonts w:cs="Arial"/>
        </w:rPr>
        <w:t xml:space="preserve"> from India.</w:t>
      </w:r>
    </w:p>
    <w:p w14:paraId="4FD357FE" w14:textId="77777777" w:rsidR="00D644E9" w:rsidRPr="006D055B" w:rsidRDefault="002736A7" w:rsidP="00ED3C77">
      <w:pPr>
        <w:pStyle w:val="Heading1"/>
        <w:spacing w:line="360" w:lineRule="auto"/>
        <w:rPr>
          <w:color w:val="auto"/>
          <w:lang w:val="en-GB"/>
        </w:rPr>
      </w:pPr>
      <w:bookmarkStart w:id="6" w:name="_Toc235702994"/>
      <w:bookmarkStart w:id="7" w:name="_Toc_Task2"/>
      <w:r w:rsidRPr="006D055B">
        <w:rPr>
          <w:color w:val="auto"/>
          <w:lang w:val="en-GB"/>
        </w:rPr>
        <w:t>2.0 Task 2: Strategic Growth and Competitive Positioning</w:t>
      </w:r>
      <w:bookmarkEnd w:id="6"/>
      <w:r w:rsidRPr="006D055B">
        <w:rPr>
          <w:color w:val="auto"/>
          <w:lang w:val="en-GB"/>
        </w:rPr>
        <w:t xml:space="preserve"> </w:t>
      </w:r>
      <w:bookmarkEnd w:id="7"/>
    </w:p>
    <w:p w14:paraId="79E381BD" w14:textId="77777777" w:rsidR="00D644E9" w:rsidRPr="006D055B" w:rsidRDefault="002736A7" w:rsidP="00ED3C77">
      <w:pPr>
        <w:pStyle w:val="Heading2"/>
        <w:spacing w:line="360" w:lineRule="auto"/>
        <w:rPr>
          <w:color w:val="auto"/>
          <w:lang w:val="en-GB"/>
        </w:rPr>
      </w:pPr>
      <w:bookmarkStart w:id="8" w:name="_Toc_2_1"/>
      <w:bookmarkStart w:id="9" w:name="_Toc235702995"/>
      <w:r w:rsidRPr="006D055B">
        <w:rPr>
          <w:color w:val="auto"/>
          <w:lang w:val="en-GB"/>
        </w:rPr>
        <w:t>2.1 Strategic Growth Recommendation Using the Ansoff Matrix</w:t>
      </w:r>
      <w:bookmarkEnd w:id="8"/>
      <w:bookmarkEnd w:id="9"/>
    </w:p>
    <w:p w14:paraId="27F52107" w14:textId="77777777" w:rsidR="00FD25FE" w:rsidRPr="006D055B" w:rsidRDefault="002736A7" w:rsidP="00ED3C77">
      <w:pPr>
        <w:spacing w:line="360" w:lineRule="auto"/>
        <w:jc w:val="both"/>
        <w:rPr>
          <w:rFonts w:cs="Arial"/>
        </w:rPr>
      </w:pPr>
      <w:r w:rsidRPr="006D055B">
        <w:rPr>
          <w:rFonts w:cs="Arial"/>
        </w:rPr>
        <w:t>This growth approach should ensure that TS's competitive advantage in its India operations remains intact while adapting a lower-carbon business model. For this purpose, the application of the Ansoff Matrix model has been done here (</w:t>
      </w:r>
      <w:r w:rsidRPr="006D055B">
        <w:rPr>
          <w:rFonts w:cs="Arial"/>
          <w:i/>
          <w:iCs/>
        </w:rPr>
        <w:t xml:space="preserve">Refer to Figure </w:t>
      </w:r>
      <w:r w:rsidR="00E16ED9" w:rsidRPr="006D055B">
        <w:rPr>
          <w:rFonts w:cs="Arial"/>
          <w:i/>
          <w:iCs/>
        </w:rPr>
        <w:t>1</w:t>
      </w:r>
      <w:r w:rsidRPr="006D055B">
        <w:rPr>
          <w:rFonts w:cs="Arial"/>
        </w:rPr>
        <w:t>)</w:t>
      </w:r>
    </w:p>
    <w:p w14:paraId="0200DCA4" w14:textId="77777777" w:rsidR="00FD25FE" w:rsidRPr="006D055B" w:rsidRDefault="002736A7" w:rsidP="00FD25FE">
      <w:pPr>
        <w:rPr>
          <w:rFonts w:cs="Arial"/>
          <w:lang w:val="en-GB"/>
        </w:rPr>
      </w:pPr>
      <w:r w:rsidRPr="006D055B">
        <w:rPr>
          <w:rFonts w:cs="Arial"/>
          <w:noProof/>
          <w:lang w:val="en-GB"/>
        </w:rPr>
        <w:drawing>
          <wp:inline distT="0" distB="0" distL="0" distR="0" wp14:anchorId="0F28FEB7" wp14:editId="32C06B94">
            <wp:extent cx="4983480" cy="3970020"/>
            <wp:effectExtent l="0" t="0" r="7620" b="0"/>
            <wp:docPr id="1349275234" name="Picture 2" descr="The diagram illustrates a strategic framework for business growth, encompassing market development, diversification, and the expansion of existing products and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275234" name="Picture 1" descr="The diagram illustrates a strategic framework for business growth, encompassing market development, diversification, and the expansion of existing products and servic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983480" cy="3970020"/>
                    </a:xfrm>
                    <a:prstGeom prst="rect">
                      <a:avLst/>
                    </a:prstGeom>
                    <a:noFill/>
                    <a:ln>
                      <a:noFill/>
                    </a:ln>
                  </pic:spPr>
                </pic:pic>
              </a:graphicData>
            </a:graphic>
          </wp:inline>
        </w:drawing>
      </w:r>
    </w:p>
    <w:p w14:paraId="761D43E9" w14:textId="77777777" w:rsidR="00FD25FE" w:rsidRPr="006D055B" w:rsidRDefault="002736A7" w:rsidP="00FD25FE">
      <w:pPr>
        <w:jc w:val="center"/>
        <w:rPr>
          <w:rFonts w:cs="Arial"/>
          <w:lang w:val="en-GB"/>
        </w:rPr>
      </w:pPr>
      <w:r w:rsidRPr="006D055B">
        <w:rPr>
          <w:rFonts w:cs="Arial"/>
          <w:lang w:val="en-GB"/>
        </w:rPr>
        <w:t xml:space="preserve">Figure </w:t>
      </w:r>
      <w:r w:rsidR="00E16ED9" w:rsidRPr="006D055B">
        <w:rPr>
          <w:rFonts w:cs="Arial"/>
          <w:lang w:val="en-GB"/>
        </w:rPr>
        <w:t>1</w:t>
      </w:r>
      <w:r w:rsidRPr="006D055B">
        <w:rPr>
          <w:rFonts w:cs="Arial"/>
          <w:lang w:val="en-GB"/>
        </w:rPr>
        <w:t>: Ansoff Matrix</w:t>
      </w:r>
    </w:p>
    <w:p w14:paraId="5BC334A9" w14:textId="77777777" w:rsidR="00FD25FE" w:rsidRPr="006D055B" w:rsidRDefault="002736A7" w:rsidP="00FD25FE">
      <w:pPr>
        <w:jc w:val="center"/>
        <w:rPr>
          <w:rFonts w:cs="Arial"/>
        </w:rPr>
      </w:pPr>
      <w:r w:rsidRPr="006D055B">
        <w:rPr>
          <w:rFonts w:cs="Arial"/>
          <w:lang w:val="en-GB"/>
        </w:rPr>
        <w:t xml:space="preserve">(Source: </w:t>
      </w:r>
      <w:r w:rsidRPr="006D055B">
        <w:rPr>
          <w:rFonts w:cs="Arial"/>
        </w:rPr>
        <w:t>Chaudhari, 2020)</w:t>
      </w:r>
    </w:p>
    <w:p w14:paraId="6AC82144" w14:textId="2148583E" w:rsidR="00FD25FE" w:rsidRPr="006D055B" w:rsidRDefault="002736A7" w:rsidP="00FD25FE">
      <w:pPr>
        <w:spacing w:line="360" w:lineRule="auto"/>
        <w:jc w:val="both"/>
        <w:rPr>
          <w:rFonts w:cs="Arial"/>
        </w:rPr>
      </w:pPr>
      <w:r w:rsidRPr="006D055B">
        <w:rPr>
          <w:rFonts w:cs="Arial"/>
          <w:b/>
          <w:bCs/>
          <w:i/>
          <w:iCs/>
        </w:rPr>
        <w:t>Market Penetration</w:t>
      </w:r>
      <w:r w:rsidRPr="006D055B">
        <w:rPr>
          <w:rFonts w:cs="Arial"/>
        </w:rPr>
        <w:t xml:space="preserve">- This is a low-risk and high-priority step for </w:t>
      </w:r>
      <w:r w:rsidR="001E1DB0" w:rsidRPr="006D055B">
        <w:rPr>
          <w:rFonts w:cs="Arial"/>
        </w:rPr>
        <w:t xml:space="preserve">TS </w:t>
      </w:r>
      <w:r w:rsidRPr="006D055B">
        <w:rPr>
          <w:rFonts w:cs="Arial"/>
        </w:rPr>
        <w:t xml:space="preserve">for its India-based operations. There is a good opportunity for </w:t>
      </w:r>
      <w:r w:rsidR="001E1DB0" w:rsidRPr="006D055B">
        <w:rPr>
          <w:rFonts w:cs="Arial"/>
        </w:rPr>
        <w:t xml:space="preserve">TS </w:t>
      </w:r>
      <w:r w:rsidRPr="006D055B">
        <w:rPr>
          <w:rFonts w:cs="Arial"/>
        </w:rPr>
        <w:t xml:space="preserve">to capitalise on India's growing infrastructure, automotive and most importantly, real estate sector. </w:t>
      </w:r>
      <w:r w:rsidR="001E1DB0" w:rsidRPr="006D055B">
        <w:rPr>
          <w:rFonts w:cs="Arial"/>
        </w:rPr>
        <w:t xml:space="preserve">TS </w:t>
      </w:r>
      <w:r w:rsidRPr="006D055B">
        <w:rPr>
          <w:rFonts w:cs="Arial"/>
        </w:rPr>
        <w:t xml:space="preserve">should increase its domestic market share by optimising the supply chain process, streamlining logistics processes, and correctly utilising data analytics for correct forecasting of demand.  There is a good option for </w:t>
      </w:r>
      <w:r w:rsidR="001E1DB0" w:rsidRPr="006D055B">
        <w:rPr>
          <w:rFonts w:cs="Arial"/>
        </w:rPr>
        <w:t xml:space="preserve">TS </w:t>
      </w:r>
      <w:r w:rsidRPr="006D055B">
        <w:rPr>
          <w:rFonts w:cs="Arial"/>
        </w:rPr>
        <w:t xml:space="preserve">to expand the reach of its retail and Business-to-Business (B2B) network across India. An example of this is the ‘Tata Steel Ashiyana’ digital platform launched by </w:t>
      </w:r>
      <w:r w:rsidR="001E1DB0" w:rsidRPr="006D055B">
        <w:rPr>
          <w:rFonts w:cs="Arial"/>
        </w:rPr>
        <w:t xml:space="preserve">TS </w:t>
      </w:r>
      <w:r w:rsidRPr="006D055B">
        <w:rPr>
          <w:rFonts w:cs="Arial"/>
        </w:rPr>
        <w:t>for guiding individual home builders through every construction phase</w:t>
      </w:r>
      <w:r w:rsidR="00230E33" w:rsidRPr="006D055B">
        <w:rPr>
          <w:rFonts w:cs="Arial"/>
        </w:rPr>
        <w:t xml:space="preserve"> (TS-Aashiyana, 2025)</w:t>
      </w:r>
      <w:r w:rsidRPr="006D055B">
        <w:rPr>
          <w:rFonts w:cs="Arial"/>
        </w:rPr>
        <w:t xml:space="preserve">. This platform of </w:t>
      </w:r>
      <w:r w:rsidR="001E1DB0" w:rsidRPr="006D055B">
        <w:rPr>
          <w:rFonts w:cs="Arial"/>
        </w:rPr>
        <w:t xml:space="preserve">TS </w:t>
      </w:r>
      <w:r w:rsidRPr="006D055B">
        <w:rPr>
          <w:rFonts w:cs="Arial"/>
        </w:rPr>
        <w:t xml:space="preserve">is responsible for the creation of a Content-to-Commerce ecosystem, thus enabling local contractors access to </w:t>
      </w:r>
      <w:r w:rsidR="001E1DB0" w:rsidRPr="006D055B">
        <w:rPr>
          <w:rFonts w:cs="Arial"/>
        </w:rPr>
        <w:t xml:space="preserve">TS </w:t>
      </w:r>
      <w:r w:rsidRPr="006D055B">
        <w:rPr>
          <w:rFonts w:cs="Arial"/>
        </w:rPr>
        <w:t xml:space="preserve">products. </w:t>
      </w:r>
    </w:p>
    <w:p w14:paraId="1843E596" w14:textId="6625C5CA" w:rsidR="00FD25FE" w:rsidRPr="006D055B" w:rsidRDefault="002736A7" w:rsidP="00FD25FE">
      <w:pPr>
        <w:spacing w:line="360" w:lineRule="auto"/>
        <w:jc w:val="both"/>
        <w:rPr>
          <w:rFonts w:cs="Arial"/>
        </w:rPr>
      </w:pPr>
      <w:r w:rsidRPr="006D055B">
        <w:rPr>
          <w:rFonts w:cs="Arial"/>
          <w:b/>
          <w:bCs/>
          <w:i/>
          <w:iCs/>
        </w:rPr>
        <w:t xml:space="preserve">Product Development- </w:t>
      </w:r>
      <w:r w:rsidRPr="006D055B">
        <w:rPr>
          <w:rFonts w:cs="Arial"/>
        </w:rPr>
        <w:t xml:space="preserve">This step of </w:t>
      </w:r>
      <w:r w:rsidR="001E1DB0" w:rsidRPr="006D055B">
        <w:rPr>
          <w:rFonts w:cs="Arial"/>
        </w:rPr>
        <w:t xml:space="preserve">TS </w:t>
      </w:r>
      <w:r w:rsidRPr="006D055B">
        <w:rPr>
          <w:rFonts w:cs="Arial"/>
        </w:rPr>
        <w:t xml:space="preserve">will involve moderate risk but will provide a high-margin outcome to the company. For this purpose, </w:t>
      </w:r>
      <w:r w:rsidR="00B16806" w:rsidRPr="006D055B">
        <w:rPr>
          <w:rFonts w:cs="Arial"/>
        </w:rPr>
        <w:t xml:space="preserve">TS </w:t>
      </w:r>
      <w:r w:rsidRPr="006D055B">
        <w:rPr>
          <w:rFonts w:cs="Arial"/>
        </w:rPr>
        <w:t xml:space="preserve">should strongly consider shifting its product portfolio towards sustainable and higher-value-generating products that must be technologically advanced. This needs to be in alignment with domestic and global environmental regulations. </w:t>
      </w:r>
      <w:r w:rsidR="001E1DB0" w:rsidRPr="006D055B">
        <w:rPr>
          <w:rFonts w:cs="Arial"/>
        </w:rPr>
        <w:t xml:space="preserve">It </w:t>
      </w:r>
      <w:r w:rsidRPr="006D055B">
        <w:rPr>
          <w:rFonts w:cs="Arial"/>
        </w:rPr>
        <w:t xml:space="preserve">should accelerate the process of commercialisation of Green Steel, which generates low-carbon emissions. Along with this the Advanced High-Strength Steel i.e. AHSS should be produced for catering to the demands of fast-growing Electric Vehicle (EV) </w:t>
      </w:r>
      <w:r w:rsidR="00BE6938" w:rsidRPr="006D055B">
        <w:rPr>
          <w:rFonts w:cs="Arial"/>
        </w:rPr>
        <w:t xml:space="preserve">industry </w:t>
      </w:r>
      <w:r w:rsidR="008520DA" w:rsidRPr="006D055B">
        <w:rPr>
          <w:rFonts w:cs="Arial"/>
        </w:rPr>
        <w:t>(</w:t>
      </w:r>
      <w:r w:rsidR="00BE6938" w:rsidRPr="006D055B">
        <w:rPr>
          <w:lang w:val="en-GB"/>
        </w:rPr>
        <w:t>Bender</w:t>
      </w:r>
      <w:r w:rsidR="00BE6938" w:rsidRPr="006D055B">
        <w:rPr>
          <w:i/>
          <w:iCs/>
        </w:rPr>
        <w:t xml:space="preserve"> et al., </w:t>
      </w:r>
      <w:r w:rsidR="00BE6938" w:rsidRPr="006D055B">
        <w:t>2022</w:t>
      </w:r>
      <w:r w:rsidR="008520DA" w:rsidRPr="006D055B">
        <w:rPr>
          <w:rFonts w:cs="Arial"/>
        </w:rPr>
        <w:t>)</w:t>
      </w:r>
      <w:r w:rsidRPr="006D055B">
        <w:rPr>
          <w:rFonts w:cs="Arial"/>
        </w:rPr>
        <w:t xml:space="preserve">. </w:t>
      </w:r>
      <w:r w:rsidR="001E1DB0" w:rsidRPr="006D055B">
        <w:rPr>
          <w:rFonts w:cs="Arial"/>
        </w:rPr>
        <w:t xml:space="preserve">TS </w:t>
      </w:r>
      <w:r w:rsidRPr="006D055B">
        <w:rPr>
          <w:rFonts w:cs="Arial"/>
        </w:rPr>
        <w:t>should leverage the research and development facilities available at the Jamshedpur plant for improving the quality of its products while decreasing the overall carbon content, i.e., the carbon footprint of the production process.</w:t>
      </w:r>
    </w:p>
    <w:p w14:paraId="7FCB7D29" w14:textId="2D18A575" w:rsidR="00FD25FE" w:rsidRPr="006D055B" w:rsidRDefault="002736A7" w:rsidP="00FD25FE">
      <w:pPr>
        <w:spacing w:line="360" w:lineRule="auto"/>
        <w:jc w:val="both"/>
        <w:rPr>
          <w:rFonts w:cs="Arial"/>
        </w:rPr>
      </w:pPr>
      <w:r w:rsidRPr="006D055B">
        <w:rPr>
          <w:rFonts w:cs="Arial"/>
          <w:b/>
          <w:bCs/>
          <w:i/>
          <w:iCs/>
        </w:rPr>
        <w:t xml:space="preserve">Market Development- </w:t>
      </w:r>
      <w:r w:rsidRPr="006D055B">
        <w:rPr>
          <w:rFonts w:cs="Arial"/>
        </w:rPr>
        <w:t xml:space="preserve">This step involves moderate risk and can be of moderate priority for </w:t>
      </w:r>
      <w:r w:rsidR="001E1DB0" w:rsidRPr="006D055B">
        <w:rPr>
          <w:rFonts w:cs="Arial"/>
        </w:rPr>
        <w:t xml:space="preserve">TS </w:t>
      </w:r>
      <w:r w:rsidRPr="006D055B">
        <w:rPr>
          <w:rFonts w:cs="Arial"/>
        </w:rPr>
        <w:t xml:space="preserve">in the context of its India-based operations. The main step in this regard is to extend the industrial and rural product lines into the untapped geographic regions of India. The fast-paced urbanisation taking place in India provides high-growth geographic regions for </w:t>
      </w:r>
      <w:r w:rsidR="001E1DB0" w:rsidRPr="006D055B">
        <w:rPr>
          <w:rFonts w:cs="Arial"/>
        </w:rPr>
        <w:t xml:space="preserve">TS </w:t>
      </w:r>
      <w:r w:rsidRPr="006D055B">
        <w:rPr>
          <w:rFonts w:cs="Arial"/>
        </w:rPr>
        <w:t xml:space="preserve">to capitalise upon.  An example of this is the sustainably produced Tata </w:t>
      </w:r>
      <w:proofErr w:type="spellStart"/>
      <w:r w:rsidRPr="006D055B">
        <w:rPr>
          <w:rFonts w:cs="Arial"/>
        </w:rPr>
        <w:t>Shaktee</w:t>
      </w:r>
      <w:proofErr w:type="spellEnd"/>
      <w:r w:rsidRPr="006D055B">
        <w:rPr>
          <w:rFonts w:cs="Arial"/>
        </w:rPr>
        <w:t xml:space="preserve"> Galvanised Corrugated (GC) sheets, which have been manufactured by world-class technological expertise of </w:t>
      </w:r>
      <w:r w:rsidR="001E1DB0" w:rsidRPr="006D055B">
        <w:rPr>
          <w:rFonts w:cs="Arial"/>
        </w:rPr>
        <w:t>TS</w:t>
      </w:r>
      <w:r w:rsidR="00AF30E7" w:rsidRPr="006D055B">
        <w:rPr>
          <w:rFonts w:cs="Arial"/>
        </w:rPr>
        <w:t xml:space="preserve"> (TS-</w:t>
      </w:r>
      <w:proofErr w:type="spellStart"/>
      <w:r w:rsidR="00AF30E7" w:rsidRPr="006D055B">
        <w:rPr>
          <w:rFonts w:cs="Arial"/>
        </w:rPr>
        <w:t>Shaktee</w:t>
      </w:r>
      <w:proofErr w:type="spellEnd"/>
      <w:r w:rsidR="00AF30E7" w:rsidRPr="006D055B">
        <w:rPr>
          <w:rFonts w:cs="Arial"/>
        </w:rPr>
        <w:t>, 2026)</w:t>
      </w:r>
      <w:r w:rsidRPr="006D055B">
        <w:rPr>
          <w:rFonts w:cs="Arial"/>
        </w:rPr>
        <w:t xml:space="preserve">. There is immense scope for large-scale sale of these GC sheets in rural housing projects undertaken by the Government of India </w:t>
      </w:r>
      <w:proofErr w:type="gramStart"/>
      <w:r w:rsidRPr="006D055B">
        <w:rPr>
          <w:rFonts w:cs="Arial"/>
        </w:rPr>
        <w:t>and also</w:t>
      </w:r>
      <w:proofErr w:type="gramEnd"/>
      <w:r w:rsidRPr="006D055B">
        <w:rPr>
          <w:rFonts w:cs="Arial"/>
        </w:rPr>
        <w:t xml:space="preserve"> as agricultural steel solutions. An increase in disposable income in rural and semi-urban regions will also impact demand for </w:t>
      </w:r>
      <w:r w:rsidR="001E1DB0" w:rsidRPr="006D055B">
        <w:rPr>
          <w:rFonts w:cs="Arial"/>
        </w:rPr>
        <w:t>TS’s</w:t>
      </w:r>
      <w:r w:rsidRPr="006D055B">
        <w:rPr>
          <w:rFonts w:cs="Arial"/>
        </w:rPr>
        <w:t xml:space="preserve"> GC sheet product.</w:t>
      </w:r>
    </w:p>
    <w:p w14:paraId="1D7FE79B" w14:textId="77777777" w:rsidR="00FD25FE" w:rsidRPr="006D055B" w:rsidRDefault="002736A7" w:rsidP="00C8723A">
      <w:pPr>
        <w:spacing w:line="360" w:lineRule="auto"/>
        <w:jc w:val="both"/>
        <w:rPr>
          <w:rFonts w:cs="Arial"/>
        </w:rPr>
      </w:pPr>
      <w:r w:rsidRPr="006D055B">
        <w:rPr>
          <w:rFonts w:cs="Arial"/>
          <w:b/>
          <w:bCs/>
          <w:i/>
          <w:iCs/>
        </w:rPr>
        <w:t xml:space="preserve">Diversification- </w:t>
      </w:r>
      <w:r w:rsidR="00F729FB" w:rsidRPr="006D055B">
        <w:rPr>
          <w:rFonts w:cs="Arial"/>
        </w:rPr>
        <w:t xml:space="preserve">As </w:t>
      </w:r>
      <w:r w:rsidR="0083165C" w:rsidRPr="006D055B">
        <w:rPr>
          <w:rFonts w:cs="Arial"/>
        </w:rPr>
        <w:t>steel manufacturing is a very cost-intensive industry, unrelated diversification i</w:t>
      </w:r>
      <w:r w:rsidR="00FD30F1" w:rsidRPr="006D055B">
        <w:rPr>
          <w:rFonts w:cs="Arial"/>
        </w:rPr>
        <w:t>s</w:t>
      </w:r>
      <w:r w:rsidR="0083165C" w:rsidRPr="006D055B">
        <w:rPr>
          <w:rFonts w:cs="Arial"/>
        </w:rPr>
        <w:t xml:space="preserve"> highly not recommended for </w:t>
      </w:r>
      <w:r w:rsidR="001E1DB0" w:rsidRPr="006D055B">
        <w:rPr>
          <w:rFonts w:cs="Arial"/>
        </w:rPr>
        <w:t xml:space="preserve">TS </w:t>
      </w:r>
      <w:r w:rsidR="0083165C" w:rsidRPr="006D055B">
        <w:rPr>
          <w:rFonts w:cs="Arial"/>
        </w:rPr>
        <w:t>in addition to its transition to green energy technology.</w:t>
      </w:r>
      <w:r w:rsidR="000F7511" w:rsidRPr="006D055B">
        <w:rPr>
          <w:rFonts w:cs="Arial"/>
        </w:rPr>
        <w:t xml:space="preserve"> It should maintain strict focus on vertical integration </w:t>
      </w:r>
      <w:r w:rsidR="00C91BB7" w:rsidRPr="006D055B">
        <w:rPr>
          <w:rFonts w:cs="Arial"/>
        </w:rPr>
        <w:t xml:space="preserve">and its core competency while transitioning to </w:t>
      </w:r>
      <w:r w:rsidR="00FD30F1" w:rsidRPr="006D055B">
        <w:rPr>
          <w:rFonts w:cs="Arial"/>
        </w:rPr>
        <w:t xml:space="preserve">manufacturing </w:t>
      </w:r>
      <w:r w:rsidR="00C91BB7" w:rsidRPr="006D055B">
        <w:rPr>
          <w:rFonts w:cs="Arial"/>
        </w:rPr>
        <w:t xml:space="preserve">low-carbon and </w:t>
      </w:r>
      <w:r w:rsidR="00C8723A" w:rsidRPr="006D055B">
        <w:rPr>
          <w:rFonts w:cs="Arial"/>
        </w:rPr>
        <w:t>green</w:t>
      </w:r>
      <w:r w:rsidR="00C91BB7" w:rsidRPr="006D055B">
        <w:rPr>
          <w:rFonts w:cs="Arial"/>
        </w:rPr>
        <w:t xml:space="preserve"> steel products.</w:t>
      </w:r>
    </w:p>
    <w:p w14:paraId="410C12C3" w14:textId="77777777" w:rsidR="00FD25FE" w:rsidRPr="006D055B" w:rsidRDefault="002736A7" w:rsidP="00ED3C77">
      <w:pPr>
        <w:pStyle w:val="Heading2"/>
        <w:spacing w:line="360" w:lineRule="auto"/>
        <w:rPr>
          <w:color w:val="auto"/>
          <w:lang w:val="en-GB"/>
        </w:rPr>
      </w:pPr>
      <w:bookmarkStart w:id="10" w:name="_Toc_2_2"/>
      <w:bookmarkStart w:id="11" w:name="_Toc235702996"/>
      <w:r w:rsidRPr="006D055B">
        <w:rPr>
          <w:color w:val="auto"/>
          <w:lang w:val="en-GB"/>
        </w:rPr>
        <w:t>2.2 Competitive Advantage Through a Lower-Carbon Business Model</w:t>
      </w:r>
      <w:bookmarkEnd w:id="10"/>
      <w:bookmarkEnd w:id="11"/>
    </w:p>
    <w:p w14:paraId="0738A41A" w14:textId="77777777" w:rsidR="007E7E62" w:rsidRPr="006D055B" w:rsidRDefault="002736A7" w:rsidP="00ED3C77">
      <w:pPr>
        <w:spacing w:line="360" w:lineRule="auto"/>
        <w:jc w:val="both"/>
        <w:rPr>
          <w:rFonts w:cs="Arial"/>
        </w:rPr>
      </w:pPr>
      <w:r w:rsidRPr="006D055B">
        <w:rPr>
          <w:rFonts w:cs="Arial"/>
        </w:rPr>
        <w:t xml:space="preserve">Based on the strategic growth recommendations for </w:t>
      </w:r>
      <w:r w:rsidR="001E1DB0" w:rsidRPr="006D055B">
        <w:rPr>
          <w:rFonts w:cs="Arial"/>
        </w:rPr>
        <w:t xml:space="preserve">TS’s </w:t>
      </w:r>
      <w:r w:rsidRPr="006D055B">
        <w:rPr>
          <w:rFonts w:cs="Arial"/>
        </w:rPr>
        <w:t xml:space="preserve">India operations, some real-world examples are presented here in alignment with Porter’s generic strategies to showcase what has been the present positioning of </w:t>
      </w:r>
      <w:r w:rsidR="001E1DB0" w:rsidRPr="006D055B">
        <w:rPr>
          <w:rFonts w:cs="Arial"/>
        </w:rPr>
        <w:t xml:space="preserve">TS </w:t>
      </w:r>
      <w:r w:rsidRPr="006D055B">
        <w:rPr>
          <w:rFonts w:cs="Arial"/>
        </w:rPr>
        <w:t>related to its transition process.</w:t>
      </w:r>
    </w:p>
    <w:p w14:paraId="22FC2415" w14:textId="77777777" w:rsidR="00273D0D" w:rsidRPr="006D055B" w:rsidRDefault="002736A7" w:rsidP="00273D0D">
      <w:pPr>
        <w:spacing w:line="360" w:lineRule="auto"/>
        <w:jc w:val="both"/>
        <w:rPr>
          <w:rFonts w:cs="Arial"/>
        </w:rPr>
      </w:pPr>
      <w:r w:rsidRPr="006D055B">
        <w:rPr>
          <w:rFonts w:cs="Arial"/>
          <w:b/>
          <w:bCs/>
          <w:i/>
          <w:iCs/>
          <w:lang w:val="en-GB"/>
        </w:rPr>
        <w:t>Cost Leadership</w:t>
      </w:r>
      <w:r w:rsidRPr="006D055B">
        <w:rPr>
          <w:rFonts w:cs="Arial"/>
          <w:b/>
          <w:bCs/>
          <w:lang w:val="en-GB"/>
        </w:rPr>
        <w:t xml:space="preserve">- </w:t>
      </w:r>
      <w:r w:rsidR="001E1DB0" w:rsidRPr="006D055B">
        <w:rPr>
          <w:rFonts w:cs="Arial"/>
        </w:rPr>
        <w:t xml:space="preserve">TS </w:t>
      </w:r>
      <w:r w:rsidRPr="006D055B">
        <w:rPr>
          <w:rFonts w:cs="Arial"/>
        </w:rPr>
        <w:t xml:space="preserve">is highly committed to decreasing its carbon footprint in its production activities and throughout the life cycle of its products in its Indian operations. Regarding its Indian operations, it is one of the first companies in the domain to endorse TCFD, i.e. Task Force on Climate-related Financial Disclosures (TS-CA, 2025). The Executive Director and Chief Financial Officer </w:t>
      </w:r>
      <w:proofErr w:type="gramStart"/>
      <w:r w:rsidRPr="006D055B">
        <w:rPr>
          <w:rFonts w:cs="Arial"/>
        </w:rPr>
        <w:t>are considered to be</w:t>
      </w:r>
      <w:proofErr w:type="gramEnd"/>
      <w:r w:rsidRPr="006D055B">
        <w:rPr>
          <w:rFonts w:cs="Arial"/>
        </w:rPr>
        <w:t xml:space="preserve"> members of the Task Force. The intention of </w:t>
      </w:r>
      <w:r w:rsidR="001E1DB0" w:rsidRPr="006D055B">
        <w:rPr>
          <w:rFonts w:cs="Arial"/>
        </w:rPr>
        <w:t>TS</w:t>
      </w:r>
      <w:r w:rsidRPr="006D055B">
        <w:rPr>
          <w:rFonts w:cs="Arial"/>
        </w:rPr>
        <w:t xml:space="preserve"> with this Task Force is to strengthen </w:t>
      </w:r>
      <w:r w:rsidRPr="006D055B">
        <w:rPr>
          <w:rFonts w:cs="Arial"/>
        </w:rPr>
        <w:t xml:space="preserve">its production process, improve the supply chain, internal governance and policy advocacy for proper facilitation of a low-carbon future (TS-CA, 2025). For its Indian operations, the target set by </w:t>
      </w:r>
      <w:r w:rsidR="001E1DB0" w:rsidRPr="006D055B">
        <w:rPr>
          <w:rFonts w:cs="Arial"/>
        </w:rPr>
        <w:t xml:space="preserve">TS </w:t>
      </w:r>
      <w:r w:rsidRPr="006D055B">
        <w:rPr>
          <w:rFonts w:cs="Arial"/>
        </w:rPr>
        <w:t>is to achieve a CO</w:t>
      </w:r>
      <w:r w:rsidRPr="006D055B">
        <w:rPr>
          <w:rFonts w:cs="Arial"/>
          <w:vertAlign w:val="subscript"/>
        </w:rPr>
        <w:t>2</w:t>
      </w:r>
      <w:r w:rsidRPr="006D055B">
        <w:rPr>
          <w:rFonts w:cs="Arial"/>
        </w:rPr>
        <w:t> emission intensity of &lt;2 tCO</w:t>
      </w:r>
      <w:r w:rsidRPr="006D055B">
        <w:rPr>
          <w:rFonts w:cs="Arial"/>
          <w:vertAlign w:val="subscript"/>
        </w:rPr>
        <w:t>2</w:t>
      </w:r>
      <w:r w:rsidRPr="006D055B">
        <w:rPr>
          <w:rFonts w:cs="Arial"/>
        </w:rPr>
        <w:t>/</w:t>
      </w:r>
      <w:proofErr w:type="spellStart"/>
      <w:r w:rsidRPr="006D055B">
        <w:rPr>
          <w:rFonts w:cs="Arial"/>
        </w:rPr>
        <w:t>tcs</w:t>
      </w:r>
      <w:proofErr w:type="spellEnd"/>
      <w:r w:rsidRPr="006D055B">
        <w:rPr>
          <w:rFonts w:cs="Arial"/>
        </w:rPr>
        <w:t xml:space="preserve"> and &lt;1.8 tCO</w:t>
      </w:r>
      <w:r w:rsidRPr="006D055B">
        <w:rPr>
          <w:rFonts w:cs="Arial"/>
          <w:vertAlign w:val="subscript"/>
        </w:rPr>
        <w:t>2</w:t>
      </w:r>
      <w:r w:rsidRPr="006D055B">
        <w:rPr>
          <w:rFonts w:cs="Arial"/>
        </w:rPr>
        <w:t>/</w:t>
      </w:r>
      <w:proofErr w:type="spellStart"/>
      <w:r w:rsidRPr="006D055B">
        <w:rPr>
          <w:rFonts w:cs="Arial"/>
        </w:rPr>
        <w:t>tcs</w:t>
      </w:r>
      <w:proofErr w:type="spellEnd"/>
      <w:r w:rsidRPr="006D055B">
        <w:rPr>
          <w:rFonts w:cs="Arial"/>
        </w:rPr>
        <w:t xml:space="preserve"> by 2025 and 2030, respectively (TS-CA, 2025). This is in alignment with </w:t>
      </w:r>
      <w:r w:rsidR="001E1DB0" w:rsidRPr="006D055B">
        <w:rPr>
          <w:rFonts w:cs="Arial"/>
        </w:rPr>
        <w:t xml:space="preserve">TS’s </w:t>
      </w:r>
      <w:r w:rsidRPr="006D055B">
        <w:rPr>
          <w:rFonts w:cs="Arial"/>
        </w:rPr>
        <w:t>Indian business operations of increasing steel consumption, a varying policy landscape without decreasing its market share.</w:t>
      </w:r>
    </w:p>
    <w:p w14:paraId="3E00FAAB" w14:textId="77777777" w:rsidR="00273D0D" w:rsidRPr="006D055B" w:rsidRDefault="002736A7" w:rsidP="00273D0D">
      <w:pPr>
        <w:spacing w:line="360" w:lineRule="auto"/>
        <w:jc w:val="both"/>
        <w:rPr>
          <w:rFonts w:cs="Arial"/>
        </w:rPr>
      </w:pPr>
      <w:r w:rsidRPr="006D055B">
        <w:rPr>
          <w:rFonts w:cs="Arial"/>
          <w:b/>
          <w:bCs/>
          <w:i/>
          <w:iCs/>
          <w:lang w:val="en-GB"/>
        </w:rPr>
        <w:t>Differentiation</w:t>
      </w:r>
      <w:r w:rsidRPr="006D055B">
        <w:rPr>
          <w:rFonts w:cs="Arial"/>
          <w:b/>
          <w:bCs/>
          <w:lang w:val="en-GB"/>
        </w:rPr>
        <w:t xml:space="preserve">- </w:t>
      </w:r>
      <w:r w:rsidRPr="006D055B">
        <w:rPr>
          <w:rFonts w:cs="Arial"/>
        </w:rPr>
        <w:t xml:space="preserve">As the natural environment needs immediate decrease of carbon emissions, an example of a step undertaken by </w:t>
      </w:r>
      <w:r w:rsidR="001E1DB0" w:rsidRPr="006D055B">
        <w:rPr>
          <w:rFonts w:cs="Arial"/>
        </w:rPr>
        <w:t xml:space="preserve">TS </w:t>
      </w:r>
      <w:r w:rsidRPr="006D055B">
        <w:rPr>
          <w:rFonts w:cs="Arial"/>
        </w:rPr>
        <w:t xml:space="preserve">for its Indian operations is that of transitioning to biochar injection and EAFs, which are renewably sourced. </w:t>
      </w:r>
      <w:r w:rsidR="001E1DB0" w:rsidRPr="006D055B">
        <w:rPr>
          <w:rFonts w:cs="Arial"/>
        </w:rPr>
        <w:t xml:space="preserve">TS </w:t>
      </w:r>
      <w:r w:rsidRPr="006D055B">
        <w:rPr>
          <w:rFonts w:cs="Arial"/>
        </w:rPr>
        <w:t xml:space="preserve">intends to expand this feature across its global operations (TS-News, 2024). </w:t>
      </w:r>
      <w:r w:rsidR="001E1DB0" w:rsidRPr="006D055B">
        <w:rPr>
          <w:rFonts w:cs="Arial"/>
        </w:rPr>
        <w:t xml:space="preserve">TS </w:t>
      </w:r>
      <w:r w:rsidRPr="006D055B">
        <w:rPr>
          <w:rFonts w:cs="Arial"/>
        </w:rPr>
        <w:t xml:space="preserve">had upgraded air pollution control equipment for its Jamshedpur operations in the Indian state of Jharkhand, which has resulted in a 25% decrease in dust emissions in 2019-2020 compared to 2016-17 (TS-Sustainability, 2020). The pollution control system's operations from </w:t>
      </w:r>
      <w:r w:rsidR="001E1DB0" w:rsidRPr="006D055B">
        <w:rPr>
          <w:rFonts w:cs="Arial"/>
        </w:rPr>
        <w:t xml:space="preserve">TS’s </w:t>
      </w:r>
      <w:proofErr w:type="spellStart"/>
      <w:r w:rsidRPr="006D055B">
        <w:rPr>
          <w:rFonts w:cs="Arial"/>
        </w:rPr>
        <w:t>Kalinganagar</w:t>
      </w:r>
      <w:proofErr w:type="spellEnd"/>
      <w:r w:rsidRPr="006D055B">
        <w:rPr>
          <w:rFonts w:cs="Arial"/>
        </w:rPr>
        <w:t xml:space="preserve"> operations also had a positive impact in terms of decreased dust emissions since the start of operations in 2016-2017 (TS-Sustainability, 2020). The use of the Carbon Capture and Use (CCU) technology at its Jamshedpur steel plant and ferro chrome plant located in </w:t>
      </w:r>
      <w:proofErr w:type="spellStart"/>
      <w:r w:rsidRPr="006D055B">
        <w:rPr>
          <w:rFonts w:cs="Arial"/>
        </w:rPr>
        <w:t>Bamnipal</w:t>
      </w:r>
      <w:proofErr w:type="spellEnd"/>
      <w:r w:rsidRPr="006D055B">
        <w:rPr>
          <w:rFonts w:cs="Arial"/>
        </w:rPr>
        <w:t xml:space="preserve"> of the Indian state of Odisha has helped in the transformation of greenhouse gas (GHG) into a sustainable resource so as to promote a circular carbon economy and mitigate climate risks (TS-Sustainability, 2020). </w:t>
      </w:r>
      <w:r w:rsidR="001E1DB0" w:rsidRPr="006D055B">
        <w:rPr>
          <w:rFonts w:cs="Arial"/>
        </w:rPr>
        <w:t xml:space="preserve">TS </w:t>
      </w:r>
      <w:r w:rsidRPr="006D055B">
        <w:rPr>
          <w:rFonts w:cs="Arial"/>
        </w:rPr>
        <w:t xml:space="preserve">is one of the pioneers of maximising scrap utilisation in </w:t>
      </w:r>
      <w:proofErr w:type="gramStart"/>
      <w:r w:rsidRPr="006D055B">
        <w:rPr>
          <w:rFonts w:cs="Arial"/>
        </w:rPr>
        <w:t>steel-making</w:t>
      </w:r>
      <w:proofErr w:type="gramEnd"/>
      <w:r w:rsidRPr="006D055B">
        <w:rPr>
          <w:rFonts w:cs="Arial"/>
        </w:rPr>
        <w:t xml:space="preserve"> among Indian organisations, showcasing its efforts to properly balance both the natural environment and other regulatory factors.</w:t>
      </w:r>
    </w:p>
    <w:p w14:paraId="469D3F13" w14:textId="75234ACF" w:rsidR="00273D0D" w:rsidRPr="006D055B" w:rsidRDefault="002736A7" w:rsidP="00273D0D">
      <w:pPr>
        <w:spacing w:line="360" w:lineRule="auto"/>
        <w:jc w:val="both"/>
        <w:rPr>
          <w:rFonts w:cs="Arial"/>
        </w:rPr>
      </w:pPr>
      <w:r w:rsidRPr="006D055B">
        <w:rPr>
          <w:rFonts w:cs="Arial"/>
          <w:b/>
          <w:bCs/>
          <w:i/>
          <w:iCs/>
          <w:lang w:val="en-GB"/>
        </w:rPr>
        <w:t>Focus</w:t>
      </w:r>
      <w:r w:rsidRPr="006D055B">
        <w:rPr>
          <w:rFonts w:cs="Arial"/>
          <w:b/>
          <w:bCs/>
          <w:lang w:val="en-GB"/>
        </w:rPr>
        <w:t xml:space="preserve">- </w:t>
      </w:r>
      <w:r w:rsidRPr="006D055B">
        <w:rPr>
          <w:rFonts w:cs="Arial"/>
        </w:rPr>
        <w:t xml:space="preserve">Steel making being an energy-intensive sector has prompted </w:t>
      </w:r>
      <w:r w:rsidR="001E1DB0" w:rsidRPr="006D055B">
        <w:rPr>
          <w:rFonts w:cs="Arial"/>
        </w:rPr>
        <w:t xml:space="preserve">TS </w:t>
      </w:r>
      <w:r w:rsidRPr="006D055B">
        <w:rPr>
          <w:rFonts w:cs="Arial"/>
        </w:rPr>
        <w:t xml:space="preserve">to partner with Tata Power Renewable Energy Ltd for the establishment of a 966MW solar-wind hybrid renewable power capacity. This captive power capacity of </w:t>
      </w:r>
      <w:r w:rsidR="001E1DB0" w:rsidRPr="006D055B">
        <w:rPr>
          <w:rFonts w:cs="Arial"/>
        </w:rPr>
        <w:t xml:space="preserve">TS </w:t>
      </w:r>
      <w:r w:rsidRPr="006D055B">
        <w:rPr>
          <w:rFonts w:cs="Arial"/>
        </w:rPr>
        <w:t>is built as a part of the company's sustainability initiative and mainly to meet 379MW of its power requirement, which will facilitate 2 million tonnes of CO2 emissions reductions on an annual basis</w:t>
      </w:r>
      <w:r w:rsidR="000B706F" w:rsidRPr="006D055B">
        <w:rPr>
          <w:rFonts w:cs="Arial"/>
        </w:rPr>
        <w:t xml:space="preserve"> (TAM, 2024)</w:t>
      </w:r>
      <w:r w:rsidRPr="006D055B">
        <w:rPr>
          <w:rFonts w:cs="Arial"/>
        </w:rPr>
        <w:t xml:space="preserve">. As an effort towards biodiversity conservation, it has developed 17 sites as part of Biodiversity Management Plans, with one being </w:t>
      </w:r>
      <w:r w:rsidR="001E1DB0" w:rsidRPr="006D055B">
        <w:rPr>
          <w:rFonts w:cs="Arial"/>
        </w:rPr>
        <w:t xml:space="preserve">the TS </w:t>
      </w:r>
      <w:r w:rsidRPr="006D055B">
        <w:rPr>
          <w:rFonts w:cs="Arial"/>
        </w:rPr>
        <w:t>plant in Jharia, where bamboo plantation is done on leasehold and barren community land extending up to 110 acres</w:t>
      </w:r>
      <w:r w:rsidR="000B706F" w:rsidRPr="006D055B">
        <w:rPr>
          <w:rFonts w:cs="Arial"/>
        </w:rPr>
        <w:t xml:space="preserve"> (TAM, 2024)</w:t>
      </w:r>
      <w:r w:rsidRPr="006D055B">
        <w:rPr>
          <w:rFonts w:cs="Arial"/>
        </w:rPr>
        <w:t xml:space="preserve">. In </w:t>
      </w:r>
      <w:proofErr w:type="spellStart"/>
      <w:r w:rsidRPr="006D055B">
        <w:rPr>
          <w:rFonts w:cs="Arial"/>
        </w:rPr>
        <w:t>Gamharia's</w:t>
      </w:r>
      <w:proofErr w:type="spellEnd"/>
      <w:r w:rsidRPr="006D055B">
        <w:rPr>
          <w:rFonts w:cs="Arial"/>
        </w:rPr>
        <w:t xml:space="preserve"> </w:t>
      </w:r>
      <w:r w:rsidR="001E1DB0" w:rsidRPr="006D055B">
        <w:rPr>
          <w:rFonts w:cs="Arial"/>
        </w:rPr>
        <w:t xml:space="preserve">TS </w:t>
      </w:r>
      <w:r w:rsidRPr="006D055B">
        <w:rPr>
          <w:rFonts w:cs="Arial"/>
        </w:rPr>
        <w:t>plant, a 30-acre barren ash mound within plant premises was converted into a biodiversity park with 25000 plants and shrubs</w:t>
      </w:r>
      <w:r w:rsidR="000B706F" w:rsidRPr="006D055B">
        <w:rPr>
          <w:rFonts w:cs="Arial"/>
        </w:rPr>
        <w:t xml:space="preserve"> (TAM, 2024)</w:t>
      </w:r>
      <w:r w:rsidRPr="006D055B">
        <w:rPr>
          <w:rFonts w:cs="Arial"/>
        </w:rPr>
        <w:t xml:space="preserve">. Also, a 1-acre water body was built in the </w:t>
      </w:r>
      <w:proofErr w:type="spellStart"/>
      <w:r w:rsidRPr="006D055B">
        <w:rPr>
          <w:rFonts w:cs="Arial"/>
        </w:rPr>
        <w:t>Sidhgora</w:t>
      </w:r>
      <w:proofErr w:type="spellEnd"/>
      <w:r w:rsidRPr="006D055B">
        <w:rPr>
          <w:rFonts w:cs="Arial"/>
        </w:rPr>
        <w:t xml:space="preserve"> area of Jamshedpur's steel plant, with a capacity of 10 million litres of water for catering to the water requirements of nearby community people</w:t>
      </w:r>
      <w:r w:rsidR="000B706F" w:rsidRPr="006D055B">
        <w:rPr>
          <w:rFonts w:cs="Arial"/>
        </w:rPr>
        <w:t xml:space="preserve"> (TAM, 2024)</w:t>
      </w:r>
      <w:r w:rsidRPr="006D055B">
        <w:rPr>
          <w:rFonts w:cs="Arial"/>
        </w:rPr>
        <w:t xml:space="preserve">. These are examples of some of the sustainability initiatives undertaken by </w:t>
      </w:r>
      <w:r w:rsidR="001E1DB0" w:rsidRPr="006D055B">
        <w:rPr>
          <w:rFonts w:cs="Arial"/>
        </w:rPr>
        <w:t xml:space="preserve">TS </w:t>
      </w:r>
      <w:r w:rsidRPr="006D055B">
        <w:rPr>
          <w:rFonts w:cs="Arial"/>
        </w:rPr>
        <w:t>in India.</w:t>
      </w:r>
    </w:p>
    <w:p w14:paraId="4BA4A9D4" w14:textId="77777777" w:rsidR="00CF208B" w:rsidRPr="006D055B" w:rsidRDefault="002736A7" w:rsidP="00CF208B">
      <w:pPr>
        <w:pStyle w:val="Heading1"/>
        <w:rPr>
          <w:rFonts w:cs="Arial"/>
          <w:color w:val="auto"/>
        </w:rPr>
      </w:pPr>
      <w:bookmarkStart w:id="12" w:name="_Toc235702997"/>
      <w:r w:rsidRPr="006D055B">
        <w:rPr>
          <w:rFonts w:cs="Arial"/>
          <w:color w:val="auto"/>
        </w:rPr>
        <w:t>3.</w:t>
      </w:r>
      <w:r w:rsidR="004300B7" w:rsidRPr="006D055B">
        <w:rPr>
          <w:rFonts w:cs="Arial"/>
          <w:color w:val="auto"/>
        </w:rPr>
        <w:t>0</w:t>
      </w:r>
      <w:r w:rsidRPr="006D055B">
        <w:rPr>
          <w:rFonts w:cs="Arial"/>
          <w:color w:val="auto"/>
        </w:rPr>
        <w:t xml:space="preserve"> Task 3: Critical Reflection on AI Usage</w:t>
      </w:r>
      <w:bookmarkEnd w:id="12"/>
      <w:r w:rsidRPr="006D055B">
        <w:rPr>
          <w:rFonts w:cs="Arial"/>
          <w:color w:val="auto"/>
        </w:rPr>
        <w:t xml:space="preserve"> </w:t>
      </w:r>
    </w:p>
    <w:p w14:paraId="07140488" w14:textId="77777777" w:rsidR="00027071" w:rsidRPr="006D055B" w:rsidRDefault="002736A7" w:rsidP="0086127A">
      <w:pPr>
        <w:pStyle w:val="Heading2"/>
        <w:spacing w:line="360" w:lineRule="auto"/>
        <w:rPr>
          <w:rFonts w:cs="Arial"/>
          <w:color w:val="auto"/>
        </w:rPr>
      </w:pPr>
      <w:bookmarkStart w:id="13" w:name="_Toc235702998"/>
      <w:r w:rsidRPr="006D055B">
        <w:rPr>
          <w:rFonts w:cs="Arial"/>
          <w:color w:val="auto"/>
        </w:rPr>
        <w:t>3.1 Tool Disclosure</w:t>
      </w:r>
      <w:bookmarkEnd w:id="13"/>
    </w:p>
    <w:p w14:paraId="25FE9912" w14:textId="77777777" w:rsidR="00361E66" w:rsidRPr="006D055B" w:rsidRDefault="002736A7" w:rsidP="0086127A">
      <w:pPr>
        <w:spacing w:line="360" w:lineRule="auto"/>
        <w:jc w:val="both"/>
        <w:rPr>
          <w:rFonts w:cs="Arial"/>
        </w:rPr>
      </w:pPr>
      <w:r w:rsidRPr="006D055B">
        <w:rPr>
          <w:rFonts w:cs="Arial"/>
        </w:rPr>
        <w:t>This marketing environment analysis is done with the help of the generative AI tool ChatGPT. The tool has been used for doing supplementary research that involved identifying narrowed-down content based on which academic references and other sources were searched. The tool was used for understanding the basic concept of the natural environment and regulatory factors impacting the TS operations in India. The use of the ChatGPT tool remained supportive throughout the assessment, with all the content written i</w:t>
      </w:r>
      <w:r w:rsidRPr="006D055B">
        <w:rPr>
          <w:rFonts w:cs="Arial"/>
        </w:rPr>
        <w:t>n this analysis being completely original and written by the author. Along with ChatGPT, the application of another AI tool used here is the Grammarly platform. The use of the Grammarly platform has been done purely for correcting the grammatical errors, on a section-wise basis.</w:t>
      </w:r>
    </w:p>
    <w:p w14:paraId="3342FBD7" w14:textId="77777777" w:rsidR="00027071" w:rsidRPr="006D055B" w:rsidRDefault="002736A7" w:rsidP="0086127A">
      <w:pPr>
        <w:pStyle w:val="Heading2"/>
        <w:spacing w:line="360" w:lineRule="auto"/>
        <w:rPr>
          <w:rFonts w:cs="Arial"/>
          <w:color w:val="auto"/>
        </w:rPr>
      </w:pPr>
      <w:bookmarkStart w:id="14" w:name="_Toc235702999"/>
      <w:r w:rsidRPr="006D055B">
        <w:rPr>
          <w:rFonts w:cs="Arial"/>
          <w:color w:val="auto"/>
        </w:rPr>
        <w:t>3.2 Critical Evaluation of AI Output</w:t>
      </w:r>
      <w:bookmarkEnd w:id="14"/>
    </w:p>
    <w:p w14:paraId="2BC438B4" w14:textId="77777777" w:rsidR="00BA62F4" w:rsidRPr="006D055B" w:rsidRDefault="002736A7" w:rsidP="0086127A">
      <w:pPr>
        <w:spacing w:line="360" w:lineRule="auto"/>
        <w:jc w:val="both"/>
      </w:pPr>
      <w:r w:rsidRPr="006D055B">
        <w:t>It is important to specifically mention here that the use of the ChatGPT tool was done for generating outputs, but none of these was simply copied or pasted; instead, each of the prompt responses was verified with supporting academic, website, news article or journal article evidence. This helped keep away inaccurate or fabricated data related to TS, which is commonly termed as ‘</w:t>
      </w:r>
      <w:r w:rsidRPr="006D055B">
        <w:rPr>
          <w:i/>
          <w:iCs/>
        </w:rPr>
        <w:t xml:space="preserve">Hallucinations’. </w:t>
      </w:r>
      <w:proofErr w:type="gramStart"/>
      <w:r w:rsidRPr="006D055B">
        <w:t>The majority of</w:t>
      </w:r>
      <w:proofErr w:type="gramEnd"/>
      <w:r w:rsidRPr="006D055B">
        <w:t xml:space="preserve"> the references used here are from TS's official website, sustainability reports and news articles, while framework-related content is supported by journal articles.</w:t>
      </w:r>
      <w:r w:rsidR="0086127A" w:rsidRPr="006D055B">
        <w:t xml:space="preserve"> Whenever the content from ChatGPT-generated references was unavailable, it was removed and double-checked to rewrite the content well supported by references from the Google Scholar database.</w:t>
      </w:r>
    </w:p>
    <w:p w14:paraId="21C023D0" w14:textId="77777777" w:rsidR="00027071" w:rsidRPr="006D055B" w:rsidRDefault="002736A7" w:rsidP="0086127A">
      <w:pPr>
        <w:pStyle w:val="Heading2"/>
        <w:spacing w:line="360" w:lineRule="auto"/>
        <w:rPr>
          <w:rFonts w:cs="Arial"/>
          <w:color w:val="auto"/>
        </w:rPr>
      </w:pPr>
      <w:bookmarkStart w:id="15" w:name="_Toc235703000"/>
      <w:r w:rsidRPr="006D055B">
        <w:rPr>
          <w:rFonts w:cs="Arial"/>
          <w:color w:val="auto"/>
        </w:rPr>
        <w:t>3.3 Contribution Analysis</w:t>
      </w:r>
      <w:bookmarkEnd w:id="15"/>
    </w:p>
    <w:p w14:paraId="632AB4E8" w14:textId="77777777" w:rsidR="004300B7" w:rsidRPr="006D055B" w:rsidRDefault="002736A7" w:rsidP="004300B7">
      <w:pPr>
        <w:spacing w:line="360" w:lineRule="auto"/>
        <w:jc w:val="both"/>
      </w:pPr>
      <w:r w:rsidRPr="006D055B">
        <w:t xml:space="preserve">The use of the ChatGPT tool was not done here for structuring the analysis assessment but for getting responses to section-wise requirements. For example, the main understanding of Ansoff matrix and Porter's Generic strategies for Task 2 was collected from the ChatGPT tool, but the facts aligning with respective parts of these </w:t>
      </w:r>
      <w:r w:rsidRPr="006D055B">
        <w:t>frameworks related to TS India operations were collected from external sources. Based on this collected information, the content has been written here in both sections/tasks of the assessment. Moreover, the selection of TS from among the given three companies, evaluation of its natural environment and regulatory factors is done wholly by independent research. In simple words, the application of the ChatGPT tool is done here as an assistant, with critical thinking done by the</w:t>
      </w:r>
      <w:r w:rsidR="00FA3A82" w:rsidRPr="006D055B">
        <w:t xml:space="preserve"> researcher/author</w:t>
      </w:r>
      <w:r w:rsidRPr="006D055B">
        <w:t>.</w:t>
      </w:r>
    </w:p>
    <w:p w14:paraId="786B1A05" w14:textId="77777777" w:rsidR="00027071" w:rsidRPr="006D055B" w:rsidRDefault="002736A7" w:rsidP="0086127A">
      <w:pPr>
        <w:pStyle w:val="Heading2"/>
        <w:spacing w:line="360" w:lineRule="auto"/>
        <w:rPr>
          <w:rFonts w:cs="Arial"/>
          <w:color w:val="auto"/>
        </w:rPr>
      </w:pPr>
      <w:bookmarkStart w:id="16" w:name="_Toc235703001"/>
      <w:r w:rsidRPr="006D055B">
        <w:rPr>
          <w:rFonts w:cs="Arial"/>
          <w:color w:val="auto"/>
        </w:rPr>
        <w:t>3.4 Ethical &amp; Professional Reflection</w:t>
      </w:r>
      <w:bookmarkEnd w:id="16"/>
    </w:p>
    <w:p w14:paraId="3FD227AE" w14:textId="0B76E0DA" w:rsidR="00A62FBA" w:rsidRPr="006D055B" w:rsidRDefault="002736A7" w:rsidP="00192C7A">
      <w:pPr>
        <w:spacing w:line="360" w:lineRule="auto"/>
        <w:jc w:val="both"/>
        <w:rPr>
          <w:rFonts w:cs="Arial"/>
        </w:rPr>
      </w:pPr>
      <w:r w:rsidRPr="006D055B">
        <w:t>There is no denying the fact that making use of AI or generative AI tools while preparing marketing analysis reports or company case studies leads to ethical concerns. These ethical concerns are regarding algorithmic bias, consumer manipulation and lack of transparency (</w:t>
      </w:r>
      <w:r w:rsidR="00064190" w:rsidRPr="006D055B">
        <w:rPr>
          <w:lang w:val="en-GB"/>
        </w:rPr>
        <w:t>Afreen</w:t>
      </w:r>
      <w:r w:rsidR="00064190" w:rsidRPr="006D055B">
        <w:rPr>
          <w:i/>
          <w:iCs/>
        </w:rPr>
        <w:t xml:space="preserve"> et al., </w:t>
      </w:r>
      <w:r w:rsidR="00064190" w:rsidRPr="006D055B">
        <w:t>2025</w:t>
      </w:r>
      <w:r w:rsidRPr="006D055B">
        <w:t xml:space="preserve">). It is important for marketing analysts to balance between </w:t>
      </w:r>
      <w:r w:rsidRPr="006D055B">
        <w:rPr>
          <w:rFonts w:cs="Arial"/>
        </w:rPr>
        <w:t>hyper-personalisation and using analytical frameworks</w:t>
      </w:r>
      <w:r w:rsidR="00D6289A" w:rsidRPr="006D055B">
        <w:rPr>
          <w:rFonts w:cs="Arial"/>
        </w:rPr>
        <w:t xml:space="preserve"> as a part of professional ethics while preparing marketing reports (</w:t>
      </w:r>
      <w:r w:rsidR="00064190" w:rsidRPr="006D055B">
        <w:rPr>
          <w:lang w:val="en-GB"/>
        </w:rPr>
        <w:t>Afreen</w:t>
      </w:r>
      <w:r w:rsidR="00064190" w:rsidRPr="006D055B">
        <w:rPr>
          <w:i/>
          <w:iCs/>
        </w:rPr>
        <w:t xml:space="preserve"> et al., </w:t>
      </w:r>
      <w:r w:rsidR="00064190" w:rsidRPr="006D055B">
        <w:t>2025</w:t>
      </w:r>
      <w:r w:rsidR="00D6289A" w:rsidRPr="006D055B">
        <w:rPr>
          <w:rFonts w:cs="Arial"/>
        </w:rPr>
        <w:t>)</w:t>
      </w:r>
      <w:r w:rsidRPr="006D055B">
        <w:rPr>
          <w:rFonts w:cs="Arial"/>
        </w:rPr>
        <w:t>.</w:t>
      </w:r>
      <w:r w:rsidR="00D6289A" w:rsidRPr="006D055B">
        <w:rPr>
          <w:rFonts w:cs="Arial"/>
        </w:rPr>
        <w:t xml:space="preserve"> This has been strictly followed here </w:t>
      </w:r>
      <w:r w:rsidR="00FA3A82" w:rsidRPr="006D055B">
        <w:rPr>
          <w:rFonts w:cs="Arial"/>
        </w:rPr>
        <w:t xml:space="preserve">by the researcher/author </w:t>
      </w:r>
      <w:r w:rsidR="00D6289A" w:rsidRPr="006D055B">
        <w:rPr>
          <w:rFonts w:cs="Arial"/>
        </w:rPr>
        <w:t>while maintaining ethical standards</w:t>
      </w:r>
      <w:r w:rsidR="00B6021A" w:rsidRPr="006D055B">
        <w:rPr>
          <w:rFonts w:cs="Arial"/>
        </w:rPr>
        <w:t>, as the recommended strategies as per Ansoff matrix findings are an outcome of critical judgement based on independent reading. Hence, the effective use of Generative AI tools has been done here in an accurate and ethical manner while upholding the academic integrity of the presented content.</w:t>
      </w:r>
    </w:p>
    <w:p w14:paraId="7F568585" w14:textId="5559253E" w:rsidR="004E7854" w:rsidRPr="006D055B" w:rsidRDefault="004E7854" w:rsidP="00B16806">
      <w:pPr>
        <w:pStyle w:val="Heading1"/>
        <w:spacing w:line="360" w:lineRule="auto"/>
        <w:rPr>
          <w:color w:val="auto"/>
        </w:rPr>
      </w:pPr>
      <w:bookmarkStart w:id="17" w:name="_Toc235703002"/>
      <w:r w:rsidRPr="006D055B">
        <w:rPr>
          <w:color w:val="auto"/>
        </w:rPr>
        <w:t>Conclusion</w:t>
      </w:r>
      <w:bookmarkEnd w:id="17"/>
      <w:r w:rsidRPr="006D055B">
        <w:rPr>
          <w:color w:val="auto"/>
        </w:rPr>
        <w:t xml:space="preserve"> </w:t>
      </w:r>
    </w:p>
    <w:p w14:paraId="1E7A4917" w14:textId="27BAD401" w:rsidR="00B16806" w:rsidRPr="006D055B" w:rsidRDefault="008E19D6" w:rsidP="00B16806">
      <w:pPr>
        <w:spacing w:line="360" w:lineRule="auto"/>
        <w:jc w:val="both"/>
        <w:rPr>
          <w:rFonts w:cs="Arial"/>
          <w:lang w:val="en-GB"/>
        </w:rPr>
      </w:pPr>
      <w:r w:rsidRPr="006D055B">
        <w:rPr>
          <w:rFonts w:cs="Arial"/>
        </w:rPr>
        <w:t xml:space="preserve">In the end it can be stated that this analysis is a strategic process for evaluating internal and external factors influencing an organisation’s performance. The two factors considered here i.e. natural environmental factors and regulatory factors that have a direct impact on TS (India) operations. </w:t>
      </w:r>
      <w:r w:rsidR="00B16806" w:rsidRPr="006D055B">
        <w:rPr>
          <w:rFonts w:cs="Arial"/>
        </w:rPr>
        <w:t xml:space="preserve">The application of the Ansoff matrix model as a strategic planning tool is done here for validating market penetration and development along with product development as recommended </w:t>
      </w:r>
      <w:r w:rsidR="00B16806" w:rsidRPr="006D055B">
        <w:rPr>
          <w:rFonts w:cs="Arial"/>
          <w:lang w:val="en-GB"/>
        </w:rPr>
        <w:t xml:space="preserve">strategic choices for TS (India) operations. </w:t>
      </w:r>
      <w:r w:rsidR="00B16806" w:rsidRPr="006D055B">
        <w:rPr>
          <w:lang w:val="en-GB"/>
        </w:rPr>
        <w:t xml:space="preserve">The </w:t>
      </w:r>
      <w:proofErr w:type="gramStart"/>
      <w:r w:rsidR="00B16806" w:rsidRPr="006D055B">
        <w:rPr>
          <w:lang w:val="en-GB"/>
        </w:rPr>
        <w:t>manner in which</w:t>
      </w:r>
      <w:proofErr w:type="gramEnd"/>
      <w:r w:rsidR="00B16806" w:rsidRPr="006D055B">
        <w:rPr>
          <w:lang w:val="en-GB"/>
        </w:rPr>
        <w:t xml:space="preserve"> the recommendations can add to competitive advantage of TS while transitioning to lower-carbon business model has </w:t>
      </w:r>
      <w:r w:rsidR="00B90A1A" w:rsidRPr="006D055B">
        <w:rPr>
          <w:lang w:val="en-GB"/>
        </w:rPr>
        <w:t>also</w:t>
      </w:r>
      <w:r w:rsidR="00B16806" w:rsidRPr="006D055B">
        <w:rPr>
          <w:lang w:val="en-GB"/>
        </w:rPr>
        <w:t xml:space="preserve"> been </w:t>
      </w:r>
      <w:r w:rsidR="00B90A1A" w:rsidRPr="006D055B">
        <w:rPr>
          <w:lang w:val="en-GB"/>
        </w:rPr>
        <w:t>discussed</w:t>
      </w:r>
      <w:r w:rsidR="00B16806" w:rsidRPr="006D055B">
        <w:rPr>
          <w:lang w:val="en-GB"/>
        </w:rPr>
        <w:t xml:space="preserve"> here accordingly.</w:t>
      </w:r>
    </w:p>
    <w:p w14:paraId="7FF143D8" w14:textId="5452C4AE" w:rsidR="008E19D6" w:rsidRPr="006D055B" w:rsidRDefault="008E19D6" w:rsidP="008E19D6"/>
    <w:p w14:paraId="7C490D68" w14:textId="77777777" w:rsidR="00A62FBA" w:rsidRPr="006D055B" w:rsidRDefault="00A62FBA" w:rsidP="00A62FBA">
      <w:pPr>
        <w:rPr>
          <w:rFonts w:cs="Arial"/>
        </w:rPr>
      </w:pPr>
    </w:p>
    <w:p w14:paraId="19944EC3" w14:textId="77777777" w:rsidR="00A62FBA" w:rsidRPr="006D055B" w:rsidRDefault="00A62FBA" w:rsidP="00A62FBA">
      <w:pPr>
        <w:rPr>
          <w:rFonts w:cs="Arial"/>
        </w:rPr>
      </w:pPr>
    </w:p>
    <w:p w14:paraId="30E2B6AE" w14:textId="7222C27E" w:rsidR="00064190" w:rsidRPr="006D055B" w:rsidRDefault="002736A7" w:rsidP="00064190">
      <w:pPr>
        <w:pStyle w:val="Heading1"/>
        <w:spacing w:line="360" w:lineRule="auto"/>
        <w:rPr>
          <w:rFonts w:cs="Arial"/>
          <w:color w:val="auto"/>
        </w:rPr>
      </w:pPr>
      <w:bookmarkStart w:id="18" w:name="_Toc235703003"/>
      <w:r w:rsidRPr="006D055B">
        <w:rPr>
          <w:rFonts w:cs="Arial"/>
          <w:color w:val="auto"/>
        </w:rPr>
        <w:t>References</w:t>
      </w:r>
      <w:bookmarkEnd w:id="18"/>
      <w:r w:rsidRPr="006D055B">
        <w:rPr>
          <w:rFonts w:cs="Arial"/>
          <w:color w:val="auto"/>
        </w:rPr>
        <w:t xml:space="preserve"> </w:t>
      </w:r>
    </w:p>
    <w:p w14:paraId="69095697" w14:textId="77777777" w:rsidR="00064190" w:rsidRPr="006D055B" w:rsidRDefault="00064190" w:rsidP="00064190">
      <w:pPr>
        <w:spacing w:line="360" w:lineRule="auto"/>
        <w:jc w:val="both"/>
      </w:pPr>
      <w:r w:rsidRPr="006D055B">
        <w:rPr>
          <w:lang w:val="en-GB"/>
        </w:rPr>
        <w:t xml:space="preserve">Afreen, J., </w:t>
      </w:r>
      <w:proofErr w:type="spellStart"/>
      <w:r w:rsidRPr="006D055B">
        <w:rPr>
          <w:lang w:val="en-GB"/>
        </w:rPr>
        <w:t>Mohaghegh</w:t>
      </w:r>
      <w:proofErr w:type="spellEnd"/>
      <w:r w:rsidRPr="006D055B">
        <w:rPr>
          <w:lang w:val="en-GB"/>
        </w:rPr>
        <w:t xml:space="preserve">, M. and </w:t>
      </w:r>
      <w:proofErr w:type="spellStart"/>
      <w:r w:rsidRPr="006D055B">
        <w:rPr>
          <w:lang w:val="en-GB"/>
        </w:rPr>
        <w:t>Doborjeh</w:t>
      </w:r>
      <w:proofErr w:type="spellEnd"/>
      <w:r w:rsidRPr="006D055B">
        <w:rPr>
          <w:lang w:val="en-GB"/>
        </w:rPr>
        <w:t>, M.</w:t>
      </w:r>
      <w:r w:rsidRPr="006D055B">
        <w:t xml:space="preserve"> (</w:t>
      </w:r>
      <w:r w:rsidRPr="006D055B">
        <w:rPr>
          <w:lang w:val="en-GB"/>
        </w:rPr>
        <w:t>2025</w:t>
      </w:r>
      <w:r w:rsidRPr="006D055B">
        <w:t>)</w:t>
      </w:r>
      <w:r w:rsidRPr="006D055B">
        <w:rPr>
          <w:lang w:val="en-GB"/>
        </w:rPr>
        <w:t xml:space="preserve"> </w:t>
      </w:r>
      <w:r w:rsidRPr="006D055B">
        <w:t>‘</w:t>
      </w:r>
      <w:r w:rsidRPr="006D055B">
        <w:rPr>
          <w:lang w:val="en-GB"/>
        </w:rPr>
        <w:t>Systematic literature review on bias mitigation in generative AI</w:t>
      </w:r>
      <w:r w:rsidRPr="006D055B">
        <w:t>’,</w:t>
      </w:r>
      <w:r w:rsidRPr="006D055B">
        <w:rPr>
          <w:lang w:val="en-GB"/>
        </w:rPr>
        <w:t> </w:t>
      </w:r>
      <w:r w:rsidRPr="006D055B">
        <w:rPr>
          <w:i/>
          <w:iCs/>
          <w:lang w:val="en-GB"/>
        </w:rPr>
        <w:t>AI and Ethics</w:t>
      </w:r>
      <w:r w:rsidRPr="006D055B">
        <w:rPr>
          <w:lang w:val="en-GB"/>
        </w:rPr>
        <w:t>, </w:t>
      </w:r>
      <w:r w:rsidRPr="006D055B">
        <w:rPr>
          <w:i/>
          <w:iCs/>
          <w:lang w:val="en-GB"/>
        </w:rPr>
        <w:t>5</w:t>
      </w:r>
      <w:r w:rsidRPr="006D055B">
        <w:rPr>
          <w:lang w:val="en-GB"/>
        </w:rPr>
        <w:t>(5), pp.4789-4841.</w:t>
      </w:r>
      <w:r w:rsidRPr="006D055B">
        <w:t xml:space="preserve"> Available at: </w:t>
      </w:r>
      <w:hyperlink r:id="rId10" w:history="1">
        <w:r w:rsidRPr="006D055B">
          <w:rPr>
            <w:rStyle w:val="Hyperlink"/>
            <w:color w:val="auto"/>
          </w:rPr>
          <w:t>https://link.springer.com/content/pdf/10.1007/s43681-025-00721-9.pdf</w:t>
        </w:r>
      </w:hyperlink>
      <w:r w:rsidRPr="006D055B">
        <w:t xml:space="preserve"> (Accessed: 22 July 2026). </w:t>
      </w:r>
    </w:p>
    <w:p w14:paraId="264BC3C9" w14:textId="77777777" w:rsidR="00064190" w:rsidRPr="006D055B" w:rsidRDefault="00064190" w:rsidP="00064190">
      <w:pPr>
        <w:spacing w:line="360" w:lineRule="auto"/>
        <w:jc w:val="both"/>
      </w:pPr>
      <w:proofErr w:type="spellStart"/>
      <w:r w:rsidRPr="006D055B">
        <w:t>Alova</w:t>
      </w:r>
      <w:proofErr w:type="spellEnd"/>
      <w:r w:rsidRPr="006D055B">
        <w:t>, G. (2018) ‘Integrating renewables in mining: Review of business models and policy implications’, </w:t>
      </w:r>
      <w:r w:rsidRPr="006D055B">
        <w:rPr>
          <w:i/>
          <w:iCs/>
        </w:rPr>
        <w:t>OECD Development Policy Papers</w:t>
      </w:r>
      <w:r w:rsidRPr="006D055B">
        <w:t xml:space="preserve">, pp. 1-49. Available at: </w:t>
      </w:r>
      <w:hyperlink r:id="rId11" w:history="1">
        <w:r w:rsidRPr="006D055B">
          <w:rPr>
            <w:rStyle w:val="Hyperlink"/>
            <w:color w:val="auto"/>
          </w:rPr>
          <w:t>https://www.oecd.org/content/dam/oecd/en/publications/reports/2018/11/integrating-renewables-in-mining_5288634f/5bbcdeac-en.pdf</w:t>
        </w:r>
      </w:hyperlink>
      <w:r w:rsidRPr="006D055B">
        <w:t xml:space="preserve"> (Accessed: 06 July 2026). </w:t>
      </w:r>
    </w:p>
    <w:p w14:paraId="43A2C332" w14:textId="77777777" w:rsidR="00064190" w:rsidRPr="006D055B" w:rsidRDefault="00064190" w:rsidP="00064190">
      <w:pPr>
        <w:spacing w:line="360" w:lineRule="auto"/>
        <w:jc w:val="both"/>
      </w:pPr>
      <w:r w:rsidRPr="006D055B">
        <w:rPr>
          <w:lang w:val="en-GB"/>
        </w:rPr>
        <w:t xml:space="preserve">Bender, R., Féron, D., Mills, D., Ritter, S., </w:t>
      </w:r>
      <w:proofErr w:type="spellStart"/>
      <w:r w:rsidRPr="006D055B">
        <w:rPr>
          <w:lang w:val="en-GB"/>
        </w:rPr>
        <w:t>Bäßler</w:t>
      </w:r>
      <w:proofErr w:type="spellEnd"/>
      <w:r w:rsidRPr="006D055B">
        <w:rPr>
          <w:lang w:val="en-GB"/>
        </w:rPr>
        <w:t xml:space="preserve">, R., Bettge, D., De Graeve, I., </w:t>
      </w:r>
      <w:proofErr w:type="spellStart"/>
      <w:r w:rsidRPr="006D055B">
        <w:rPr>
          <w:lang w:val="en-GB"/>
        </w:rPr>
        <w:t>Dugstad</w:t>
      </w:r>
      <w:proofErr w:type="spellEnd"/>
      <w:r w:rsidRPr="006D055B">
        <w:rPr>
          <w:lang w:val="en-GB"/>
        </w:rPr>
        <w:t>, A., Grassini, S., Hack, T. and Halama, M.</w:t>
      </w:r>
      <w:r w:rsidRPr="006D055B">
        <w:t xml:space="preserve"> (</w:t>
      </w:r>
      <w:r w:rsidRPr="006D055B">
        <w:rPr>
          <w:lang w:val="en-GB"/>
        </w:rPr>
        <w:t>2022</w:t>
      </w:r>
      <w:r w:rsidRPr="006D055B">
        <w:t>)</w:t>
      </w:r>
      <w:r w:rsidRPr="006D055B">
        <w:rPr>
          <w:lang w:val="en-GB"/>
        </w:rPr>
        <w:t xml:space="preserve"> </w:t>
      </w:r>
      <w:r w:rsidRPr="006D055B">
        <w:t>‘</w:t>
      </w:r>
      <w:r w:rsidRPr="006D055B">
        <w:rPr>
          <w:lang w:val="en-GB"/>
        </w:rPr>
        <w:t>Corrosion challenges towards a sustainable society</w:t>
      </w:r>
      <w:r w:rsidRPr="006D055B">
        <w:t>’,</w:t>
      </w:r>
      <w:r w:rsidRPr="006D055B">
        <w:rPr>
          <w:lang w:val="en-GB"/>
        </w:rPr>
        <w:t> </w:t>
      </w:r>
      <w:r w:rsidRPr="006D055B">
        <w:rPr>
          <w:i/>
          <w:iCs/>
          <w:lang w:val="en-GB"/>
        </w:rPr>
        <w:t>Materials and corrosion</w:t>
      </w:r>
      <w:r w:rsidRPr="006D055B">
        <w:rPr>
          <w:lang w:val="en-GB"/>
        </w:rPr>
        <w:t>, </w:t>
      </w:r>
      <w:r w:rsidRPr="006D055B">
        <w:rPr>
          <w:i/>
          <w:iCs/>
          <w:lang w:val="en-GB"/>
        </w:rPr>
        <w:t>73</w:t>
      </w:r>
      <w:r w:rsidRPr="006D055B">
        <w:rPr>
          <w:lang w:val="en-GB"/>
        </w:rPr>
        <w:t>(11), pp.1730-1751.</w:t>
      </w:r>
      <w:r w:rsidRPr="006D055B">
        <w:t xml:space="preserve"> Available at: </w:t>
      </w:r>
      <w:hyperlink r:id="rId12" w:history="1">
        <w:r w:rsidRPr="006D055B">
          <w:rPr>
            <w:rStyle w:val="Hyperlink"/>
            <w:color w:val="auto"/>
          </w:rPr>
          <w:t>https://onlinelibrary.wiley.com/doi/pdf/10.1002/maco.202213140</w:t>
        </w:r>
      </w:hyperlink>
      <w:r w:rsidRPr="006D055B">
        <w:t xml:space="preserve"> (Accessed: 22 July 2026). </w:t>
      </w:r>
    </w:p>
    <w:p w14:paraId="56273273" w14:textId="77777777" w:rsidR="00064190" w:rsidRPr="006D055B" w:rsidRDefault="00064190" w:rsidP="00064190">
      <w:pPr>
        <w:spacing w:line="360" w:lineRule="auto"/>
        <w:jc w:val="both"/>
      </w:pPr>
      <w:r w:rsidRPr="006D055B">
        <w:rPr>
          <w:lang w:val="en-GB"/>
        </w:rPr>
        <w:t>Kildahl, H., Wang, L., Tong, L. and Ding, Y.</w:t>
      </w:r>
      <w:r w:rsidRPr="006D055B">
        <w:t xml:space="preserve"> (</w:t>
      </w:r>
      <w:r w:rsidRPr="006D055B">
        <w:rPr>
          <w:lang w:val="en-GB"/>
        </w:rPr>
        <w:t>2023</w:t>
      </w:r>
      <w:r w:rsidRPr="006D055B">
        <w:t>)</w:t>
      </w:r>
      <w:r w:rsidRPr="006D055B">
        <w:rPr>
          <w:lang w:val="en-GB"/>
        </w:rPr>
        <w:t xml:space="preserve"> </w:t>
      </w:r>
      <w:r w:rsidRPr="006D055B">
        <w:t>‘</w:t>
      </w:r>
      <w:r w:rsidRPr="006D055B">
        <w:rPr>
          <w:lang w:val="en-GB"/>
        </w:rPr>
        <w:t>Cost effective decarbonisation of blast furnace–basic oxygen furnace steel production through thermochemical sector coupling</w:t>
      </w:r>
      <w:r w:rsidRPr="006D055B">
        <w:t>’,</w:t>
      </w:r>
      <w:r w:rsidRPr="006D055B">
        <w:rPr>
          <w:lang w:val="en-GB"/>
        </w:rPr>
        <w:t> </w:t>
      </w:r>
      <w:r w:rsidRPr="006D055B">
        <w:rPr>
          <w:i/>
          <w:iCs/>
          <w:lang w:val="en-GB"/>
        </w:rPr>
        <w:t>Journal of Cleaner Production</w:t>
      </w:r>
      <w:r w:rsidRPr="006D055B">
        <w:rPr>
          <w:lang w:val="en-GB"/>
        </w:rPr>
        <w:t>, </w:t>
      </w:r>
      <w:r w:rsidRPr="006D055B">
        <w:rPr>
          <w:i/>
          <w:iCs/>
          <w:lang w:val="en-GB"/>
        </w:rPr>
        <w:t>389</w:t>
      </w:r>
      <w:r w:rsidRPr="006D055B">
        <w:rPr>
          <w:lang w:val="en-GB"/>
        </w:rPr>
        <w:t>, p.135963.</w:t>
      </w:r>
      <w:r w:rsidRPr="006D055B">
        <w:t xml:space="preserve"> Available at: </w:t>
      </w:r>
      <w:hyperlink r:id="rId13" w:history="1">
        <w:r w:rsidRPr="006D055B">
          <w:rPr>
            <w:rStyle w:val="Hyperlink"/>
            <w:color w:val="auto"/>
          </w:rPr>
          <w:t>https://www.sciencedirect.com/science/article/pii/S095965262300121X</w:t>
        </w:r>
      </w:hyperlink>
      <w:r w:rsidRPr="006D055B">
        <w:t xml:space="preserve"> (Accessed: 22 July 2026). </w:t>
      </w:r>
    </w:p>
    <w:p w14:paraId="38C74516" w14:textId="77777777" w:rsidR="00064190" w:rsidRPr="006D055B" w:rsidRDefault="00064190" w:rsidP="00064190">
      <w:pPr>
        <w:spacing w:line="360" w:lineRule="auto"/>
        <w:jc w:val="both"/>
      </w:pPr>
      <w:r w:rsidRPr="006D055B">
        <w:t>Leal-</w:t>
      </w:r>
      <w:proofErr w:type="spellStart"/>
      <w:r w:rsidRPr="006D055B">
        <w:t>Arcas</w:t>
      </w:r>
      <w:proofErr w:type="spellEnd"/>
      <w:r w:rsidRPr="006D055B">
        <w:t xml:space="preserve">, R., </w:t>
      </w:r>
      <w:proofErr w:type="spellStart"/>
      <w:r w:rsidRPr="006D055B">
        <w:t>Faktaufon</w:t>
      </w:r>
      <w:proofErr w:type="spellEnd"/>
      <w:r w:rsidRPr="006D055B">
        <w:t xml:space="preserve">, M. and </w:t>
      </w:r>
      <w:proofErr w:type="spellStart"/>
      <w:r w:rsidRPr="006D055B">
        <w:t>Kyprianou</w:t>
      </w:r>
      <w:proofErr w:type="spellEnd"/>
      <w:r w:rsidRPr="006D055B">
        <w:t xml:space="preserve">, A. (2022) ‘A legal exploration of the European Union’s carbon border adjustment mechanism’, </w:t>
      </w:r>
      <w:r w:rsidRPr="006D055B">
        <w:rPr>
          <w:i/>
          <w:iCs/>
        </w:rPr>
        <w:t>European Energy and Environmental Law Review</w:t>
      </w:r>
      <w:r w:rsidRPr="006D055B">
        <w:t>, </w:t>
      </w:r>
      <w:r w:rsidRPr="006D055B">
        <w:rPr>
          <w:i/>
          <w:iCs/>
        </w:rPr>
        <w:t>31</w:t>
      </w:r>
      <w:r w:rsidRPr="006D055B">
        <w:t xml:space="preserve">(4), pp. 223-240. Available at: </w:t>
      </w:r>
      <w:hyperlink r:id="rId14" w:history="1">
        <w:r w:rsidRPr="006D055B">
          <w:rPr>
            <w:rStyle w:val="Hyperlink"/>
            <w:color w:val="auto"/>
          </w:rPr>
          <w:t>https://papers.ssrn.com/sol3/Delivery.cfm?abstractid=3999019</w:t>
        </w:r>
      </w:hyperlink>
      <w:r w:rsidRPr="006D055B">
        <w:t xml:space="preserve"> (Accessed: 06 July 2026). </w:t>
      </w:r>
    </w:p>
    <w:p w14:paraId="4FB238A1" w14:textId="77777777" w:rsidR="00064190" w:rsidRPr="006D055B" w:rsidRDefault="00064190" w:rsidP="00064190">
      <w:pPr>
        <w:spacing w:line="360" w:lineRule="auto"/>
        <w:jc w:val="both"/>
      </w:pPr>
      <w:r w:rsidRPr="006D055B">
        <w:t xml:space="preserve">Nair, A. (2026) </w:t>
      </w:r>
      <w:r w:rsidRPr="006D055B">
        <w:rPr>
          <w:i/>
          <w:iCs/>
        </w:rPr>
        <w:t xml:space="preserve">‘Operating environment has become more challenging in Netherlands,’ says Tata Steel chairman - the </w:t>
      </w:r>
      <w:proofErr w:type="spellStart"/>
      <w:r w:rsidRPr="006D055B">
        <w:rPr>
          <w:i/>
          <w:iCs/>
        </w:rPr>
        <w:t>Hindubusinessline</w:t>
      </w:r>
      <w:proofErr w:type="spellEnd"/>
      <w:r w:rsidRPr="006D055B">
        <w:t xml:space="preserve">. 02 July. Available at: </w:t>
      </w:r>
      <w:hyperlink r:id="rId15" w:history="1">
        <w:r w:rsidRPr="006D055B">
          <w:rPr>
            <w:rStyle w:val="Hyperlink"/>
            <w:color w:val="auto"/>
          </w:rPr>
          <w:t>https://www.thehindubusinessline.com/companies/operating-environment-has-become-more-challenging-in-netherlands-says-tata-steel-chairman/article71174105.ece</w:t>
        </w:r>
      </w:hyperlink>
      <w:r w:rsidRPr="006D055B">
        <w:t xml:space="preserve"> (Accessed: 06 July 2026). </w:t>
      </w:r>
    </w:p>
    <w:p w14:paraId="033357F3" w14:textId="77777777" w:rsidR="00064190" w:rsidRPr="006D055B" w:rsidRDefault="00064190" w:rsidP="00064190">
      <w:pPr>
        <w:spacing w:line="360" w:lineRule="auto"/>
        <w:jc w:val="both"/>
      </w:pPr>
      <w:r w:rsidRPr="006D055B">
        <w:t xml:space="preserve">SH </w:t>
      </w:r>
      <w:proofErr w:type="spellStart"/>
      <w:r w:rsidRPr="006D055B">
        <w:t>Moerenhout</w:t>
      </w:r>
      <w:proofErr w:type="spellEnd"/>
      <w:r w:rsidRPr="006D055B">
        <w:t>, T. (2026) ‘Downstream Diversification of Critical Mineral-Rich Countries’, In </w:t>
      </w:r>
      <w:r w:rsidRPr="006D055B">
        <w:rPr>
          <w:i/>
          <w:iCs/>
        </w:rPr>
        <w:t>Downstream Diversification of Mineral-Rich Countries: Challenges and Opportunities to Add Value in Energy Transition Supply Chains.</w:t>
      </w:r>
      <w:r w:rsidRPr="006D055B">
        <w:t xml:space="preserve"> pp. 1-14. Available at: </w:t>
      </w:r>
      <w:hyperlink r:id="rId16" w:history="1">
        <w:r w:rsidRPr="006D055B">
          <w:rPr>
            <w:rStyle w:val="Hyperlink"/>
            <w:color w:val="auto"/>
          </w:rPr>
          <w:t>https://link.springer.com/content/pdf/10.1007/978-3-032-06139-3_1.pdf</w:t>
        </w:r>
      </w:hyperlink>
      <w:r w:rsidRPr="006D055B">
        <w:t xml:space="preserve">  (Accessed: 06 July 2026). </w:t>
      </w:r>
    </w:p>
    <w:p w14:paraId="63C1C87C" w14:textId="77777777" w:rsidR="00064190" w:rsidRPr="006D055B" w:rsidRDefault="00064190" w:rsidP="00064190">
      <w:pPr>
        <w:spacing w:line="360" w:lineRule="auto"/>
        <w:jc w:val="both"/>
      </w:pPr>
      <w:r w:rsidRPr="006D055B">
        <w:t xml:space="preserve">Sharma, R. (2026) </w:t>
      </w:r>
      <w:r w:rsidRPr="006D055B">
        <w:rPr>
          <w:i/>
          <w:iCs/>
        </w:rPr>
        <w:t>Can the new carbon credit scheme clean up India’s steel sector?</w:t>
      </w:r>
      <w:r w:rsidRPr="006D055B">
        <w:t xml:space="preserve"> Available at: </w:t>
      </w:r>
      <w:hyperlink r:id="rId17" w:history="1">
        <w:r w:rsidRPr="006D055B">
          <w:rPr>
            <w:rStyle w:val="Hyperlink"/>
            <w:color w:val="auto"/>
          </w:rPr>
          <w:t>https://www.facebook.com/BusinessToday/posts/can-the-new-carbon-credit-scheme-clean-up-indias-steel-sector-indias-new-emissio/1502063348634705/</w:t>
        </w:r>
      </w:hyperlink>
      <w:r w:rsidRPr="006D055B">
        <w:t xml:space="preserve"> (Accessed: 22 July 2026). </w:t>
      </w:r>
    </w:p>
    <w:p w14:paraId="1C353AA2" w14:textId="77777777" w:rsidR="00064190" w:rsidRPr="006D055B" w:rsidRDefault="00064190" w:rsidP="00064190">
      <w:pPr>
        <w:spacing w:line="360" w:lineRule="auto"/>
        <w:jc w:val="both"/>
      </w:pPr>
      <w:r w:rsidRPr="006D055B">
        <w:t xml:space="preserve">TAM (2024) </w:t>
      </w:r>
      <w:r w:rsidRPr="006D055B">
        <w:rPr>
          <w:i/>
          <w:iCs/>
        </w:rPr>
        <w:t>How Tata Steel is leading sustainability in the steel sector | The Avenue Mail</w:t>
      </w:r>
      <w:r w:rsidRPr="006D055B">
        <w:t xml:space="preserve">. Available at: </w:t>
      </w:r>
      <w:hyperlink r:id="rId18" w:history="1">
        <w:r w:rsidRPr="006D055B">
          <w:rPr>
            <w:rStyle w:val="Hyperlink"/>
            <w:color w:val="auto"/>
          </w:rPr>
          <w:t>https://avenuemail.in/how-tata-steel-is-leading-sustainability-in-the-steel-sector/</w:t>
        </w:r>
      </w:hyperlink>
      <w:r w:rsidRPr="006D055B">
        <w:t xml:space="preserve"> (Accessed: 22 July 2026). </w:t>
      </w:r>
    </w:p>
    <w:p w14:paraId="41170D74" w14:textId="77777777" w:rsidR="00064190" w:rsidRPr="006D055B" w:rsidRDefault="00064190" w:rsidP="00064190">
      <w:pPr>
        <w:spacing w:line="360" w:lineRule="auto"/>
        <w:jc w:val="both"/>
      </w:pPr>
      <w:r w:rsidRPr="006D055B">
        <w:t xml:space="preserve">TG-Sustainability (2022) </w:t>
      </w:r>
      <w:r w:rsidRPr="006D055B">
        <w:rPr>
          <w:i/>
          <w:iCs/>
        </w:rPr>
        <w:t>Forging Sustainable Steel | Sustainability | Tata Group</w:t>
      </w:r>
      <w:r w:rsidRPr="006D055B">
        <w:t xml:space="preserve">. Available at: </w:t>
      </w:r>
      <w:hyperlink r:id="rId19" w:history="1">
        <w:r w:rsidRPr="006D055B">
          <w:rPr>
            <w:rStyle w:val="Hyperlink"/>
            <w:color w:val="auto"/>
          </w:rPr>
          <w:t>https://www.tata.com/newsroom/business/tata-steel-sustainable-aalingana</w:t>
        </w:r>
      </w:hyperlink>
      <w:r w:rsidRPr="006D055B">
        <w:t xml:space="preserve"> (Accessed: 22 July 2026). </w:t>
      </w:r>
    </w:p>
    <w:p w14:paraId="2C6BE240" w14:textId="77777777" w:rsidR="00064190" w:rsidRPr="006D055B" w:rsidRDefault="00064190" w:rsidP="00064190">
      <w:pPr>
        <w:spacing w:line="360" w:lineRule="auto"/>
        <w:jc w:val="both"/>
      </w:pPr>
      <w:r w:rsidRPr="006D055B">
        <w:t xml:space="preserve">TS-Aashiyana (2025) </w:t>
      </w:r>
      <w:r w:rsidRPr="006D055B">
        <w:rPr>
          <w:i/>
          <w:iCs/>
        </w:rPr>
        <w:t>Tata Steel Launches Aashiyana 3.0, India’s first content-to-commerce homebuilding platform</w:t>
      </w:r>
      <w:r w:rsidRPr="006D055B">
        <w:t xml:space="preserve">. Available at: </w:t>
      </w:r>
      <w:hyperlink r:id="rId20" w:history="1">
        <w:r w:rsidRPr="006D055B">
          <w:rPr>
            <w:rStyle w:val="Hyperlink"/>
            <w:color w:val="auto"/>
          </w:rPr>
          <w:t>https://www.tatasteel.com/newsroom/press-releases/india/2025/tata-steel-launches-aashiyana-30-india-s-first-content-to-commerce-homebuilding-platform/</w:t>
        </w:r>
      </w:hyperlink>
      <w:r w:rsidRPr="006D055B">
        <w:t xml:space="preserve"> (Accessed: 22 July 2026). </w:t>
      </w:r>
    </w:p>
    <w:p w14:paraId="41D37330" w14:textId="77777777" w:rsidR="00064190" w:rsidRPr="006D055B" w:rsidRDefault="00064190" w:rsidP="00064190">
      <w:pPr>
        <w:spacing w:line="360" w:lineRule="auto"/>
        <w:jc w:val="both"/>
      </w:pPr>
      <w:r w:rsidRPr="006D055B">
        <w:t xml:space="preserve">TS-CA (2025) </w:t>
      </w:r>
      <w:r w:rsidRPr="006D055B">
        <w:rPr>
          <w:i/>
          <w:iCs/>
        </w:rPr>
        <w:t>Tata Steel | Climate Action</w:t>
      </w:r>
      <w:r w:rsidRPr="006D055B">
        <w:t xml:space="preserve">. Available at: </w:t>
      </w:r>
      <w:hyperlink r:id="rId21" w:history="1">
        <w:r w:rsidRPr="006D055B">
          <w:rPr>
            <w:rStyle w:val="Hyperlink"/>
            <w:color w:val="auto"/>
          </w:rPr>
          <w:t>https://www.tatasteel.com/sustainability/environment/climate-action/</w:t>
        </w:r>
      </w:hyperlink>
      <w:r w:rsidRPr="006D055B">
        <w:t xml:space="preserve"> (Accessed: 06 July 2026). </w:t>
      </w:r>
    </w:p>
    <w:p w14:paraId="67F6CC48" w14:textId="77777777" w:rsidR="00064190" w:rsidRPr="006D055B" w:rsidRDefault="00064190" w:rsidP="00064190">
      <w:pPr>
        <w:spacing w:line="360" w:lineRule="auto"/>
        <w:jc w:val="both"/>
      </w:pPr>
      <w:r w:rsidRPr="006D055B">
        <w:t xml:space="preserve">TS-ESG (2024) </w:t>
      </w:r>
      <w:r w:rsidRPr="006D055B">
        <w:rPr>
          <w:i/>
          <w:iCs/>
        </w:rPr>
        <w:t>Tata Steel | ESG indicators factsheet</w:t>
      </w:r>
      <w:r w:rsidRPr="006D055B">
        <w:t xml:space="preserve">. Available at: </w:t>
      </w:r>
      <w:hyperlink r:id="rId22" w:history="1">
        <w:r w:rsidRPr="006D055B">
          <w:rPr>
            <w:rStyle w:val="Hyperlink"/>
            <w:color w:val="auto"/>
          </w:rPr>
          <w:t>https://www.tatasteel.com/sustainability/esg-indicators-factsheet/</w:t>
        </w:r>
      </w:hyperlink>
      <w:r w:rsidRPr="006D055B">
        <w:t xml:space="preserve"> (Accessed: 06 July 2026). </w:t>
      </w:r>
    </w:p>
    <w:p w14:paraId="0207C9D1" w14:textId="77777777" w:rsidR="00064190" w:rsidRPr="006D055B" w:rsidRDefault="00064190" w:rsidP="00064190">
      <w:pPr>
        <w:spacing w:line="360" w:lineRule="auto"/>
        <w:jc w:val="both"/>
      </w:pPr>
      <w:r w:rsidRPr="006D055B">
        <w:t xml:space="preserve">TS-GSP (2026) </w:t>
      </w:r>
      <w:r w:rsidRPr="006D055B">
        <w:rPr>
          <w:i/>
          <w:iCs/>
        </w:rPr>
        <w:t>Green Steel Plan | Tata Steel</w:t>
      </w:r>
      <w:r w:rsidRPr="006D055B">
        <w:t xml:space="preserve">. Available at: </w:t>
      </w:r>
      <w:hyperlink r:id="rId23" w:history="1">
        <w:r w:rsidRPr="006D055B">
          <w:rPr>
            <w:rStyle w:val="Hyperlink"/>
            <w:color w:val="auto"/>
          </w:rPr>
          <w:t>https://www.tatasteelnederland.com/en/sustainability/green-steel-plan</w:t>
        </w:r>
      </w:hyperlink>
      <w:r w:rsidRPr="006D055B">
        <w:t xml:space="preserve"> (Accessed: 06 July 2026). </w:t>
      </w:r>
    </w:p>
    <w:p w14:paraId="7FD5FA5D" w14:textId="77777777" w:rsidR="00064190" w:rsidRPr="006D055B" w:rsidRDefault="00064190" w:rsidP="00064190">
      <w:pPr>
        <w:spacing w:line="360" w:lineRule="auto"/>
        <w:jc w:val="both"/>
      </w:pPr>
      <w:r w:rsidRPr="006D055B">
        <w:t xml:space="preserve">TS-News (2024) </w:t>
      </w:r>
      <w:r w:rsidRPr="006D055B">
        <w:rPr>
          <w:i/>
          <w:iCs/>
        </w:rPr>
        <w:t xml:space="preserve">Tata Steel becomes the first Indian steel maker to introduce biochar to lower carbon emissions, </w:t>
      </w:r>
      <w:r w:rsidRPr="006D055B">
        <w:t xml:space="preserve">02 July. Available at: </w:t>
      </w:r>
      <w:hyperlink r:id="rId24" w:history="1">
        <w:r w:rsidRPr="006D055B">
          <w:rPr>
            <w:rStyle w:val="Hyperlink"/>
            <w:color w:val="auto"/>
          </w:rPr>
          <w:t>https://www.tatasteel.com/newsroom/press-releases/india/2024/tata-steel-becomes-the-first-indian-steel-maker-to-introduce-biochar-to-lower-carbon-emissions/</w:t>
        </w:r>
      </w:hyperlink>
      <w:r w:rsidRPr="006D055B">
        <w:t xml:space="preserve"> (Accessed: 06 July 2026). </w:t>
      </w:r>
    </w:p>
    <w:p w14:paraId="4EF2BEC4" w14:textId="77777777" w:rsidR="00064190" w:rsidRPr="006D055B" w:rsidRDefault="00064190" w:rsidP="00064190">
      <w:pPr>
        <w:spacing w:line="360" w:lineRule="auto"/>
        <w:jc w:val="both"/>
      </w:pPr>
      <w:r w:rsidRPr="006D055B">
        <w:t xml:space="preserve">TS-PR (2026) </w:t>
      </w:r>
      <w:r w:rsidRPr="006D055B">
        <w:rPr>
          <w:i/>
          <w:iCs/>
        </w:rPr>
        <w:t xml:space="preserve">Tata Steel recognised as steel sustainability champion by </w:t>
      </w:r>
      <w:proofErr w:type="spellStart"/>
      <w:r w:rsidRPr="006D055B">
        <w:rPr>
          <w:i/>
          <w:iCs/>
        </w:rPr>
        <w:t>Worldsteel</w:t>
      </w:r>
      <w:proofErr w:type="spellEnd"/>
      <w:r w:rsidRPr="006D055B">
        <w:rPr>
          <w:i/>
          <w:iCs/>
        </w:rPr>
        <w:t xml:space="preserve"> for the ninth consecutive year</w:t>
      </w:r>
      <w:r w:rsidRPr="006D055B">
        <w:t xml:space="preserve">. Available at: </w:t>
      </w:r>
      <w:hyperlink r:id="rId25" w:history="1">
        <w:r w:rsidRPr="006D055B">
          <w:rPr>
            <w:rStyle w:val="Hyperlink"/>
            <w:color w:val="auto"/>
          </w:rPr>
          <w:t>https://www.tatasteel.com/newsroom/press-releases/india/2026/tata-steel-recognised-as-steel-sustainability-champion-by-worldsteel-for-the-ninth-consecutive-year/</w:t>
        </w:r>
      </w:hyperlink>
      <w:r w:rsidRPr="006D055B">
        <w:t xml:space="preserve"> (Accessed: 22 July 2026). </w:t>
      </w:r>
    </w:p>
    <w:p w14:paraId="518D5538" w14:textId="77777777" w:rsidR="00064190" w:rsidRPr="006D055B" w:rsidRDefault="00064190" w:rsidP="00064190">
      <w:pPr>
        <w:spacing w:line="360" w:lineRule="auto"/>
        <w:jc w:val="both"/>
      </w:pPr>
      <w:r w:rsidRPr="006D055B">
        <w:t xml:space="preserve">TS-Profile (2025) </w:t>
      </w:r>
      <w:r w:rsidRPr="006D055B">
        <w:rPr>
          <w:i/>
          <w:iCs/>
        </w:rPr>
        <w:t>Tata Steel | Company Profile &amp; Details</w:t>
      </w:r>
      <w:r w:rsidRPr="006D055B">
        <w:t xml:space="preserve">. Available at: </w:t>
      </w:r>
      <w:hyperlink r:id="rId26" w:history="1">
        <w:r w:rsidRPr="006D055B">
          <w:rPr>
            <w:rStyle w:val="Hyperlink"/>
            <w:color w:val="auto"/>
          </w:rPr>
          <w:t>https://www.tatasteel.com/corporate/our-organisation/company-profile/</w:t>
        </w:r>
      </w:hyperlink>
      <w:r w:rsidRPr="006D055B">
        <w:t xml:space="preserve"> (Accessed: 22 July 2026). </w:t>
      </w:r>
    </w:p>
    <w:p w14:paraId="360B3463" w14:textId="77777777" w:rsidR="00064190" w:rsidRPr="006D055B" w:rsidRDefault="00064190" w:rsidP="00064190">
      <w:pPr>
        <w:spacing w:line="360" w:lineRule="auto"/>
        <w:jc w:val="both"/>
      </w:pPr>
      <w:r w:rsidRPr="006D055B">
        <w:t>TS-</w:t>
      </w:r>
      <w:proofErr w:type="spellStart"/>
      <w:r w:rsidRPr="006D055B">
        <w:t>Shaktee</w:t>
      </w:r>
      <w:proofErr w:type="spellEnd"/>
      <w:r w:rsidRPr="006D055B">
        <w:t xml:space="preserve"> (2026) </w:t>
      </w:r>
      <w:r w:rsidRPr="006D055B">
        <w:rPr>
          <w:i/>
          <w:iCs/>
        </w:rPr>
        <w:t xml:space="preserve">Tata </w:t>
      </w:r>
      <w:proofErr w:type="spellStart"/>
      <w:r w:rsidRPr="006D055B">
        <w:rPr>
          <w:i/>
          <w:iCs/>
        </w:rPr>
        <w:t>Shaktee</w:t>
      </w:r>
      <w:proofErr w:type="spellEnd"/>
      <w:r w:rsidRPr="006D055B">
        <w:rPr>
          <w:i/>
          <w:iCs/>
        </w:rPr>
        <w:t xml:space="preserve"> - best Galvanized Roofing Sheets | Tata Steel</w:t>
      </w:r>
      <w:r w:rsidRPr="006D055B">
        <w:t xml:space="preserve">. Available at: </w:t>
      </w:r>
      <w:hyperlink r:id="rId27" w:history="1">
        <w:r w:rsidRPr="006D055B">
          <w:rPr>
            <w:rStyle w:val="Hyperlink"/>
            <w:color w:val="auto"/>
          </w:rPr>
          <w:t>https://www.tatasteel.com/products-solutions/india/products/tata-shaktee/</w:t>
        </w:r>
      </w:hyperlink>
      <w:r w:rsidRPr="006D055B">
        <w:t xml:space="preserve"> (Accessed: 22 July 2026). </w:t>
      </w:r>
    </w:p>
    <w:p w14:paraId="66E59B25" w14:textId="77777777" w:rsidR="00064190" w:rsidRPr="006D055B" w:rsidRDefault="00064190" w:rsidP="00064190">
      <w:pPr>
        <w:spacing w:line="360" w:lineRule="auto"/>
        <w:jc w:val="both"/>
      </w:pPr>
      <w:r w:rsidRPr="006D055B">
        <w:t xml:space="preserve">TS-Sustainability (2020) </w:t>
      </w:r>
      <w:r w:rsidRPr="006D055B">
        <w:rPr>
          <w:i/>
          <w:iCs/>
        </w:rPr>
        <w:t>Tata Steel- Committing to grow responsibly</w:t>
      </w:r>
      <w:r w:rsidRPr="006D055B">
        <w:t xml:space="preserve">. Available at: </w:t>
      </w:r>
      <w:hyperlink r:id="rId28" w:history="1">
        <w:r w:rsidRPr="006D055B">
          <w:rPr>
            <w:rStyle w:val="Hyperlink"/>
            <w:color w:val="auto"/>
          </w:rPr>
          <w:t>https://www.tatasteel.com/tata-steel-brochure-19-20/sustainability.html</w:t>
        </w:r>
      </w:hyperlink>
      <w:r w:rsidRPr="006D055B">
        <w:t xml:space="preserve"> (Accessed: 06 July 2026). </w:t>
      </w:r>
    </w:p>
    <w:p w14:paraId="117DCAD6" w14:textId="77777777" w:rsidR="00064190" w:rsidRPr="006D055B" w:rsidRDefault="00064190" w:rsidP="00064190">
      <w:pPr>
        <w:spacing w:line="360" w:lineRule="auto"/>
        <w:jc w:val="both"/>
      </w:pPr>
      <w:r w:rsidRPr="006D055B">
        <w:t xml:space="preserve">Wild, F. (2017) </w:t>
      </w:r>
      <w:r w:rsidRPr="006D055B">
        <w:rPr>
          <w:i/>
          <w:iCs/>
        </w:rPr>
        <w:t>BHP’s approach to climate change risk management dr. Fiona Wild</w:t>
      </w:r>
      <w:r w:rsidRPr="006D055B">
        <w:t xml:space="preserve">. Available at: </w:t>
      </w:r>
      <w:hyperlink r:id="rId29" w:history="1">
        <w:r w:rsidRPr="006D055B">
          <w:rPr>
            <w:rStyle w:val="Hyperlink"/>
            <w:color w:val="auto"/>
          </w:rPr>
          <w:t>https://eneken.ieej.or.jp/data/7380.pdf</w:t>
        </w:r>
      </w:hyperlink>
      <w:r w:rsidRPr="006D055B">
        <w:t xml:space="preserve"> (Accessed: 06 July 2026). </w:t>
      </w:r>
    </w:p>
    <w:p w14:paraId="21DB38E7" w14:textId="77777777" w:rsidR="00064190" w:rsidRPr="006D055B" w:rsidRDefault="00064190" w:rsidP="00064190">
      <w:pPr>
        <w:spacing w:line="360" w:lineRule="auto"/>
        <w:jc w:val="both"/>
      </w:pPr>
      <w:r w:rsidRPr="006D055B">
        <w:rPr>
          <w:lang w:val="en-GB"/>
        </w:rPr>
        <w:t>Zhang, J., Guo, H., Yang, G., Wang, Y. and Chen, W.</w:t>
      </w:r>
      <w:r w:rsidRPr="006D055B">
        <w:t xml:space="preserve"> (</w:t>
      </w:r>
      <w:r w:rsidRPr="006D055B">
        <w:rPr>
          <w:lang w:val="en-GB"/>
        </w:rPr>
        <w:t>2025</w:t>
      </w:r>
      <w:r w:rsidRPr="006D055B">
        <w:t>)</w:t>
      </w:r>
      <w:r w:rsidRPr="006D055B">
        <w:rPr>
          <w:lang w:val="en-GB"/>
        </w:rPr>
        <w:t xml:space="preserve"> </w:t>
      </w:r>
      <w:r w:rsidRPr="006D055B">
        <w:t>‘</w:t>
      </w:r>
      <w:r w:rsidRPr="006D055B">
        <w:rPr>
          <w:lang w:val="en-GB"/>
        </w:rPr>
        <w:t>Sustainable transition pathways for steel manufacturing: Low-carbon steelmaking technologies in enterprises</w:t>
      </w:r>
      <w:r w:rsidRPr="006D055B">
        <w:t>’,</w:t>
      </w:r>
      <w:r w:rsidRPr="006D055B">
        <w:rPr>
          <w:lang w:val="en-GB"/>
        </w:rPr>
        <w:t> </w:t>
      </w:r>
      <w:r w:rsidRPr="006D055B">
        <w:rPr>
          <w:i/>
          <w:iCs/>
          <w:lang w:val="en-GB"/>
        </w:rPr>
        <w:t>Sustainability</w:t>
      </w:r>
      <w:r w:rsidRPr="006D055B">
        <w:rPr>
          <w:lang w:val="en-GB"/>
        </w:rPr>
        <w:t>, </w:t>
      </w:r>
      <w:r w:rsidRPr="006D055B">
        <w:rPr>
          <w:i/>
          <w:iCs/>
          <w:lang w:val="en-GB"/>
        </w:rPr>
        <w:t>17</w:t>
      </w:r>
      <w:r w:rsidRPr="006D055B">
        <w:rPr>
          <w:lang w:val="en-GB"/>
        </w:rPr>
        <w:t>(12), p.5329.</w:t>
      </w:r>
      <w:r w:rsidRPr="006D055B">
        <w:t xml:space="preserve"> Available at: </w:t>
      </w:r>
      <w:hyperlink r:id="rId30" w:history="1">
        <w:r w:rsidRPr="006D055B">
          <w:rPr>
            <w:rStyle w:val="Hyperlink"/>
            <w:color w:val="auto"/>
          </w:rPr>
          <w:t>https://www.mdpi.com/2071-1050/17/12/5329</w:t>
        </w:r>
      </w:hyperlink>
      <w:r w:rsidRPr="006D055B">
        <w:t xml:space="preserve"> (Accessed: 22 July 2026). </w:t>
      </w:r>
    </w:p>
    <w:p w14:paraId="39E2123E" w14:textId="77777777" w:rsidR="00064190" w:rsidRPr="006D055B" w:rsidRDefault="00064190" w:rsidP="00064190"/>
    <w:sectPr w:rsidR="00064190" w:rsidRPr="006D055B" w:rsidSect="00A66408">
      <w:footerReference w:type="default" r:id="rId3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BF23F" w14:textId="77777777" w:rsidR="002736A7" w:rsidRDefault="002736A7">
      <w:pPr>
        <w:spacing w:after="0" w:line="240" w:lineRule="auto"/>
      </w:pPr>
      <w:r>
        <w:separator/>
      </w:r>
    </w:p>
  </w:endnote>
  <w:endnote w:type="continuationSeparator" w:id="0">
    <w:p w14:paraId="344C9521" w14:textId="77777777" w:rsidR="002736A7" w:rsidRDefault="00273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328860"/>
      <w:docPartObj>
        <w:docPartGallery w:val="Page Numbers (Bottom of Page)"/>
        <w:docPartUnique/>
      </w:docPartObj>
    </w:sdtPr>
    <w:sdtEndPr>
      <w:rPr>
        <w:noProof/>
      </w:rPr>
    </w:sdtEndPr>
    <w:sdtContent>
      <w:p w14:paraId="76D7BEDB" w14:textId="77777777" w:rsidR="0025643C" w:rsidRDefault="002736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C1E16D" w14:textId="77777777" w:rsidR="0025643C" w:rsidRDefault="00256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F9AE6" w14:textId="77777777" w:rsidR="002736A7" w:rsidRDefault="002736A7">
      <w:pPr>
        <w:spacing w:after="0" w:line="240" w:lineRule="auto"/>
      </w:pPr>
      <w:r>
        <w:separator/>
      </w:r>
    </w:p>
  </w:footnote>
  <w:footnote w:type="continuationSeparator" w:id="0">
    <w:p w14:paraId="69042A54" w14:textId="77777777" w:rsidR="002736A7" w:rsidRDefault="002736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766C5"/>
    <w:multiLevelType w:val="multilevel"/>
    <w:tmpl w:val="C8C6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1E0C6B"/>
    <w:multiLevelType w:val="multilevel"/>
    <w:tmpl w:val="0C823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CA7D84"/>
    <w:multiLevelType w:val="multilevel"/>
    <w:tmpl w:val="E73C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687BBD"/>
    <w:multiLevelType w:val="multilevel"/>
    <w:tmpl w:val="A1B6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89049B"/>
    <w:multiLevelType w:val="multilevel"/>
    <w:tmpl w:val="DB945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05254D"/>
    <w:multiLevelType w:val="multilevel"/>
    <w:tmpl w:val="85EC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8429084">
    <w:abstractNumId w:val="5"/>
  </w:num>
  <w:num w:numId="2" w16cid:durableId="998193392">
    <w:abstractNumId w:val="0"/>
  </w:num>
  <w:num w:numId="3" w16cid:durableId="98572877">
    <w:abstractNumId w:val="4"/>
  </w:num>
  <w:num w:numId="4" w16cid:durableId="1159033114">
    <w:abstractNumId w:val="2"/>
  </w:num>
  <w:num w:numId="5" w16cid:durableId="1025597747">
    <w:abstractNumId w:val="3"/>
  </w:num>
  <w:num w:numId="6" w16cid:durableId="439450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EFD"/>
    <w:rsid w:val="00000A72"/>
    <w:rsid w:val="000016B9"/>
    <w:rsid w:val="00002887"/>
    <w:rsid w:val="00003708"/>
    <w:rsid w:val="00027071"/>
    <w:rsid w:val="0003493F"/>
    <w:rsid w:val="0004011A"/>
    <w:rsid w:val="00042711"/>
    <w:rsid w:val="00047581"/>
    <w:rsid w:val="00064190"/>
    <w:rsid w:val="0008775C"/>
    <w:rsid w:val="000946E9"/>
    <w:rsid w:val="000B284A"/>
    <w:rsid w:val="000B706F"/>
    <w:rsid w:val="000C51F2"/>
    <w:rsid w:val="000E2412"/>
    <w:rsid w:val="000F2D33"/>
    <w:rsid w:val="000F7511"/>
    <w:rsid w:val="00100758"/>
    <w:rsid w:val="0010129C"/>
    <w:rsid w:val="00110882"/>
    <w:rsid w:val="00117A40"/>
    <w:rsid w:val="00141655"/>
    <w:rsid w:val="00141F07"/>
    <w:rsid w:val="00147CC0"/>
    <w:rsid w:val="00157C5B"/>
    <w:rsid w:val="00162031"/>
    <w:rsid w:val="00173359"/>
    <w:rsid w:val="001745AC"/>
    <w:rsid w:val="00175FDC"/>
    <w:rsid w:val="001856AB"/>
    <w:rsid w:val="001911EC"/>
    <w:rsid w:val="00192C7A"/>
    <w:rsid w:val="00193F1E"/>
    <w:rsid w:val="001A68EB"/>
    <w:rsid w:val="001B09C4"/>
    <w:rsid w:val="001C2357"/>
    <w:rsid w:val="001D4EFD"/>
    <w:rsid w:val="001D7647"/>
    <w:rsid w:val="001E1DB0"/>
    <w:rsid w:val="001E254E"/>
    <w:rsid w:val="001E62E1"/>
    <w:rsid w:val="001E790D"/>
    <w:rsid w:val="0020141E"/>
    <w:rsid w:val="002057E2"/>
    <w:rsid w:val="00207793"/>
    <w:rsid w:val="002135FD"/>
    <w:rsid w:val="00230E33"/>
    <w:rsid w:val="00231066"/>
    <w:rsid w:val="0023728A"/>
    <w:rsid w:val="00240E7B"/>
    <w:rsid w:val="002451E9"/>
    <w:rsid w:val="00250B19"/>
    <w:rsid w:val="00250DC7"/>
    <w:rsid w:val="0025643C"/>
    <w:rsid w:val="002736A7"/>
    <w:rsid w:val="00273D0D"/>
    <w:rsid w:val="002B4B78"/>
    <w:rsid w:val="002B534C"/>
    <w:rsid w:val="002C30DF"/>
    <w:rsid w:val="002E12B4"/>
    <w:rsid w:val="002F398D"/>
    <w:rsid w:val="003036A7"/>
    <w:rsid w:val="00311591"/>
    <w:rsid w:val="00313820"/>
    <w:rsid w:val="00315E1C"/>
    <w:rsid w:val="00317265"/>
    <w:rsid w:val="003244F7"/>
    <w:rsid w:val="003449B3"/>
    <w:rsid w:val="003508E6"/>
    <w:rsid w:val="00356F38"/>
    <w:rsid w:val="00361E66"/>
    <w:rsid w:val="00381CBD"/>
    <w:rsid w:val="00385402"/>
    <w:rsid w:val="0038612A"/>
    <w:rsid w:val="003B3731"/>
    <w:rsid w:val="003C6773"/>
    <w:rsid w:val="003D02EC"/>
    <w:rsid w:val="003D2211"/>
    <w:rsid w:val="003D7942"/>
    <w:rsid w:val="003F21F1"/>
    <w:rsid w:val="00402507"/>
    <w:rsid w:val="00407D93"/>
    <w:rsid w:val="00420693"/>
    <w:rsid w:val="004300B7"/>
    <w:rsid w:val="00431289"/>
    <w:rsid w:val="00450F92"/>
    <w:rsid w:val="00460636"/>
    <w:rsid w:val="0046710C"/>
    <w:rsid w:val="00473434"/>
    <w:rsid w:val="00476037"/>
    <w:rsid w:val="0049083C"/>
    <w:rsid w:val="00495D26"/>
    <w:rsid w:val="004A2E42"/>
    <w:rsid w:val="004C1FFC"/>
    <w:rsid w:val="004E56C3"/>
    <w:rsid w:val="004E7854"/>
    <w:rsid w:val="00503813"/>
    <w:rsid w:val="00510480"/>
    <w:rsid w:val="005138C2"/>
    <w:rsid w:val="005153A3"/>
    <w:rsid w:val="00521328"/>
    <w:rsid w:val="005312FF"/>
    <w:rsid w:val="0053221B"/>
    <w:rsid w:val="005541E8"/>
    <w:rsid w:val="00557FD7"/>
    <w:rsid w:val="0056283E"/>
    <w:rsid w:val="0056381F"/>
    <w:rsid w:val="00575C3E"/>
    <w:rsid w:val="0059467B"/>
    <w:rsid w:val="005B1568"/>
    <w:rsid w:val="005B6C21"/>
    <w:rsid w:val="005C5CF5"/>
    <w:rsid w:val="005D325A"/>
    <w:rsid w:val="005D51BF"/>
    <w:rsid w:val="005E60C9"/>
    <w:rsid w:val="005F3D94"/>
    <w:rsid w:val="005F55E1"/>
    <w:rsid w:val="005F7276"/>
    <w:rsid w:val="006029D1"/>
    <w:rsid w:val="00605E6B"/>
    <w:rsid w:val="006119DA"/>
    <w:rsid w:val="00613429"/>
    <w:rsid w:val="0061584F"/>
    <w:rsid w:val="00620254"/>
    <w:rsid w:val="00640E71"/>
    <w:rsid w:val="00650A30"/>
    <w:rsid w:val="00655F19"/>
    <w:rsid w:val="006815DE"/>
    <w:rsid w:val="00693A19"/>
    <w:rsid w:val="00696CEF"/>
    <w:rsid w:val="006B591C"/>
    <w:rsid w:val="006D055B"/>
    <w:rsid w:val="006E27A1"/>
    <w:rsid w:val="006E7325"/>
    <w:rsid w:val="0071175C"/>
    <w:rsid w:val="00716868"/>
    <w:rsid w:val="00721FE2"/>
    <w:rsid w:val="00737604"/>
    <w:rsid w:val="0074448F"/>
    <w:rsid w:val="00760D21"/>
    <w:rsid w:val="00775B89"/>
    <w:rsid w:val="00793C68"/>
    <w:rsid w:val="007D268E"/>
    <w:rsid w:val="007E3405"/>
    <w:rsid w:val="007E7E62"/>
    <w:rsid w:val="0080039D"/>
    <w:rsid w:val="00803726"/>
    <w:rsid w:val="00806439"/>
    <w:rsid w:val="00817070"/>
    <w:rsid w:val="0083165C"/>
    <w:rsid w:val="00833DCB"/>
    <w:rsid w:val="00836E97"/>
    <w:rsid w:val="008520DA"/>
    <w:rsid w:val="0086127A"/>
    <w:rsid w:val="0086656B"/>
    <w:rsid w:val="00870BB8"/>
    <w:rsid w:val="0089227C"/>
    <w:rsid w:val="008A749A"/>
    <w:rsid w:val="008B3FD8"/>
    <w:rsid w:val="008D0340"/>
    <w:rsid w:val="008D19A5"/>
    <w:rsid w:val="008D21D8"/>
    <w:rsid w:val="008D2F06"/>
    <w:rsid w:val="008D7236"/>
    <w:rsid w:val="008E19D6"/>
    <w:rsid w:val="008E5C0A"/>
    <w:rsid w:val="008F01FF"/>
    <w:rsid w:val="008F1A60"/>
    <w:rsid w:val="008F7A23"/>
    <w:rsid w:val="00920447"/>
    <w:rsid w:val="00925282"/>
    <w:rsid w:val="00937D84"/>
    <w:rsid w:val="00954A8F"/>
    <w:rsid w:val="00966471"/>
    <w:rsid w:val="0097063D"/>
    <w:rsid w:val="009756E8"/>
    <w:rsid w:val="009836A8"/>
    <w:rsid w:val="009838B1"/>
    <w:rsid w:val="009B0BA5"/>
    <w:rsid w:val="009D34FB"/>
    <w:rsid w:val="009D58A5"/>
    <w:rsid w:val="009F361F"/>
    <w:rsid w:val="00A16B1B"/>
    <w:rsid w:val="00A17B83"/>
    <w:rsid w:val="00A45702"/>
    <w:rsid w:val="00A62FBA"/>
    <w:rsid w:val="00A66408"/>
    <w:rsid w:val="00A8055F"/>
    <w:rsid w:val="00A832DD"/>
    <w:rsid w:val="00A85B55"/>
    <w:rsid w:val="00A87D3E"/>
    <w:rsid w:val="00A9597F"/>
    <w:rsid w:val="00AA706A"/>
    <w:rsid w:val="00AA7EC8"/>
    <w:rsid w:val="00AB0A8D"/>
    <w:rsid w:val="00AB63B3"/>
    <w:rsid w:val="00AB6E52"/>
    <w:rsid w:val="00AF30E7"/>
    <w:rsid w:val="00AF72F0"/>
    <w:rsid w:val="00B01448"/>
    <w:rsid w:val="00B16806"/>
    <w:rsid w:val="00B405D0"/>
    <w:rsid w:val="00B54AE6"/>
    <w:rsid w:val="00B6021A"/>
    <w:rsid w:val="00B678CB"/>
    <w:rsid w:val="00B81976"/>
    <w:rsid w:val="00B84953"/>
    <w:rsid w:val="00B9000F"/>
    <w:rsid w:val="00B90A1A"/>
    <w:rsid w:val="00B90C1B"/>
    <w:rsid w:val="00B97BE9"/>
    <w:rsid w:val="00BA073B"/>
    <w:rsid w:val="00BA11B1"/>
    <w:rsid w:val="00BA62F4"/>
    <w:rsid w:val="00BB0FC8"/>
    <w:rsid w:val="00BC05DB"/>
    <w:rsid w:val="00BE6363"/>
    <w:rsid w:val="00BE6938"/>
    <w:rsid w:val="00C01E37"/>
    <w:rsid w:val="00C0585E"/>
    <w:rsid w:val="00C05E8D"/>
    <w:rsid w:val="00C21237"/>
    <w:rsid w:val="00C540FE"/>
    <w:rsid w:val="00C86E99"/>
    <w:rsid w:val="00C8723A"/>
    <w:rsid w:val="00C87280"/>
    <w:rsid w:val="00C91BB7"/>
    <w:rsid w:val="00CA1419"/>
    <w:rsid w:val="00CA44D7"/>
    <w:rsid w:val="00CC7563"/>
    <w:rsid w:val="00CE6F94"/>
    <w:rsid w:val="00CE7345"/>
    <w:rsid w:val="00CF208B"/>
    <w:rsid w:val="00D22E6D"/>
    <w:rsid w:val="00D41135"/>
    <w:rsid w:val="00D413B1"/>
    <w:rsid w:val="00D54270"/>
    <w:rsid w:val="00D55564"/>
    <w:rsid w:val="00D6289A"/>
    <w:rsid w:val="00D644E9"/>
    <w:rsid w:val="00D71413"/>
    <w:rsid w:val="00D86FB7"/>
    <w:rsid w:val="00D92902"/>
    <w:rsid w:val="00DA6D3B"/>
    <w:rsid w:val="00DB72B5"/>
    <w:rsid w:val="00DB7E21"/>
    <w:rsid w:val="00DC5B04"/>
    <w:rsid w:val="00E01F4F"/>
    <w:rsid w:val="00E07E6C"/>
    <w:rsid w:val="00E16ED9"/>
    <w:rsid w:val="00E4694F"/>
    <w:rsid w:val="00E56DDF"/>
    <w:rsid w:val="00E639FB"/>
    <w:rsid w:val="00E657D9"/>
    <w:rsid w:val="00E9267E"/>
    <w:rsid w:val="00E9741B"/>
    <w:rsid w:val="00EB309F"/>
    <w:rsid w:val="00EB7877"/>
    <w:rsid w:val="00EC2DF4"/>
    <w:rsid w:val="00ED3C77"/>
    <w:rsid w:val="00EE522B"/>
    <w:rsid w:val="00EF738A"/>
    <w:rsid w:val="00F21875"/>
    <w:rsid w:val="00F32DD8"/>
    <w:rsid w:val="00F32EFC"/>
    <w:rsid w:val="00F34CBB"/>
    <w:rsid w:val="00F3509E"/>
    <w:rsid w:val="00F428C9"/>
    <w:rsid w:val="00F469EA"/>
    <w:rsid w:val="00F729FB"/>
    <w:rsid w:val="00FA3A82"/>
    <w:rsid w:val="00FB3553"/>
    <w:rsid w:val="00FB6D01"/>
    <w:rsid w:val="00FC46DE"/>
    <w:rsid w:val="00FD25FE"/>
    <w:rsid w:val="00FD30F1"/>
    <w:rsid w:val="00FE66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17080"/>
  <w15:chartTrackingRefBased/>
  <w15:docId w15:val="{A1B8EF71-4A16-40A0-A931-6BEC0139B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FC8"/>
    <w:rPr>
      <w:rFonts w:ascii="Arial" w:hAnsi="Arial"/>
      <w:sz w:val="24"/>
    </w:rPr>
  </w:style>
  <w:style w:type="paragraph" w:styleId="Heading1">
    <w:name w:val="heading 1"/>
    <w:basedOn w:val="Normal"/>
    <w:next w:val="Normal"/>
    <w:link w:val="Heading1Char"/>
    <w:uiPriority w:val="9"/>
    <w:qFormat/>
    <w:rsid w:val="00620254"/>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027071"/>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1D4E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4E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4E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4E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E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E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E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254"/>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027071"/>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semiHidden/>
    <w:rsid w:val="001D4E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E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4E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4E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E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E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EFD"/>
    <w:rPr>
      <w:rFonts w:eastAsiaTheme="majorEastAsia" w:cstheme="majorBidi"/>
      <w:color w:val="272727" w:themeColor="text1" w:themeTint="D8"/>
    </w:rPr>
  </w:style>
  <w:style w:type="paragraph" w:styleId="Title">
    <w:name w:val="Title"/>
    <w:basedOn w:val="Normal"/>
    <w:next w:val="Normal"/>
    <w:link w:val="TitleChar"/>
    <w:uiPriority w:val="10"/>
    <w:qFormat/>
    <w:rsid w:val="001D4E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E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E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E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EFD"/>
    <w:pPr>
      <w:spacing w:before="160"/>
      <w:jc w:val="center"/>
    </w:pPr>
    <w:rPr>
      <w:i/>
      <w:iCs/>
      <w:color w:val="404040" w:themeColor="text1" w:themeTint="BF"/>
    </w:rPr>
  </w:style>
  <w:style w:type="character" w:customStyle="1" w:styleId="QuoteChar">
    <w:name w:val="Quote Char"/>
    <w:basedOn w:val="DefaultParagraphFont"/>
    <w:link w:val="Quote"/>
    <w:uiPriority w:val="29"/>
    <w:rsid w:val="001D4EFD"/>
    <w:rPr>
      <w:i/>
      <w:iCs/>
      <w:color w:val="404040" w:themeColor="text1" w:themeTint="BF"/>
    </w:rPr>
  </w:style>
  <w:style w:type="paragraph" w:styleId="ListParagraph">
    <w:name w:val="List Paragraph"/>
    <w:basedOn w:val="Normal"/>
    <w:uiPriority w:val="34"/>
    <w:qFormat/>
    <w:rsid w:val="001D4EFD"/>
    <w:pPr>
      <w:ind w:left="720"/>
      <w:contextualSpacing/>
    </w:pPr>
  </w:style>
  <w:style w:type="character" w:styleId="IntenseEmphasis">
    <w:name w:val="Intense Emphasis"/>
    <w:basedOn w:val="DefaultParagraphFont"/>
    <w:uiPriority w:val="21"/>
    <w:qFormat/>
    <w:rsid w:val="001D4EFD"/>
    <w:rPr>
      <w:i/>
      <w:iCs/>
      <w:color w:val="0F4761" w:themeColor="accent1" w:themeShade="BF"/>
    </w:rPr>
  </w:style>
  <w:style w:type="paragraph" w:styleId="IntenseQuote">
    <w:name w:val="Intense Quote"/>
    <w:basedOn w:val="Normal"/>
    <w:next w:val="Normal"/>
    <w:link w:val="IntenseQuoteChar"/>
    <w:uiPriority w:val="30"/>
    <w:qFormat/>
    <w:rsid w:val="001D4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EFD"/>
    <w:rPr>
      <w:i/>
      <w:iCs/>
      <w:color w:val="0F4761" w:themeColor="accent1" w:themeShade="BF"/>
    </w:rPr>
  </w:style>
  <w:style w:type="character" w:styleId="IntenseReference">
    <w:name w:val="Intense Reference"/>
    <w:basedOn w:val="DefaultParagraphFont"/>
    <w:uiPriority w:val="32"/>
    <w:qFormat/>
    <w:rsid w:val="001D4EFD"/>
    <w:rPr>
      <w:b/>
      <w:bCs/>
      <w:smallCaps/>
      <w:color w:val="0F4761" w:themeColor="accent1" w:themeShade="BF"/>
      <w:spacing w:val="5"/>
    </w:rPr>
  </w:style>
  <w:style w:type="character" w:styleId="Hyperlink">
    <w:name w:val="Hyperlink"/>
    <w:basedOn w:val="DefaultParagraphFont"/>
    <w:uiPriority w:val="99"/>
    <w:unhideWhenUsed/>
    <w:rsid w:val="000016B9"/>
    <w:rPr>
      <w:color w:val="467886" w:themeColor="hyperlink"/>
      <w:u w:val="single"/>
    </w:rPr>
  </w:style>
  <w:style w:type="character" w:styleId="UnresolvedMention">
    <w:name w:val="Unresolved Mention"/>
    <w:basedOn w:val="DefaultParagraphFont"/>
    <w:uiPriority w:val="99"/>
    <w:semiHidden/>
    <w:unhideWhenUsed/>
    <w:rsid w:val="000016B9"/>
    <w:rPr>
      <w:color w:val="605E5C"/>
      <w:shd w:val="clear" w:color="auto" w:fill="E1DFDD"/>
    </w:rPr>
  </w:style>
  <w:style w:type="paragraph" w:styleId="Header">
    <w:name w:val="header"/>
    <w:basedOn w:val="Normal"/>
    <w:link w:val="HeaderChar"/>
    <w:uiPriority w:val="99"/>
    <w:unhideWhenUsed/>
    <w:rsid w:val="002564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43C"/>
    <w:rPr>
      <w:rFonts w:ascii="Times New Roman" w:hAnsi="Times New Roman"/>
      <w:sz w:val="24"/>
    </w:rPr>
  </w:style>
  <w:style w:type="paragraph" w:styleId="Footer">
    <w:name w:val="footer"/>
    <w:basedOn w:val="Normal"/>
    <w:link w:val="FooterChar"/>
    <w:uiPriority w:val="99"/>
    <w:unhideWhenUsed/>
    <w:rsid w:val="00256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43C"/>
    <w:rPr>
      <w:rFonts w:ascii="Times New Roman" w:hAnsi="Times New Roman"/>
      <w:sz w:val="24"/>
    </w:rPr>
  </w:style>
  <w:style w:type="paragraph" w:styleId="TOCHeading">
    <w:name w:val="TOC Heading"/>
    <w:basedOn w:val="Heading1"/>
    <w:next w:val="Normal"/>
    <w:uiPriority w:val="39"/>
    <w:unhideWhenUsed/>
    <w:qFormat/>
    <w:rsid w:val="00ED3C77"/>
    <w:pPr>
      <w:spacing w:before="240" w:after="0"/>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ED3C77"/>
    <w:pPr>
      <w:spacing w:after="100"/>
    </w:pPr>
  </w:style>
  <w:style w:type="paragraph" w:styleId="TOC2">
    <w:name w:val="toc 2"/>
    <w:basedOn w:val="Normal"/>
    <w:next w:val="Normal"/>
    <w:autoRedefine/>
    <w:uiPriority w:val="39"/>
    <w:unhideWhenUsed/>
    <w:rsid w:val="00ED3C7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95965262300121X" TargetMode="External"/><Relationship Id="rId18" Type="http://schemas.openxmlformats.org/officeDocument/2006/relationships/hyperlink" Target="https://avenuemail.in/how-tata-steel-is-leading-sustainability-in-the-steel-sector/" TargetMode="External"/><Relationship Id="rId26" Type="http://schemas.openxmlformats.org/officeDocument/2006/relationships/hyperlink" Target="https://www.tatasteel.com/corporate/our-organisation/company-profile/" TargetMode="External"/><Relationship Id="rId3" Type="http://schemas.openxmlformats.org/officeDocument/2006/relationships/styles" Target="styles.xml"/><Relationship Id="rId21" Type="http://schemas.openxmlformats.org/officeDocument/2006/relationships/hyperlink" Target="https://www.tatasteel.com/sustainability/environment/climate-action/" TargetMode="External"/><Relationship Id="rId7" Type="http://schemas.openxmlformats.org/officeDocument/2006/relationships/endnotes" Target="endnotes.xml"/><Relationship Id="rId12" Type="http://schemas.openxmlformats.org/officeDocument/2006/relationships/hyperlink" Target="https://onlinelibrary.wiley.com/doi/pdf/10.1002/maco.202213140" TargetMode="External"/><Relationship Id="rId17" Type="http://schemas.openxmlformats.org/officeDocument/2006/relationships/hyperlink" Target="https://www.facebook.com/BusinessToday/posts/can-the-new-carbon-credit-scheme-clean-up-indias-steel-sector-indias-new-emissio/1502063348634705/" TargetMode="External"/><Relationship Id="rId25" Type="http://schemas.openxmlformats.org/officeDocument/2006/relationships/hyperlink" Target="https://www.tatasteel.com/newsroom/press-releases/india/2026/tata-steel-recognised-as-steel-sustainability-champion-by-worldsteel-for-the-ninth-consecutive-yea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nk.springer.com/content/pdf/10.1007/978-3-032-06139-3_1.pdf" TargetMode="External"/><Relationship Id="rId20" Type="http://schemas.openxmlformats.org/officeDocument/2006/relationships/hyperlink" Target="https://www.tatasteel.com/newsroom/press-releases/india/2025/tata-steel-launches-aashiyana-30-india-s-first-content-to-commerce-homebuilding-platform/" TargetMode="External"/><Relationship Id="rId29" Type="http://schemas.openxmlformats.org/officeDocument/2006/relationships/hyperlink" Target="https://eneken.ieej.or.jp/data/738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content/dam/oecd/en/publications/reports/2018/11/integrating-renewables-in-mining_5288634f/5bbcdeac-en.pdf" TargetMode="External"/><Relationship Id="rId24" Type="http://schemas.openxmlformats.org/officeDocument/2006/relationships/hyperlink" Target="https://www.tatasteel.com/newsroom/press-releases/india/2024/tata-steel-becomes-the-first-indian-steel-maker-to-introduce-biochar-to-lower-carbon-emission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hindubusinessline.com/companies/operating-environment-has-become-more-challenging-in-netherlands-says-tata-steel-chairman/article71174105.ece" TargetMode="External"/><Relationship Id="rId23" Type="http://schemas.openxmlformats.org/officeDocument/2006/relationships/hyperlink" Target="https://www.tatasteelnederland.com/en/sustainability/green-steel-plan" TargetMode="External"/><Relationship Id="rId28" Type="http://schemas.openxmlformats.org/officeDocument/2006/relationships/hyperlink" Target="https://www.tatasteel.com/tata-steel-brochure-19-20/sustainability.html" TargetMode="External"/><Relationship Id="rId10" Type="http://schemas.openxmlformats.org/officeDocument/2006/relationships/hyperlink" Target="https://link.springer.com/content/pdf/10.1007/s43681-025-00721-9.pdf" TargetMode="External"/><Relationship Id="rId19" Type="http://schemas.openxmlformats.org/officeDocument/2006/relationships/hyperlink" Target="https://www.tata.com/newsroom/business/tata-steel-sustainable-aalingana"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apers.ssrn.com/sol3/Delivery.cfm?abstractid=3999019" TargetMode="External"/><Relationship Id="rId22" Type="http://schemas.openxmlformats.org/officeDocument/2006/relationships/hyperlink" Target="https://www.tatasteel.com/sustainability/esg-indicators-factsheet/" TargetMode="External"/><Relationship Id="rId27" Type="http://schemas.openxmlformats.org/officeDocument/2006/relationships/hyperlink" Target="https://www.tatasteel.com/products-solutions/india/products/tata-shaktee/" TargetMode="External"/><Relationship Id="rId30" Type="http://schemas.openxmlformats.org/officeDocument/2006/relationships/hyperlink" Target="https://www.mdpi.com/2071-1050/17/12/5329"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10C80-252A-46BF-9A88-135163DC6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4094</Words>
  <Characters>23336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dhrupalsinhgohil09@gmail.com</cp:lastModifiedBy>
  <cp:revision>2</cp:revision>
  <dcterms:created xsi:type="dcterms:W3CDTF">2026-07-23T14:14:00Z</dcterms:created>
  <dcterms:modified xsi:type="dcterms:W3CDTF">2026-07-23T14:14:00Z</dcterms:modified>
</cp:coreProperties>
</file>