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FE9316" w14:textId="046738E9" w:rsidR="00971D6C" w:rsidRDefault="003726BB" w:rsidP="003726BB">
      <w:pPr>
        <w:jc w:val="center"/>
      </w:pPr>
      <w:r>
        <w:rPr>
          <w:b/>
          <w:bCs/>
        </w:rPr>
        <w:t>Agential Realism</w:t>
      </w:r>
    </w:p>
    <w:p w14:paraId="7BAB3228" w14:textId="77777777" w:rsidR="003726BB" w:rsidRDefault="003726BB" w:rsidP="003726BB"/>
    <w:p w14:paraId="0F9E7475" w14:textId="5AA7C77D" w:rsidR="003726BB" w:rsidRDefault="003726BB" w:rsidP="003726BB">
      <w:r>
        <w:t>An interdisciplinary approach blending quantum physics and gender performativity, developed by Karen Barad (2003, 200</w:t>
      </w:r>
      <w:r w:rsidR="00145AD4">
        <w:t>7</w:t>
      </w:r>
      <w:r>
        <w:t>)</w:t>
      </w:r>
      <w:r w:rsidR="00031EF6">
        <w:t>. This rethinks the separation of natural sciences, social sciences and the humanities.</w:t>
      </w:r>
    </w:p>
    <w:p w14:paraId="640547E6" w14:textId="77777777" w:rsidR="003726BB" w:rsidRDefault="003726BB" w:rsidP="003726BB">
      <w:pPr>
        <w:pStyle w:val="ListParagraph"/>
        <w:numPr>
          <w:ilvl w:val="0"/>
          <w:numId w:val="2"/>
        </w:numPr>
      </w:pPr>
      <w:r w:rsidRPr="003726BB">
        <w:t>“questions the conceptual validity of the thing as a basic entity” (Govier &amp; Steel 2021, 304)</w:t>
      </w:r>
    </w:p>
    <w:p w14:paraId="572E0C20" w14:textId="6929D19E" w:rsidR="003726BB" w:rsidRDefault="003726BB" w:rsidP="003726BB">
      <w:pPr>
        <w:pStyle w:val="ListParagraph"/>
      </w:pPr>
      <w:r w:rsidRPr="003726BB">
        <w:t xml:space="preserve">Following </w:t>
      </w:r>
      <w:r>
        <w:t xml:space="preserve">the work of Niels </w:t>
      </w:r>
      <w:r w:rsidRPr="003726BB">
        <w:t>Bohr</w:t>
      </w:r>
      <w:r>
        <w:t>, t</w:t>
      </w:r>
      <w:r w:rsidRPr="003726BB">
        <w:t>hings do not have inherently determinate boundaries</w:t>
      </w:r>
      <w:r>
        <w:t xml:space="preserve"> but come together/emerge from the agency of matter</w:t>
      </w:r>
    </w:p>
    <w:p w14:paraId="7A9446FA" w14:textId="787F4B55" w:rsidR="004D54AC" w:rsidRDefault="004D54AC" w:rsidP="004D54AC">
      <w:pPr>
        <w:pStyle w:val="ListParagraph"/>
        <w:numPr>
          <w:ilvl w:val="0"/>
          <w:numId w:val="2"/>
        </w:numPr>
      </w:pPr>
      <w:r>
        <w:t>Relational ontology: p</w:t>
      </w:r>
      <w:r w:rsidRPr="00031EF6">
        <w:t>rimary unit of knowledge = phenomena</w:t>
      </w:r>
      <w:r>
        <w:t xml:space="preserve">. </w:t>
      </w:r>
      <w:r w:rsidR="00AC6EE3">
        <w:t>The</w:t>
      </w:r>
      <w:r w:rsidR="00AC6EE3" w:rsidRPr="00AC6EE3">
        <w:t xml:space="preserve"> relationships between matter as it entangles, works together &amp; co-produce</w:t>
      </w:r>
      <w:r w:rsidR="00AC6EE3">
        <w:t>s or</w:t>
      </w:r>
      <w:r w:rsidR="00AC6EE3" w:rsidRPr="00AC6EE3">
        <w:t xml:space="preserve"> intra-acts</w:t>
      </w:r>
      <w:r w:rsidR="00AC6EE3">
        <w:t>.</w:t>
      </w:r>
    </w:p>
    <w:p w14:paraId="05F87AF7" w14:textId="21D8B131" w:rsidR="00805441" w:rsidRPr="00805441" w:rsidRDefault="00805441" w:rsidP="00805441">
      <w:pPr>
        <w:pStyle w:val="ListParagraph"/>
      </w:pPr>
      <w:r w:rsidRPr="00805441">
        <w:t>“we live in a dynamic world which is constantly in motion, rather than in a world which requires animating agents to initiate action or change . Matter itself is active. In very general terms, matter is considered a becoming, not a property or quality which inheres in things or agents. Matter’s dynamic becoming is of itself agential</w:t>
      </w:r>
      <w:r>
        <w:t>” (Marshall and Alberti 2014: 26)</w:t>
      </w:r>
    </w:p>
    <w:p w14:paraId="78F8B150" w14:textId="7DB6AB65" w:rsidR="00031EF6" w:rsidRDefault="003726BB" w:rsidP="00031EF6">
      <w:pPr>
        <w:pStyle w:val="ListParagraph"/>
        <w:numPr>
          <w:ilvl w:val="0"/>
          <w:numId w:val="2"/>
        </w:numPr>
      </w:pPr>
      <w:r>
        <w:t>Questions human representationalism and the separation of the human from the material world.</w:t>
      </w:r>
      <w:r w:rsidR="00031EF6">
        <w:t xml:space="preserve"> </w:t>
      </w:r>
      <w:r w:rsidR="00031EF6" w:rsidRPr="00031EF6">
        <w:t xml:space="preserve">Why are peoples’ symbolic &amp; linguistic </w:t>
      </w:r>
      <w:r w:rsidR="00031EF6" w:rsidRPr="00AC6EE3">
        <w:rPr>
          <w:i/>
          <w:iCs/>
        </w:rPr>
        <w:t>depictions</w:t>
      </w:r>
      <w:r w:rsidR="00031EF6" w:rsidRPr="00031EF6">
        <w:t xml:space="preserve"> of the world prioritized over the </w:t>
      </w:r>
      <w:r w:rsidR="00031EF6" w:rsidRPr="00AC6EE3">
        <w:rPr>
          <w:i/>
          <w:iCs/>
        </w:rPr>
        <w:t>physicality</w:t>
      </w:r>
      <w:r w:rsidR="00031EF6" w:rsidRPr="00031EF6">
        <w:t xml:space="preserve"> of matter</w:t>
      </w:r>
      <w:r w:rsidR="00031EF6">
        <w:t>?</w:t>
      </w:r>
    </w:p>
    <w:p w14:paraId="6FE0EFCC" w14:textId="7DF67870" w:rsidR="004D54AC" w:rsidRDefault="00031EF6" w:rsidP="00031EF6">
      <w:pPr>
        <w:pStyle w:val="ListParagraph"/>
      </w:pPr>
      <w:r>
        <w:t>Cartesian perspectives c</w:t>
      </w:r>
      <w:r w:rsidRPr="00031EF6">
        <w:t>reate an ontological gap between human knowledge &amp; the</w:t>
      </w:r>
      <w:r>
        <w:t xml:space="preserve"> material/physical</w:t>
      </w:r>
      <w:r w:rsidRPr="00031EF6">
        <w:t xml:space="preserve"> world</w:t>
      </w:r>
      <w:r w:rsidR="004D54AC">
        <w:t>.</w:t>
      </w:r>
      <w:r w:rsidR="00AC6EE3">
        <w:t xml:space="preserve"> Agential realism </w:t>
      </w:r>
      <w:r w:rsidR="004D54AC">
        <w:t xml:space="preserve">undoes the division </w:t>
      </w:r>
      <w:r w:rsidR="00AC6EE3">
        <w:t>between</w:t>
      </w:r>
      <w:r w:rsidR="004D54AC">
        <w:t xml:space="preserve"> being and knowing.</w:t>
      </w:r>
    </w:p>
    <w:p w14:paraId="0C12F8D7" w14:textId="10BB40BB" w:rsidR="00031EF6" w:rsidRDefault="00031EF6" w:rsidP="004D54AC">
      <w:pPr>
        <w:pStyle w:val="ListParagraph"/>
        <w:numPr>
          <w:ilvl w:val="0"/>
          <w:numId w:val="2"/>
        </w:numPr>
      </w:pPr>
      <w:r>
        <w:t xml:space="preserve">Knowledge production and the </w:t>
      </w:r>
      <w:r w:rsidRPr="004D54AC">
        <w:rPr>
          <w:i/>
          <w:iCs/>
        </w:rPr>
        <w:t>agential cut</w:t>
      </w:r>
      <w:r>
        <w:t xml:space="preserve">: </w:t>
      </w:r>
      <w:r w:rsidRPr="00031EF6">
        <w:t xml:space="preserve">Does scientific knowledge represent the world </w:t>
      </w:r>
      <w:r w:rsidRPr="004D54AC">
        <w:rPr>
          <w:i/>
          <w:iCs/>
        </w:rPr>
        <w:t>as it is</w:t>
      </w:r>
      <w:r w:rsidRPr="00031EF6">
        <w:t xml:space="preserve"> or is this</w:t>
      </w:r>
      <w:r w:rsidR="004D54AC">
        <w:t xml:space="preserve"> knowledge</w:t>
      </w:r>
      <w:r w:rsidRPr="00031EF6">
        <w:t xml:space="preserve"> the product of social action?</w:t>
      </w:r>
      <w:r>
        <w:t xml:space="preserve"> How we know the word depends upon the questions we ask of it and how we measure</w:t>
      </w:r>
      <w:r w:rsidR="004D54AC">
        <w:t xml:space="preserve"> and observe</w:t>
      </w:r>
      <w:r>
        <w:t xml:space="preserve"> it</w:t>
      </w:r>
      <w:r w:rsidR="004D54AC">
        <w:t>; how we are in relationship with the world. It explicitly situates the researcher in the process of research and the knowledge they produce.</w:t>
      </w:r>
    </w:p>
    <w:p w14:paraId="73ADE117" w14:textId="7705E904" w:rsidR="00031EF6" w:rsidRDefault="004D54AC" w:rsidP="00031EF6">
      <w:pPr>
        <w:pStyle w:val="ListParagraph"/>
      </w:pPr>
      <w:r>
        <w:t xml:space="preserve">There is a causal relationship between scientific apparatus, the researcher and the phenomena (knowledge) produced. At the core of agential realism: responsibility and </w:t>
      </w:r>
      <w:r w:rsidR="00AC6EE3">
        <w:t>accountability</w:t>
      </w:r>
      <w:r>
        <w:t xml:space="preserve"> for </w:t>
      </w:r>
      <w:r w:rsidR="00AC6EE3">
        <w:t>knowledge</w:t>
      </w:r>
      <w:r>
        <w:t xml:space="preserve"> production.</w:t>
      </w:r>
    </w:p>
    <w:p w14:paraId="1E2CA0B9" w14:textId="33D08FF6" w:rsidR="004D54AC" w:rsidRDefault="00AC6EE3" w:rsidP="00AC6EE3">
      <w:pPr>
        <w:pStyle w:val="ListParagraph"/>
      </w:pPr>
      <w:r>
        <w:t>Research is not about studying existing, stable, bounded entities. There is no “real world” out there – how we know the world comes into being through our intra-actions with the world. We are entangled and in relationship with the world through our research agenda (questions, methods, theories, apparatus).</w:t>
      </w:r>
    </w:p>
    <w:p w14:paraId="06E78F02" w14:textId="45F16135" w:rsidR="00711D6E" w:rsidRDefault="00711D6E">
      <w:r>
        <w:br w:type="page"/>
      </w:r>
    </w:p>
    <w:p w14:paraId="582B0B04" w14:textId="3EE54168" w:rsidR="00145AD4" w:rsidRDefault="00711D6E" w:rsidP="00145AD4">
      <w:r>
        <w:rPr>
          <w:noProof/>
        </w:rPr>
        <w:lastRenderedPageBreak/>
        <w:drawing>
          <wp:inline distT="0" distB="0" distL="0" distR="0" wp14:anchorId="2506BE0A" wp14:editId="2BD90017">
            <wp:extent cx="2837180" cy="4572000"/>
            <wp:effectExtent l="0" t="0" r="1270" b="0"/>
            <wp:docPr id="215748139" name="Picture 1" descr="Episode 21: Cyprus and the Khirokitia Culture – Pre-History Podc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isode 21: Cyprus and the Khirokitia Culture – Pre-History Podcas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37180" cy="4572000"/>
                    </a:xfrm>
                    <a:prstGeom prst="rect">
                      <a:avLst/>
                    </a:prstGeom>
                    <a:noFill/>
                    <a:ln>
                      <a:noFill/>
                    </a:ln>
                  </pic:spPr>
                </pic:pic>
              </a:graphicData>
            </a:graphic>
          </wp:inline>
        </w:drawing>
      </w:r>
    </w:p>
    <w:p w14:paraId="0D773E39" w14:textId="49933B92" w:rsidR="00711D6E" w:rsidRPr="003726BB" w:rsidRDefault="00711D6E" w:rsidP="00145AD4">
      <w:r w:rsidRPr="00711D6E">
        <w:t>This is illustrated first by a complete idol, 967 (pls. XCV, CXLIII). The</w:t>
      </w:r>
      <w:r>
        <w:t xml:space="preserve"> </w:t>
      </w:r>
      <w:r w:rsidRPr="00711D6E">
        <w:t>central part of the body is almost quadrangular and the arms are somehow amalgamated with the body. The head, which is here more naturalistically rendered, has a flat back, and the neck is thick and of elliptical section. The nose is rendered plastically and the eyes and mouth by small cavities. The lower part of the body is flat and the legs are distinguished by two vertical grooves, front and back. The left shoulder-blade is decorated with an engraved group of chevrons with point directed downwards. This is probably an indication of clothing. There is an oblique line on the other shoulder-blade, probably the beginning of another group of chevrons left incomplete. There is one engraved line on the top of the head and one on the back, with remains of red pigment. Surface pecked. It is possible that this figure is incomplete.</w:t>
      </w:r>
      <w:r>
        <w:t xml:space="preserve"> (Dikaios 1953: 297)</w:t>
      </w:r>
    </w:p>
    <w:sectPr w:rsidR="00711D6E" w:rsidRPr="003726BB">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94538E" w14:textId="77777777" w:rsidR="00ED1A32" w:rsidRDefault="00ED1A32" w:rsidP="003726BB">
      <w:pPr>
        <w:spacing w:after="0" w:line="240" w:lineRule="auto"/>
      </w:pPr>
      <w:r>
        <w:separator/>
      </w:r>
    </w:p>
  </w:endnote>
  <w:endnote w:type="continuationSeparator" w:id="0">
    <w:p w14:paraId="1697C792" w14:textId="77777777" w:rsidR="00ED1A32" w:rsidRDefault="00ED1A32" w:rsidP="003726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5468F0" w14:textId="77777777" w:rsidR="00ED1A32" w:rsidRDefault="00ED1A32" w:rsidP="003726BB">
      <w:pPr>
        <w:spacing w:after="0" w:line="240" w:lineRule="auto"/>
      </w:pPr>
      <w:r>
        <w:separator/>
      </w:r>
    </w:p>
  </w:footnote>
  <w:footnote w:type="continuationSeparator" w:id="0">
    <w:p w14:paraId="4C229B9F" w14:textId="77777777" w:rsidR="00ED1A32" w:rsidRDefault="00ED1A32" w:rsidP="003726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18C2F0" w14:textId="770A2DDA" w:rsidR="003726BB" w:rsidRDefault="003726BB">
    <w:pPr>
      <w:pStyle w:val="Header"/>
    </w:pPr>
    <w:r>
      <w:t>HPAN5013/6013</w:t>
    </w:r>
  </w:p>
  <w:p w14:paraId="532ED08F" w14:textId="77777777" w:rsidR="003726BB" w:rsidRDefault="003726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0412A6"/>
    <w:multiLevelType w:val="hybridMultilevel"/>
    <w:tmpl w:val="3CCA8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6324D1"/>
    <w:multiLevelType w:val="hybridMultilevel"/>
    <w:tmpl w:val="110AE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68582">
    <w:abstractNumId w:val="0"/>
  </w:num>
  <w:num w:numId="2" w16cid:durableId="3817125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6BB"/>
    <w:rsid w:val="00031EF6"/>
    <w:rsid w:val="000544EC"/>
    <w:rsid w:val="000F67F0"/>
    <w:rsid w:val="00145AD4"/>
    <w:rsid w:val="0032439A"/>
    <w:rsid w:val="003726BB"/>
    <w:rsid w:val="004D54AC"/>
    <w:rsid w:val="00711D6E"/>
    <w:rsid w:val="00805441"/>
    <w:rsid w:val="008B4C9F"/>
    <w:rsid w:val="00971D6C"/>
    <w:rsid w:val="00AC6EE3"/>
    <w:rsid w:val="00B45F05"/>
    <w:rsid w:val="00D5616E"/>
    <w:rsid w:val="00ED1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EF857"/>
  <w15:chartTrackingRefBased/>
  <w15:docId w15:val="{9146C213-BF96-46C7-AB84-6E4157FEE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26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26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26B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26B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726B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726B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726B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726B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726B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26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26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26BB"/>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26BB"/>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3726BB"/>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3726B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726B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726B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726B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726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26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26B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26B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726BB"/>
    <w:pPr>
      <w:spacing w:before="160"/>
      <w:jc w:val="center"/>
    </w:pPr>
    <w:rPr>
      <w:i/>
      <w:iCs/>
      <w:color w:val="404040" w:themeColor="text1" w:themeTint="BF"/>
    </w:rPr>
  </w:style>
  <w:style w:type="character" w:customStyle="1" w:styleId="QuoteChar">
    <w:name w:val="Quote Char"/>
    <w:basedOn w:val="DefaultParagraphFont"/>
    <w:link w:val="Quote"/>
    <w:uiPriority w:val="29"/>
    <w:rsid w:val="003726BB"/>
    <w:rPr>
      <w:i/>
      <w:iCs/>
      <w:color w:val="404040" w:themeColor="text1" w:themeTint="BF"/>
    </w:rPr>
  </w:style>
  <w:style w:type="paragraph" w:styleId="ListParagraph">
    <w:name w:val="List Paragraph"/>
    <w:basedOn w:val="Normal"/>
    <w:uiPriority w:val="34"/>
    <w:qFormat/>
    <w:rsid w:val="003726BB"/>
    <w:pPr>
      <w:ind w:left="720"/>
      <w:contextualSpacing/>
    </w:pPr>
  </w:style>
  <w:style w:type="character" w:styleId="IntenseEmphasis">
    <w:name w:val="Intense Emphasis"/>
    <w:basedOn w:val="DefaultParagraphFont"/>
    <w:uiPriority w:val="21"/>
    <w:qFormat/>
    <w:rsid w:val="003726BB"/>
    <w:rPr>
      <w:i/>
      <w:iCs/>
      <w:color w:val="0F4761" w:themeColor="accent1" w:themeShade="BF"/>
    </w:rPr>
  </w:style>
  <w:style w:type="paragraph" w:styleId="IntenseQuote">
    <w:name w:val="Intense Quote"/>
    <w:basedOn w:val="Normal"/>
    <w:next w:val="Normal"/>
    <w:link w:val="IntenseQuoteChar"/>
    <w:uiPriority w:val="30"/>
    <w:qFormat/>
    <w:rsid w:val="003726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26BB"/>
    <w:rPr>
      <w:i/>
      <w:iCs/>
      <w:color w:val="0F4761" w:themeColor="accent1" w:themeShade="BF"/>
    </w:rPr>
  </w:style>
  <w:style w:type="character" w:styleId="IntenseReference">
    <w:name w:val="Intense Reference"/>
    <w:basedOn w:val="DefaultParagraphFont"/>
    <w:uiPriority w:val="32"/>
    <w:qFormat/>
    <w:rsid w:val="003726BB"/>
    <w:rPr>
      <w:b/>
      <w:bCs/>
      <w:smallCaps/>
      <w:color w:val="0F4761" w:themeColor="accent1" w:themeShade="BF"/>
      <w:spacing w:val="5"/>
    </w:rPr>
  </w:style>
  <w:style w:type="paragraph" w:styleId="Header">
    <w:name w:val="header"/>
    <w:basedOn w:val="Normal"/>
    <w:link w:val="HeaderChar"/>
    <w:uiPriority w:val="99"/>
    <w:unhideWhenUsed/>
    <w:rsid w:val="003726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26BB"/>
  </w:style>
  <w:style w:type="paragraph" w:styleId="Footer">
    <w:name w:val="footer"/>
    <w:basedOn w:val="Normal"/>
    <w:link w:val="FooterChar"/>
    <w:uiPriority w:val="99"/>
    <w:unhideWhenUsed/>
    <w:rsid w:val="003726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26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475</Words>
  <Characters>2709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Steel</dc:creator>
  <cp:keywords/>
  <dc:description/>
  <cp:lastModifiedBy>Louise Steel</cp:lastModifiedBy>
  <cp:revision>2</cp:revision>
  <dcterms:created xsi:type="dcterms:W3CDTF">2024-11-07T08:30:00Z</dcterms:created>
  <dcterms:modified xsi:type="dcterms:W3CDTF">2024-11-07T08:30:00Z</dcterms:modified>
</cp:coreProperties>
</file>