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8525F" w14:textId="78955A95" w:rsidR="00A72EDD" w:rsidRPr="00A72EDD" w:rsidRDefault="00A72EDD" w:rsidP="00A72EDD">
      <w:pPr>
        <w:jc w:val="center"/>
        <w:rPr>
          <w:rFonts w:ascii="Georgia" w:hAnsi="Georgia"/>
          <w:sz w:val="36"/>
          <w:szCs w:val="36"/>
        </w:rPr>
      </w:pPr>
      <w:r>
        <w:rPr>
          <w:rFonts w:ascii="Georgia" w:hAnsi="Georgia"/>
          <w:sz w:val="36"/>
          <w:szCs w:val="36"/>
        </w:rPr>
        <w:t>Material culture in Theory: A Case Study</w:t>
      </w:r>
    </w:p>
    <w:p w14:paraId="32697EDA" w14:textId="77777777" w:rsidR="00A72EDD" w:rsidRDefault="00A72EDD" w:rsidP="00A72EDD">
      <w:pPr>
        <w:rPr>
          <w:rFonts w:ascii="Georgia" w:hAnsi="Georgia"/>
        </w:rPr>
      </w:pPr>
    </w:p>
    <w:p w14:paraId="7FC1B7A2" w14:textId="36755076" w:rsidR="00A72EDD" w:rsidRPr="00A72EDD" w:rsidRDefault="00A72EDD" w:rsidP="00A72EDD">
      <w:pPr>
        <w:rPr>
          <w:rFonts w:ascii="Georgia" w:hAnsi="Georgia"/>
        </w:rPr>
      </w:pPr>
      <w:r w:rsidRPr="00A72EDD">
        <w:rPr>
          <w:rFonts w:ascii="Georgia" w:hAnsi="Georgia"/>
        </w:rPr>
        <w:t>Materiality is a myriad of interlinking definitions sitting in an abyss of empty space prepared for a never-ending creation of new ones. This collection of overlapping and objecting ideas does not create a mess in which anthropologists have to sift through to find the perfect definition, rather they allow for a flexible foundation in which the anthropologists can analyse their material culture without the need for categorisation or a systematic method. The fluidity in materiality begins with the ideas of classical anthropologists in the colonialist period, where there was a large focus on the symbolism of an object over its function or the materials it was made from</w:t>
      </w:r>
      <w:r w:rsidR="00402B4F">
        <w:rPr>
          <w:rFonts w:ascii="Georgia" w:hAnsi="Georgia"/>
        </w:rPr>
        <w:t xml:space="preserve"> </w:t>
      </w:r>
      <w:r w:rsidR="000A4A43" w:rsidRPr="000A4A43">
        <w:rPr>
          <w:rFonts w:ascii="Georgia" w:hAnsi="Georgia"/>
        </w:rPr>
        <w:t>(Lyons and Papadopoulos, 2002</w:t>
      </w:r>
      <w:r w:rsidR="000A4A43">
        <w:rPr>
          <w:rFonts w:ascii="Georgia" w:hAnsi="Georgia"/>
        </w:rPr>
        <w:t>, pp.5</w:t>
      </w:r>
      <w:r w:rsidR="000A4A43" w:rsidRPr="000A4A43">
        <w:rPr>
          <w:rFonts w:ascii="Georgia" w:hAnsi="Georgia"/>
        </w:rPr>
        <w:t>)</w:t>
      </w:r>
      <w:r w:rsidRPr="00A72EDD">
        <w:rPr>
          <w:rFonts w:ascii="Georgia" w:hAnsi="Georgia"/>
        </w:rPr>
        <w:t>. This stems from the fetishisation of different cultures that did not fit Western ideals, namely the view that other cultures were not sophisticated or intelligent enough to warrant a look into their technology</w:t>
      </w:r>
      <w:r w:rsidR="00402B4F">
        <w:rPr>
          <w:rFonts w:ascii="Georgia" w:hAnsi="Georgia"/>
        </w:rPr>
        <w:t xml:space="preserve"> </w:t>
      </w:r>
      <w:r w:rsidR="00402B4F" w:rsidRPr="00402B4F">
        <w:rPr>
          <w:rFonts w:ascii="Georgia" w:hAnsi="Georgia"/>
        </w:rPr>
        <w:t>(University of Pennsylvania, 2023)</w:t>
      </w:r>
      <w:r w:rsidRPr="00A72EDD">
        <w:rPr>
          <w:rFonts w:ascii="Georgia" w:hAnsi="Georgia"/>
        </w:rPr>
        <w:t>. However, contemporary anthropology has expanded from its roots and developed theories in which the matter and meaning of an object is put into question. In the later decades of the 1900’s, anthropologists such as Daniel Miller, Christopher Tilly and Alfred Gell began to emphasise the importance of an object's craftsmanship and function in a holistic understanding of material culture. </w:t>
      </w:r>
    </w:p>
    <w:p w14:paraId="5BDEAA43" w14:textId="7BB46C8B" w:rsidR="00A72EDD" w:rsidRPr="00A72EDD" w:rsidRDefault="00A72EDD" w:rsidP="00A72EDD">
      <w:pPr>
        <w:rPr>
          <w:rFonts w:ascii="Georgia" w:hAnsi="Georgia"/>
        </w:rPr>
      </w:pPr>
      <w:r w:rsidRPr="00A72EDD">
        <w:rPr>
          <w:rFonts w:ascii="Georgia" w:hAnsi="Georgia"/>
        </w:rPr>
        <w:t>Gell began his academic career in Cambridge where he graduated with a BA and MPhil in social anthropology before achieving a doctorate from the London School of Economics in 1973, a decade later</w:t>
      </w:r>
      <w:r w:rsidR="00636CBB">
        <w:rPr>
          <w:rFonts w:ascii="Georgia" w:hAnsi="Georgia"/>
        </w:rPr>
        <w:t xml:space="preserve"> (Macfarlane, 2003)</w:t>
      </w:r>
      <w:r w:rsidRPr="00A72EDD">
        <w:rPr>
          <w:rFonts w:ascii="Georgia" w:hAnsi="Georgia"/>
        </w:rPr>
        <w:t>. His thesis focused on the research he did into the cultures of Papua New Guinea, looking into the social importance of items of ritualistic value and the designs of the body paintings and tattoos they adorn themselves with</w:t>
      </w:r>
      <w:r w:rsidR="00636CBB">
        <w:rPr>
          <w:rFonts w:ascii="Georgia" w:hAnsi="Georgia"/>
        </w:rPr>
        <w:t xml:space="preserve"> (Macfarlane, 2003)</w:t>
      </w:r>
      <w:r w:rsidRPr="00A72EDD">
        <w:rPr>
          <w:rFonts w:ascii="Georgia" w:hAnsi="Georgia"/>
        </w:rPr>
        <w:t xml:space="preserve">. This formulated the foundations for his later theory published in 1998, a year after his untimely death, titled </w:t>
      </w:r>
      <w:r w:rsidRPr="00A72EDD">
        <w:rPr>
          <w:rFonts w:ascii="Georgia" w:hAnsi="Georgia"/>
          <w:i/>
          <w:iCs/>
        </w:rPr>
        <w:t>Art and Agency: An Anthropological Theory</w:t>
      </w:r>
      <w:r w:rsidR="00636CBB">
        <w:rPr>
          <w:rFonts w:ascii="Georgia" w:hAnsi="Georgia"/>
          <w:i/>
          <w:iCs/>
        </w:rPr>
        <w:t xml:space="preserve"> </w:t>
      </w:r>
      <w:r w:rsidR="00636CBB">
        <w:rPr>
          <w:rFonts w:ascii="Georgia" w:hAnsi="Georgia"/>
        </w:rPr>
        <w:t>(Macfarlane, 2003)</w:t>
      </w:r>
      <w:r w:rsidRPr="00A72EDD">
        <w:rPr>
          <w:rFonts w:ascii="Georgia" w:hAnsi="Georgia"/>
          <w:i/>
          <w:iCs/>
        </w:rPr>
        <w:t xml:space="preserve">. </w:t>
      </w:r>
      <w:r w:rsidRPr="00A72EDD">
        <w:rPr>
          <w:rFonts w:ascii="Georgia" w:hAnsi="Georgia"/>
        </w:rPr>
        <w:t>To claim that Gell originated the focus on both the function and materiality of objects would be inaccurate; however, he was among the first to articulate the ideals of many anthropologists into a coherent linguistic framework thereby bringing it to the forefront of anthropological theory. </w:t>
      </w:r>
    </w:p>
    <w:p w14:paraId="0836C055" w14:textId="6BB91138" w:rsidR="00A72EDD" w:rsidRPr="00A72EDD" w:rsidRDefault="00A72EDD" w:rsidP="00A72EDD">
      <w:pPr>
        <w:rPr>
          <w:rFonts w:ascii="Georgia" w:hAnsi="Georgia"/>
        </w:rPr>
      </w:pPr>
      <w:r w:rsidRPr="00A72EDD">
        <w:rPr>
          <w:rFonts w:ascii="Georgia" w:hAnsi="Georgia"/>
        </w:rPr>
        <w:t>Gell’s book introduces the theory of agency in which the object's function is not passive but rather an integral part towards the formation or maintenance of cultural relationships. Gell states that when a maker creates an item they are passing their agency into that object, alongside their labour, intention and belief, therefore putting it into an index of their creations</w:t>
      </w:r>
      <w:r w:rsidR="002C47D4">
        <w:rPr>
          <w:rFonts w:ascii="Georgia" w:hAnsi="Georgia"/>
        </w:rPr>
        <w:t xml:space="preserve"> </w:t>
      </w:r>
      <w:r w:rsidR="002C47D4" w:rsidRPr="002C47D4">
        <w:rPr>
          <w:rFonts w:ascii="Georgia" w:hAnsi="Georgia"/>
        </w:rPr>
        <w:t>(Gell, 1998)</w:t>
      </w:r>
      <w:r w:rsidRPr="00A72EDD">
        <w:rPr>
          <w:rFonts w:ascii="Georgia" w:hAnsi="Georgia"/>
        </w:rPr>
        <w:t>. Through this, the object then becomes a secondary agent, holding the significance of itself and the history of its craftsmanship to the person it is given to, the reciprocant, which will then evoke emotion. This action of giving the object is referred to by Gell as the object's enchantments, theorising that the very presence of the object will create action and thereby reaction</w:t>
      </w:r>
      <w:r w:rsidR="002C47D4">
        <w:rPr>
          <w:rFonts w:ascii="Georgia" w:hAnsi="Georgia"/>
        </w:rPr>
        <w:t xml:space="preserve"> </w:t>
      </w:r>
      <w:r w:rsidR="002C47D4" w:rsidRPr="002C47D4">
        <w:rPr>
          <w:rFonts w:ascii="Georgia" w:hAnsi="Georgia"/>
        </w:rPr>
        <w:t>(Gell, 1998)</w:t>
      </w:r>
      <w:r w:rsidRPr="00A72EDD">
        <w:rPr>
          <w:rFonts w:ascii="Georgia" w:hAnsi="Georgia"/>
        </w:rPr>
        <w:t>. He also suggests that the object steals the agency from the human as it itself cannot form thought and therefore cannot perform willingly. Simplistically, the object is in the form of a postman, delivering a letter containing feelings and skills of A and transferring them and the story of its creation to B who will then release some form of emotion. This framework bridges the classical to the contemporary by establishing a foundation towards the understanding of social networking in a culture</w:t>
      </w:r>
      <w:r w:rsidR="002C47D4">
        <w:rPr>
          <w:rFonts w:ascii="Georgia" w:hAnsi="Georgia"/>
        </w:rPr>
        <w:t xml:space="preserve"> </w:t>
      </w:r>
      <w:r w:rsidR="002C47D4" w:rsidRPr="002C47D4">
        <w:rPr>
          <w:rFonts w:ascii="Georgia" w:hAnsi="Georgia"/>
        </w:rPr>
        <w:t>(Gell, 1998)</w:t>
      </w:r>
      <w:r w:rsidRPr="00A72EDD">
        <w:rPr>
          <w:rFonts w:ascii="Georgia" w:hAnsi="Georgia"/>
        </w:rPr>
        <w:t>. By looking at both its symbolic meaning and its function it opens a way for others to visualise its value, be it monetarily or emotionally. </w:t>
      </w:r>
    </w:p>
    <w:p w14:paraId="377D3740" w14:textId="77777777" w:rsidR="00A72EDD" w:rsidRPr="00A72EDD" w:rsidRDefault="00A72EDD" w:rsidP="00A72EDD">
      <w:pPr>
        <w:rPr>
          <w:rFonts w:ascii="Georgia" w:hAnsi="Georgia"/>
        </w:rPr>
      </w:pPr>
      <w:r w:rsidRPr="00A72EDD">
        <w:rPr>
          <w:rFonts w:ascii="Georgia" w:hAnsi="Georgia"/>
        </w:rPr>
        <w:t>However, to test the applicability of this theory on objects that do not fit into Gell's focuses (art and culturally distinctive items) I have chosen to sacrifice my glasses to the cause. </w:t>
      </w:r>
    </w:p>
    <w:p w14:paraId="59BD58D5" w14:textId="77777777" w:rsidR="00A72EDD" w:rsidRPr="00A72EDD" w:rsidRDefault="00A72EDD" w:rsidP="00A72EDD">
      <w:pPr>
        <w:rPr>
          <w:rFonts w:ascii="Georgia" w:hAnsi="Georgia"/>
        </w:rPr>
      </w:pPr>
      <w:r w:rsidRPr="00A72EDD">
        <w:rPr>
          <w:rFonts w:ascii="Georgia" w:hAnsi="Georgia"/>
        </w:rPr>
        <w:lastRenderedPageBreak/>
        <w:t xml:space="preserve">My glasses are made of wire frames, plastic lenses and sport a rubber lining on the arms- making them a more comfortable fit and less abrasive. In addition to this they have two hinges to compress down into a case (of which </w:t>
      </w:r>
      <w:proofErr w:type="spellStart"/>
      <w:r w:rsidRPr="00A72EDD">
        <w:rPr>
          <w:rFonts w:ascii="Georgia" w:hAnsi="Georgia"/>
        </w:rPr>
        <w:t>i</w:t>
      </w:r>
      <w:proofErr w:type="spellEnd"/>
      <w:r w:rsidRPr="00A72EDD">
        <w:rPr>
          <w:rFonts w:ascii="Georgia" w:hAnsi="Georgia"/>
        </w:rPr>
        <w:t xml:space="preserve"> do not own) and the nose rests are two opposite wires that are plated with a rubber as to help with wearability and grip. Their functionality is more important to me than their aesthetic, however, it would be remiss to suggest that it does not matter as I chose these lenses with intention. Gell would imply that these frames, through their creation in the workshop or mechanical factory, have compelled me to choose them through their very existence. Despite them not being art, in a way they still express the same kind of emotion that a painting could evoke, for me the discovery of these lenses came with a sigh of relief as I no longer had to wear the clunky black plastic ones I had gotten since my first prescription. In feeling this the glasses </w:t>
      </w:r>
      <w:r w:rsidRPr="00A72EDD">
        <w:rPr>
          <w:rFonts w:ascii="Georgia" w:hAnsi="Georgia"/>
          <w:i/>
          <w:iCs/>
        </w:rPr>
        <w:t>frames</w:t>
      </w:r>
      <w:r w:rsidRPr="00A72EDD">
        <w:rPr>
          <w:rFonts w:ascii="Georgia" w:hAnsi="Georgia"/>
        </w:rPr>
        <w:t xml:space="preserve"> specifically becomes more than just an object and allows me to express my taste through what goes on my face, something that will be discussed later. The </w:t>
      </w:r>
      <w:r w:rsidRPr="00A72EDD">
        <w:rPr>
          <w:rFonts w:ascii="Georgia" w:hAnsi="Georgia"/>
          <w:i/>
          <w:iCs/>
        </w:rPr>
        <w:t>lenses</w:t>
      </w:r>
      <w:r w:rsidRPr="00A72EDD">
        <w:rPr>
          <w:rFonts w:ascii="Georgia" w:hAnsi="Georgia"/>
        </w:rPr>
        <w:t xml:space="preserve"> however are more functional and less subjective as they are plain and their only existence is for me to be able to see far away. This ties into Gell's theory as now the lenses and attached framework are permitting me to see what I could not before, evoking emotion once again. </w:t>
      </w:r>
    </w:p>
    <w:p w14:paraId="5005C143" w14:textId="77777777" w:rsidR="00A72EDD" w:rsidRPr="00A72EDD" w:rsidRDefault="00A72EDD" w:rsidP="00A72EDD">
      <w:pPr>
        <w:rPr>
          <w:rFonts w:ascii="Georgia" w:hAnsi="Georgia"/>
        </w:rPr>
      </w:pPr>
      <w:r w:rsidRPr="00A72EDD">
        <w:rPr>
          <w:rFonts w:ascii="Georgia" w:hAnsi="Georgia"/>
        </w:rPr>
        <w:t>Gell would suggest that the fact that I chose these glasses would be because they enchanted me into getting them through compelling me with their very existence and passage of agency. When the glasses were being made their designer, maker and retailer all passed agency, without intention, towards the glasses meaning it is now a bowl of their intentions and skills. They are then placed on the shelves waiting for a reciprocator like me to be compelled to choose them, for which I did, carrying on the agency and therefore igniting an emotion in me through the consumption of theirs. This shows that objects cause reaction as Gell theorises, as the movement of me obtaining the glasses- the very choice I made- changed and shaped human behaviour as I was now presented with another stimuli in which to focus. </w:t>
      </w:r>
    </w:p>
    <w:p w14:paraId="07D41809" w14:textId="77777777" w:rsidR="00A72EDD" w:rsidRPr="00A72EDD" w:rsidRDefault="00A72EDD" w:rsidP="00A72EDD">
      <w:pPr>
        <w:rPr>
          <w:rFonts w:ascii="Georgia" w:hAnsi="Georgia"/>
        </w:rPr>
      </w:pPr>
      <w:r w:rsidRPr="00A72EDD">
        <w:rPr>
          <w:rFonts w:ascii="Georgia" w:hAnsi="Georgia"/>
        </w:rPr>
        <w:t xml:space="preserve">In addition, the second I touch this item I am creating a relationship between me and the creators as we have been present in a passage of material culture, furthermore, me taking the glasses then imprints the glasses as an index into the creators. From the designer it was created an index through the passage to the constructor and so on and so forth as they each leave their fingerprint on the object and thus a history for which the object retains through its serial number and craftsmanship. Its history does not end with me, that is not what Gell implies, however I now carry and continue almost a legacy of the glasses through my ownership. Each dent and scratch is another nick into its history and if it were to be passed to another than my modifications (be them intentional or not) would then place the glasses as one of </w:t>
      </w:r>
      <w:r w:rsidRPr="00A72EDD">
        <w:rPr>
          <w:rFonts w:ascii="Georgia" w:hAnsi="Georgia"/>
          <w:i/>
          <w:iCs/>
        </w:rPr>
        <w:t>my</w:t>
      </w:r>
      <w:r w:rsidRPr="00A72EDD">
        <w:rPr>
          <w:rFonts w:ascii="Georgia" w:hAnsi="Georgia"/>
        </w:rPr>
        <w:t xml:space="preserve"> index’s. </w:t>
      </w:r>
    </w:p>
    <w:p w14:paraId="6EAACBF0" w14:textId="77777777" w:rsidR="00A72EDD" w:rsidRPr="00A72EDD" w:rsidRDefault="00A72EDD" w:rsidP="00A72EDD">
      <w:pPr>
        <w:rPr>
          <w:rFonts w:ascii="Georgia" w:hAnsi="Georgia"/>
        </w:rPr>
      </w:pPr>
      <w:r w:rsidRPr="00A72EDD">
        <w:rPr>
          <w:rFonts w:ascii="Georgia" w:hAnsi="Georgia"/>
        </w:rPr>
        <w:t>This formation of a relationship also contributes to the maintenance of others as these glasses are older and are prone to damage. In particular, there was an instance in which one of the screws from the hinges fell and I could not find it as I was in a field, this then led to the lens falling out and me having to squint my way home. When getting there I went to my father and passed on the issue, thereby he screwed in a new screw, silver instead of my glasses more gold tinge, and fixed them completely for me. This instance means that my relationship with my father has been strengthened through the journey of fixing the material object. Though it may not be flashy this event showed a combustion of emotions which were sustained, the trust I placed in him to fix and not break them and the safety I felt in his skill highlights that Gell’s theory is able to tell the narrative of an object without the focus on its symbology and rather the emotions it emits. </w:t>
      </w:r>
    </w:p>
    <w:p w14:paraId="2D12BF7E" w14:textId="4D806ACC" w:rsidR="00A72EDD" w:rsidRPr="00A72EDD" w:rsidRDefault="00A72EDD" w:rsidP="00A72EDD">
      <w:pPr>
        <w:rPr>
          <w:rFonts w:ascii="Georgia" w:hAnsi="Georgia"/>
        </w:rPr>
      </w:pPr>
      <w:r w:rsidRPr="00A72EDD">
        <w:rPr>
          <w:rFonts w:ascii="Georgia" w:hAnsi="Georgia"/>
        </w:rPr>
        <w:t xml:space="preserve">Throughout this story I have highlighted the colour of the screw, silver not gold. This is important as it showcases one of the things Gell’s theory does not encompass, the </w:t>
      </w:r>
      <w:r w:rsidRPr="00A72EDD">
        <w:rPr>
          <w:rFonts w:ascii="Georgia" w:hAnsi="Georgia"/>
        </w:rPr>
        <w:lastRenderedPageBreak/>
        <w:t>appearance of an object and how that affects how I perceive it. This is where the critiques of Gell's theory begin to show. </w:t>
      </w:r>
    </w:p>
    <w:p w14:paraId="67255ED6" w14:textId="78580790" w:rsidR="00A72EDD" w:rsidRPr="00A72EDD" w:rsidRDefault="00A72EDD" w:rsidP="00A72EDD">
      <w:pPr>
        <w:rPr>
          <w:rFonts w:ascii="Georgia" w:hAnsi="Georgia"/>
        </w:rPr>
      </w:pPr>
      <w:r w:rsidRPr="00A72EDD">
        <w:rPr>
          <w:rFonts w:ascii="Georgia" w:hAnsi="Georgia"/>
        </w:rPr>
        <w:t>Gell's work is largely critiqued from many different anthropologists, such as Robert Layton, another British anthropologist that uses a myriad of researchers to back up his critiques. However, unlike others, Layton begins with the understanding that Gell may not have had the time to revise the book and change or advance its contents before his untimely death and thus takes all ideas from this theory with a pinch of salt</w:t>
      </w:r>
      <w:r w:rsidR="001E6FA8">
        <w:rPr>
          <w:rFonts w:ascii="Georgia" w:hAnsi="Georgia"/>
        </w:rPr>
        <w:t xml:space="preserve"> </w:t>
      </w:r>
      <w:r w:rsidR="001E6FA8" w:rsidRPr="001E6FA8">
        <w:rPr>
          <w:rFonts w:ascii="Georgia" w:hAnsi="Georgia"/>
        </w:rPr>
        <w:t>(Layton, 2003)</w:t>
      </w:r>
      <w:r w:rsidRPr="00A72EDD">
        <w:rPr>
          <w:rFonts w:ascii="Georgia" w:hAnsi="Georgia"/>
        </w:rPr>
        <w:t>. Nevertheless, Layton agrees with the idea that aesthetic value varies in different cultures with some being more vain and others being more focused on function than beauty</w:t>
      </w:r>
      <w:r w:rsidR="001E6FA8">
        <w:rPr>
          <w:rFonts w:ascii="Georgia" w:hAnsi="Georgia"/>
        </w:rPr>
        <w:t xml:space="preserve"> </w:t>
      </w:r>
      <w:r w:rsidR="001E6FA8" w:rsidRPr="001E6FA8">
        <w:rPr>
          <w:rFonts w:ascii="Georgia" w:hAnsi="Georgia"/>
        </w:rPr>
        <w:t>(Layton, 2003)</w:t>
      </w:r>
      <w:r w:rsidRPr="00A72EDD">
        <w:rPr>
          <w:rFonts w:ascii="Georgia" w:hAnsi="Georgia"/>
        </w:rPr>
        <w:t>. Yet he does not sympathise with the view that it plays no part in the analysis of an object. He uses an example from Hughes-Freeland in which he states that the Lega of Central Africa holds value in objects made from ivory and well-polished wood as they are admiring the artisanship over the aesthetics</w:t>
      </w:r>
      <w:r w:rsidR="001E6FA8">
        <w:rPr>
          <w:rFonts w:ascii="Georgia" w:hAnsi="Georgia"/>
        </w:rPr>
        <w:t xml:space="preserve"> </w:t>
      </w:r>
      <w:r w:rsidR="001E6FA8" w:rsidRPr="001E6FA8">
        <w:rPr>
          <w:rFonts w:ascii="Georgia" w:hAnsi="Georgia"/>
        </w:rPr>
        <w:t>(Layton, 2003)</w:t>
      </w:r>
      <w:r w:rsidRPr="00A72EDD">
        <w:rPr>
          <w:rFonts w:ascii="Georgia" w:hAnsi="Georgia"/>
        </w:rPr>
        <w:t xml:space="preserve">, however, Layton then rebukes this claim by stating how in </w:t>
      </w:r>
      <w:proofErr w:type="spellStart"/>
      <w:r w:rsidRPr="00A72EDD">
        <w:rPr>
          <w:rFonts w:ascii="Georgia" w:hAnsi="Georgia"/>
        </w:rPr>
        <w:t>Biebuyck’s</w:t>
      </w:r>
      <w:proofErr w:type="spellEnd"/>
      <w:r w:rsidRPr="00A72EDD">
        <w:rPr>
          <w:rFonts w:ascii="Georgia" w:hAnsi="Georgia"/>
        </w:rPr>
        <w:t xml:space="preserve"> research the objects hold value for not only their performance of skill but also their looks. This is again shown when Layton uses Sillitoe’s research to show how the men of Papua New Guinea do not adorn their headdresses with feathers from birds of paradise because they wish to gain their agency rather make their outfits more flashy and handsome</w:t>
      </w:r>
      <w:r w:rsidR="001E6FA8">
        <w:rPr>
          <w:rFonts w:ascii="Georgia" w:hAnsi="Georgia"/>
        </w:rPr>
        <w:t xml:space="preserve"> </w:t>
      </w:r>
      <w:r w:rsidR="001E6FA8" w:rsidRPr="001E6FA8">
        <w:rPr>
          <w:rFonts w:ascii="Georgia" w:hAnsi="Georgia"/>
        </w:rPr>
        <w:t>(Layton, 2003)</w:t>
      </w:r>
      <w:r w:rsidRPr="00A72EDD">
        <w:rPr>
          <w:rFonts w:ascii="Georgia" w:hAnsi="Georgia"/>
        </w:rPr>
        <w:t>. Putting this critique in context of my glasses, it's blatant that I, as I have previously stated, chose them for how they look as a way to control what my outward appearance looks like while also using the function of the glasses. In an environment where appearance is almost constantly mulled over, it is hard to separate the function of an item from its coloured finish and therefore the aesthetics of an object is just as important. </w:t>
      </w:r>
    </w:p>
    <w:p w14:paraId="5AA02C76" w14:textId="642729EE" w:rsidR="00A72EDD" w:rsidRPr="00A72EDD" w:rsidRDefault="00A72EDD" w:rsidP="00A72EDD">
      <w:pPr>
        <w:rPr>
          <w:rFonts w:ascii="Georgia" w:hAnsi="Georgia"/>
        </w:rPr>
      </w:pPr>
      <w:r w:rsidRPr="00A72EDD">
        <w:rPr>
          <w:rFonts w:ascii="Georgia" w:hAnsi="Georgia"/>
        </w:rPr>
        <w:t>A more outspoken and less sympathetic critique comes from Ross Bowden, an Australian anthropologist that specialises in the art and history of the peoples of Papua New Guinea, specifically the Kwoma and Yalaku. He states how the idea itself is not original once people look further into the theory and that the praise the book has gotten does not mean he will bend to the whim of its words</w:t>
      </w:r>
      <w:r w:rsidR="001E6FA8">
        <w:rPr>
          <w:rFonts w:ascii="Georgia" w:hAnsi="Georgia"/>
        </w:rPr>
        <w:t xml:space="preserve"> </w:t>
      </w:r>
      <w:r w:rsidR="001E6FA8" w:rsidRPr="001E6FA8">
        <w:rPr>
          <w:rFonts w:ascii="Georgia" w:hAnsi="Georgia"/>
        </w:rPr>
        <w:t>(Bowden</w:t>
      </w:r>
      <w:r w:rsidR="001E6FA8">
        <w:rPr>
          <w:rFonts w:ascii="Georgia" w:hAnsi="Georgia"/>
        </w:rPr>
        <w:t xml:space="preserve">, </w:t>
      </w:r>
      <w:r w:rsidR="001E6FA8" w:rsidRPr="001E6FA8">
        <w:rPr>
          <w:rFonts w:ascii="Georgia" w:hAnsi="Georgia"/>
        </w:rPr>
        <w:t>2004</w:t>
      </w:r>
      <w:r w:rsidR="001E6FA8">
        <w:rPr>
          <w:rFonts w:ascii="Georgia" w:hAnsi="Georgia"/>
        </w:rPr>
        <w:t>,</w:t>
      </w:r>
      <w:r w:rsidR="001E6FA8" w:rsidRPr="001E6FA8">
        <w:rPr>
          <w:rFonts w:ascii="Georgia" w:hAnsi="Georgia"/>
        </w:rPr>
        <w:t xml:space="preserve"> </w:t>
      </w:r>
      <w:r w:rsidR="001E6FA8">
        <w:rPr>
          <w:rFonts w:ascii="Georgia" w:hAnsi="Georgia"/>
        </w:rPr>
        <w:t>pp.309</w:t>
      </w:r>
      <w:r w:rsidR="001E6FA8" w:rsidRPr="001E6FA8">
        <w:rPr>
          <w:rFonts w:ascii="Georgia" w:hAnsi="Georgia"/>
        </w:rPr>
        <w:t>)</w:t>
      </w:r>
      <w:r w:rsidRPr="00A72EDD">
        <w:rPr>
          <w:rFonts w:ascii="Georgia" w:hAnsi="Georgia"/>
        </w:rPr>
        <w:t>. At the beginning of Gell's work he focuses on art rather than the more broad ‘objects’, however, during this he suggests that what people value about art is the same no matter the culture. Bowden strongly disagrees with this notion as, to paraphrase, any ethnographical research will tell a researcher that different cultures react to the same stimuli differently</w:t>
      </w:r>
      <w:r w:rsidR="001E6FA8">
        <w:rPr>
          <w:rFonts w:ascii="Georgia" w:hAnsi="Georgia"/>
        </w:rPr>
        <w:t xml:space="preserve"> (Bowden, 2004</w:t>
      </w:r>
      <w:r w:rsidR="006B0DE2">
        <w:rPr>
          <w:rFonts w:ascii="Georgia" w:hAnsi="Georgia"/>
        </w:rPr>
        <w:t>, pp.312)</w:t>
      </w:r>
      <w:r w:rsidRPr="00A72EDD">
        <w:rPr>
          <w:rFonts w:ascii="Georgia" w:hAnsi="Georgia"/>
        </w:rPr>
        <w:t>. Nearing the end of the critique, Bowden analyses how throughout Gell's work he constantly backp</w:t>
      </w:r>
      <w:r>
        <w:rPr>
          <w:rFonts w:ascii="Georgia" w:hAnsi="Georgia"/>
        </w:rPr>
        <w:t>edals</w:t>
      </w:r>
      <w:r w:rsidRPr="00A72EDD">
        <w:rPr>
          <w:rFonts w:ascii="Georgia" w:hAnsi="Georgia"/>
        </w:rPr>
        <w:t xml:space="preserve"> or changes his main theory as a way to fit his example</w:t>
      </w:r>
      <w:r w:rsidR="006B0DE2">
        <w:rPr>
          <w:rFonts w:ascii="Georgia" w:hAnsi="Georgia"/>
        </w:rPr>
        <w:t xml:space="preserve"> (Bowden, 2004, pp.324)</w:t>
      </w:r>
      <w:r w:rsidRPr="00A72EDD">
        <w:rPr>
          <w:rFonts w:ascii="Georgia" w:hAnsi="Georgia"/>
        </w:rPr>
        <w:t>, this is a good example of where the sympathies of Layton were needed as it is possible that if Gell were alive he would be able to revise and rework his theory in way that is more stable and consistent. </w:t>
      </w:r>
    </w:p>
    <w:p w14:paraId="5C5B2F51" w14:textId="000E9F4D" w:rsidR="006E52E6" w:rsidRDefault="00A72EDD">
      <w:pPr>
        <w:rPr>
          <w:rFonts w:ascii="Georgia" w:hAnsi="Georgia"/>
        </w:rPr>
      </w:pPr>
      <w:r w:rsidRPr="00A72EDD">
        <w:rPr>
          <w:rFonts w:ascii="Georgia" w:hAnsi="Georgia"/>
        </w:rPr>
        <w:t>The conclusion of this lecture would round off with the recap of material culture in theory. Materiality does not have a fixed definition and therefore allows for anthropologists to analyse material culture through their own means which gives greater freedoms to more complex or controversial ideas. Moreover, Gell’s theory evaluated and tested the renowned theories at the time, developing the understanding of material culture- mainly through the revision of art and agency. When putting his theory to the test it created an almost holistic view of the glasses and their functional meaning, however, its ignorance to the symbolism makes it ignore important features that are integral to the development and conservation of relationships in a society. However, despite its limitations it created a foundation for which present anthropologists can springboard off and develop theories that further the study.</w:t>
      </w:r>
    </w:p>
    <w:p w14:paraId="0252C85A" w14:textId="77777777" w:rsidR="002C47D4" w:rsidRDefault="002C47D4">
      <w:pPr>
        <w:rPr>
          <w:rFonts w:ascii="Georgia" w:hAnsi="Georgia"/>
        </w:rPr>
      </w:pPr>
    </w:p>
    <w:p w14:paraId="2C585925" w14:textId="77777777" w:rsidR="00871D54" w:rsidRDefault="00871D54">
      <w:pPr>
        <w:rPr>
          <w:rFonts w:ascii="Georgia" w:hAnsi="Georgia"/>
        </w:rPr>
      </w:pPr>
    </w:p>
    <w:p w14:paraId="01C2261E" w14:textId="0EC5514A" w:rsidR="002C47D4" w:rsidRDefault="002C47D4">
      <w:pPr>
        <w:rPr>
          <w:rFonts w:ascii="Georgia" w:hAnsi="Georgia"/>
        </w:rPr>
      </w:pPr>
      <w:r>
        <w:rPr>
          <w:rFonts w:ascii="Georgia" w:hAnsi="Georgia"/>
        </w:rPr>
        <w:lastRenderedPageBreak/>
        <w:t xml:space="preserve">Bibliography: </w:t>
      </w:r>
    </w:p>
    <w:p w14:paraId="3D122A77" w14:textId="76F99A2A" w:rsidR="002C47D4" w:rsidRPr="002C47D4" w:rsidRDefault="002C47D4" w:rsidP="002C47D4">
      <w:pPr>
        <w:rPr>
          <w:rFonts w:ascii="Georgia" w:hAnsi="Georgia"/>
        </w:rPr>
      </w:pPr>
      <w:r w:rsidRPr="002C47D4">
        <w:rPr>
          <w:rFonts w:ascii="Georgia" w:hAnsi="Georgia"/>
        </w:rPr>
        <w:t xml:space="preserve">Bowden, R., 2004. </w:t>
      </w:r>
      <w:r w:rsidRPr="002C47D4">
        <w:rPr>
          <w:rFonts w:ascii="Georgia" w:hAnsi="Georgia"/>
          <w:i/>
          <w:iCs/>
        </w:rPr>
        <w:t>A critique of Alfred Gell on Art and Agency</w:t>
      </w:r>
      <w:r w:rsidRPr="002C47D4">
        <w:rPr>
          <w:rFonts w:ascii="Georgia" w:hAnsi="Georgia"/>
        </w:rPr>
        <w:t xml:space="preserve">. </w:t>
      </w:r>
      <w:r w:rsidRPr="002C47D4">
        <w:rPr>
          <w:rFonts w:ascii="Georgia" w:hAnsi="Georgia"/>
          <w:i/>
          <w:iCs/>
        </w:rPr>
        <w:t>Oceania</w:t>
      </w:r>
      <w:r w:rsidRPr="002C47D4">
        <w:rPr>
          <w:rFonts w:ascii="Georgia" w:hAnsi="Georgia"/>
        </w:rPr>
        <w:t xml:space="preserve">, [online] 74(4), pp.309–324. Available at: </w:t>
      </w:r>
      <w:hyperlink r:id="rId4" w:history="1">
        <w:r w:rsidR="0028471B" w:rsidRPr="002C47D4">
          <w:rPr>
            <w:rStyle w:val="Hyperlink"/>
            <w:rFonts w:ascii="Georgia" w:hAnsi="Georgia"/>
          </w:rPr>
          <w:t>https://www.jstor.org/stable/40332070</w:t>
        </w:r>
      </w:hyperlink>
      <w:r w:rsidR="0028471B">
        <w:rPr>
          <w:rFonts w:ascii="Georgia" w:hAnsi="Georgia"/>
        </w:rPr>
        <w:t xml:space="preserve"> </w:t>
      </w:r>
    </w:p>
    <w:p w14:paraId="7CF3DF62" w14:textId="77777777" w:rsidR="002C47D4" w:rsidRPr="002C47D4" w:rsidRDefault="002C47D4" w:rsidP="002C47D4">
      <w:pPr>
        <w:rPr>
          <w:rFonts w:ascii="Georgia" w:hAnsi="Georgia"/>
        </w:rPr>
      </w:pPr>
      <w:r w:rsidRPr="002C47D4">
        <w:rPr>
          <w:rFonts w:ascii="Georgia" w:hAnsi="Georgia"/>
        </w:rPr>
        <w:t xml:space="preserve">Gell, A., 1998. </w:t>
      </w:r>
      <w:r w:rsidRPr="002C47D4">
        <w:rPr>
          <w:rFonts w:ascii="Georgia" w:hAnsi="Georgia"/>
          <w:i/>
          <w:iCs/>
        </w:rPr>
        <w:t>Art and agency: An anthropological theory</w:t>
      </w:r>
      <w:r w:rsidRPr="002C47D4">
        <w:rPr>
          <w:rFonts w:ascii="Georgia" w:hAnsi="Georgia"/>
        </w:rPr>
        <w:t xml:space="preserve">. Oxford: Oxford University Press. </w:t>
      </w:r>
      <w:hyperlink r:id="rId5" w:history="1">
        <w:r w:rsidRPr="002C47D4">
          <w:rPr>
            <w:rStyle w:val="Hyperlink"/>
            <w:rFonts w:ascii="Georgia" w:hAnsi="Georgia"/>
          </w:rPr>
          <w:t>https://doi.org/10.1093/oso/9780198280132.001.0001</w:t>
        </w:r>
      </w:hyperlink>
    </w:p>
    <w:p w14:paraId="32CDAFBC" w14:textId="77777777" w:rsidR="002C47D4" w:rsidRPr="002C47D4" w:rsidRDefault="002C47D4" w:rsidP="002C47D4">
      <w:pPr>
        <w:rPr>
          <w:rFonts w:ascii="Georgia" w:hAnsi="Georgia"/>
        </w:rPr>
      </w:pPr>
      <w:r w:rsidRPr="002C47D4">
        <w:rPr>
          <w:rFonts w:ascii="Georgia" w:hAnsi="Georgia"/>
        </w:rPr>
        <w:t xml:space="preserve">Layton, R., 2003. Art and agency: A reassessment. </w:t>
      </w:r>
      <w:r w:rsidRPr="002C47D4">
        <w:rPr>
          <w:rFonts w:ascii="Georgia" w:hAnsi="Georgia"/>
          <w:i/>
          <w:iCs/>
        </w:rPr>
        <w:t>Journal of the Royal Anthropological Institute</w:t>
      </w:r>
      <w:r w:rsidRPr="002C47D4">
        <w:rPr>
          <w:rFonts w:ascii="Georgia" w:hAnsi="Georgia"/>
        </w:rPr>
        <w:t xml:space="preserve">, 9(3), pp.447–464. </w:t>
      </w:r>
      <w:hyperlink r:id="rId6" w:history="1">
        <w:r w:rsidRPr="002C47D4">
          <w:rPr>
            <w:rStyle w:val="Hyperlink"/>
            <w:rFonts w:ascii="Georgia" w:hAnsi="Georgia"/>
          </w:rPr>
          <w:t>https://doi.org/10.1111/1467-9655.00158</w:t>
        </w:r>
      </w:hyperlink>
    </w:p>
    <w:p w14:paraId="0343B78E" w14:textId="70D6022B" w:rsidR="0028471B" w:rsidRPr="0028471B" w:rsidRDefault="0028471B" w:rsidP="0028471B">
      <w:pPr>
        <w:rPr>
          <w:rFonts w:ascii="Georgia" w:hAnsi="Georgia"/>
        </w:rPr>
      </w:pPr>
      <w:r w:rsidRPr="0028471B">
        <w:rPr>
          <w:rFonts w:ascii="Georgia" w:hAnsi="Georgia"/>
        </w:rPr>
        <w:t xml:space="preserve">Lyons, C.L. and Papadopoulos, J.K. (2002b). </w:t>
      </w:r>
      <w:r w:rsidRPr="0028471B">
        <w:rPr>
          <w:rFonts w:ascii="Georgia" w:hAnsi="Georgia"/>
          <w:i/>
          <w:iCs/>
        </w:rPr>
        <w:t>The archaeology of colonialism</w:t>
      </w:r>
      <w:r w:rsidRPr="0028471B">
        <w:rPr>
          <w:rFonts w:ascii="Georgia" w:hAnsi="Georgia"/>
        </w:rPr>
        <w:t xml:space="preserve">. [online] Los Angeles, Calif.: Getty Information Institute. Available at: </w:t>
      </w:r>
      <w:hyperlink r:id="rId7" w:history="1">
        <w:r w:rsidRPr="0028471B">
          <w:rPr>
            <w:rStyle w:val="Hyperlink"/>
            <w:rFonts w:ascii="Georgia" w:hAnsi="Georgia"/>
          </w:rPr>
          <w:t>https://www.getty.edu/publications/virtuallibrary/0892366354.html</w:t>
        </w:r>
      </w:hyperlink>
      <w:r w:rsidRPr="0028471B">
        <w:rPr>
          <w:rFonts w:ascii="Georgia" w:hAnsi="Georgia"/>
        </w:rPr>
        <w:t>.</w:t>
      </w:r>
      <w:r>
        <w:rPr>
          <w:rFonts w:ascii="Georgia" w:hAnsi="Georgia"/>
        </w:rPr>
        <w:t xml:space="preserve"> </w:t>
      </w:r>
    </w:p>
    <w:p w14:paraId="5AC8D0D7" w14:textId="123D3612" w:rsidR="002C47D4" w:rsidRPr="002C47D4" w:rsidRDefault="002C47D4" w:rsidP="002C47D4">
      <w:pPr>
        <w:rPr>
          <w:rFonts w:ascii="Georgia" w:hAnsi="Georgia"/>
        </w:rPr>
      </w:pPr>
      <w:r w:rsidRPr="002C47D4">
        <w:rPr>
          <w:rFonts w:ascii="Georgia" w:hAnsi="Georgia"/>
        </w:rPr>
        <w:t xml:space="preserve">University of Pennsylvania, 2023. </w:t>
      </w:r>
      <w:r w:rsidRPr="002C47D4">
        <w:rPr>
          <w:rFonts w:ascii="Georgia" w:hAnsi="Georgia"/>
          <w:i/>
          <w:iCs/>
        </w:rPr>
        <w:t>Statement on anthropology, colonialism, and racism Department of Anthropology</w:t>
      </w:r>
      <w:r w:rsidRPr="002C47D4">
        <w:rPr>
          <w:rFonts w:ascii="Georgia" w:hAnsi="Georgia"/>
        </w:rPr>
        <w:t xml:space="preserve">. [online] Available at: </w:t>
      </w:r>
      <w:hyperlink r:id="rId8" w:history="1">
        <w:r w:rsidR="0028471B" w:rsidRPr="002C47D4">
          <w:rPr>
            <w:rStyle w:val="Hyperlink"/>
            <w:rFonts w:ascii="Georgia" w:hAnsi="Georgia"/>
          </w:rPr>
          <w:t>https://anthropology.sas.upenn.edu/news/2021/04/28/statement-anthropology-colonialism-and-racism</w:t>
        </w:r>
      </w:hyperlink>
      <w:r w:rsidR="0028471B">
        <w:rPr>
          <w:rFonts w:ascii="Georgia" w:hAnsi="Georgia"/>
        </w:rPr>
        <w:t xml:space="preserve"> </w:t>
      </w:r>
    </w:p>
    <w:p w14:paraId="324615A2" w14:textId="77777777" w:rsidR="002C47D4" w:rsidRPr="00A72EDD" w:rsidRDefault="002C47D4">
      <w:pPr>
        <w:rPr>
          <w:rFonts w:ascii="Georgia" w:hAnsi="Georgia"/>
        </w:rPr>
      </w:pPr>
    </w:p>
    <w:sectPr w:rsidR="002C47D4" w:rsidRPr="00A72E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EDD"/>
    <w:rsid w:val="000A4A43"/>
    <w:rsid w:val="000D3B15"/>
    <w:rsid w:val="001D1819"/>
    <w:rsid w:val="001E6FA8"/>
    <w:rsid w:val="0028471B"/>
    <w:rsid w:val="002C47D4"/>
    <w:rsid w:val="00402B4F"/>
    <w:rsid w:val="00636CBB"/>
    <w:rsid w:val="006B0DE2"/>
    <w:rsid w:val="006E52E6"/>
    <w:rsid w:val="00871D54"/>
    <w:rsid w:val="00893028"/>
    <w:rsid w:val="00936BF2"/>
    <w:rsid w:val="009913A9"/>
    <w:rsid w:val="00A72EDD"/>
    <w:rsid w:val="00E51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16B5D"/>
  <w15:chartTrackingRefBased/>
  <w15:docId w15:val="{AD229885-25FF-4434-8DD8-3B545F9E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2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2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2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2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2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2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2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2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2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2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2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2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2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EDD"/>
    <w:rPr>
      <w:rFonts w:eastAsiaTheme="majorEastAsia" w:cstheme="majorBidi"/>
      <w:color w:val="272727" w:themeColor="text1" w:themeTint="D8"/>
    </w:rPr>
  </w:style>
  <w:style w:type="paragraph" w:styleId="Title">
    <w:name w:val="Title"/>
    <w:basedOn w:val="Normal"/>
    <w:next w:val="Normal"/>
    <w:link w:val="TitleChar"/>
    <w:uiPriority w:val="10"/>
    <w:qFormat/>
    <w:rsid w:val="00A72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EDD"/>
    <w:pPr>
      <w:spacing w:before="160"/>
      <w:jc w:val="center"/>
    </w:pPr>
    <w:rPr>
      <w:i/>
      <w:iCs/>
      <w:color w:val="404040" w:themeColor="text1" w:themeTint="BF"/>
    </w:rPr>
  </w:style>
  <w:style w:type="character" w:customStyle="1" w:styleId="QuoteChar">
    <w:name w:val="Quote Char"/>
    <w:basedOn w:val="DefaultParagraphFont"/>
    <w:link w:val="Quote"/>
    <w:uiPriority w:val="29"/>
    <w:rsid w:val="00A72EDD"/>
    <w:rPr>
      <w:i/>
      <w:iCs/>
      <w:color w:val="404040" w:themeColor="text1" w:themeTint="BF"/>
    </w:rPr>
  </w:style>
  <w:style w:type="paragraph" w:styleId="ListParagraph">
    <w:name w:val="List Paragraph"/>
    <w:basedOn w:val="Normal"/>
    <w:uiPriority w:val="34"/>
    <w:qFormat/>
    <w:rsid w:val="00A72EDD"/>
    <w:pPr>
      <w:ind w:left="720"/>
      <w:contextualSpacing/>
    </w:pPr>
  </w:style>
  <w:style w:type="character" w:styleId="IntenseEmphasis">
    <w:name w:val="Intense Emphasis"/>
    <w:basedOn w:val="DefaultParagraphFont"/>
    <w:uiPriority w:val="21"/>
    <w:qFormat/>
    <w:rsid w:val="00A72EDD"/>
    <w:rPr>
      <w:i/>
      <w:iCs/>
      <w:color w:val="0F4761" w:themeColor="accent1" w:themeShade="BF"/>
    </w:rPr>
  </w:style>
  <w:style w:type="paragraph" w:styleId="IntenseQuote">
    <w:name w:val="Intense Quote"/>
    <w:basedOn w:val="Normal"/>
    <w:next w:val="Normal"/>
    <w:link w:val="IntenseQuoteChar"/>
    <w:uiPriority w:val="30"/>
    <w:qFormat/>
    <w:rsid w:val="00A72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2EDD"/>
    <w:rPr>
      <w:i/>
      <w:iCs/>
      <w:color w:val="0F4761" w:themeColor="accent1" w:themeShade="BF"/>
    </w:rPr>
  </w:style>
  <w:style w:type="character" w:styleId="IntenseReference">
    <w:name w:val="Intense Reference"/>
    <w:basedOn w:val="DefaultParagraphFont"/>
    <w:uiPriority w:val="32"/>
    <w:qFormat/>
    <w:rsid w:val="00A72EDD"/>
    <w:rPr>
      <w:b/>
      <w:bCs/>
      <w:smallCaps/>
      <w:color w:val="0F4761" w:themeColor="accent1" w:themeShade="BF"/>
      <w:spacing w:val="5"/>
    </w:rPr>
  </w:style>
  <w:style w:type="character" w:styleId="Hyperlink">
    <w:name w:val="Hyperlink"/>
    <w:basedOn w:val="DefaultParagraphFont"/>
    <w:uiPriority w:val="99"/>
    <w:unhideWhenUsed/>
    <w:rsid w:val="002C47D4"/>
    <w:rPr>
      <w:color w:val="467886" w:themeColor="hyperlink"/>
      <w:u w:val="single"/>
    </w:rPr>
  </w:style>
  <w:style w:type="character" w:styleId="UnresolvedMention">
    <w:name w:val="Unresolved Mention"/>
    <w:basedOn w:val="DefaultParagraphFont"/>
    <w:uiPriority w:val="99"/>
    <w:semiHidden/>
    <w:unhideWhenUsed/>
    <w:rsid w:val="002C4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hropology.sas.upenn.edu/news/2021/04/28/statement-anthropology-colonialism-and-racism" TargetMode="External"/><Relationship Id="rId3" Type="http://schemas.openxmlformats.org/officeDocument/2006/relationships/webSettings" Target="webSettings.xml"/><Relationship Id="rId7" Type="http://schemas.openxmlformats.org/officeDocument/2006/relationships/hyperlink" Target="https://www.getty.edu/publications/virtuallibrary/0892366354.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1467-9655.00158" TargetMode="External"/><Relationship Id="rId5" Type="http://schemas.openxmlformats.org/officeDocument/2006/relationships/hyperlink" Target="https://doi.org/10.1093/oso/9780198280132.001.0001" TargetMode="External"/><Relationship Id="rId10" Type="http://schemas.openxmlformats.org/officeDocument/2006/relationships/theme" Target="theme/theme1.xml"/><Relationship Id="rId4" Type="http://schemas.openxmlformats.org/officeDocument/2006/relationships/hyperlink" Target="https://www.jstor.org/stable/4033207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Jasper (2400802)</dc:creator>
  <cp:keywords/>
  <dc:description/>
  <cp:lastModifiedBy>Elizabeth Jasper (2400802)</cp:lastModifiedBy>
  <cp:revision>5</cp:revision>
  <dcterms:created xsi:type="dcterms:W3CDTF">2025-10-12T02:05:00Z</dcterms:created>
  <dcterms:modified xsi:type="dcterms:W3CDTF">2025-10-12T08:56:00Z</dcterms:modified>
</cp:coreProperties>
</file>