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2935F5">
      <w:pPr>
        <w:spacing w:after="160" w:line="360" w:lineRule="auto"/>
        <w:jc w:val="both"/>
        <w:rPr>
          <w:rFonts w:ascii="Times New Roman" w:hAnsi="Times New Roman" w:cs="Times New Roman"/>
          <w:b/>
          <w:bCs/>
          <w:sz w:val="24"/>
        </w:rPr>
        <w:sectPr>
          <w:pgSz w:w="11906" w:h="16838"/>
          <w:pgMar w:top="1440" w:right="1800" w:bottom="1440" w:left="1800" w:header="851" w:footer="992" w:gutter="0"/>
          <w:cols w:space="425" w:num="1"/>
          <w:docGrid w:type="lines" w:linePitch="312" w:charSpace="0"/>
        </w:sectPr>
      </w:pPr>
      <w:r>
        <w:pict>
          <v:shape id="_x0000_s1035" o:spid="_x0000_s1035" o:spt="202" type="#_x0000_t202" style="position:absolute;left:0pt;margin-left:8.6pt;margin-top:318pt;height:271.3pt;width:434.6pt;z-index:251660288;mso-width-relative:page;mso-height-relative:page;" filled="f" stroked="f" coordsize="21600,21600">
            <v:path/>
            <v:fill on="f" focussize="0,0"/>
            <v:stroke on="f"/>
            <v:imagedata o:title=""/>
            <o:lock v:ext="edit" aspectratio="f"/>
            <v:textbox>
              <w:txbxContent>
                <w:p w14:paraId="1505D18D">
                  <w:pPr>
                    <w:spacing w:line="1000" w:lineRule="exact"/>
                    <w:ind w:left="160" w:hanging="160" w:hangingChars="50"/>
                    <w:jc w:val="left"/>
                    <w:rPr>
                      <w:rFonts w:hint="default" w:ascii="Times New Roman Regular" w:hAnsi="Times New Roman Regular" w:cs="Times New Roman Regular"/>
                      <w:sz w:val="32"/>
                      <w:u w:val="none" w:color="auto"/>
                      <w:lang w:val="en-US"/>
                    </w:rPr>
                  </w:pPr>
                  <w:r>
                    <w:rPr>
                      <w:rFonts w:hint="default" w:ascii="Times New Roman Regular" w:hAnsi="Times New Roman Regular" w:cs="Times New Roman Regular"/>
                      <w:sz w:val="32"/>
                      <w:u w:val="none" w:color="auto"/>
                      <w:lang w:val="en-US"/>
                    </w:rPr>
                    <w:t>ACFA7004 Research Methods and Professional Development</w:t>
                  </w:r>
                </w:p>
                <w:p w14:paraId="6BE1EA7A">
                  <w:pPr>
                    <w:spacing w:line="1000" w:lineRule="exact"/>
                    <w:jc w:val="center"/>
                    <w:rPr>
                      <w:rFonts w:hint="default" w:ascii="Times New Roman Regular" w:hAnsi="Times New Roman Regular" w:cs="Times New Roman Regular"/>
                      <w:sz w:val="32"/>
                      <w:lang w:val="en-US"/>
                    </w:rPr>
                  </w:pPr>
                  <w:r>
                    <w:rPr>
                      <w:rFonts w:hint="default" w:ascii="Times New Roman Regular" w:hAnsi="Times New Roman Regular" w:cs="Times New Roman Regular"/>
                      <w:sz w:val="32"/>
                      <w:lang w:val="en-US"/>
                    </w:rPr>
                    <w:t>Zhenwei Yan</w:t>
                  </w:r>
                </w:p>
                <w:p w14:paraId="03BBBDB7">
                  <w:pPr>
                    <w:spacing w:line="1000" w:lineRule="exact"/>
                    <w:jc w:val="center"/>
                    <w:rPr>
                      <w:rFonts w:hint="default" w:ascii="Times New Roman Regular" w:hAnsi="Times New Roman Regular" w:cs="Times New Roman Regular"/>
                      <w:sz w:val="32"/>
                      <w:u w:val="none"/>
                      <w:lang w:val="en-US"/>
                    </w:rPr>
                  </w:pPr>
                  <w:r>
                    <w:rPr>
                      <w:rFonts w:hint="default" w:ascii="Times New Roman Regular" w:hAnsi="Times New Roman Regular" w:cs="Times New Roman Regular"/>
                      <w:sz w:val="32"/>
                      <w:u w:val="none"/>
                      <w:lang w:val="en-US"/>
                    </w:rPr>
                    <w:t>2504306</w:t>
                  </w:r>
                </w:p>
                <w:p w14:paraId="6BFDAE24">
                  <w:pPr>
                    <w:spacing w:line="1000" w:lineRule="exact"/>
                    <w:jc w:val="center"/>
                    <w:rPr>
                      <w:rFonts w:hint="default" w:ascii="Times New Roman Regular" w:hAnsi="Times New Roman Regular" w:cs="Times New Roman Regular"/>
                      <w:sz w:val="32"/>
                      <w:szCs w:val="32"/>
                      <w:u w:val="none" w:color="auto"/>
                      <w:lang w:val="en-US"/>
                    </w:rPr>
                  </w:pPr>
                  <w:r>
                    <w:rPr>
                      <w:rFonts w:hint="default" w:ascii="Times New Roman Regular" w:hAnsi="Times New Roman Regular" w:cs="Times New Roman Regular"/>
                      <w:sz w:val="32"/>
                      <w:szCs w:val="32"/>
                      <w:u w:val="none" w:color="auto"/>
                      <w:lang w:val="en-US"/>
                    </w:rPr>
                    <w:t>Word Count:4028</w:t>
                  </w:r>
                </w:p>
              </w:txbxContent>
            </v:textbox>
          </v:shape>
        </w:pict>
      </w:r>
      <w:r>
        <w:pict>
          <v:shape id="_x0000_s1033" o:spid="_x0000_s1033" o:spt="202" type="#_x0000_t202" style="position:absolute;left:0pt;margin-left:-17.35pt;margin-top:39pt;height:273pt;width:424.25pt;z-index:251659264;mso-width-relative:page;mso-height-relative:page;" filled="f" stroked="f" coordsize="21600,21600">
            <v:path/>
            <v:fill on="f" focussize="0,0"/>
            <v:stroke on="f"/>
            <v:imagedata o:title=""/>
            <o:lock v:ext="edit" aspectratio="f"/>
            <v:textbox>
              <w:txbxContent>
                <w:p w14:paraId="5CFB5C79">
                  <w:pPr>
                    <w:spacing w:line="600" w:lineRule="auto"/>
                    <w:ind w:left="0" w:leftChars="0" w:right="0" w:rightChars="0" w:firstLine="0" w:firstLineChars="0"/>
                    <w:jc w:val="center"/>
                    <w:rPr>
                      <w:rFonts w:hint="default" w:ascii="Times New Roman" w:hAnsi="Times New Roman" w:eastAsia="黑体" w:cs="Times New Roman"/>
                      <w:sz w:val="52"/>
                      <w:szCs w:val="52"/>
                      <w:lang w:val="en-US" w:eastAsia="zh-CN"/>
                    </w:rPr>
                  </w:pPr>
                  <w:r>
                    <w:rPr>
                      <w:rFonts w:hint="default" w:ascii="Times New Roman" w:hAnsi="Times New Roman" w:eastAsia="黑体" w:cs="Times New Roman"/>
                      <w:sz w:val="52"/>
                      <w:szCs w:val="52"/>
                      <w:lang w:val="en-US" w:eastAsia="zh-CN"/>
                    </w:rPr>
                    <w:t>Research Proposal:</w:t>
                  </w:r>
                </w:p>
                <w:p w14:paraId="7B07D4A6">
                  <w:pPr>
                    <w:spacing w:line="600" w:lineRule="auto"/>
                    <w:ind w:left="0" w:leftChars="0" w:right="0" w:rightChars="0" w:firstLine="0" w:firstLineChars="0"/>
                    <w:jc w:val="center"/>
                    <w:rPr>
                      <w:rFonts w:hint="default" w:ascii="黑体" w:hAnsi="黑体" w:eastAsia="黑体"/>
                      <w:sz w:val="52"/>
                      <w:szCs w:val="52"/>
                      <w:lang w:val="en-US" w:eastAsia="zh-CN"/>
                    </w:rPr>
                  </w:pPr>
                  <w:r>
                    <w:rPr>
                      <w:rFonts w:hint="default" w:ascii="Times New Roman" w:hAnsi="Times New Roman" w:eastAsia="黑体" w:cs="Times New Roman"/>
                      <w:sz w:val="52"/>
                      <w:szCs w:val="52"/>
                      <w:lang w:val="en-US" w:eastAsia="zh-CN"/>
                    </w:rPr>
                    <w:t>A Study on the Impact of Land Use Change on the Urban Heat Island Effect in London</w:t>
                  </w:r>
                </w:p>
              </w:txbxContent>
            </v:textbox>
          </v:shape>
        </w:pict>
      </w:r>
    </w:p>
    <w:sdt>
      <w:sdtPr>
        <w:rPr>
          <w:rFonts w:ascii="宋体" w:hAnsi="宋体" w:eastAsia="宋体" w:cstheme="minorBidi"/>
          <w:kern w:val="2"/>
          <w:sz w:val="21"/>
          <w:szCs w:val="24"/>
          <w:lang w:val="en-US" w:eastAsia="zh-CN" w:bidi="ar-SA"/>
          <w14:ligatures w14:val="standardContextual"/>
        </w:rPr>
        <w:id w:val="630990768"/>
        <w15:color w:val="DBDBDB"/>
        <w:docPartObj>
          <w:docPartGallery w:val="Table of Contents"/>
          <w:docPartUnique/>
        </w:docPartObj>
      </w:sdtPr>
      <w:sdtEndPr>
        <w:rPr>
          <w:rFonts w:ascii="Times New Roman" w:hAnsi="Times New Roman" w:cs="Times New Roman" w:eastAsiaTheme="minorEastAsia"/>
          <w:bCs/>
          <w:kern w:val="2"/>
          <w:sz w:val="22"/>
          <w:szCs w:val="24"/>
          <w:lang w:val="en-US" w:eastAsia="zh-CN" w:bidi="ar-SA"/>
          <w14:ligatures w14:val="standardContextual"/>
        </w:rPr>
      </w:sdtEndPr>
      <w:sdtContent>
        <w:p w14:paraId="08C03C57">
          <w:pPr>
            <w:spacing w:before="0" w:beforeLines="0" w:after="0" w:afterLines="0" w:line="240" w:lineRule="auto"/>
            <w:ind w:left="0" w:leftChars="0" w:right="0" w:rightChars="0" w:firstLine="0" w:firstLineChars="0"/>
            <w:jc w:val="center"/>
            <w:rPr>
              <w:rFonts w:hint="default"/>
              <w:lang w:val="en-US"/>
            </w:rPr>
          </w:pPr>
          <w:r>
            <w:rPr>
              <w:rFonts w:hint="default" w:ascii="宋体" w:hAnsi="宋体" w:eastAsia="宋体" w:cstheme="minorBidi"/>
              <w:kern w:val="2"/>
              <w:sz w:val="21"/>
              <w:szCs w:val="24"/>
              <w:lang w:val="en-US" w:eastAsia="zh-CN" w:bidi="ar-SA"/>
              <w14:ligatures w14:val="standardContextual"/>
            </w:rPr>
            <w:t>CONTENTS</w:t>
          </w:r>
          <w:bookmarkStart w:id="21" w:name="_GoBack"/>
          <w:bookmarkEnd w:id="21"/>
        </w:p>
        <w:p w14:paraId="45CB42C1">
          <w:pPr>
            <w:pStyle w:val="13"/>
            <w:tabs>
              <w:tab w:val="right" w:leader="dot" w:pos="8306"/>
            </w:tabs>
          </w:pPr>
          <w:r>
            <w:rPr>
              <w:rFonts w:ascii="Times New Roman" w:hAnsi="Times New Roman" w:cs="Times New Roman"/>
              <w:b/>
              <w:bCs/>
              <w:sz w:val="24"/>
            </w:rPr>
            <w:fldChar w:fldCharType="begin"/>
          </w:r>
          <w:r>
            <w:rPr>
              <w:rFonts w:ascii="Times New Roman" w:hAnsi="Times New Roman" w:cs="Times New Roman"/>
              <w:b/>
              <w:bCs/>
              <w:sz w:val="24"/>
            </w:rPr>
            <w:instrText xml:space="preserve">TOC \o "1-3" \h \u </w:instrText>
          </w:r>
          <w:r>
            <w:rPr>
              <w:rFonts w:ascii="Times New Roman" w:hAnsi="Times New Roman" w:cs="Times New Roman"/>
              <w:b/>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_Toc1659224843 </w:instrText>
          </w:r>
          <w:r>
            <w:rPr>
              <w:rFonts w:ascii="Times New Roman" w:hAnsi="Times New Roman" w:cs="Times New Roman"/>
              <w:bCs/>
            </w:rPr>
            <w:fldChar w:fldCharType="separate"/>
          </w:r>
          <w:r>
            <w:rPr>
              <w:rFonts w:ascii="Times New Roman" w:hAnsi="Times New Roman" w:cs="Times New Roman"/>
              <w:bCs/>
            </w:rPr>
            <w:t>Abstract</w:t>
          </w:r>
          <w:r>
            <w:tab/>
          </w:r>
          <w:r>
            <w:fldChar w:fldCharType="begin"/>
          </w:r>
          <w:r>
            <w:instrText xml:space="preserve"> PAGEREF _Toc1659224843 \h </w:instrText>
          </w:r>
          <w:r>
            <w:fldChar w:fldCharType="separate"/>
          </w:r>
          <w:r>
            <w:t>1</w:t>
          </w:r>
          <w:r>
            <w:fldChar w:fldCharType="end"/>
          </w:r>
          <w:r>
            <w:rPr>
              <w:rFonts w:ascii="Times New Roman" w:hAnsi="Times New Roman" w:cs="Times New Roman"/>
              <w:bCs/>
            </w:rPr>
            <w:fldChar w:fldCharType="end"/>
          </w:r>
        </w:p>
        <w:p w14:paraId="40CED7BB">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_Toc1516780006 </w:instrText>
          </w:r>
          <w:r>
            <w:rPr>
              <w:rFonts w:ascii="Times New Roman" w:hAnsi="Times New Roman" w:cs="Times New Roman"/>
              <w:bCs/>
            </w:rPr>
            <w:fldChar w:fldCharType="separate"/>
          </w:r>
          <w:r>
            <w:rPr>
              <w:rFonts w:ascii="Times New Roman" w:hAnsi="Times New Roman" w:cs="Times New Roman"/>
              <w:bCs/>
            </w:rPr>
            <w:t>1. Introduction</w:t>
          </w:r>
          <w:r>
            <w:tab/>
          </w:r>
          <w:r>
            <w:fldChar w:fldCharType="begin"/>
          </w:r>
          <w:r>
            <w:instrText xml:space="preserve"> PAGEREF _Toc1516780006 \h </w:instrText>
          </w:r>
          <w:r>
            <w:fldChar w:fldCharType="separate"/>
          </w:r>
          <w:r>
            <w:t>2</w:t>
          </w:r>
          <w:r>
            <w:fldChar w:fldCharType="end"/>
          </w:r>
          <w:r>
            <w:rPr>
              <w:rFonts w:ascii="Times New Roman" w:hAnsi="Times New Roman" w:cs="Times New Roman"/>
              <w:bCs/>
            </w:rPr>
            <w:fldChar w:fldCharType="end"/>
          </w:r>
        </w:p>
        <w:p w14:paraId="6FBF95D3">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_Toc1890670952 </w:instrText>
          </w:r>
          <w:r>
            <w:rPr>
              <w:rFonts w:ascii="Times New Roman" w:hAnsi="Times New Roman" w:cs="Times New Roman"/>
              <w:bCs/>
            </w:rPr>
            <w:fldChar w:fldCharType="separate"/>
          </w:r>
          <w:r>
            <w:rPr>
              <w:rFonts w:ascii="Times New Roman" w:hAnsi="Times New Roman" w:cs="Times New Roman"/>
              <w:bCs/>
            </w:rPr>
            <w:t>2. Research Aim, Objectives and Questions</w:t>
          </w:r>
          <w:r>
            <w:tab/>
          </w:r>
          <w:r>
            <w:fldChar w:fldCharType="begin"/>
          </w:r>
          <w:r>
            <w:instrText xml:space="preserve"> PAGEREF _Toc1890670952 \h </w:instrText>
          </w:r>
          <w:r>
            <w:fldChar w:fldCharType="separate"/>
          </w:r>
          <w:r>
            <w:t>3</w:t>
          </w:r>
          <w:r>
            <w:fldChar w:fldCharType="end"/>
          </w:r>
          <w:r>
            <w:rPr>
              <w:rFonts w:ascii="Times New Roman" w:hAnsi="Times New Roman" w:cs="Times New Roman"/>
              <w:bCs/>
            </w:rPr>
            <w:fldChar w:fldCharType="end"/>
          </w:r>
        </w:p>
        <w:p w14:paraId="385A0744">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_Toc191165605 </w:instrText>
          </w:r>
          <w:r>
            <w:rPr>
              <w:rFonts w:ascii="Times New Roman" w:hAnsi="Times New Roman" w:cs="Times New Roman"/>
              <w:bCs/>
            </w:rPr>
            <w:fldChar w:fldCharType="separate"/>
          </w:r>
          <w:r>
            <w:rPr>
              <w:rFonts w:ascii="Times New Roman" w:hAnsi="Times New Roman" w:cs="Times New Roman"/>
              <w:bCs/>
            </w:rPr>
            <w:t>3. Literature Review</w:t>
          </w:r>
          <w:r>
            <w:tab/>
          </w:r>
          <w:r>
            <w:fldChar w:fldCharType="begin"/>
          </w:r>
          <w:r>
            <w:instrText xml:space="preserve"> PAGEREF _Toc191165605 \h </w:instrText>
          </w:r>
          <w:r>
            <w:fldChar w:fldCharType="separate"/>
          </w:r>
          <w:r>
            <w:t>4</w:t>
          </w:r>
          <w:r>
            <w:fldChar w:fldCharType="end"/>
          </w:r>
          <w:r>
            <w:rPr>
              <w:rFonts w:ascii="Times New Roman" w:hAnsi="Times New Roman" w:cs="Times New Roman"/>
              <w:bCs/>
            </w:rPr>
            <w:fldChar w:fldCharType="end"/>
          </w:r>
        </w:p>
        <w:p w14:paraId="26CB53C9">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_Toc284787323 </w:instrText>
          </w:r>
          <w:r>
            <w:rPr>
              <w:rFonts w:ascii="Times New Roman" w:hAnsi="Times New Roman" w:cs="Times New Roman"/>
              <w:bCs/>
            </w:rPr>
            <w:fldChar w:fldCharType="separate"/>
          </w:r>
          <w:r>
            <w:rPr>
              <w:rFonts w:ascii="Times New Roman" w:hAnsi="Times New Roman" w:cs="Times New Roman"/>
              <w:bCs/>
            </w:rPr>
            <w:t>3.1 Urban heat island theory and land transformation</w:t>
          </w:r>
          <w:r>
            <w:tab/>
          </w:r>
          <w:r>
            <w:fldChar w:fldCharType="begin"/>
          </w:r>
          <w:r>
            <w:instrText xml:space="preserve"> PAGEREF _Toc284787323 \h </w:instrText>
          </w:r>
          <w:r>
            <w:fldChar w:fldCharType="separate"/>
          </w:r>
          <w:r>
            <w:t>4</w:t>
          </w:r>
          <w:r>
            <w:fldChar w:fldCharType="end"/>
          </w:r>
          <w:r>
            <w:rPr>
              <w:rFonts w:ascii="Times New Roman" w:hAnsi="Times New Roman" w:cs="Times New Roman"/>
              <w:bCs/>
            </w:rPr>
            <w:fldChar w:fldCharType="end"/>
          </w:r>
        </w:p>
        <w:p w14:paraId="7BF125F5">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_Toc1826972145 </w:instrText>
          </w:r>
          <w:r>
            <w:rPr>
              <w:rFonts w:ascii="Times New Roman" w:hAnsi="Times New Roman" w:cs="Times New Roman"/>
              <w:bCs/>
            </w:rPr>
            <w:fldChar w:fldCharType="separate"/>
          </w:r>
          <w:r>
            <w:rPr>
              <w:rFonts w:ascii="Times New Roman" w:hAnsi="Times New Roman" w:cs="Times New Roman"/>
              <w:bCs/>
            </w:rPr>
            <w:t>3.2 Remote sensing, GIS and land surface temperature analysis</w:t>
          </w:r>
          <w:r>
            <w:tab/>
          </w:r>
          <w:r>
            <w:fldChar w:fldCharType="begin"/>
          </w:r>
          <w:r>
            <w:instrText xml:space="preserve"> PAGEREF _Toc1826972145 \h </w:instrText>
          </w:r>
          <w:r>
            <w:fldChar w:fldCharType="separate"/>
          </w:r>
          <w:r>
            <w:t>5</w:t>
          </w:r>
          <w:r>
            <w:fldChar w:fldCharType="end"/>
          </w:r>
          <w:r>
            <w:rPr>
              <w:rFonts w:ascii="Times New Roman" w:hAnsi="Times New Roman" w:cs="Times New Roman"/>
              <w:bCs/>
            </w:rPr>
            <w:fldChar w:fldCharType="end"/>
          </w:r>
        </w:p>
        <w:p w14:paraId="3C082FEA">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_Toc1199656209 </w:instrText>
          </w:r>
          <w:r>
            <w:rPr>
              <w:rFonts w:ascii="Times New Roman" w:hAnsi="Times New Roman" w:cs="Times New Roman"/>
              <w:bCs/>
            </w:rPr>
            <w:fldChar w:fldCharType="separate"/>
          </w:r>
          <w:r>
            <w:rPr>
              <w:rFonts w:ascii="Times New Roman" w:hAnsi="Times New Roman" w:cs="Times New Roman"/>
              <w:bCs/>
            </w:rPr>
            <w:t>3.3 Land use change, greenery and thermal mitigation</w:t>
          </w:r>
          <w:r>
            <w:tab/>
          </w:r>
          <w:r>
            <w:fldChar w:fldCharType="begin"/>
          </w:r>
          <w:r>
            <w:instrText xml:space="preserve"> PAGEREF _Toc1199656209 \h </w:instrText>
          </w:r>
          <w:r>
            <w:fldChar w:fldCharType="separate"/>
          </w:r>
          <w:r>
            <w:t>6</w:t>
          </w:r>
          <w:r>
            <w:fldChar w:fldCharType="end"/>
          </w:r>
          <w:r>
            <w:rPr>
              <w:rFonts w:ascii="Times New Roman" w:hAnsi="Times New Roman" w:cs="Times New Roman"/>
              <w:bCs/>
            </w:rPr>
            <w:fldChar w:fldCharType="end"/>
          </w:r>
        </w:p>
        <w:p w14:paraId="75AE67E6">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_Toc2045426627 </w:instrText>
          </w:r>
          <w:r>
            <w:rPr>
              <w:rFonts w:ascii="Times New Roman" w:hAnsi="Times New Roman" w:cs="Times New Roman"/>
              <w:bCs/>
            </w:rPr>
            <w:fldChar w:fldCharType="separate"/>
          </w:r>
          <w:r>
            <w:rPr>
              <w:rFonts w:ascii="Times New Roman" w:hAnsi="Times New Roman" w:cs="Times New Roman"/>
              <w:bCs/>
            </w:rPr>
            <w:t>3.4 London-specific studies and the research gap</w:t>
          </w:r>
          <w:r>
            <w:tab/>
          </w:r>
          <w:r>
            <w:fldChar w:fldCharType="begin"/>
          </w:r>
          <w:r>
            <w:instrText xml:space="preserve"> PAGEREF _Toc2045426627 \h </w:instrText>
          </w:r>
          <w:r>
            <w:fldChar w:fldCharType="separate"/>
          </w:r>
          <w:r>
            <w:t>6</w:t>
          </w:r>
          <w:r>
            <w:fldChar w:fldCharType="end"/>
          </w:r>
          <w:r>
            <w:rPr>
              <w:rFonts w:ascii="Times New Roman" w:hAnsi="Times New Roman" w:cs="Times New Roman"/>
              <w:bCs/>
            </w:rPr>
            <w:fldChar w:fldCharType="end"/>
          </w:r>
        </w:p>
        <w:p w14:paraId="4C9FD5DD">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_Toc567098813 </w:instrText>
          </w:r>
          <w:r>
            <w:rPr>
              <w:rFonts w:ascii="Times New Roman" w:hAnsi="Times New Roman" w:cs="Times New Roman"/>
              <w:bCs/>
            </w:rPr>
            <w:fldChar w:fldCharType="separate"/>
          </w:r>
          <w:r>
            <w:rPr>
              <w:rFonts w:ascii="Times New Roman" w:hAnsi="Times New Roman" w:cs="Times New Roman"/>
              <w:bCs/>
            </w:rPr>
            <w:t>4. Methodology</w:t>
          </w:r>
          <w:r>
            <w:tab/>
          </w:r>
          <w:r>
            <w:fldChar w:fldCharType="begin"/>
          </w:r>
          <w:r>
            <w:instrText xml:space="preserve"> PAGEREF _Toc567098813 \h </w:instrText>
          </w:r>
          <w:r>
            <w:fldChar w:fldCharType="separate"/>
          </w:r>
          <w:r>
            <w:t>7</w:t>
          </w:r>
          <w:r>
            <w:fldChar w:fldCharType="end"/>
          </w:r>
          <w:r>
            <w:rPr>
              <w:rFonts w:ascii="Times New Roman" w:hAnsi="Times New Roman" w:cs="Times New Roman"/>
              <w:bCs/>
            </w:rPr>
            <w:fldChar w:fldCharType="end"/>
          </w:r>
        </w:p>
        <w:p w14:paraId="6E3CFD55">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_Toc697324705 </w:instrText>
          </w:r>
          <w:r>
            <w:rPr>
              <w:rFonts w:ascii="Times New Roman" w:hAnsi="Times New Roman" w:cs="Times New Roman"/>
              <w:bCs/>
            </w:rPr>
            <w:fldChar w:fldCharType="separate"/>
          </w:r>
          <w:r>
            <w:rPr>
              <w:rFonts w:ascii="Times New Roman" w:hAnsi="Times New Roman" w:cs="Times New Roman"/>
              <w:bCs/>
            </w:rPr>
            <w:t>4.1 Research philosophy and design</w:t>
          </w:r>
          <w:r>
            <w:tab/>
          </w:r>
          <w:r>
            <w:fldChar w:fldCharType="begin"/>
          </w:r>
          <w:r>
            <w:instrText xml:space="preserve"> PAGEREF _Toc697324705 \h </w:instrText>
          </w:r>
          <w:r>
            <w:fldChar w:fldCharType="separate"/>
          </w:r>
          <w:r>
            <w:t>7</w:t>
          </w:r>
          <w:r>
            <w:fldChar w:fldCharType="end"/>
          </w:r>
          <w:r>
            <w:rPr>
              <w:rFonts w:ascii="Times New Roman" w:hAnsi="Times New Roman" w:cs="Times New Roman"/>
              <w:bCs/>
            </w:rPr>
            <w:fldChar w:fldCharType="end"/>
          </w:r>
        </w:p>
        <w:p w14:paraId="6F2D5DC4">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_Toc1118055256 </w:instrText>
          </w:r>
          <w:r>
            <w:rPr>
              <w:rFonts w:ascii="Times New Roman" w:hAnsi="Times New Roman" w:cs="Times New Roman"/>
              <w:bCs/>
            </w:rPr>
            <w:fldChar w:fldCharType="separate"/>
          </w:r>
          <w:r>
            <w:rPr>
              <w:rFonts w:ascii="Times New Roman" w:hAnsi="Times New Roman" w:cs="Times New Roman"/>
              <w:bCs/>
            </w:rPr>
            <w:t>4.2 Study area</w:t>
          </w:r>
          <w:r>
            <w:tab/>
          </w:r>
          <w:r>
            <w:fldChar w:fldCharType="begin"/>
          </w:r>
          <w:r>
            <w:instrText xml:space="preserve"> PAGEREF _Toc1118055256 \h </w:instrText>
          </w:r>
          <w:r>
            <w:fldChar w:fldCharType="separate"/>
          </w:r>
          <w:r>
            <w:t>8</w:t>
          </w:r>
          <w:r>
            <w:fldChar w:fldCharType="end"/>
          </w:r>
          <w:r>
            <w:rPr>
              <w:rFonts w:ascii="Times New Roman" w:hAnsi="Times New Roman" w:cs="Times New Roman"/>
              <w:bCs/>
            </w:rPr>
            <w:fldChar w:fldCharType="end"/>
          </w:r>
        </w:p>
        <w:p w14:paraId="68D75C3F">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_Toc672776342 </w:instrText>
          </w:r>
          <w:r>
            <w:rPr>
              <w:rFonts w:ascii="Times New Roman" w:hAnsi="Times New Roman" w:cs="Times New Roman"/>
              <w:bCs/>
            </w:rPr>
            <w:fldChar w:fldCharType="separate"/>
          </w:r>
          <w:r>
            <w:rPr>
              <w:rFonts w:ascii="Times New Roman" w:hAnsi="Times New Roman" w:cs="Times New Roman"/>
              <w:bCs/>
            </w:rPr>
            <w:t>4.3 Data sources</w:t>
          </w:r>
          <w:r>
            <w:tab/>
          </w:r>
          <w:r>
            <w:fldChar w:fldCharType="begin"/>
          </w:r>
          <w:r>
            <w:instrText xml:space="preserve"> PAGEREF _Toc672776342 \h </w:instrText>
          </w:r>
          <w:r>
            <w:fldChar w:fldCharType="separate"/>
          </w:r>
          <w:r>
            <w:t>8</w:t>
          </w:r>
          <w:r>
            <w:fldChar w:fldCharType="end"/>
          </w:r>
          <w:r>
            <w:rPr>
              <w:rFonts w:ascii="Times New Roman" w:hAnsi="Times New Roman" w:cs="Times New Roman"/>
              <w:bCs/>
            </w:rPr>
            <w:fldChar w:fldCharType="end"/>
          </w:r>
        </w:p>
        <w:p w14:paraId="1E865115">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_Toc850578539 </w:instrText>
          </w:r>
          <w:r>
            <w:rPr>
              <w:rFonts w:ascii="Times New Roman" w:hAnsi="Times New Roman" w:cs="Times New Roman"/>
              <w:bCs/>
            </w:rPr>
            <w:fldChar w:fldCharType="separate"/>
          </w:r>
          <w:r>
            <w:rPr>
              <w:rFonts w:ascii="Times New Roman" w:hAnsi="Times New Roman" w:cs="Times New Roman"/>
              <w:bCs/>
            </w:rPr>
            <w:t>4.4 Temporal strategy</w:t>
          </w:r>
          <w:r>
            <w:tab/>
          </w:r>
          <w:r>
            <w:fldChar w:fldCharType="begin"/>
          </w:r>
          <w:r>
            <w:instrText xml:space="preserve"> PAGEREF _Toc850578539 \h </w:instrText>
          </w:r>
          <w:r>
            <w:fldChar w:fldCharType="separate"/>
          </w:r>
          <w:r>
            <w:t>8</w:t>
          </w:r>
          <w:r>
            <w:fldChar w:fldCharType="end"/>
          </w:r>
          <w:r>
            <w:rPr>
              <w:rFonts w:ascii="Times New Roman" w:hAnsi="Times New Roman" w:cs="Times New Roman"/>
              <w:bCs/>
            </w:rPr>
            <w:fldChar w:fldCharType="end"/>
          </w:r>
        </w:p>
        <w:p w14:paraId="5B889C86">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_Toc2022350541 </w:instrText>
          </w:r>
          <w:r>
            <w:rPr>
              <w:rFonts w:ascii="Times New Roman" w:hAnsi="Times New Roman" w:cs="Times New Roman"/>
              <w:bCs/>
            </w:rPr>
            <w:fldChar w:fldCharType="separate"/>
          </w:r>
          <w:r>
            <w:rPr>
              <w:rFonts w:ascii="Times New Roman" w:hAnsi="Times New Roman" w:cs="Times New Roman"/>
              <w:bCs/>
            </w:rPr>
            <w:t>4.5 Analytical procedure</w:t>
          </w:r>
          <w:r>
            <w:tab/>
          </w:r>
          <w:r>
            <w:fldChar w:fldCharType="begin"/>
          </w:r>
          <w:r>
            <w:instrText xml:space="preserve"> PAGEREF _Toc2022350541 \h </w:instrText>
          </w:r>
          <w:r>
            <w:fldChar w:fldCharType="separate"/>
          </w:r>
          <w:r>
            <w:t>9</w:t>
          </w:r>
          <w:r>
            <w:fldChar w:fldCharType="end"/>
          </w:r>
          <w:r>
            <w:rPr>
              <w:rFonts w:ascii="Times New Roman" w:hAnsi="Times New Roman" w:cs="Times New Roman"/>
              <w:bCs/>
            </w:rPr>
            <w:fldChar w:fldCharType="end"/>
          </w:r>
        </w:p>
        <w:p w14:paraId="27D24374">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_Toc1421861518 </w:instrText>
          </w:r>
          <w:r>
            <w:rPr>
              <w:rFonts w:ascii="Times New Roman" w:hAnsi="Times New Roman" w:cs="Times New Roman"/>
              <w:bCs/>
            </w:rPr>
            <w:fldChar w:fldCharType="separate"/>
          </w:r>
          <w:r>
            <w:rPr>
              <w:rFonts w:ascii="Times New Roman" w:hAnsi="Times New Roman" w:cs="Times New Roman"/>
              <w:bCs/>
            </w:rPr>
            <w:t>4.6 Reliability and validity</w:t>
          </w:r>
          <w:r>
            <w:tab/>
          </w:r>
          <w:r>
            <w:fldChar w:fldCharType="begin"/>
          </w:r>
          <w:r>
            <w:instrText xml:space="preserve"> PAGEREF _Toc1421861518 \h </w:instrText>
          </w:r>
          <w:r>
            <w:fldChar w:fldCharType="separate"/>
          </w:r>
          <w:r>
            <w:t>10</w:t>
          </w:r>
          <w:r>
            <w:fldChar w:fldCharType="end"/>
          </w:r>
          <w:r>
            <w:rPr>
              <w:rFonts w:ascii="Times New Roman" w:hAnsi="Times New Roman" w:cs="Times New Roman"/>
              <w:bCs/>
            </w:rPr>
            <w:fldChar w:fldCharType="end"/>
          </w:r>
        </w:p>
        <w:p w14:paraId="06AF3BBB">
          <w:pPr>
            <w:pStyle w:val="15"/>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_Toc28509210 </w:instrText>
          </w:r>
          <w:r>
            <w:rPr>
              <w:rFonts w:ascii="Times New Roman" w:hAnsi="Times New Roman" w:cs="Times New Roman"/>
              <w:bCs/>
            </w:rPr>
            <w:fldChar w:fldCharType="separate"/>
          </w:r>
          <w:r>
            <w:rPr>
              <w:rFonts w:ascii="Times New Roman" w:hAnsi="Times New Roman" w:cs="Times New Roman"/>
              <w:bCs/>
            </w:rPr>
            <w:t>4.7 Ethical considerations</w:t>
          </w:r>
          <w:r>
            <w:tab/>
          </w:r>
          <w:r>
            <w:fldChar w:fldCharType="begin"/>
          </w:r>
          <w:r>
            <w:instrText xml:space="preserve"> PAGEREF _Toc28509210 \h </w:instrText>
          </w:r>
          <w:r>
            <w:fldChar w:fldCharType="separate"/>
          </w:r>
          <w:r>
            <w:t>10</w:t>
          </w:r>
          <w:r>
            <w:fldChar w:fldCharType="end"/>
          </w:r>
          <w:r>
            <w:rPr>
              <w:rFonts w:ascii="Times New Roman" w:hAnsi="Times New Roman" w:cs="Times New Roman"/>
              <w:bCs/>
            </w:rPr>
            <w:fldChar w:fldCharType="end"/>
          </w:r>
        </w:p>
        <w:p w14:paraId="5C73A9F4">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_Toc265439189 </w:instrText>
          </w:r>
          <w:r>
            <w:rPr>
              <w:rFonts w:ascii="Times New Roman" w:hAnsi="Times New Roman" w:cs="Times New Roman"/>
              <w:bCs/>
            </w:rPr>
            <w:fldChar w:fldCharType="separate"/>
          </w:r>
          <w:r>
            <w:rPr>
              <w:rFonts w:ascii="Times New Roman" w:hAnsi="Times New Roman" w:cs="Times New Roman"/>
              <w:bCs/>
            </w:rPr>
            <w:t>5. Expected Findings and Significance</w:t>
          </w:r>
          <w:r>
            <w:tab/>
          </w:r>
          <w:r>
            <w:fldChar w:fldCharType="begin"/>
          </w:r>
          <w:r>
            <w:instrText xml:space="preserve"> PAGEREF _Toc265439189 \h </w:instrText>
          </w:r>
          <w:r>
            <w:fldChar w:fldCharType="separate"/>
          </w:r>
          <w:r>
            <w:t>11</w:t>
          </w:r>
          <w:r>
            <w:fldChar w:fldCharType="end"/>
          </w:r>
          <w:r>
            <w:rPr>
              <w:rFonts w:ascii="Times New Roman" w:hAnsi="Times New Roman" w:cs="Times New Roman"/>
              <w:bCs/>
            </w:rPr>
            <w:fldChar w:fldCharType="end"/>
          </w:r>
        </w:p>
        <w:p w14:paraId="6C8EA925">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_Toc912914704 </w:instrText>
          </w:r>
          <w:r>
            <w:rPr>
              <w:rFonts w:ascii="Times New Roman" w:hAnsi="Times New Roman" w:cs="Times New Roman"/>
              <w:bCs/>
            </w:rPr>
            <w:fldChar w:fldCharType="separate"/>
          </w:r>
          <w:r>
            <w:rPr>
              <w:rFonts w:ascii="Times New Roman" w:hAnsi="Times New Roman" w:cs="Times New Roman"/>
              <w:bCs/>
            </w:rPr>
            <w:t>6. Limitations</w:t>
          </w:r>
          <w:r>
            <w:tab/>
          </w:r>
          <w:r>
            <w:fldChar w:fldCharType="begin"/>
          </w:r>
          <w:r>
            <w:instrText xml:space="preserve"> PAGEREF _Toc912914704 \h </w:instrText>
          </w:r>
          <w:r>
            <w:fldChar w:fldCharType="separate"/>
          </w:r>
          <w:r>
            <w:t>11</w:t>
          </w:r>
          <w:r>
            <w:fldChar w:fldCharType="end"/>
          </w:r>
          <w:r>
            <w:rPr>
              <w:rFonts w:ascii="Times New Roman" w:hAnsi="Times New Roman" w:cs="Times New Roman"/>
              <w:bCs/>
            </w:rPr>
            <w:fldChar w:fldCharType="end"/>
          </w:r>
        </w:p>
        <w:p w14:paraId="2D7F8D8F">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_Toc1734255960 </w:instrText>
          </w:r>
          <w:r>
            <w:rPr>
              <w:rFonts w:ascii="Times New Roman" w:hAnsi="Times New Roman" w:cs="Times New Roman"/>
              <w:bCs/>
            </w:rPr>
            <w:fldChar w:fldCharType="separate"/>
          </w:r>
          <w:r>
            <w:rPr>
              <w:rFonts w:ascii="Times New Roman" w:hAnsi="Times New Roman" w:cs="Times New Roman"/>
              <w:bCs/>
            </w:rPr>
            <w:t>7. Provisional Timetable</w:t>
          </w:r>
          <w:r>
            <w:tab/>
          </w:r>
          <w:r>
            <w:fldChar w:fldCharType="begin"/>
          </w:r>
          <w:r>
            <w:instrText xml:space="preserve"> PAGEREF _Toc1734255960 \h </w:instrText>
          </w:r>
          <w:r>
            <w:fldChar w:fldCharType="separate"/>
          </w:r>
          <w:r>
            <w:t>12</w:t>
          </w:r>
          <w:r>
            <w:fldChar w:fldCharType="end"/>
          </w:r>
          <w:r>
            <w:rPr>
              <w:rFonts w:ascii="Times New Roman" w:hAnsi="Times New Roman" w:cs="Times New Roman"/>
              <w:bCs/>
            </w:rPr>
            <w:fldChar w:fldCharType="end"/>
          </w:r>
        </w:p>
        <w:p w14:paraId="492816F7">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_Toc1991862636 </w:instrText>
          </w:r>
          <w:r>
            <w:rPr>
              <w:rFonts w:ascii="Times New Roman" w:hAnsi="Times New Roman" w:cs="Times New Roman"/>
              <w:bCs/>
            </w:rPr>
            <w:fldChar w:fldCharType="separate"/>
          </w:r>
          <w:r>
            <w:rPr>
              <w:rFonts w:ascii="Times New Roman" w:hAnsi="Times New Roman" w:cs="Times New Roman"/>
              <w:bCs/>
            </w:rPr>
            <w:t>8. Conclusion</w:t>
          </w:r>
          <w:r>
            <w:tab/>
          </w:r>
          <w:r>
            <w:fldChar w:fldCharType="begin"/>
          </w:r>
          <w:r>
            <w:instrText xml:space="preserve"> PAGEREF _Toc1991862636 \h </w:instrText>
          </w:r>
          <w:r>
            <w:fldChar w:fldCharType="separate"/>
          </w:r>
          <w:r>
            <w:t>12</w:t>
          </w:r>
          <w:r>
            <w:fldChar w:fldCharType="end"/>
          </w:r>
          <w:r>
            <w:rPr>
              <w:rFonts w:ascii="Times New Roman" w:hAnsi="Times New Roman" w:cs="Times New Roman"/>
              <w:bCs/>
            </w:rPr>
            <w:fldChar w:fldCharType="end"/>
          </w:r>
        </w:p>
        <w:p w14:paraId="7677C296">
          <w:pPr>
            <w:pStyle w:val="13"/>
            <w:tabs>
              <w:tab w:val="right" w:leader="dot" w:pos="8306"/>
            </w:tabs>
          </w:pPr>
          <w:r>
            <w:rPr>
              <w:rFonts w:ascii="Times New Roman" w:hAnsi="Times New Roman" w:cs="Times New Roman"/>
              <w:bCs/>
            </w:rPr>
            <w:fldChar w:fldCharType="begin"/>
          </w:r>
          <w:r>
            <w:rPr>
              <w:rFonts w:ascii="Times New Roman" w:hAnsi="Times New Roman" w:cs="Times New Roman"/>
              <w:bCs/>
            </w:rPr>
            <w:instrText xml:space="preserve"> HYPERLINK \l _Toc112750169 </w:instrText>
          </w:r>
          <w:r>
            <w:rPr>
              <w:rFonts w:ascii="Times New Roman" w:hAnsi="Times New Roman" w:cs="Times New Roman"/>
              <w:bCs/>
            </w:rPr>
            <w:fldChar w:fldCharType="separate"/>
          </w:r>
          <w:r>
            <w:rPr>
              <w:rFonts w:ascii="Times New Roman" w:hAnsi="Times New Roman" w:cs="Times New Roman"/>
              <w:bCs/>
            </w:rPr>
            <w:t>Reference List</w:t>
          </w:r>
          <w:r>
            <w:tab/>
          </w:r>
          <w:r>
            <w:fldChar w:fldCharType="begin"/>
          </w:r>
          <w:r>
            <w:instrText xml:space="preserve"> PAGEREF _Toc112750169 \h </w:instrText>
          </w:r>
          <w:r>
            <w:fldChar w:fldCharType="separate"/>
          </w:r>
          <w:r>
            <w:t>13</w:t>
          </w:r>
          <w:r>
            <w:fldChar w:fldCharType="end"/>
          </w:r>
          <w:r>
            <w:rPr>
              <w:rFonts w:ascii="Times New Roman" w:hAnsi="Times New Roman" w:cs="Times New Roman"/>
              <w:bCs/>
            </w:rPr>
            <w:fldChar w:fldCharType="end"/>
          </w:r>
        </w:p>
        <w:p w14:paraId="6D28E3D2">
          <w:pPr>
            <w:spacing w:line="360" w:lineRule="auto"/>
            <w:jc w:val="both"/>
            <w:rPr>
              <w:rFonts w:ascii="Times New Roman" w:hAnsi="Times New Roman" w:cs="Times New Roman" w:eastAsiaTheme="minorEastAsia"/>
              <w:bCs/>
              <w:kern w:val="2"/>
              <w:sz w:val="22"/>
              <w:szCs w:val="24"/>
              <w:lang w:val="en-US" w:eastAsia="zh-CN" w:bidi="ar-SA"/>
              <w14:ligatures w14:val="standardContextual"/>
            </w:rPr>
          </w:pPr>
          <w:r>
            <w:rPr>
              <w:rFonts w:ascii="Times New Roman" w:hAnsi="Times New Roman" w:cs="Times New Roman"/>
              <w:bCs/>
            </w:rPr>
            <w:fldChar w:fldCharType="end"/>
          </w:r>
        </w:p>
      </w:sdtContent>
    </w:sdt>
    <w:p w14:paraId="7445979A">
      <w:pPr>
        <w:spacing w:line="360" w:lineRule="auto"/>
        <w:jc w:val="both"/>
        <w:rPr>
          <w:rFonts w:ascii="Times New Roman" w:hAnsi="Times New Roman" w:cs="Times New Roman" w:eastAsiaTheme="minorEastAsia"/>
          <w:bCs/>
          <w:kern w:val="2"/>
          <w:sz w:val="22"/>
          <w:szCs w:val="24"/>
          <w:lang w:val="en-US" w:eastAsia="zh-CN" w:bidi="ar-SA"/>
          <w14:ligatures w14:val="standardContextual"/>
        </w:rPr>
      </w:pPr>
    </w:p>
    <w:p w14:paraId="383BAF48">
      <w:pPr>
        <w:spacing w:line="360" w:lineRule="auto"/>
        <w:jc w:val="both"/>
        <w:rPr>
          <w:rFonts w:ascii="Times New Roman" w:hAnsi="Times New Roman" w:cs="Times New Roman"/>
          <w:b/>
          <w:bCs/>
          <w:sz w:val="24"/>
        </w:rPr>
      </w:pPr>
    </w:p>
    <w:p w14:paraId="68DC13E7">
      <w:pPr>
        <w:spacing w:line="360" w:lineRule="auto"/>
        <w:jc w:val="both"/>
        <w:rPr>
          <w:rFonts w:ascii="Times New Roman" w:hAnsi="Times New Roman" w:cs="Times New Roman"/>
          <w:b/>
          <w:bCs/>
          <w:sz w:val="24"/>
        </w:rPr>
        <w:sectPr>
          <w:footerReference r:id="rId5" w:type="default"/>
          <w:pgSz w:w="11906" w:h="16838"/>
          <w:pgMar w:top="1440" w:right="1800" w:bottom="1440" w:left="1800" w:header="851" w:footer="992" w:gutter="0"/>
          <w:pgNumType w:start="1"/>
          <w:cols w:space="425" w:num="1"/>
          <w:docGrid w:type="lines" w:linePitch="312" w:charSpace="0"/>
        </w:sectPr>
      </w:pPr>
    </w:p>
    <w:p w14:paraId="0B6C926C">
      <w:pPr>
        <w:spacing w:line="360" w:lineRule="auto"/>
        <w:jc w:val="both"/>
        <w:rPr>
          <w:rFonts w:ascii="Times New Roman" w:hAnsi="Times New Roman" w:cs="Times New Roman"/>
          <w:b/>
          <w:bCs/>
          <w:sz w:val="24"/>
        </w:rPr>
      </w:pPr>
      <w:r>
        <w:rPr>
          <w:rFonts w:ascii="Times New Roman" w:hAnsi="Times New Roman" w:cs="Times New Roman"/>
          <w:b/>
          <w:bCs/>
          <w:sz w:val="24"/>
        </w:rPr>
        <w:t>A Study on the Impact of Land Use Change on the Urban Heat Island Effect in London</w:t>
      </w:r>
    </w:p>
    <w:p w14:paraId="5F39DFE5">
      <w:pPr>
        <w:spacing w:line="360" w:lineRule="auto"/>
        <w:jc w:val="both"/>
        <w:outlineLvl w:val="0"/>
        <w:rPr>
          <w:rFonts w:ascii="Times New Roman" w:hAnsi="Times New Roman" w:cs="Times New Roman"/>
          <w:b/>
          <w:bCs/>
          <w:sz w:val="24"/>
        </w:rPr>
      </w:pPr>
      <w:bookmarkStart w:id="0" w:name="_Toc1659224843"/>
      <w:r>
        <w:rPr>
          <w:rFonts w:ascii="Times New Roman" w:hAnsi="Times New Roman" w:cs="Times New Roman"/>
          <w:b/>
          <w:bCs/>
          <w:sz w:val="24"/>
        </w:rPr>
        <w:t>Abstract</w:t>
      </w:r>
      <w:bookmarkEnd w:id="0"/>
    </w:p>
    <w:p w14:paraId="01EB2C00">
      <w:pPr>
        <w:spacing w:line="360" w:lineRule="auto"/>
        <w:jc w:val="both"/>
        <w:rPr>
          <w:rFonts w:ascii="Times New Roman" w:hAnsi="Times New Roman" w:cs="Times New Roman"/>
          <w:sz w:val="24"/>
        </w:rPr>
      </w:pPr>
      <w:r>
        <w:rPr>
          <w:rFonts w:ascii="Times New Roman" w:hAnsi="Times New Roman" w:cs="Times New Roman"/>
          <w:sz w:val="24"/>
        </w:rPr>
        <w:t xml:space="preserve">The urbanisation process has also significantly changed the physical form of cities by substituting natural land cover with the impermeable surfaces (roads, buildings and other artificial materials). A significant environmental impact of such a process is that urban heat island effect in which urban regions are generally warmer than the rural regions due to alterations in surface properties, vegetation cover and energy balance. London is of particular interest as it has had a long history of urban expansion, but also has been confronted with the growing threat of overheating, heat risk and climate resilience. This paper thus explores the potential impact of land use change in London between 2010 and 2020 on the urban heat island effect. The study follows a quantitative research design using Landsat satellite imagery, spatial analysis using GIS, regression analysis. The data, collected in 2010, 2015 and 2020 will be compared to determine how land use and land surface temperature have changed over time. Land use will be categorized into big groups such as built-up land, vegetation, water bodies and open land, maps of land surface temperature will be generated to determine the spatial thermal patterns in London. The question of whether or not certain land use categories are strongly related to high temperatures or low temperatures will then be analyzed through regression analysis. The research will demonstrate that developed growth is related to increased land surface temperature, but vegetation and water bodies have cooling effects. The study is important as it is unique in adding to the body of literature on urban climate, remote sensing and land use change, and also providing results of practical value to planners and policymakers interested in climate adaptation and sustainable urban development in London (Oke, 1982; Voogt and Oke, 2003; Weng, 2009; Greater London Authority, 2024). </w:t>
      </w:r>
    </w:p>
    <w:p w14:paraId="372D3564">
      <w:pPr>
        <w:spacing w:line="360" w:lineRule="auto"/>
        <w:jc w:val="both"/>
        <w:rPr>
          <w:rFonts w:ascii="Times New Roman" w:hAnsi="Times New Roman" w:cs="Times New Roman"/>
          <w:sz w:val="24"/>
        </w:rPr>
      </w:pPr>
    </w:p>
    <w:p w14:paraId="4AB1F341">
      <w:pPr>
        <w:spacing w:line="360" w:lineRule="auto"/>
        <w:jc w:val="both"/>
        <w:rPr>
          <w:rFonts w:ascii="Times New Roman" w:hAnsi="Times New Roman" w:cs="Times New Roman"/>
          <w:sz w:val="24"/>
        </w:rPr>
      </w:pPr>
    </w:p>
    <w:p w14:paraId="5ED30A78">
      <w:pPr>
        <w:spacing w:line="360" w:lineRule="auto"/>
        <w:jc w:val="both"/>
        <w:outlineLvl w:val="0"/>
        <w:rPr>
          <w:rFonts w:ascii="Times New Roman" w:hAnsi="Times New Roman" w:cs="Times New Roman"/>
          <w:b/>
          <w:bCs/>
          <w:sz w:val="24"/>
        </w:rPr>
      </w:pPr>
      <w:bookmarkStart w:id="1" w:name="_Toc1516780006"/>
      <w:r>
        <w:rPr>
          <w:rFonts w:ascii="Times New Roman" w:hAnsi="Times New Roman" w:cs="Times New Roman"/>
          <w:b/>
          <w:bCs/>
          <w:sz w:val="24"/>
        </w:rPr>
        <w:t>1. Introduction</w:t>
      </w:r>
      <w:bookmarkEnd w:id="1"/>
    </w:p>
    <w:p w14:paraId="7AE6B8CD">
      <w:pPr>
        <w:spacing w:line="360" w:lineRule="auto"/>
        <w:jc w:val="both"/>
        <w:rPr>
          <w:rFonts w:ascii="Times New Roman" w:hAnsi="Times New Roman" w:cs="Times New Roman"/>
          <w:sz w:val="24"/>
        </w:rPr>
      </w:pPr>
      <w:r>
        <w:rPr>
          <w:rFonts w:ascii="Times New Roman" w:hAnsi="Times New Roman" w:cs="Times New Roman"/>
          <w:sz w:val="24"/>
        </w:rPr>
        <w:t xml:space="preserve">One of the most important types of land transformation that is caused by human factors is urbanisation. Cities grow at the expense of vegetation, bare soil and open lands are often substituted by roads, buildings and other impervious surfaces. This affects thermal and hydrological behaviour of urban landscapes, whereby it enhances heat absorption, decreases evapotranspiration, and alters the incoming and outgoing energy balance. Among the most well-known outcomes of such a process is the urban heat island effect where urban areas are warmer than their rural surroundings. The energetic basis of this phenomenon was explained by Oke, although subsequent research established that urban form, land cover and built density are all significant in explaining spatial temperature variation in cities (Oke, 1982; Stewart and Oke, 2012). </w:t>
      </w:r>
    </w:p>
    <w:p w14:paraId="004C7A0D">
      <w:pPr>
        <w:spacing w:line="360" w:lineRule="auto"/>
        <w:jc w:val="both"/>
        <w:rPr>
          <w:rFonts w:ascii="Times New Roman" w:hAnsi="Times New Roman" w:cs="Times New Roman"/>
          <w:sz w:val="24"/>
        </w:rPr>
      </w:pPr>
      <w:r>
        <w:rPr>
          <w:rFonts w:ascii="Times New Roman" w:hAnsi="Times New Roman" w:cs="Times New Roman"/>
          <w:sz w:val="24"/>
        </w:rPr>
        <w:t xml:space="preserve">The urban heat island is not a mere issue in the theory of urban climatology. It also entails significant environmental, social and planning consequences. Increased urban temperatures may exacerbate thermal discomfort and energy needs to cool buildings, aggravate heat-related health risk and degrade urban resilience to climate change. These issues are particularly critical in huge and highly-populated urban areas where the built surfaces prevail and natural cooling opportunities are not distributed equally. The London Environment Strategy singles out climate adaptation, environmental risk management as key priorities, whereas the London Climate Resilience Review notes that overheating, extreme heat, and resilience gaps are severe issues faced by the city (Greater London Authority, 2018; Greater London Authority, 2024). </w:t>
      </w:r>
    </w:p>
    <w:p w14:paraId="10F2F5A7">
      <w:pPr>
        <w:spacing w:line="360" w:lineRule="auto"/>
        <w:jc w:val="both"/>
        <w:rPr>
          <w:rFonts w:ascii="Times New Roman" w:hAnsi="Times New Roman" w:cs="Times New Roman"/>
          <w:sz w:val="24"/>
        </w:rPr>
      </w:pPr>
      <w:r>
        <w:rPr>
          <w:rFonts w:ascii="Times New Roman" w:hAnsi="Times New Roman" w:cs="Times New Roman"/>
          <w:sz w:val="24"/>
        </w:rPr>
        <w:t xml:space="preserve">London presents a good case study to analyse the interaction between land use change and urban heat. It is a large international metropolis that has constantly undergone restructuring, development of infrastructure and population increase. Simultaneously, previous studies show that London still faces a prominent and dynamic urban heat island. Bohnenstengel et al. (2011) modeled the urban heat island of London with the Met Office Unified Model, Wilby, Jones and Lister (2011) investigated the decadal changes in the nocturnal heat island of London and Pérez et al. (2024) proved that the spatial extension and trend of the London urban heat island are still very topical. These papers confirm that London is already a significant location of urban climate studies, but they also indicate the possibility of further intensive research on the topic of how recent land use change can have contributed to temporal spatial temperature patterns within a specific period of time. </w:t>
      </w:r>
    </w:p>
    <w:p w14:paraId="60434551">
      <w:pPr>
        <w:spacing w:line="360" w:lineRule="auto"/>
        <w:jc w:val="both"/>
        <w:rPr>
          <w:rFonts w:ascii="Times New Roman" w:hAnsi="Times New Roman" w:cs="Times New Roman"/>
          <w:sz w:val="24"/>
        </w:rPr>
      </w:pPr>
      <w:r>
        <w:rPr>
          <w:rFonts w:ascii="Times New Roman" w:hAnsi="Times New Roman" w:cs="Times New Roman"/>
          <w:sz w:val="24"/>
        </w:rPr>
        <w:t>It is against this backdrop that the current research explores the potential impacts of land use change in London, 2010-2020, on the urban heat island effect. Instead of merely addressing general climate modelling or a general policy discussion, the paper narrows down to a single issue, namely, the relationship between land transformation and thermal change in the past ten years. This emphasis is significant since the change in land use is one of the most direct spatial manifestations of urbanisation. Gaining insight into the role of the increased land area and the decrease in natural surfaces in intensifying urban heat patterns can potentially result in evidence that could be valuable academically and in practice alike.</w:t>
      </w:r>
    </w:p>
    <w:p w14:paraId="6744407C">
      <w:pPr>
        <w:spacing w:line="360" w:lineRule="auto"/>
        <w:jc w:val="both"/>
        <w:outlineLvl w:val="0"/>
        <w:rPr>
          <w:rFonts w:ascii="Times New Roman" w:hAnsi="Times New Roman" w:cs="Times New Roman"/>
          <w:b/>
          <w:bCs/>
          <w:sz w:val="24"/>
        </w:rPr>
      </w:pPr>
      <w:bookmarkStart w:id="2" w:name="_Toc1890670952"/>
      <w:r>
        <w:rPr>
          <w:rFonts w:ascii="Times New Roman" w:hAnsi="Times New Roman" w:cs="Times New Roman"/>
          <w:b/>
          <w:bCs/>
          <w:sz w:val="24"/>
        </w:rPr>
        <w:t>2. Research Aim, Objectives and Questions</w:t>
      </w:r>
      <w:bookmarkEnd w:id="2"/>
    </w:p>
    <w:p w14:paraId="0E369FCB">
      <w:pPr>
        <w:spacing w:line="360" w:lineRule="auto"/>
        <w:jc w:val="both"/>
        <w:rPr>
          <w:rFonts w:ascii="Times New Roman" w:hAnsi="Times New Roman" w:cs="Times New Roman"/>
          <w:sz w:val="24"/>
        </w:rPr>
      </w:pPr>
      <w:r>
        <w:rPr>
          <w:rFonts w:ascii="Times New Roman" w:hAnsi="Times New Roman" w:cs="Times New Roman"/>
          <w:sz w:val="24"/>
        </w:rPr>
        <w:t>The general purpose of this research is to examine the impact of land use change in London over 2010 to 2020 and how it has influenced the urban heat island effect.</w:t>
      </w:r>
      <w:r>
        <w:rPr>
          <w:rFonts w:ascii="Times New Roman" w:hAnsi="Times New Roman" w:cs="Times New Roman"/>
          <w:sz w:val="24"/>
        </w:rPr>
        <w:br w:type="textWrapping"/>
      </w:r>
      <w:r>
        <w:rPr>
          <w:rFonts w:ascii="Times New Roman" w:hAnsi="Times New Roman" w:cs="Times New Roman"/>
          <w:sz w:val="24"/>
        </w:rPr>
        <w:t>The study has four objectives to attain this objective:</w:t>
      </w:r>
      <w:r>
        <w:rPr>
          <w:rFonts w:ascii="Times New Roman" w:hAnsi="Times New Roman" w:cs="Times New Roman"/>
          <w:sz w:val="24"/>
        </w:rPr>
        <w:br w:type="textWrapping"/>
      </w:r>
      <w:r>
        <w:rPr>
          <w:rFonts w:ascii="Times New Roman" w:hAnsi="Times New Roman" w:cs="Times New Roman"/>
          <w:sz w:val="24"/>
        </w:rPr>
        <w:t xml:space="preserve">1. To determine the key trends in land use change in London over the period 2010-2020. </w:t>
      </w:r>
      <w:r>
        <w:rPr>
          <w:rFonts w:ascii="Times New Roman" w:hAnsi="Times New Roman" w:cs="Times New Roman"/>
          <w:sz w:val="24"/>
        </w:rPr>
        <w:br w:type="textWrapping"/>
      </w:r>
      <w:r>
        <w:rPr>
          <w:rFonts w:ascii="Times New Roman" w:hAnsi="Times New Roman" w:cs="Times New Roman"/>
          <w:sz w:val="24"/>
        </w:rPr>
        <w:t xml:space="preserve">2. To examine the changes in the spatial distribution of land surface temperature over the same period. </w:t>
      </w:r>
      <w:r>
        <w:rPr>
          <w:rFonts w:ascii="Times New Roman" w:hAnsi="Times New Roman" w:cs="Times New Roman"/>
          <w:sz w:val="24"/>
        </w:rPr>
        <w:br w:type="textWrapping"/>
      </w:r>
      <w:r>
        <w:rPr>
          <w:rFonts w:ascii="Times New Roman" w:hAnsi="Times New Roman" w:cs="Times New Roman"/>
          <w:sz w:val="24"/>
        </w:rPr>
        <w:t xml:space="preserve">3. To test the connections among the key land use types and the land surface temperature. </w:t>
      </w:r>
      <w:r>
        <w:rPr>
          <w:rFonts w:ascii="Times New Roman" w:hAnsi="Times New Roman" w:cs="Times New Roman"/>
          <w:sz w:val="24"/>
        </w:rPr>
        <w:br w:type="textWrapping"/>
      </w:r>
      <w:r>
        <w:rPr>
          <w:rFonts w:ascii="Times New Roman" w:hAnsi="Times New Roman" w:cs="Times New Roman"/>
          <w:sz w:val="24"/>
        </w:rPr>
        <w:t xml:space="preserve">4. To determine whether the urban heat island effect was increased by the increased built-up land cover in specific areas in London. </w:t>
      </w:r>
      <w:r>
        <w:rPr>
          <w:rFonts w:ascii="Times New Roman" w:hAnsi="Times New Roman" w:cs="Times New Roman"/>
          <w:sz w:val="24"/>
        </w:rPr>
        <w:br w:type="textWrapping"/>
      </w:r>
      <w:r>
        <w:rPr>
          <w:rFonts w:ascii="Times New Roman" w:hAnsi="Times New Roman" w:cs="Times New Roman"/>
          <w:sz w:val="24"/>
        </w:rPr>
        <w:t>The following research questions are the result of these objectives:</w:t>
      </w:r>
      <w:r>
        <w:rPr>
          <w:rFonts w:ascii="Times New Roman" w:hAnsi="Times New Roman" w:cs="Times New Roman"/>
          <w:sz w:val="24"/>
        </w:rPr>
        <w:br w:type="textWrapping"/>
      </w:r>
      <w:r>
        <w:rPr>
          <w:rFonts w:ascii="Times New Roman" w:hAnsi="Times New Roman" w:cs="Times New Roman"/>
          <w:sz w:val="24"/>
        </w:rPr>
        <w:t xml:space="preserve">1. What has been the nature of land use change in London over the last ten years (2010-2020)? </w:t>
      </w:r>
      <w:r>
        <w:rPr>
          <w:rFonts w:ascii="Times New Roman" w:hAnsi="Times New Roman" w:cs="Times New Roman"/>
          <w:sz w:val="24"/>
        </w:rPr>
        <w:br w:type="textWrapping"/>
      </w:r>
      <w:r>
        <w:rPr>
          <w:rFonts w:ascii="Times New Roman" w:hAnsi="Times New Roman" w:cs="Times New Roman"/>
          <w:sz w:val="24"/>
        </w:rPr>
        <w:t xml:space="preserve">2. What was the change in the spatial distribution of land surface temperature in this period? </w:t>
      </w:r>
      <w:r>
        <w:rPr>
          <w:rFonts w:ascii="Times New Roman" w:hAnsi="Times New Roman" w:cs="Times New Roman"/>
          <w:sz w:val="24"/>
        </w:rPr>
        <w:br w:type="textWrapping"/>
      </w:r>
      <w:r>
        <w:rPr>
          <w:rFonts w:ascii="Times New Roman" w:hAnsi="Times New Roman" w:cs="Times New Roman"/>
          <w:sz w:val="24"/>
        </w:rPr>
        <w:t xml:space="preserve">3. What types of land use were found to be higher or lower in temperature? </w:t>
      </w:r>
      <w:r>
        <w:rPr>
          <w:rFonts w:ascii="Times New Roman" w:hAnsi="Times New Roman" w:cs="Times New Roman"/>
          <w:sz w:val="24"/>
        </w:rPr>
        <w:br w:type="textWrapping"/>
      </w:r>
      <w:r>
        <w:rPr>
          <w:rFonts w:ascii="Times New Roman" w:hAnsi="Times New Roman" w:cs="Times New Roman"/>
          <w:sz w:val="24"/>
        </w:rPr>
        <w:t xml:space="preserve">4. Did an increase in built-up land intensify urban heat islands in certain regions of London? </w:t>
      </w:r>
      <w:r>
        <w:rPr>
          <w:rFonts w:ascii="Times New Roman" w:hAnsi="Times New Roman" w:cs="Times New Roman"/>
          <w:sz w:val="24"/>
        </w:rPr>
        <w:br w:type="textWrapping"/>
      </w:r>
      <w:r>
        <w:rPr>
          <w:rFonts w:ascii="Times New Roman" w:hAnsi="Times New Roman" w:cs="Times New Roman"/>
          <w:sz w:val="24"/>
        </w:rPr>
        <w:t xml:space="preserve">The questions are suitable as they relate land transformation, environmental change and spatial analysis in a direct and quantifiable fashion, which is in line with the strengths of remote sensing and GIS-based urban climatic research (Voogt and Oke, 2003; Weng, 2009; Patel et al. , 2024). </w:t>
      </w:r>
    </w:p>
    <w:p w14:paraId="609CEAE9">
      <w:pPr>
        <w:spacing w:line="360" w:lineRule="auto"/>
        <w:jc w:val="both"/>
        <w:outlineLvl w:val="0"/>
        <w:rPr>
          <w:rFonts w:ascii="Times New Roman" w:hAnsi="Times New Roman" w:cs="Times New Roman"/>
          <w:b/>
          <w:bCs/>
          <w:sz w:val="24"/>
        </w:rPr>
      </w:pPr>
      <w:bookmarkStart w:id="3" w:name="_Toc191165605"/>
      <w:r>
        <w:rPr>
          <w:rFonts w:ascii="Times New Roman" w:hAnsi="Times New Roman" w:cs="Times New Roman"/>
          <w:b/>
          <w:bCs/>
          <w:sz w:val="24"/>
        </w:rPr>
        <w:t>3. Literature Review</w:t>
      </w:r>
      <w:bookmarkEnd w:id="3"/>
    </w:p>
    <w:p w14:paraId="7EECE760">
      <w:pPr>
        <w:spacing w:line="360" w:lineRule="auto"/>
        <w:jc w:val="both"/>
        <w:outlineLvl w:val="1"/>
        <w:rPr>
          <w:rFonts w:ascii="Times New Roman" w:hAnsi="Times New Roman" w:cs="Times New Roman"/>
          <w:b/>
          <w:bCs/>
          <w:sz w:val="24"/>
        </w:rPr>
      </w:pPr>
      <w:bookmarkStart w:id="4" w:name="_Toc284787323"/>
      <w:r>
        <w:rPr>
          <w:rFonts w:ascii="Times New Roman" w:hAnsi="Times New Roman" w:cs="Times New Roman"/>
          <w:b/>
          <w:bCs/>
          <w:sz w:val="24"/>
        </w:rPr>
        <w:t>3.1 Urban heat island theory and land transformation</w:t>
      </w:r>
      <w:bookmarkEnd w:id="4"/>
    </w:p>
    <w:p w14:paraId="6989864F">
      <w:pPr>
        <w:spacing w:line="360" w:lineRule="auto"/>
        <w:jc w:val="both"/>
        <w:rPr>
          <w:rFonts w:ascii="Times New Roman" w:hAnsi="Times New Roman" w:cs="Times New Roman"/>
          <w:sz w:val="24"/>
        </w:rPr>
      </w:pPr>
      <w:r>
        <w:rPr>
          <w:rFonts w:ascii="Times New Roman" w:hAnsi="Times New Roman" w:cs="Times New Roman"/>
          <w:sz w:val="24"/>
        </w:rPr>
        <w:t xml:space="preserve">The urban heat island has been traditionally known as a result of the disturbed surface energy equilibrium of urban areas. Oke (1982) showed that the storage and release of heat by urban materials differed compared to rural surfaces, and the subsequent work of Arnfield (2003) synthesized the contributions of 20 years of research and emphasized the role of turbulence, radiation, moisture exchange and surface properties in the development of urban thermal behaviour. The tradition of theory is still central as it demonstrates that the temperature of the urban areas is not determined by a single factor but it is a complex of land cover, built form, vegetation and atmospheric conditions. This understanding was further refined by Stewart and Oke (2012) in the Local Climate Zone framework, which categorizes the urban environments based on surface cover, structure, materials and human activity. The LCZ framework is particularly helpful as it describes the reasons why temperature can be different not only among cities and suburbs, but among different districts of the same city as well. </w:t>
      </w:r>
      <w:r>
        <w:rPr>
          <w:rFonts w:ascii="Times New Roman" w:hAnsi="Times New Roman" w:cs="Times New Roman"/>
          <w:sz w:val="24"/>
        </w:rPr>
        <w:br w:type="textWrapping"/>
      </w:r>
      <w:r>
        <w:rPr>
          <w:rFonts w:ascii="Times New Roman" w:hAnsi="Times New Roman" w:cs="Times New Roman"/>
          <w:sz w:val="24"/>
        </w:rPr>
        <w:t xml:space="preserve">This is particularly of interest to land use change since it represents the change in surface that is physically captured over time. Thermal properties of the landscape also vary when a vegetated or open land is replaced by a dense built-up development. Less vegetation means less shading and evapotranspiration, and impervious surfaces are more likely to reflect and re-radiate heat. Land use change is, in this sense, not a background variable. It is among the primary channels, by which urbanisation alters the local thermal environment. The assumption that alterations in built-up land, green space and water bodies can affect land surface temperature and spatial expression of urban heat are thus well supported in the literature (Oke, 1982; Voogt and Oke, 2003; Stewart and Oke, 2012). </w:t>
      </w:r>
    </w:p>
    <w:p w14:paraId="5BF264E8">
      <w:pPr>
        <w:spacing w:line="360" w:lineRule="auto"/>
        <w:jc w:val="both"/>
        <w:outlineLvl w:val="1"/>
        <w:rPr>
          <w:rFonts w:ascii="Times New Roman" w:hAnsi="Times New Roman" w:cs="Times New Roman"/>
          <w:b/>
          <w:bCs/>
          <w:sz w:val="24"/>
        </w:rPr>
      </w:pPr>
      <w:bookmarkStart w:id="5" w:name="_Toc1826972145"/>
      <w:r>
        <w:rPr>
          <w:rFonts w:ascii="Times New Roman" w:hAnsi="Times New Roman" w:cs="Times New Roman"/>
          <w:b/>
          <w:bCs/>
          <w:sz w:val="24"/>
        </w:rPr>
        <w:t>3.2 Remote sensing, GIS and land surface temperature analysis</w:t>
      </w:r>
      <w:bookmarkEnd w:id="5"/>
    </w:p>
    <w:p w14:paraId="77D985AD">
      <w:pPr>
        <w:spacing w:line="360" w:lineRule="auto"/>
        <w:jc w:val="both"/>
        <w:rPr>
          <w:rFonts w:ascii="Times New Roman" w:hAnsi="Times New Roman" w:cs="Times New Roman"/>
          <w:sz w:val="24"/>
        </w:rPr>
      </w:pPr>
      <w:r>
        <w:rPr>
          <w:rFonts w:ascii="Times New Roman" w:hAnsi="Times New Roman" w:cs="Times New Roman"/>
          <w:sz w:val="24"/>
        </w:rPr>
        <w:t xml:space="preserve">Remote sensing has emerged as one of the most significant methods of studying urban heat trends since it enables researchers to study large regions in a coherent manner over a period of time. Voogt and Oke (2003) surveyed the contribution of thermal remote sensing to urban climatology and demonstrated that satellite-based temperature measurements can be useful in evaluating patterns of urban heat islands, land cover and surface-atmosphere exchange. Weng (2009) also showed that thermal infrared remote sensing is very appropriate when analyzing the land surface temperature patterns, as well as when there is need to find out the relationship between surface characteristics and the temperature pattern. These researches offer a robust research methodological ground based on land use classification coupled with thermal mapping and spatial analysis. </w:t>
      </w:r>
      <w:r>
        <w:rPr>
          <w:rFonts w:ascii="Times New Roman" w:hAnsi="Times New Roman" w:cs="Times New Roman"/>
          <w:sz w:val="24"/>
        </w:rPr>
        <w:br w:type="textWrapping"/>
      </w:r>
      <w:r>
        <w:rPr>
          <w:rFonts w:ascii="Times New Roman" w:hAnsi="Times New Roman" w:cs="Times New Roman"/>
          <w:sz w:val="24"/>
        </w:rPr>
        <w:t xml:space="preserve">But the literature also cautions that the temperature of the land surface is not identical to air temperature. Among the methodological traps in urban-heat studies by remote-sensing, according to Parlow (2021), are situations where researchers are unable to distinguish between the surface urban heat island and atmospheric urban heat processes. Also, Shi et al. (2021) note that remotely sensed thermal data is highly valuable yet should be treated with care toward concepts, datasets, preprocessing and interpretation. These warnings are essential to the current research since they help clarify that the Landsat-based thermal analysis must be conceptualized strictly as land surface temperature analysis and not as an actual measurement of the entire urban heat island in the atmosphere. </w:t>
      </w:r>
      <w:r>
        <w:rPr>
          <w:rFonts w:ascii="Times New Roman" w:hAnsi="Times New Roman" w:cs="Times New Roman"/>
          <w:sz w:val="24"/>
        </w:rPr>
        <w:br w:type="textWrapping"/>
      </w:r>
      <w:r>
        <w:rPr>
          <w:rFonts w:ascii="Times New Roman" w:hAnsi="Times New Roman" w:cs="Times New Roman"/>
          <w:sz w:val="24"/>
        </w:rPr>
        <w:t xml:space="preserve">This type of research is particularly appropriate with Landsat data. The Landsat Collection 2 Level-2 products offered by the U. S. Geological Survey have both the surface reflectance and surface temperature data, which are extensively applied in the land cover analysis and thermal research. Since these are long-period products, they facilitate multi-date comparison and detection of medium-term changes, which are suitable in the present study: 2010, 2015 and 2020 (U. S. Geological Survey, 2022; U. S. Geological Survey, n. d. ). </w:t>
      </w:r>
    </w:p>
    <w:p w14:paraId="6EEA4577">
      <w:pPr>
        <w:spacing w:line="360" w:lineRule="auto"/>
        <w:jc w:val="both"/>
        <w:outlineLvl w:val="1"/>
        <w:rPr>
          <w:rFonts w:ascii="Times New Roman" w:hAnsi="Times New Roman" w:cs="Times New Roman"/>
          <w:b/>
          <w:bCs/>
          <w:sz w:val="24"/>
        </w:rPr>
      </w:pPr>
      <w:bookmarkStart w:id="6" w:name="_Toc1199656209"/>
      <w:r>
        <w:rPr>
          <w:rFonts w:ascii="Times New Roman" w:hAnsi="Times New Roman" w:cs="Times New Roman"/>
          <w:b/>
          <w:bCs/>
          <w:sz w:val="24"/>
        </w:rPr>
        <w:t>3.3 Land use change, greenery and thermal mitigation</w:t>
      </w:r>
      <w:bookmarkEnd w:id="6"/>
    </w:p>
    <w:p w14:paraId="65045194">
      <w:pPr>
        <w:spacing w:line="360" w:lineRule="auto"/>
        <w:jc w:val="both"/>
        <w:rPr>
          <w:rFonts w:ascii="Times New Roman" w:hAnsi="Times New Roman" w:cs="Times New Roman"/>
          <w:sz w:val="24"/>
        </w:rPr>
      </w:pPr>
      <w:r>
        <w:rPr>
          <w:rFonts w:ascii="Times New Roman" w:hAnsi="Times New Roman" w:cs="Times New Roman"/>
          <w:sz w:val="24"/>
        </w:rPr>
        <w:t xml:space="preserve">An increasing literature indicates that land use and land cover change has a close relationship with urban thermal conditions. With a recent systematic review, Patel et al. (2024) affirm that built-up land is likely to be related to increased land surface temperature, and vegetation and water bodies often have a cooling effect. The result is aligned with more general remote-sensing studies, and it offers solid evidence to utilize land use classification and temperature mapping in urban heat studies. </w:t>
      </w:r>
      <w:r>
        <w:rPr>
          <w:rFonts w:ascii="Times New Roman" w:hAnsi="Times New Roman" w:cs="Times New Roman"/>
          <w:sz w:val="24"/>
        </w:rPr>
        <w:br w:type="textWrapping"/>
      </w:r>
      <w:r>
        <w:rPr>
          <w:rFonts w:ascii="Times New Roman" w:hAnsi="Times New Roman" w:cs="Times New Roman"/>
          <w:sz w:val="24"/>
        </w:rPr>
        <w:t xml:space="preserve">In the literature, it is also proposed that not every category of land-use can be equally influential in terms of thermal results. It is commonly known that green spaces can be very effective in reducing the urban heat due to its shading effect, evapotranspiration and surface albedo. In the study by Marando et al. (2022), green infrastructure was shown to mitigate urban heat in the European functional urban areas, which supports the significance of greener urban form in adapting to climate. Zhou et al. (2023) also suggest that it is not just the area of urban green space that cools but also the spatial structure and climatic environment. This implies that the form of land use as a spatial pattern might be as important as the overall amount of land use change itself. </w:t>
      </w:r>
      <w:r>
        <w:rPr>
          <w:rFonts w:ascii="Times New Roman" w:hAnsi="Times New Roman" w:cs="Times New Roman"/>
          <w:sz w:val="24"/>
        </w:rPr>
        <w:br w:type="textWrapping"/>
      </w:r>
      <w:r>
        <w:rPr>
          <w:rFonts w:ascii="Times New Roman" w:hAnsi="Times New Roman" w:cs="Times New Roman"/>
          <w:sz w:val="24"/>
        </w:rPr>
        <w:t xml:space="preserve">Blue infrastructure can also have cooling effects, but the impacts of blue infrastructure can depend on the climate background of the area, morphology and time of day. The important implication to this proposal is that built-up land, vegetation, water bodies and open land are not all thermally neutral categories. They would yield various thermal results, and that is why they are suitable and significant analytical classes in the current study (Marando et al. , 2022; Zhou et al. , 2023). </w:t>
      </w:r>
    </w:p>
    <w:p w14:paraId="71BA8623">
      <w:pPr>
        <w:spacing w:line="360" w:lineRule="auto"/>
        <w:jc w:val="both"/>
        <w:outlineLvl w:val="1"/>
        <w:rPr>
          <w:rFonts w:ascii="Times New Roman" w:hAnsi="Times New Roman" w:cs="Times New Roman"/>
          <w:b/>
          <w:bCs/>
          <w:sz w:val="24"/>
        </w:rPr>
      </w:pPr>
      <w:bookmarkStart w:id="7" w:name="_Toc2045426627"/>
      <w:r>
        <w:rPr>
          <w:rFonts w:ascii="Times New Roman" w:hAnsi="Times New Roman" w:cs="Times New Roman"/>
          <w:b/>
          <w:bCs/>
          <w:sz w:val="24"/>
        </w:rPr>
        <w:t>3.4 London-specific studies and the research gap</w:t>
      </w:r>
      <w:bookmarkEnd w:id="7"/>
    </w:p>
    <w:p w14:paraId="1C5253FE">
      <w:pPr>
        <w:spacing w:line="360" w:lineRule="auto"/>
        <w:jc w:val="both"/>
        <w:rPr>
          <w:rFonts w:ascii="Times New Roman" w:hAnsi="Times New Roman" w:cs="Times New Roman"/>
          <w:sz w:val="24"/>
        </w:rPr>
      </w:pPr>
      <w:r>
        <w:rPr>
          <w:rFonts w:ascii="Times New Roman" w:hAnsi="Times New Roman" w:cs="Times New Roman"/>
          <w:sz w:val="24"/>
        </w:rPr>
        <w:t xml:space="preserve">Important research on urban heat has already been done on London. Bohnenstengel et al. (2011) demonstrated that the spatial structure of the temperature increment and sensible heat flux were controlled largely by urban land-use fraction. McCarthy et al. (2012) simulated climate change in UK cities with the help of a regional climate model and have shown that urban climates are vulnerable to urbanisation as well as to background climate change. Grawe et al. (2013) particularly investigated the influence of urbanisation on the climate of the region, in Greater London Area, and found that the surface of the city of London influences near-surface temperature, the range of daily temperature, and the structure of wind. The relevance of the urban heat island in London is also continuing based on observational work. The decadal variations in the nocturnal heat island in London were recorded by Wilby et al. (2011), whereas Chapman et al. (2017) measured the urban heat island in London at a fine spatial resolution with Netatmo weather stations. The most recent study by Pérez et al. (2024) has shown that the London urban heat island is still a dynamic and ongoing process. </w:t>
      </w:r>
      <w:r>
        <w:rPr>
          <w:rFonts w:ascii="Times New Roman" w:hAnsi="Times New Roman" w:cs="Times New Roman"/>
          <w:sz w:val="24"/>
        </w:rPr>
        <w:br w:type="textWrapping"/>
      </w:r>
      <w:r>
        <w:rPr>
          <w:rFonts w:ascii="Times New Roman" w:hAnsi="Times New Roman" w:cs="Times New Roman"/>
          <w:sz w:val="24"/>
        </w:rPr>
        <w:t xml:space="preserve">Simultaneously, a more specific study, specifically land use change as well as land surface temperature over a well-defined period of ten years, is still possible. The current literature on London research tends to focus on atmospheric modelling, observational networks, longitudinal urban heat patterns or policy-level resilience. In comparison, the current proposal is explicit on the possible role of land use change in the period 2010-2020 in influencing spatial patterns of land surface temperature. This concentration offers a niche manageable and well-grounded in terms of MSc-level research. </w:t>
      </w:r>
    </w:p>
    <w:p w14:paraId="1D6CEA14">
      <w:pPr>
        <w:spacing w:line="360" w:lineRule="auto"/>
        <w:jc w:val="both"/>
        <w:outlineLvl w:val="0"/>
        <w:rPr>
          <w:rFonts w:ascii="Times New Roman" w:hAnsi="Times New Roman" w:cs="Times New Roman"/>
          <w:b/>
          <w:bCs/>
          <w:sz w:val="24"/>
        </w:rPr>
      </w:pPr>
      <w:bookmarkStart w:id="8" w:name="_Toc567098813"/>
      <w:r>
        <w:rPr>
          <w:rFonts w:ascii="Times New Roman" w:hAnsi="Times New Roman" w:cs="Times New Roman"/>
          <w:b/>
          <w:bCs/>
          <w:sz w:val="24"/>
        </w:rPr>
        <w:t>4. Methodology</w:t>
      </w:r>
      <w:bookmarkEnd w:id="8"/>
    </w:p>
    <w:p w14:paraId="765CBA95">
      <w:pPr>
        <w:spacing w:line="360" w:lineRule="auto"/>
        <w:jc w:val="both"/>
        <w:outlineLvl w:val="1"/>
        <w:rPr>
          <w:rFonts w:ascii="Times New Roman" w:hAnsi="Times New Roman" w:cs="Times New Roman"/>
          <w:b/>
          <w:bCs/>
          <w:sz w:val="24"/>
        </w:rPr>
      </w:pPr>
      <w:bookmarkStart w:id="9" w:name="_Toc697324705"/>
      <w:r>
        <w:rPr>
          <w:rFonts w:ascii="Times New Roman" w:hAnsi="Times New Roman" w:cs="Times New Roman"/>
          <w:b/>
          <w:bCs/>
          <w:sz w:val="24"/>
        </w:rPr>
        <w:t>4.1 Research philosophy and design</w:t>
      </w:r>
      <w:bookmarkEnd w:id="9"/>
    </w:p>
    <w:p w14:paraId="5E6EE49B">
      <w:pPr>
        <w:spacing w:line="360" w:lineRule="auto"/>
        <w:jc w:val="both"/>
        <w:rPr>
          <w:rFonts w:ascii="Times New Roman" w:hAnsi="Times New Roman" w:cs="Times New Roman"/>
          <w:sz w:val="24"/>
        </w:rPr>
      </w:pPr>
      <w:r>
        <w:rPr>
          <w:rFonts w:ascii="Times New Roman" w:hAnsi="Times New Roman" w:cs="Times New Roman"/>
          <w:sz w:val="24"/>
        </w:rPr>
        <w:t xml:space="preserve">The orientation of research and research design embraced in this study are positivist and quantitative research. The positivist approach suits the project since the research is interested in quantifiable physical transformation in the urban environment and not the subjective perception or experience. The research questions are limited to land use categories and statistically testable relationships as well. Consequently, the research can be targeted by the secondary spatial and environmental data instead of interviews or questionnaires. The given methodological decision is aligned with the existing tradition in the field of urban climate and remote-sensing studies (Voogt and Oke, 2003; Weng, 2009; Patel et al. , 2024).  </w:t>
      </w:r>
    </w:p>
    <w:p w14:paraId="5F44FF86">
      <w:pPr>
        <w:spacing w:line="360" w:lineRule="auto"/>
        <w:jc w:val="both"/>
        <w:outlineLvl w:val="1"/>
        <w:rPr>
          <w:rFonts w:ascii="Times New Roman" w:hAnsi="Times New Roman" w:cs="Times New Roman"/>
          <w:b/>
          <w:bCs/>
          <w:sz w:val="24"/>
        </w:rPr>
      </w:pPr>
      <w:bookmarkStart w:id="10" w:name="_Toc1118055256"/>
      <w:r>
        <w:rPr>
          <w:rFonts w:ascii="Times New Roman" w:hAnsi="Times New Roman" w:cs="Times New Roman"/>
          <w:b/>
          <w:bCs/>
          <w:sz w:val="24"/>
        </w:rPr>
        <w:t>4.2 Study area</w:t>
      </w:r>
      <w:bookmarkEnd w:id="10"/>
    </w:p>
    <w:p w14:paraId="750BA320">
      <w:pPr>
        <w:spacing w:line="360" w:lineRule="auto"/>
        <w:jc w:val="both"/>
        <w:rPr>
          <w:rFonts w:ascii="Times New Roman" w:hAnsi="Times New Roman" w:cs="Times New Roman"/>
          <w:sz w:val="24"/>
        </w:rPr>
      </w:pPr>
      <w:r>
        <w:rPr>
          <w:rFonts w:ascii="Times New Roman" w:hAnsi="Times New Roman" w:cs="Times New Roman"/>
          <w:sz w:val="24"/>
        </w:rPr>
        <w:t xml:space="preserve">Greater London is the study area. London is chosen due to the fact that the city contains a high urban centre, a transport system, urban sprawl, fractured and high-scale green areas and major river and water systems in one urban area. It is also becoming a subject of growing policy interest regarding overheating and climate resilience, rendering it an academic and practical subject. Moreover, the city of London is diverse enough in terms of urban fabric to enable the spatial comparison of thermal conditions in different land-use settings that is meaningful (Greater London Authority, 2018; Greater London Authority, 2024).  </w:t>
      </w:r>
    </w:p>
    <w:p w14:paraId="5A7DEE98">
      <w:pPr>
        <w:spacing w:line="360" w:lineRule="auto"/>
        <w:jc w:val="both"/>
        <w:outlineLvl w:val="1"/>
        <w:rPr>
          <w:rFonts w:ascii="Times New Roman" w:hAnsi="Times New Roman" w:cs="Times New Roman"/>
          <w:b/>
          <w:bCs/>
          <w:sz w:val="24"/>
        </w:rPr>
      </w:pPr>
      <w:bookmarkStart w:id="11" w:name="_Toc672776342"/>
      <w:r>
        <w:rPr>
          <w:rFonts w:ascii="Times New Roman" w:hAnsi="Times New Roman" w:cs="Times New Roman"/>
          <w:b/>
          <w:bCs/>
          <w:sz w:val="24"/>
        </w:rPr>
        <w:t>4.3 Data sources</w:t>
      </w:r>
      <w:bookmarkEnd w:id="11"/>
    </w:p>
    <w:p w14:paraId="2C3733AF">
      <w:pPr>
        <w:spacing w:line="360" w:lineRule="auto"/>
        <w:jc w:val="both"/>
        <w:rPr>
          <w:rFonts w:ascii="Times New Roman" w:hAnsi="Times New Roman" w:cs="Times New Roman"/>
          <w:sz w:val="24"/>
        </w:rPr>
      </w:pPr>
      <w:r>
        <w:rPr>
          <w:rFonts w:ascii="Times New Roman" w:hAnsi="Times New Roman" w:cs="Times New Roman"/>
          <w:sz w:val="24"/>
        </w:rPr>
        <w:t xml:space="preserve">There will be three primary types of data. The Landsat satellite images will be used to extract land use classification and the land surface temperature in the first place. Landsat is suitable since Collection 2 Level-2 products have the ability to measure surface reflectance and surface temperature across extended durations of time. Secondly, the associated meteorological data will be supported where needed to provide seasonal and weather-related context, but the primary thermal analysis will be based on land surface temperature. Third, datasets related to spatial boundaries or planning can be adopted to aid classification and mapping. Collectively, these data sources assist in the determination of land change as well as thermal change (U. S. Geological Survey, 2022; U. S. Geological Survey, n. d. ).  </w:t>
      </w:r>
    </w:p>
    <w:p w14:paraId="5CC67AB8">
      <w:pPr>
        <w:spacing w:line="360" w:lineRule="auto"/>
        <w:jc w:val="both"/>
        <w:outlineLvl w:val="1"/>
        <w:rPr>
          <w:rFonts w:ascii="Times New Roman" w:hAnsi="Times New Roman" w:cs="Times New Roman"/>
          <w:b/>
          <w:bCs/>
          <w:sz w:val="24"/>
        </w:rPr>
      </w:pPr>
      <w:bookmarkStart w:id="12" w:name="_Toc850578539"/>
      <w:r>
        <w:rPr>
          <w:rFonts w:ascii="Times New Roman" w:hAnsi="Times New Roman" w:cs="Times New Roman"/>
          <w:b/>
          <w:bCs/>
          <w:sz w:val="24"/>
        </w:rPr>
        <w:t>4.4 Temporal strategy</w:t>
      </w:r>
      <w:bookmarkEnd w:id="12"/>
    </w:p>
    <w:p w14:paraId="455EBCE2">
      <w:pPr>
        <w:spacing w:line="360" w:lineRule="auto"/>
        <w:jc w:val="both"/>
        <w:rPr>
          <w:rFonts w:ascii="Times New Roman" w:hAnsi="Times New Roman" w:cs="Times New Roman"/>
          <w:sz w:val="24"/>
        </w:rPr>
      </w:pPr>
      <w:r>
        <w:rPr>
          <w:rFonts w:ascii="Times New Roman" w:hAnsi="Times New Roman" w:cs="Times New Roman"/>
          <w:sz w:val="24"/>
        </w:rPr>
        <w:t xml:space="preserve">The study will compare imagery from 2010, 2015 and 2020. The dates give a reasonable trade-off between time scope and the feasibility of the project. With three points over a decade, medium-term change can be identified as opposed to a one-year snapshot. To minimize seasonal variation, similar seasonal imagery will be chosen wherever possible, preferably during warmer months when the thermal signal at the surface is more noticeable and cloud-free scenes have a higher chance of being available. This methodology is in line with the practice in the studies of land surface temperature using Landsat (Weng, 2009; U. S. Geological Survey, n. d. ). </w:t>
      </w:r>
    </w:p>
    <w:p w14:paraId="5E811459">
      <w:pPr>
        <w:spacing w:line="360" w:lineRule="auto"/>
        <w:jc w:val="both"/>
        <w:outlineLvl w:val="1"/>
        <w:rPr>
          <w:rFonts w:ascii="Times New Roman" w:hAnsi="Times New Roman" w:cs="Times New Roman"/>
          <w:b/>
          <w:bCs/>
          <w:sz w:val="24"/>
        </w:rPr>
      </w:pPr>
      <w:bookmarkStart w:id="13" w:name="_Toc2022350541"/>
      <w:r>
        <w:rPr>
          <w:rFonts w:ascii="Times New Roman" w:hAnsi="Times New Roman" w:cs="Times New Roman"/>
          <w:b/>
          <w:bCs/>
          <w:sz w:val="24"/>
        </w:rPr>
        <w:t>4.5 Analytical procedure</w:t>
      </w:r>
      <w:bookmarkEnd w:id="13"/>
    </w:p>
    <w:p w14:paraId="57B233B6">
      <w:pPr>
        <w:spacing w:line="360" w:lineRule="auto"/>
        <w:jc w:val="both"/>
        <w:rPr>
          <w:rFonts w:ascii="Times New Roman" w:hAnsi="Times New Roman" w:cs="Times New Roman"/>
          <w:sz w:val="24"/>
        </w:rPr>
      </w:pPr>
      <w:r>
        <w:rPr>
          <w:rFonts w:ascii="Times New Roman" w:hAnsi="Times New Roman" w:cs="Times New Roman"/>
          <w:sz w:val="24"/>
        </w:rPr>
        <w:t xml:space="preserve">Land use classification will be the initial stage of analysis. The four broad categories of land use are going to be built-up land, vegetation, water bodies and open land. These classifications are suitable since they are types of land-covers that are both thermally significant and tend to be commonly separated in the urban heat research of remote-sensing. Classification will be supervised, assisted by existing spatial reference layers where needed and visual verification. A confusion matrix and conventional classification accuracy measures will then be used to perform an accuracy evaluation. This stage aims at determining the change in surface composition of London between 2010 and 2020. </w:t>
      </w:r>
      <w:r>
        <w:rPr>
          <w:rFonts w:ascii="Times New Roman" w:hAnsi="Times New Roman" w:cs="Times New Roman"/>
          <w:sz w:val="24"/>
        </w:rPr>
        <w:br w:type="textWrapping"/>
      </w:r>
      <w:r>
        <w:rPr>
          <w:rFonts w:ascii="Times New Roman" w:hAnsi="Times New Roman" w:cs="Times New Roman"/>
          <w:sz w:val="24"/>
        </w:rPr>
        <w:t xml:space="preserve">The second phase will be the land surface temperature analysis. The Landsat thermal products will be used to produce land surface temperature maps in every selected year. These maps will be employed to visualise the spatial thermal differences and to find areas of greater and lesser thermal intensity. The analysis will be explicitly based on the apparent expression of heat as opposed to purportedly quantifying the intensity of urban heat islands in the atmosphere. This is the difference because, as it is repetitively mentioned in the literature, land surface temperature and near-surface air temperature should be separated (Weng, 2009; Parlow, 2021; Shi et al. , 2021). </w:t>
      </w:r>
      <w:r>
        <w:rPr>
          <w:rFonts w:ascii="Times New Roman" w:hAnsi="Times New Roman" w:cs="Times New Roman"/>
          <w:sz w:val="24"/>
        </w:rPr>
        <w:br w:type="textWrapping"/>
      </w:r>
      <w:r>
        <w:rPr>
          <w:rFonts w:ascii="Times New Roman" w:hAnsi="Times New Roman" w:cs="Times New Roman"/>
          <w:sz w:val="24"/>
        </w:rPr>
        <w:t xml:space="preserve">The third phase will be to examine the correlation between land use and temperature. Observation of whether built-up expansion areas are associated with warmer thermal signatures will be done through descriptive spatial comparison initially. This will be followed later by regression analysis whereby the land surface temperature is the dependent variable and land use types or proportional land-cover are explanatory variables. This stage aims to determine whether various types of land-use have significant relationships with the increased or decreased temperatures. Such a combination of remote sensing, GIS-based spatial analysis and regression modelling is firmly embedded in the literature and ought to offer a viable and rigorous design of an MSc-level project (Voogt and Oke, 2003; Patel et al. , 2024). </w:t>
      </w:r>
    </w:p>
    <w:p w14:paraId="6A76BB42">
      <w:pPr>
        <w:spacing w:line="360" w:lineRule="auto"/>
        <w:jc w:val="both"/>
        <w:outlineLvl w:val="1"/>
        <w:rPr>
          <w:rFonts w:ascii="Times New Roman" w:hAnsi="Times New Roman" w:cs="Times New Roman"/>
          <w:b/>
          <w:bCs/>
          <w:sz w:val="24"/>
        </w:rPr>
      </w:pPr>
      <w:bookmarkStart w:id="14" w:name="_Toc1421861518"/>
      <w:r>
        <w:rPr>
          <w:rFonts w:ascii="Times New Roman" w:hAnsi="Times New Roman" w:cs="Times New Roman"/>
          <w:b/>
          <w:bCs/>
          <w:sz w:val="24"/>
        </w:rPr>
        <w:t>4.6 Reliability and validity</w:t>
      </w:r>
      <w:bookmarkEnd w:id="14"/>
    </w:p>
    <w:p w14:paraId="67FAD3A0">
      <w:pPr>
        <w:spacing w:line="360" w:lineRule="auto"/>
        <w:jc w:val="both"/>
        <w:rPr>
          <w:rFonts w:ascii="Times New Roman" w:hAnsi="Times New Roman" w:cs="Times New Roman"/>
          <w:sz w:val="24"/>
        </w:rPr>
      </w:pPr>
      <w:r>
        <w:rPr>
          <w:rFonts w:ascii="Times New Roman" w:hAnsi="Times New Roman" w:cs="Times New Roman"/>
          <w:sz w:val="24"/>
        </w:rPr>
        <w:t xml:space="preserve">There are a number of steps that will be undertaken to enhance reliability and validity. First, the studies will use similar data sources and similar seasonal imagery throughout the study period. Second, accuracy in classification will be tested as opposed to being assumed. Third, the study language will be maintained to be accurate, particularly in the process of differentiating land surface temperature and surface urban heat processes with atmospheric urban heat processes. Fourth, the results interpretation will be careful and in tandem with what the data will be able to demonstrate. Such measures are significant since methodology reviews have emphasized that the research on urban heat may become inaccurate when various thermal notions are mixed or when satellite products are understood in a rather loose fashion (Parlow, 2021; Shi et al. , 2021). </w:t>
      </w:r>
    </w:p>
    <w:p w14:paraId="1C959C9C">
      <w:pPr>
        <w:spacing w:line="360" w:lineRule="auto"/>
        <w:jc w:val="both"/>
        <w:outlineLvl w:val="1"/>
        <w:rPr>
          <w:rFonts w:ascii="Times New Roman" w:hAnsi="Times New Roman" w:cs="Times New Roman"/>
          <w:b/>
          <w:bCs/>
          <w:sz w:val="24"/>
        </w:rPr>
      </w:pPr>
      <w:bookmarkStart w:id="15" w:name="_Toc28509210"/>
      <w:r>
        <w:rPr>
          <w:rFonts w:ascii="Times New Roman" w:hAnsi="Times New Roman" w:cs="Times New Roman"/>
          <w:b/>
          <w:bCs/>
          <w:sz w:val="24"/>
        </w:rPr>
        <w:t>4.7 Ethical considerations</w:t>
      </w:r>
      <w:bookmarkEnd w:id="15"/>
    </w:p>
    <w:p w14:paraId="32A5CD56">
      <w:pPr>
        <w:spacing w:line="360" w:lineRule="auto"/>
        <w:jc w:val="both"/>
        <w:rPr>
          <w:rFonts w:ascii="Times New Roman" w:hAnsi="Times New Roman" w:cs="Times New Roman"/>
          <w:sz w:val="24"/>
        </w:rPr>
      </w:pPr>
      <w:r>
        <w:rPr>
          <w:rFonts w:ascii="Times New Roman" w:hAnsi="Times New Roman" w:cs="Times New Roman"/>
          <w:sz w:val="24"/>
        </w:rPr>
        <w:t>This research is likely to have very little ethical risk since it will be based on secondary environmental and spatial data, but not on human participants. No surveys, personal data and interviews are suggested. However, ethical practice is still applicable on the academic integrity, use of transparent data and proper attribution of all maps, datasets and published material. Licensing or attribution requirements that are related to data providers will be adhered to where necessary. In the area of MSc research governance, the project is thus low-risk, but not free of ethical responsibility. The course requirement to complete an ethics form remains.</w:t>
      </w:r>
    </w:p>
    <w:p w14:paraId="31DD164F">
      <w:pPr>
        <w:spacing w:line="360" w:lineRule="auto"/>
        <w:jc w:val="both"/>
        <w:rPr>
          <w:rFonts w:ascii="Times New Roman" w:hAnsi="Times New Roman" w:cs="Times New Roman"/>
          <w:sz w:val="24"/>
        </w:rPr>
      </w:pPr>
    </w:p>
    <w:p w14:paraId="1DC32CB8">
      <w:pPr>
        <w:spacing w:line="360" w:lineRule="auto"/>
        <w:jc w:val="both"/>
        <w:outlineLvl w:val="0"/>
        <w:rPr>
          <w:rFonts w:ascii="Times New Roman" w:hAnsi="Times New Roman" w:cs="Times New Roman"/>
          <w:b/>
          <w:bCs/>
          <w:sz w:val="24"/>
        </w:rPr>
      </w:pPr>
      <w:bookmarkStart w:id="16" w:name="_Toc265439189"/>
      <w:r>
        <w:rPr>
          <w:rFonts w:ascii="Times New Roman" w:hAnsi="Times New Roman" w:cs="Times New Roman"/>
          <w:b/>
          <w:bCs/>
          <w:sz w:val="24"/>
        </w:rPr>
        <w:t>5. Expected Findings and Significance</w:t>
      </w:r>
      <w:bookmarkEnd w:id="16"/>
    </w:p>
    <w:p w14:paraId="3D50D008">
      <w:pPr>
        <w:spacing w:line="360" w:lineRule="auto"/>
        <w:jc w:val="both"/>
        <w:rPr>
          <w:rFonts w:ascii="Times New Roman" w:hAnsi="Times New Roman" w:cs="Times New Roman"/>
          <w:sz w:val="24"/>
        </w:rPr>
      </w:pPr>
      <w:r>
        <w:rPr>
          <w:rFonts w:ascii="Times New Roman" w:hAnsi="Times New Roman" w:cs="Times New Roman"/>
          <w:sz w:val="24"/>
        </w:rPr>
        <w:t xml:space="preserve">This is a proposal and not a study that is done but the available literature makes it possible to make some tentative expectations. It is anticipated that the area under development will be linked with an increase in land surface temperature since impervious surfaces and highly populated areas retain and re-radiate more heat. One would also expect vegetation and water bodies to be characterised by lower temperatures due to the effects of shading, evapotranspiration and cooling. Another anticipation is that regions with good built-up growth since 2010 to 2020 might have a higher surface heat ratio compared to regions that did not gain more or lose less vegetative cover. These are the expectations that align with the past reviews and empirical studies (Patel et al. , 2024; Marando et al. , 2022; Zhou et al. , 2023). </w:t>
      </w:r>
      <w:r>
        <w:rPr>
          <w:rFonts w:ascii="Times New Roman" w:hAnsi="Times New Roman" w:cs="Times New Roman"/>
          <w:sz w:val="24"/>
        </w:rPr>
        <w:br w:type="textWrapping"/>
      </w:r>
      <w:r>
        <w:rPr>
          <w:rFonts w:ascii="Times New Roman" w:hAnsi="Times New Roman" w:cs="Times New Roman"/>
          <w:sz w:val="24"/>
        </w:rPr>
        <w:t xml:space="preserve">The research is both theoretically and practically meaningful. Theoretically, it can help in the comprehension of the influence of land use change in urban thermal environments of a major world city. It further enhances the application of medium-term comparison and spatially explicit to investigate urban heat. In practice, the research can assist planners and policy makers in determining the locations where pressures related to heat are most likely to be most strongly associated with land transformation. Such results may be relevant in terms of the current urban greening agenda, development regulation, overheating mitigation, and spatial adaptation planning (Greater London Authority, 2018; Greater London Authority, 2024) in the context of the current climate-resilience agenda in London.  </w:t>
      </w:r>
    </w:p>
    <w:p w14:paraId="604988AA">
      <w:pPr>
        <w:spacing w:line="360" w:lineRule="auto"/>
        <w:jc w:val="both"/>
        <w:outlineLvl w:val="0"/>
        <w:rPr>
          <w:rFonts w:ascii="Times New Roman" w:hAnsi="Times New Roman" w:cs="Times New Roman"/>
          <w:b/>
          <w:bCs/>
          <w:sz w:val="24"/>
        </w:rPr>
      </w:pPr>
      <w:bookmarkStart w:id="17" w:name="_Toc912914704"/>
      <w:r>
        <w:rPr>
          <w:rFonts w:ascii="Times New Roman" w:hAnsi="Times New Roman" w:cs="Times New Roman"/>
          <w:b/>
          <w:bCs/>
          <w:sz w:val="24"/>
        </w:rPr>
        <w:t>6. Limitations</w:t>
      </w:r>
      <w:bookmarkEnd w:id="17"/>
    </w:p>
    <w:p w14:paraId="000CBFB9">
      <w:pPr>
        <w:spacing w:line="360" w:lineRule="auto"/>
        <w:jc w:val="both"/>
        <w:rPr>
          <w:rFonts w:ascii="Times New Roman" w:hAnsi="Times New Roman" w:cs="Times New Roman"/>
          <w:sz w:val="24"/>
        </w:rPr>
      </w:pPr>
      <w:r>
        <w:rPr>
          <w:rFonts w:ascii="Times New Roman" w:hAnsi="Times New Roman" w:cs="Times New Roman"/>
          <w:sz w:val="24"/>
        </w:rPr>
        <w:t xml:space="preserve">A number of restrictions should be considered. First, the article concentrates on the land surface temperature and not direct measurements of temperature in the air. This is to say that it is not the surface manifestation of urban heat but the entire atmospheric urban heat island as a whole in all its meteorological complexity. Second, three-date analyses over a decade are more feasible but lower temporal resolution than annual or seasonal time-series analysis. Third, cloud cover can affect satellite-based thermal analysis, quality of image and seasonal comparability. Fourth, land use classification is never without some degree of uncertainty particularly in the case of mixed urban surfaces. Lastly, regression analysis can be used to determine statistical relationships but cannot establish causality strictly speaking. Nonetheless, such constraints are reasonable in the framework of an MSc project and do not negatively affect the worth of the research as long as they are explicitly defined and well controlled (Parlow, 2021; Shi et al. , 2021; Weng, 2009).  </w:t>
      </w:r>
    </w:p>
    <w:p w14:paraId="0423C725">
      <w:pPr>
        <w:spacing w:line="360" w:lineRule="auto"/>
        <w:jc w:val="both"/>
        <w:outlineLvl w:val="0"/>
        <w:rPr>
          <w:rFonts w:ascii="Times New Roman" w:hAnsi="Times New Roman" w:cs="Times New Roman"/>
          <w:b/>
          <w:bCs/>
          <w:sz w:val="24"/>
        </w:rPr>
      </w:pPr>
      <w:bookmarkStart w:id="18" w:name="_Toc1734255960"/>
      <w:r>
        <w:rPr>
          <w:rFonts w:ascii="Times New Roman" w:hAnsi="Times New Roman" w:cs="Times New Roman"/>
          <w:b/>
          <w:bCs/>
          <w:sz w:val="24"/>
        </w:rPr>
        <w:t>7. Provisional Timetable</w:t>
      </w:r>
      <w:bookmarkEnd w:id="18"/>
    </w:p>
    <w:p w14:paraId="6B9B8CFD">
      <w:pPr>
        <w:spacing w:line="360" w:lineRule="auto"/>
        <w:jc w:val="both"/>
        <w:rPr>
          <w:rFonts w:ascii="Times New Roman" w:hAnsi="Times New Roman" w:cs="Times New Roman"/>
          <w:sz w:val="24"/>
        </w:rPr>
      </w:pPr>
      <w:r>
        <w:rPr>
          <w:rFonts w:ascii="Times New Roman" w:hAnsi="Times New Roman" w:cs="Times New Roman"/>
          <w:sz w:val="24"/>
        </w:rPr>
        <w:t xml:space="preserve">The timetable is proposed to be six stages. The initial month will be dedicated to the improved research questions and a more comprehensive overview of the literature. The second month will entail data gathering of Landsat imagery and aiding spatial data. The third month will be spent on classification of land use and testing of accuracy of classification. The fourth month will be devoted to the extraction of land surface temperature and thermal mapping with the help of GIS. Regression analysis and interpretation of results will be done in the fifth month. The last month will be dedicated to writing, revision and final preparation. This schedule is a realistic one in such a project of this magnitude since it enables a clear flow of events starting with conceptual development through to data processing, analysis and write-up. </w:t>
      </w:r>
    </w:p>
    <w:p w14:paraId="497CB665">
      <w:pPr>
        <w:spacing w:line="360" w:lineRule="auto"/>
        <w:jc w:val="both"/>
        <w:outlineLvl w:val="0"/>
        <w:rPr>
          <w:rFonts w:ascii="Times New Roman" w:hAnsi="Times New Roman" w:cs="Times New Roman"/>
          <w:b/>
          <w:bCs/>
          <w:sz w:val="24"/>
        </w:rPr>
      </w:pPr>
      <w:bookmarkStart w:id="19" w:name="_Toc1991862636"/>
      <w:r>
        <w:rPr>
          <w:rFonts w:ascii="Times New Roman" w:hAnsi="Times New Roman" w:cs="Times New Roman"/>
          <w:b/>
          <w:bCs/>
          <w:sz w:val="24"/>
        </w:rPr>
        <w:t>8. Conclusion</w:t>
      </w:r>
      <w:bookmarkEnd w:id="19"/>
    </w:p>
    <w:p w14:paraId="506E2B77">
      <w:pPr>
        <w:spacing w:line="360" w:lineRule="auto"/>
        <w:jc w:val="both"/>
        <w:rPr>
          <w:rFonts w:ascii="Times New Roman" w:hAnsi="Times New Roman" w:cs="Times New Roman"/>
          <w:sz w:val="24"/>
        </w:rPr>
      </w:pPr>
      <w:r>
        <w:rPr>
          <w:rFonts w:ascii="Times New Roman" w:hAnsi="Times New Roman" w:cs="Times New Roman"/>
          <w:sz w:val="24"/>
        </w:rPr>
        <w:t>This proposal has presented the argument that the change in land use is a significant channel by which urbanisation has an effect on the urban thermal environment. London is the right place to study such an investigation since it is a city with a long-standing urbanization process with increasing concerns on overheating and climate durability. The work will rely on existing research in the area of urban climate, remote sensing and land-use analysis, and suggest the quantitative design that will be based on Landsat images, GIS mapping, and regression analysis of the interdependence between land use change and land surface temperature between 2010 and 2020. It is likely that the research will demonstrate that built-up expansion is linked to warmer thermal conditions, and vegetation and water have a cooling effect. In a wider sense, it is meant to make a policy-relevant and focal contribution to the literature of knowledge on how urbanization has influenced the thermal geography of London in the last ten years (Oke, 1982; Voogt and Oke, 2003; Greater London Authority, 2024).</w:t>
      </w:r>
    </w:p>
    <w:p w14:paraId="2D8647DA">
      <w:pPr>
        <w:spacing w:line="360" w:lineRule="auto"/>
        <w:jc w:val="both"/>
        <w:outlineLvl w:val="0"/>
        <w:rPr>
          <w:rFonts w:ascii="Times New Roman" w:hAnsi="Times New Roman" w:cs="Times New Roman"/>
          <w:b/>
          <w:bCs/>
          <w:sz w:val="24"/>
        </w:rPr>
      </w:pPr>
      <w:bookmarkStart w:id="20" w:name="_Toc112750169"/>
      <w:r>
        <w:rPr>
          <w:rFonts w:ascii="Times New Roman" w:hAnsi="Times New Roman" w:cs="Times New Roman"/>
          <w:b/>
          <w:bCs/>
          <w:sz w:val="24"/>
        </w:rPr>
        <w:t>Reference List</w:t>
      </w:r>
      <w:bookmarkEnd w:id="20"/>
    </w:p>
    <w:p w14:paraId="137F44F3">
      <w:pPr>
        <w:spacing w:line="360" w:lineRule="auto"/>
        <w:jc w:val="both"/>
        <w:rPr>
          <w:rFonts w:ascii="Times New Roman" w:hAnsi="Times New Roman" w:cs="Times New Roman"/>
          <w:sz w:val="24"/>
        </w:rPr>
      </w:pPr>
      <w:r>
        <w:rPr>
          <w:rFonts w:ascii="Times New Roman" w:hAnsi="Times New Roman" w:cs="Times New Roman"/>
          <w:sz w:val="24"/>
        </w:rPr>
        <w:t xml:space="preserve">Arnfield, A.J. (2003) ‘Two decades of urban climate research: a review of turbulence, exchanges of energy and water, and the urban heat island’, </w:t>
      </w:r>
      <w:r>
        <w:rPr>
          <w:rFonts w:ascii="Times New Roman" w:hAnsi="Times New Roman" w:cs="Times New Roman"/>
          <w:i/>
          <w:iCs/>
          <w:sz w:val="24"/>
        </w:rPr>
        <w:t>International Journal of Climatology</w:t>
      </w:r>
      <w:r>
        <w:rPr>
          <w:rFonts w:ascii="Times New Roman" w:hAnsi="Times New Roman" w:cs="Times New Roman"/>
          <w:sz w:val="24"/>
        </w:rPr>
        <w:t>, 23(1), pp. 1–26.</w:t>
      </w:r>
    </w:p>
    <w:p w14:paraId="1484CE16">
      <w:pPr>
        <w:spacing w:line="360" w:lineRule="auto"/>
        <w:jc w:val="both"/>
        <w:rPr>
          <w:rFonts w:ascii="Times New Roman" w:hAnsi="Times New Roman" w:cs="Times New Roman"/>
          <w:sz w:val="24"/>
        </w:rPr>
      </w:pPr>
      <w:r>
        <w:rPr>
          <w:rFonts w:ascii="Times New Roman" w:hAnsi="Times New Roman" w:cs="Times New Roman"/>
          <w:sz w:val="24"/>
        </w:rPr>
        <w:t xml:space="preserve">Bohnenstengel, S.I., Evans, S., Clark, P.A. and Belcher, S.E. (2011) ‘Simulations of the London urban heat island’, </w:t>
      </w:r>
      <w:r>
        <w:rPr>
          <w:rFonts w:ascii="Times New Roman" w:hAnsi="Times New Roman" w:cs="Times New Roman"/>
          <w:i/>
          <w:iCs/>
          <w:sz w:val="24"/>
        </w:rPr>
        <w:t>Quarterly Journal of the Royal Meteorological Society</w:t>
      </w:r>
      <w:r>
        <w:rPr>
          <w:rFonts w:ascii="Times New Roman" w:hAnsi="Times New Roman" w:cs="Times New Roman"/>
          <w:sz w:val="24"/>
        </w:rPr>
        <w:t>, 137(659), pp. 1625–1640.</w:t>
      </w:r>
    </w:p>
    <w:p w14:paraId="45E2D11F">
      <w:pPr>
        <w:spacing w:line="360" w:lineRule="auto"/>
        <w:jc w:val="both"/>
        <w:rPr>
          <w:rFonts w:ascii="Times New Roman" w:hAnsi="Times New Roman" w:cs="Times New Roman"/>
          <w:sz w:val="24"/>
        </w:rPr>
      </w:pPr>
      <w:r>
        <w:rPr>
          <w:rFonts w:ascii="Times New Roman" w:hAnsi="Times New Roman" w:cs="Times New Roman"/>
          <w:sz w:val="24"/>
        </w:rPr>
        <w:t xml:space="preserve">Chapman, L., Bell, C. and Bell, S. (2017) ‘Can the crowdsourcing data paradigm take atmospheric science to a new level? A case study of the Urban Heat Island of London quantified using Netatmo weather stations’, </w:t>
      </w:r>
      <w:r>
        <w:rPr>
          <w:rFonts w:ascii="Times New Roman" w:hAnsi="Times New Roman" w:cs="Times New Roman"/>
          <w:i/>
          <w:iCs/>
          <w:sz w:val="24"/>
        </w:rPr>
        <w:t>International Journal of Climatology</w:t>
      </w:r>
      <w:r>
        <w:rPr>
          <w:rFonts w:ascii="Times New Roman" w:hAnsi="Times New Roman" w:cs="Times New Roman"/>
          <w:sz w:val="24"/>
        </w:rPr>
        <w:t>, 37(9), pp. 3597–3605.</w:t>
      </w:r>
    </w:p>
    <w:p w14:paraId="297D75C5">
      <w:pPr>
        <w:spacing w:line="360" w:lineRule="auto"/>
        <w:jc w:val="both"/>
        <w:rPr>
          <w:rFonts w:ascii="Times New Roman" w:hAnsi="Times New Roman" w:cs="Times New Roman"/>
          <w:sz w:val="24"/>
        </w:rPr>
      </w:pPr>
      <w:r>
        <w:rPr>
          <w:rFonts w:ascii="Times New Roman" w:hAnsi="Times New Roman" w:cs="Times New Roman"/>
          <w:sz w:val="24"/>
        </w:rPr>
        <w:t xml:space="preserve">Grawe, D., Thompson, H.L., Salmond, J.A., Cai, X.-M. and Schlünzen, K.H. (2013) ‘Modelling the impact of urbanisation on regional climate in the Greater London Area’, </w:t>
      </w:r>
      <w:r>
        <w:rPr>
          <w:rFonts w:ascii="Times New Roman" w:hAnsi="Times New Roman" w:cs="Times New Roman"/>
          <w:i/>
          <w:iCs/>
          <w:sz w:val="24"/>
        </w:rPr>
        <w:t>International Journal of Climatology</w:t>
      </w:r>
      <w:r>
        <w:rPr>
          <w:rFonts w:ascii="Times New Roman" w:hAnsi="Times New Roman" w:cs="Times New Roman"/>
          <w:sz w:val="24"/>
        </w:rPr>
        <w:t>, 33(10), pp. 2388–2401.</w:t>
      </w:r>
    </w:p>
    <w:p w14:paraId="4D1BC26F">
      <w:pPr>
        <w:spacing w:line="360" w:lineRule="auto"/>
        <w:jc w:val="both"/>
        <w:rPr>
          <w:rFonts w:ascii="Times New Roman" w:hAnsi="Times New Roman" w:cs="Times New Roman"/>
          <w:sz w:val="24"/>
        </w:rPr>
      </w:pPr>
      <w:r>
        <w:rPr>
          <w:rFonts w:ascii="Times New Roman" w:hAnsi="Times New Roman" w:cs="Times New Roman"/>
          <w:sz w:val="24"/>
        </w:rPr>
        <w:t xml:space="preserve">Greater London Authority (2018) </w:t>
      </w:r>
      <w:r>
        <w:rPr>
          <w:rFonts w:ascii="Times New Roman" w:hAnsi="Times New Roman" w:cs="Times New Roman"/>
          <w:i/>
          <w:iCs/>
          <w:sz w:val="24"/>
        </w:rPr>
        <w:t>London Environment Strategy</w:t>
      </w:r>
      <w:r>
        <w:rPr>
          <w:rFonts w:ascii="Times New Roman" w:hAnsi="Times New Roman" w:cs="Times New Roman"/>
          <w:sz w:val="24"/>
        </w:rPr>
        <w:t>. London: Greater London Authority.</w:t>
      </w:r>
    </w:p>
    <w:p w14:paraId="3CFEFB2F">
      <w:pPr>
        <w:spacing w:line="360" w:lineRule="auto"/>
        <w:jc w:val="both"/>
        <w:rPr>
          <w:rFonts w:ascii="Times New Roman" w:hAnsi="Times New Roman" w:cs="Times New Roman"/>
          <w:sz w:val="24"/>
        </w:rPr>
      </w:pPr>
      <w:r>
        <w:rPr>
          <w:rFonts w:ascii="Times New Roman" w:hAnsi="Times New Roman" w:cs="Times New Roman"/>
          <w:sz w:val="24"/>
        </w:rPr>
        <w:t xml:space="preserve">Greater London Authority (2024) </w:t>
      </w:r>
      <w:r>
        <w:rPr>
          <w:rFonts w:ascii="Times New Roman" w:hAnsi="Times New Roman" w:cs="Times New Roman"/>
          <w:i/>
          <w:iCs/>
          <w:sz w:val="24"/>
        </w:rPr>
        <w:t>The London Climate Resilience Review</w:t>
      </w:r>
      <w:r>
        <w:rPr>
          <w:rFonts w:ascii="Times New Roman" w:hAnsi="Times New Roman" w:cs="Times New Roman"/>
          <w:sz w:val="24"/>
        </w:rPr>
        <w:t>. London: Greater London Authority.</w:t>
      </w:r>
    </w:p>
    <w:p w14:paraId="1CF71244">
      <w:pPr>
        <w:spacing w:line="360" w:lineRule="auto"/>
        <w:jc w:val="both"/>
        <w:rPr>
          <w:rFonts w:ascii="Times New Roman" w:hAnsi="Times New Roman" w:cs="Times New Roman"/>
          <w:sz w:val="24"/>
        </w:rPr>
      </w:pPr>
      <w:r>
        <w:rPr>
          <w:rFonts w:ascii="Times New Roman" w:hAnsi="Times New Roman" w:cs="Times New Roman"/>
          <w:sz w:val="24"/>
        </w:rPr>
        <w:t xml:space="preserve">Marando, F., Heris, M.P., Zulian, G., Udías, A., Mentaschi, L., Chrysoulakis, N., Parastatidis, D. and Maes, J. (2022) ‘Urban heat island mitigation by green infrastructure in European Functional Urban Areas’, </w:t>
      </w:r>
      <w:r>
        <w:rPr>
          <w:rFonts w:ascii="Times New Roman" w:hAnsi="Times New Roman" w:cs="Times New Roman"/>
          <w:i/>
          <w:iCs/>
          <w:sz w:val="24"/>
        </w:rPr>
        <w:t>Sustainable Cities and Society</w:t>
      </w:r>
      <w:r>
        <w:rPr>
          <w:rFonts w:ascii="Times New Roman" w:hAnsi="Times New Roman" w:cs="Times New Roman"/>
          <w:sz w:val="24"/>
        </w:rPr>
        <w:t>, 77, 103564.</w:t>
      </w:r>
    </w:p>
    <w:p w14:paraId="4D848C86">
      <w:pPr>
        <w:spacing w:line="360" w:lineRule="auto"/>
        <w:jc w:val="both"/>
        <w:rPr>
          <w:rFonts w:ascii="Times New Roman" w:hAnsi="Times New Roman" w:cs="Times New Roman"/>
          <w:sz w:val="24"/>
        </w:rPr>
      </w:pPr>
      <w:r>
        <w:rPr>
          <w:rFonts w:ascii="Times New Roman" w:hAnsi="Times New Roman" w:cs="Times New Roman"/>
          <w:sz w:val="24"/>
        </w:rPr>
        <w:t xml:space="preserve">McCarthy, M.P., Harpham, C., Goodess, C.M. and Jones, P.D. (2012) ‘Simulating climate change in UK cities using a regional climate model, HadRM3’, </w:t>
      </w:r>
      <w:r>
        <w:rPr>
          <w:rFonts w:ascii="Times New Roman" w:hAnsi="Times New Roman" w:cs="Times New Roman"/>
          <w:i/>
          <w:iCs/>
          <w:sz w:val="24"/>
        </w:rPr>
        <w:t>International Journal of Climatology</w:t>
      </w:r>
      <w:r>
        <w:rPr>
          <w:rFonts w:ascii="Times New Roman" w:hAnsi="Times New Roman" w:cs="Times New Roman"/>
          <w:sz w:val="24"/>
        </w:rPr>
        <w:t>, 32(12), pp. 1875–1888.</w:t>
      </w:r>
    </w:p>
    <w:p w14:paraId="710FD801">
      <w:pPr>
        <w:spacing w:line="360" w:lineRule="auto"/>
        <w:jc w:val="both"/>
        <w:rPr>
          <w:rFonts w:ascii="Times New Roman" w:hAnsi="Times New Roman" w:cs="Times New Roman"/>
          <w:sz w:val="24"/>
        </w:rPr>
      </w:pPr>
      <w:r>
        <w:rPr>
          <w:rFonts w:ascii="Times New Roman" w:hAnsi="Times New Roman" w:cs="Times New Roman"/>
          <w:sz w:val="24"/>
        </w:rPr>
        <w:t xml:space="preserve">Oke, T.R. (1982) ‘The energetic basis of the urban heat island’, </w:t>
      </w:r>
      <w:r>
        <w:rPr>
          <w:rFonts w:ascii="Times New Roman" w:hAnsi="Times New Roman" w:cs="Times New Roman"/>
          <w:i/>
          <w:iCs/>
          <w:sz w:val="24"/>
        </w:rPr>
        <w:t>Quarterly Journal of the Royal Meteorological Society</w:t>
      </w:r>
      <w:r>
        <w:rPr>
          <w:rFonts w:ascii="Times New Roman" w:hAnsi="Times New Roman" w:cs="Times New Roman"/>
          <w:sz w:val="24"/>
        </w:rPr>
        <w:t>, 108(455), pp. 1–24.</w:t>
      </w:r>
    </w:p>
    <w:p w14:paraId="07DE8AB7">
      <w:pPr>
        <w:spacing w:line="360" w:lineRule="auto"/>
        <w:jc w:val="both"/>
        <w:rPr>
          <w:rFonts w:ascii="Times New Roman" w:hAnsi="Times New Roman" w:cs="Times New Roman"/>
          <w:sz w:val="24"/>
        </w:rPr>
      </w:pPr>
      <w:r>
        <w:rPr>
          <w:rFonts w:ascii="Times New Roman" w:hAnsi="Times New Roman" w:cs="Times New Roman"/>
          <w:sz w:val="24"/>
        </w:rPr>
        <w:t xml:space="preserve">Parlow, E. (2021) ‘Regarding some pitfalls in urban heat island studies using remote sensing technology’, </w:t>
      </w:r>
      <w:r>
        <w:rPr>
          <w:rFonts w:ascii="Times New Roman" w:hAnsi="Times New Roman" w:cs="Times New Roman"/>
          <w:i/>
          <w:iCs/>
          <w:sz w:val="24"/>
        </w:rPr>
        <w:t>Remote Sensing</w:t>
      </w:r>
      <w:r>
        <w:rPr>
          <w:rFonts w:ascii="Times New Roman" w:hAnsi="Times New Roman" w:cs="Times New Roman"/>
          <w:sz w:val="24"/>
        </w:rPr>
        <w:t>, 13(18), 3598.</w:t>
      </w:r>
    </w:p>
    <w:p w14:paraId="7F7C34C4">
      <w:pPr>
        <w:spacing w:line="360" w:lineRule="auto"/>
        <w:jc w:val="both"/>
        <w:rPr>
          <w:rFonts w:ascii="Times New Roman" w:hAnsi="Times New Roman" w:cs="Times New Roman"/>
          <w:sz w:val="24"/>
        </w:rPr>
      </w:pPr>
      <w:r>
        <w:rPr>
          <w:rFonts w:ascii="Times New Roman" w:hAnsi="Times New Roman" w:cs="Times New Roman"/>
          <w:sz w:val="24"/>
        </w:rPr>
        <w:t xml:space="preserve">Patel, S., Indraganti, M. and Jawarneh, R.N. (2024) ‘A comprehensive systematic review: Impact of Land Use/Land Cover (LULC) on Land Surface Temperatures (LST) and outdoor thermal comfort’, </w:t>
      </w:r>
      <w:r>
        <w:rPr>
          <w:rFonts w:ascii="Times New Roman" w:hAnsi="Times New Roman" w:cs="Times New Roman"/>
          <w:i/>
          <w:iCs/>
          <w:sz w:val="24"/>
        </w:rPr>
        <w:t>Building and Environment</w:t>
      </w:r>
      <w:r>
        <w:rPr>
          <w:rFonts w:ascii="Times New Roman" w:hAnsi="Times New Roman" w:cs="Times New Roman"/>
          <w:sz w:val="24"/>
        </w:rPr>
        <w:t>, 249, 111130.</w:t>
      </w:r>
    </w:p>
    <w:p w14:paraId="5B013C70">
      <w:pPr>
        <w:spacing w:line="360" w:lineRule="auto"/>
        <w:jc w:val="both"/>
        <w:rPr>
          <w:rFonts w:ascii="Times New Roman" w:hAnsi="Times New Roman" w:cs="Times New Roman"/>
          <w:sz w:val="24"/>
        </w:rPr>
      </w:pPr>
      <w:r>
        <w:rPr>
          <w:rFonts w:ascii="Times New Roman" w:hAnsi="Times New Roman" w:cs="Times New Roman"/>
          <w:sz w:val="24"/>
        </w:rPr>
        <w:t xml:space="preserve">Pérez, I.A., García, M.Á., Rasekhi, S., Pazoki, F. and Fernández-Duque, B. (2024) ‘Extension and trend of the London urban heat island under Lamb weather types’, </w:t>
      </w:r>
      <w:r>
        <w:rPr>
          <w:rFonts w:ascii="Times New Roman" w:hAnsi="Times New Roman" w:cs="Times New Roman"/>
          <w:i/>
          <w:iCs/>
          <w:sz w:val="24"/>
        </w:rPr>
        <w:t>Sustainable Cities and Society</w:t>
      </w:r>
      <w:r>
        <w:rPr>
          <w:rFonts w:ascii="Times New Roman" w:hAnsi="Times New Roman" w:cs="Times New Roman"/>
          <w:sz w:val="24"/>
        </w:rPr>
        <w:t>, 114, 105743.</w:t>
      </w:r>
    </w:p>
    <w:p w14:paraId="59786AA1">
      <w:pPr>
        <w:spacing w:line="360" w:lineRule="auto"/>
        <w:jc w:val="both"/>
        <w:rPr>
          <w:rFonts w:ascii="Times New Roman" w:hAnsi="Times New Roman" w:cs="Times New Roman"/>
          <w:sz w:val="24"/>
        </w:rPr>
      </w:pPr>
      <w:r>
        <w:rPr>
          <w:rFonts w:ascii="Times New Roman" w:hAnsi="Times New Roman" w:cs="Times New Roman"/>
          <w:sz w:val="24"/>
        </w:rPr>
        <w:t xml:space="preserve">Shi, H., Xian, G., Auch, R., Gallo, K. and Zhou, Q. (2021) ‘Urban Heat Island and Its Regional Impacts Using Remotely Sensed Thermal Data—A Review of Recent Developments and Methodology’, </w:t>
      </w:r>
      <w:r>
        <w:rPr>
          <w:rFonts w:ascii="Times New Roman" w:hAnsi="Times New Roman" w:cs="Times New Roman"/>
          <w:i/>
          <w:iCs/>
          <w:sz w:val="24"/>
        </w:rPr>
        <w:t>Land</w:t>
      </w:r>
      <w:r>
        <w:rPr>
          <w:rFonts w:ascii="Times New Roman" w:hAnsi="Times New Roman" w:cs="Times New Roman"/>
          <w:sz w:val="24"/>
        </w:rPr>
        <w:t>, 10(8), 867.</w:t>
      </w:r>
    </w:p>
    <w:p w14:paraId="7B9F8970">
      <w:pPr>
        <w:spacing w:line="360" w:lineRule="auto"/>
        <w:jc w:val="both"/>
        <w:rPr>
          <w:rFonts w:ascii="Times New Roman" w:hAnsi="Times New Roman" w:cs="Times New Roman"/>
          <w:sz w:val="24"/>
        </w:rPr>
      </w:pPr>
      <w:r>
        <w:rPr>
          <w:rFonts w:ascii="Times New Roman" w:hAnsi="Times New Roman" w:cs="Times New Roman"/>
          <w:sz w:val="24"/>
        </w:rPr>
        <w:t xml:space="preserve">Stewart, I.D. and Oke, T.R. (2012) ‘Local Climate Zones for Urban Temperature Studies’, </w:t>
      </w:r>
      <w:r>
        <w:rPr>
          <w:rFonts w:ascii="Times New Roman" w:hAnsi="Times New Roman" w:cs="Times New Roman"/>
          <w:i/>
          <w:iCs/>
          <w:sz w:val="24"/>
        </w:rPr>
        <w:t>Bulletin of the American Meteorological Society</w:t>
      </w:r>
      <w:r>
        <w:rPr>
          <w:rFonts w:ascii="Times New Roman" w:hAnsi="Times New Roman" w:cs="Times New Roman"/>
          <w:sz w:val="24"/>
        </w:rPr>
        <w:t>, 93(12), pp. 1879–1900.</w:t>
      </w:r>
    </w:p>
    <w:p w14:paraId="32687D8E">
      <w:pPr>
        <w:spacing w:line="360" w:lineRule="auto"/>
        <w:jc w:val="both"/>
        <w:rPr>
          <w:rFonts w:ascii="Times New Roman" w:hAnsi="Times New Roman" w:cs="Times New Roman"/>
          <w:sz w:val="24"/>
        </w:rPr>
      </w:pPr>
      <w:r>
        <w:rPr>
          <w:rFonts w:ascii="Times New Roman" w:hAnsi="Times New Roman" w:cs="Times New Roman"/>
          <w:sz w:val="24"/>
        </w:rPr>
        <w:t xml:space="preserve">U.S. Geological Survey (2022) </w:t>
      </w:r>
      <w:r>
        <w:rPr>
          <w:rFonts w:ascii="Times New Roman" w:hAnsi="Times New Roman" w:cs="Times New Roman"/>
          <w:i/>
          <w:iCs/>
          <w:sz w:val="24"/>
        </w:rPr>
        <w:t>Landsat Collection 2 Level-2 Science Products</w:t>
      </w:r>
      <w:r>
        <w:rPr>
          <w:rFonts w:ascii="Times New Roman" w:hAnsi="Times New Roman" w:cs="Times New Roman"/>
          <w:sz w:val="24"/>
        </w:rPr>
        <w:t>. Reston, VA: U.S. Geological Survey.</w:t>
      </w:r>
    </w:p>
    <w:p w14:paraId="6DA591C4">
      <w:pPr>
        <w:spacing w:line="360" w:lineRule="auto"/>
        <w:jc w:val="both"/>
        <w:rPr>
          <w:rFonts w:ascii="Times New Roman" w:hAnsi="Times New Roman" w:cs="Times New Roman"/>
          <w:sz w:val="24"/>
        </w:rPr>
      </w:pPr>
      <w:r>
        <w:rPr>
          <w:rFonts w:ascii="Times New Roman" w:hAnsi="Times New Roman" w:cs="Times New Roman"/>
          <w:sz w:val="24"/>
        </w:rPr>
        <w:t xml:space="preserve">U.S. Geological Survey (n.d.) </w:t>
      </w:r>
      <w:r>
        <w:rPr>
          <w:rFonts w:ascii="Times New Roman" w:hAnsi="Times New Roman" w:cs="Times New Roman"/>
          <w:i/>
          <w:iCs/>
          <w:sz w:val="24"/>
        </w:rPr>
        <w:t>Landsat Collection 2 Surface Temperature</w:t>
      </w:r>
      <w:r>
        <w:rPr>
          <w:rFonts w:ascii="Times New Roman" w:hAnsi="Times New Roman" w:cs="Times New Roman"/>
          <w:sz w:val="24"/>
        </w:rPr>
        <w:t>. Reston, VA: U.S. Geological Survey.</w:t>
      </w:r>
    </w:p>
    <w:p w14:paraId="03D5FC99">
      <w:pPr>
        <w:spacing w:line="360" w:lineRule="auto"/>
        <w:jc w:val="both"/>
        <w:rPr>
          <w:rFonts w:ascii="Times New Roman" w:hAnsi="Times New Roman" w:cs="Times New Roman"/>
          <w:sz w:val="24"/>
        </w:rPr>
      </w:pPr>
      <w:r>
        <w:rPr>
          <w:rFonts w:ascii="Times New Roman" w:hAnsi="Times New Roman" w:cs="Times New Roman"/>
          <w:sz w:val="24"/>
        </w:rPr>
        <w:t xml:space="preserve">Voogt, J.A. and Oke, T.R. (2003) ‘Thermal remote sensing of urban climates’, </w:t>
      </w:r>
      <w:r>
        <w:rPr>
          <w:rFonts w:ascii="Times New Roman" w:hAnsi="Times New Roman" w:cs="Times New Roman"/>
          <w:i/>
          <w:iCs/>
          <w:sz w:val="24"/>
        </w:rPr>
        <w:t>Remote Sensing of Environment</w:t>
      </w:r>
      <w:r>
        <w:rPr>
          <w:rFonts w:ascii="Times New Roman" w:hAnsi="Times New Roman" w:cs="Times New Roman"/>
          <w:sz w:val="24"/>
        </w:rPr>
        <w:t>, 86(3), pp. 370–384.</w:t>
      </w:r>
    </w:p>
    <w:p w14:paraId="43483EBE">
      <w:pPr>
        <w:spacing w:line="360" w:lineRule="auto"/>
        <w:jc w:val="both"/>
        <w:rPr>
          <w:rFonts w:ascii="Times New Roman" w:hAnsi="Times New Roman" w:cs="Times New Roman"/>
          <w:sz w:val="24"/>
        </w:rPr>
      </w:pPr>
      <w:r>
        <w:rPr>
          <w:rFonts w:ascii="Times New Roman" w:hAnsi="Times New Roman" w:cs="Times New Roman"/>
          <w:sz w:val="24"/>
        </w:rPr>
        <w:t xml:space="preserve">Weng, Q. (2009) ‘Thermal infrared remote sensing for urban climate and environmental studies: Methods, applications, and trends’, </w:t>
      </w:r>
      <w:r>
        <w:rPr>
          <w:rFonts w:ascii="Times New Roman" w:hAnsi="Times New Roman" w:cs="Times New Roman"/>
          <w:i/>
          <w:iCs/>
          <w:sz w:val="24"/>
        </w:rPr>
        <w:t>ISPRS Journal of Photogrammetry and Remote Sensing</w:t>
      </w:r>
      <w:r>
        <w:rPr>
          <w:rFonts w:ascii="Times New Roman" w:hAnsi="Times New Roman" w:cs="Times New Roman"/>
          <w:sz w:val="24"/>
        </w:rPr>
        <w:t>, 64(4), pp. 335–344.</w:t>
      </w:r>
    </w:p>
    <w:p w14:paraId="459BCB9A">
      <w:pPr>
        <w:spacing w:line="360" w:lineRule="auto"/>
        <w:jc w:val="both"/>
        <w:rPr>
          <w:rFonts w:ascii="Times New Roman" w:hAnsi="Times New Roman" w:cs="Times New Roman"/>
          <w:sz w:val="24"/>
        </w:rPr>
      </w:pPr>
      <w:r>
        <w:rPr>
          <w:rFonts w:ascii="Times New Roman" w:hAnsi="Times New Roman" w:cs="Times New Roman"/>
          <w:sz w:val="24"/>
        </w:rPr>
        <w:t xml:space="preserve">Wilby, R.L., Jones, P.D. and Lister, D.H. (2011) ‘Decadal variations in the nocturnal heat island of London’, </w:t>
      </w:r>
      <w:r>
        <w:rPr>
          <w:rFonts w:ascii="Times New Roman" w:hAnsi="Times New Roman" w:cs="Times New Roman"/>
          <w:i/>
          <w:iCs/>
          <w:sz w:val="24"/>
        </w:rPr>
        <w:t>Weather</w:t>
      </w:r>
      <w:r>
        <w:rPr>
          <w:rFonts w:ascii="Times New Roman" w:hAnsi="Times New Roman" w:cs="Times New Roman"/>
          <w:sz w:val="24"/>
        </w:rPr>
        <w:t>, 66(3), pp. 59–64.</w:t>
      </w:r>
    </w:p>
    <w:p w14:paraId="04DE9EDA">
      <w:pPr>
        <w:spacing w:line="360" w:lineRule="auto"/>
        <w:jc w:val="both"/>
        <w:rPr>
          <w:rFonts w:ascii="Times New Roman" w:hAnsi="Times New Roman" w:cs="Times New Roman"/>
          <w:sz w:val="24"/>
        </w:rPr>
      </w:pPr>
      <w:r>
        <w:rPr>
          <w:rFonts w:ascii="Times New Roman" w:hAnsi="Times New Roman" w:cs="Times New Roman"/>
          <w:sz w:val="24"/>
        </w:rPr>
        <w:t xml:space="preserve">Zhou, W., Yu, W., Zhang, Z., Cao, W. and Wu, T. (2023) ‘How can urban green spaces be planned to mitigate urban heat island effect under different climatic backgrounds? A threshold-based perspective’, </w:t>
      </w:r>
      <w:r>
        <w:rPr>
          <w:rFonts w:ascii="Times New Roman" w:hAnsi="Times New Roman" w:cs="Times New Roman"/>
          <w:i/>
          <w:iCs/>
          <w:sz w:val="24"/>
        </w:rPr>
        <w:t>Science of the Total Environment</w:t>
      </w:r>
      <w:r>
        <w:rPr>
          <w:rFonts w:ascii="Times New Roman" w:hAnsi="Times New Roman" w:cs="Times New Roman"/>
          <w:sz w:val="24"/>
        </w:rPr>
        <w:t>, 890, 164422.</w:t>
      </w:r>
    </w:p>
    <w:p w14:paraId="120437EB">
      <w:pPr>
        <w:spacing w:line="360" w:lineRule="auto"/>
        <w:jc w:val="both"/>
        <w:rPr>
          <w:rFonts w:ascii="Times New Roman" w:hAnsi="Times New Roman" w:cs="Times New Roman"/>
          <w:sz w:val="24"/>
        </w:rPr>
      </w:pP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2010600030101010101"/>
    <w:charset w:val="0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汉仪书宋二KW">
    <w:panose1 w:val="00020600040101010101"/>
    <w:charset w:val="86"/>
    <w:family w:val="auto"/>
    <w:pitch w:val="default"/>
    <w:sig w:usb0="A00002BF" w:usb1="18EF7CFA" w:usb2="00000016" w:usb3="00000000" w:csb0="00040000" w:csb1="00000000"/>
  </w:font>
  <w:font w:name="Times New Roman Regular">
    <w:panose1 w:val="02020503050405090304"/>
    <w:charset w:val="00"/>
    <w:family w:val="auto"/>
    <w:pitch w:val="default"/>
    <w:sig w:usb0="E0000AFF" w:usb1="00007843" w:usb2="00000001" w:usb3="00000000" w:csb0="400001BF" w:csb1="DFF7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9E81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EC29E">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1CDA6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D1CDA6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506CA"/>
    <w:rsid w:val="00170C98"/>
    <w:rsid w:val="00172621"/>
    <w:rsid w:val="0044241D"/>
    <w:rsid w:val="004A638E"/>
    <w:rsid w:val="008951F8"/>
    <w:rsid w:val="0094313F"/>
    <w:rsid w:val="00A048C6"/>
    <w:rsid w:val="00B1334A"/>
    <w:rsid w:val="00B72243"/>
    <w:rsid w:val="00BA2154"/>
    <w:rsid w:val="00C735C0"/>
    <w:rsid w:val="3B3E0304"/>
    <w:rsid w:val="7F7AC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4"/>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5"/>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11">
    <w:name w:val="footer"/>
    <w:basedOn w:val="1"/>
    <w:uiPriority w:val="0"/>
    <w:pPr>
      <w:tabs>
        <w:tab w:val="center" w:pos="4153"/>
        <w:tab w:val="right" w:pos="8306"/>
      </w:tabs>
      <w:snapToGrid w:val="0"/>
      <w:spacing w:after="0" w:line="240" w:lineRule="auto"/>
      <w:jc w:val="left"/>
    </w:pPr>
    <w:rPr>
      <w:rFonts w:ascii="Times New Roman" w:hAnsi="Times New Roman" w:eastAsia="宋体" w:cstheme="minorBidi"/>
      <w:sz w:val="18"/>
      <w:szCs w:val="20"/>
      <w14:ligatures w14:val="none"/>
    </w:rPr>
  </w:style>
  <w:style w:type="paragraph" w:styleId="1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after="0" w:line="240" w:lineRule="auto"/>
      <w:jc w:val="both"/>
      <w:outlineLvl w:val="9"/>
    </w:pPr>
    <w:rPr>
      <w:rFonts w:ascii="Times New Roman" w:hAnsi="Times New Roman" w:eastAsia="宋体" w:cstheme="minorBidi"/>
      <w:sz w:val="18"/>
      <w:szCs w:val="20"/>
      <w14:ligatures w14:val="none"/>
    </w:rPr>
  </w:style>
  <w:style w:type="paragraph" w:styleId="13">
    <w:name w:val="toc 1"/>
    <w:basedOn w:val="1"/>
    <w:next w:val="1"/>
    <w:semiHidden/>
    <w:unhideWhenUsed/>
    <w:uiPriority w:val="39"/>
  </w:style>
  <w:style w:type="paragraph" w:styleId="14">
    <w:name w:val="Subtitle"/>
    <w:basedOn w:val="1"/>
    <w:next w:val="1"/>
    <w:link w:val="29"/>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oc 2"/>
    <w:basedOn w:val="1"/>
    <w:next w:val="1"/>
    <w:semiHidden/>
    <w:unhideWhenUsed/>
    <w:uiPriority w:val="39"/>
    <w:pPr>
      <w:ind w:left="420" w:leftChars="200"/>
    </w:pPr>
  </w:style>
  <w:style w:type="paragraph" w:styleId="16">
    <w:name w:val="Title"/>
    <w:basedOn w:val="1"/>
    <w:next w:val="1"/>
    <w:link w:val="28"/>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9">
    <w:name w:val="标题 1 字符"/>
    <w:basedOn w:val="18"/>
    <w:link w:val="2"/>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3"/>
    <w:semiHidden/>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4"/>
    <w:semiHidden/>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5"/>
    <w:semiHidden/>
    <w:uiPriority w:val="9"/>
    <w:rPr>
      <w:rFonts w:cstheme="majorBidi"/>
      <w:color w:val="104862" w:themeColor="accent1" w:themeShade="BF"/>
      <w:sz w:val="28"/>
      <w:szCs w:val="28"/>
    </w:rPr>
  </w:style>
  <w:style w:type="character" w:customStyle="1" w:styleId="23">
    <w:name w:val="标题 5 字符"/>
    <w:basedOn w:val="18"/>
    <w:link w:val="6"/>
    <w:semiHidden/>
    <w:uiPriority w:val="9"/>
    <w:rPr>
      <w:rFonts w:cstheme="majorBidi"/>
      <w:color w:val="104862" w:themeColor="accent1" w:themeShade="BF"/>
      <w:sz w:val="24"/>
    </w:rPr>
  </w:style>
  <w:style w:type="character" w:customStyle="1" w:styleId="24">
    <w:name w:val="标题 6 字符"/>
    <w:basedOn w:val="18"/>
    <w:link w:val="7"/>
    <w:semiHidden/>
    <w:uiPriority w:val="9"/>
    <w:rPr>
      <w:rFonts w:cstheme="majorBidi"/>
      <w:b/>
      <w:bCs/>
      <w:color w:val="104862" w:themeColor="accent1" w:themeShade="BF"/>
    </w:rPr>
  </w:style>
  <w:style w:type="character" w:customStyle="1" w:styleId="25">
    <w:name w:val="标题 7 字符"/>
    <w:basedOn w:val="18"/>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6"/>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8"/>
    <w:link w:val="30"/>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8"/>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8"/>
    <w:link w:val="34"/>
    <w:uiPriority w:val="30"/>
    <w:rPr>
      <w:i/>
      <w:iCs/>
      <w:color w:val="104862" w:themeColor="accent1" w:themeShade="BF"/>
    </w:rPr>
  </w:style>
  <w:style w:type="character" w:customStyle="1" w:styleId="36">
    <w:name w:val="Intense Reference"/>
    <w:basedOn w:val="18"/>
    <w:qFormat/>
    <w:uiPriority w:val="32"/>
    <w:rPr>
      <w:b/>
      <w:bCs/>
      <w:smallCaps/>
      <w:color w:val="104862" w:themeColor="accent1" w:themeShade="BF"/>
      <w:spacing w:val="5"/>
    </w:rPr>
  </w:style>
  <w:style w:type="character" w:customStyle="1" w:styleId="37">
    <w:name w:val="无间隔 Char"/>
    <w:basedOn w:val="18"/>
    <w:link w:val="38"/>
    <w:uiPriority w:val="0"/>
    <w:rPr>
      <w:rFonts w:hint="default" w:ascii="Times New Roman" w:hAnsi="Times New Roman" w:eastAsia="宋体"/>
      <w:sz w:val="22"/>
    </w:rPr>
  </w:style>
  <w:style w:type="paragraph" w:customStyle="1" w:styleId="38">
    <w:name w:val="No Spacing"/>
    <w:link w:val="37"/>
    <w:uiPriority w:val="0"/>
    <w:rPr>
      <w:rFonts w:hint="default" w:ascii="Times New Roman" w:hAnsi="Times New Roman" w:eastAsia="宋体" w:cstheme="minorBidi"/>
      <w:sz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zhenweiyan/Library/Containers/com.kingsoft.wpsoffice.mac/Data/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简约型"/>
      <sectRole val="1"/>
    </customSectPr>
    <customSectPr/>
  </customSectProps>
  <customShpExts>
    <customShpInfo spid="_x0000_s1026" textRotate="1"/>
    <customShpInfo spid="_x0000_s1035"/>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4790</Words>
  <Characters>24911</Characters>
  <Lines>389</Lines>
  <Paragraphs>77</Paragraphs>
  <TotalTime>16</TotalTime>
  <ScaleCrop>false</ScaleCrop>
  <LinksUpToDate>false</LinksUpToDate>
  <CharactersWithSpaces>29624</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2026-04-15T07:36:00Z</dcterms:created>
  <dc:creator>Admin</dc:creator>
  <cp:lastModifiedBy>おうがいの薇</cp:lastModifiedBy>
  <dcterms:modified xsi:type="dcterms:W3CDTF">2026-04-28T23:32:03Z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A5D107EAD2558076F12EF169D5A92EEF_42</vt:lpwstr>
  </property>
</Properties>
</file>