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C8B0BE6" wp14:paraId="457D373A" wp14:textId="2F079E87">
      <w:pPr>
        <w:spacing w:before="0" w:after="0" w:line="240" w:lineRule="auto"/>
        <w:jc w:val="center"/>
        <w:rPr>
          <w:b w:val="1"/>
          <w:bCs w:val="1"/>
          <w:sz w:val="32"/>
          <w:szCs w:val="32"/>
        </w:rPr>
      </w:pPr>
      <w:r w:rsidRPr="1C8B0BE6" w:rsidR="351D7E85">
        <w:rPr>
          <w:b w:val="1"/>
          <w:bCs w:val="1"/>
          <w:sz w:val="32"/>
          <w:szCs w:val="32"/>
        </w:rPr>
        <w:t>Student:</w:t>
      </w:r>
      <w:r w:rsidRPr="1C8B0BE6" w:rsidR="6B387936">
        <w:rPr>
          <w:b w:val="1"/>
          <w:bCs w:val="1"/>
          <w:sz w:val="32"/>
          <w:szCs w:val="32"/>
        </w:rPr>
        <w:t xml:space="preserve"> Bo</w:t>
      </w:r>
      <w:r w:rsidRPr="1C8B0BE6" w:rsidR="65325BC2">
        <w:rPr>
          <w:b w:val="1"/>
          <w:bCs w:val="1"/>
          <w:sz w:val="32"/>
          <w:szCs w:val="32"/>
        </w:rPr>
        <w:t>g</w:t>
      </w:r>
      <w:r w:rsidRPr="1C8B0BE6" w:rsidR="6B387936">
        <w:rPr>
          <w:b w:val="1"/>
          <w:bCs w:val="1"/>
          <w:sz w:val="32"/>
          <w:szCs w:val="32"/>
        </w:rPr>
        <w:t>dan Ionut Balan</w:t>
      </w:r>
    </w:p>
    <w:p xmlns:wp14="http://schemas.microsoft.com/office/word/2010/wordml" w:rsidP="1C8B0BE6" wp14:paraId="7A6B8625" wp14:textId="2D968CB8">
      <w:pPr>
        <w:spacing w:before="0" w:after="0" w:line="240" w:lineRule="auto"/>
        <w:jc w:val="center"/>
        <w:rPr>
          <w:b w:val="1"/>
          <w:bCs w:val="1"/>
          <w:sz w:val="32"/>
          <w:szCs w:val="32"/>
        </w:rPr>
      </w:pPr>
      <w:r w:rsidRPr="1C8B0BE6" w:rsidR="6B387936">
        <w:rPr>
          <w:b w:val="1"/>
          <w:bCs w:val="1"/>
          <w:sz w:val="32"/>
          <w:szCs w:val="32"/>
        </w:rPr>
        <w:t>Student ID: 2334196</w:t>
      </w:r>
    </w:p>
    <w:p xmlns:wp14="http://schemas.microsoft.com/office/word/2010/wordml" w:rsidP="1C8B0BE6" wp14:paraId="57BD69A2" wp14:textId="4981C648">
      <w:pPr>
        <w:spacing w:before="0" w:after="0" w:line="240" w:lineRule="auto"/>
        <w:jc w:val="center"/>
        <w:rPr>
          <w:b w:val="1"/>
          <w:bCs w:val="1"/>
          <w:sz w:val="32"/>
          <w:szCs w:val="32"/>
        </w:rPr>
      </w:pPr>
      <w:r w:rsidRPr="1C8B0BE6" w:rsidR="6B387936">
        <w:rPr>
          <w:b w:val="1"/>
          <w:bCs w:val="1"/>
          <w:sz w:val="32"/>
          <w:szCs w:val="32"/>
        </w:rPr>
        <w:t xml:space="preserve">Lecturer: </w:t>
      </w:r>
      <w:r w:rsidRPr="1C8B0BE6" w:rsidR="107422DC">
        <w:rPr>
          <w:b w:val="1"/>
          <w:bCs w:val="1"/>
          <w:sz w:val="32"/>
          <w:szCs w:val="32"/>
        </w:rPr>
        <w:t xml:space="preserve">Dr </w:t>
      </w:r>
      <w:r w:rsidRPr="1C8B0BE6" w:rsidR="7E17938F">
        <w:rPr>
          <w:b w:val="1"/>
          <w:bCs w:val="1"/>
          <w:sz w:val="32"/>
          <w:szCs w:val="32"/>
        </w:rPr>
        <w:t>Xavier</w:t>
      </w:r>
      <w:r w:rsidRPr="1C8B0BE6" w:rsidR="69445BCE">
        <w:rPr>
          <w:b w:val="1"/>
          <w:bCs w:val="1"/>
          <w:sz w:val="32"/>
          <w:szCs w:val="32"/>
        </w:rPr>
        <w:t xml:space="preserve"> </w:t>
      </w:r>
      <w:r w:rsidRPr="1C8B0BE6" w:rsidR="69445BCE">
        <w:rPr>
          <w:b w:val="1"/>
          <w:bCs w:val="1"/>
          <w:sz w:val="32"/>
          <w:szCs w:val="32"/>
        </w:rPr>
        <w:t>Matieni</w:t>
      </w:r>
    </w:p>
    <w:p xmlns:wp14="http://schemas.microsoft.com/office/word/2010/wordml" w:rsidP="1C8B0BE6" wp14:paraId="303681E2" wp14:textId="17ABE3A5">
      <w:pPr>
        <w:spacing w:before="0" w:after="0" w:line="240" w:lineRule="auto"/>
        <w:jc w:val="center"/>
        <w:rPr>
          <w:b w:val="1"/>
          <w:bCs w:val="1"/>
          <w:sz w:val="32"/>
          <w:szCs w:val="32"/>
        </w:rPr>
      </w:pPr>
      <w:r w:rsidRPr="1C8B0BE6" w:rsidR="2E929160">
        <w:rPr>
          <w:b w:val="1"/>
          <w:bCs w:val="1"/>
          <w:sz w:val="32"/>
          <w:szCs w:val="32"/>
        </w:rPr>
        <w:t xml:space="preserve">Module: </w:t>
      </w:r>
      <w:r w:rsidRPr="1C8B0BE6" w:rsidR="03B0C673">
        <w:rPr>
          <w:b w:val="1"/>
          <w:bCs w:val="1"/>
          <w:sz w:val="32"/>
          <w:szCs w:val="32"/>
        </w:rPr>
        <w:t>Project Management</w:t>
      </w:r>
    </w:p>
    <w:p xmlns:wp14="http://schemas.microsoft.com/office/word/2010/wordml" w:rsidP="1C8B0BE6" wp14:paraId="2504E401" wp14:textId="1A6FC107">
      <w:pPr>
        <w:spacing w:before="0" w:after="0" w:line="240" w:lineRule="auto"/>
        <w:jc w:val="center"/>
        <w:rPr>
          <w:b w:val="1"/>
          <w:bCs w:val="1"/>
          <w:sz w:val="32"/>
          <w:szCs w:val="32"/>
        </w:rPr>
      </w:pPr>
      <w:r w:rsidRPr="1C8B0BE6" w:rsidR="03B0C673">
        <w:rPr>
          <w:b w:val="1"/>
          <w:bCs w:val="1"/>
          <w:sz w:val="32"/>
          <w:szCs w:val="32"/>
        </w:rPr>
        <w:t>Module Code: LCLM5003</w:t>
      </w:r>
    </w:p>
    <w:p xmlns:wp14="http://schemas.microsoft.com/office/word/2010/wordml" w:rsidP="1C8B0BE6" wp14:paraId="2918A5D8" wp14:textId="7C097249">
      <w:pPr>
        <w:pStyle w:val="Normal"/>
        <w:spacing w:before="0" w:after="0" w:line="240" w:lineRule="auto"/>
        <w:jc w:val="center"/>
        <w:rPr>
          <w:b w:val="1"/>
          <w:bCs w:val="1"/>
          <w:sz w:val="40"/>
          <w:szCs w:val="40"/>
        </w:rPr>
      </w:pPr>
    </w:p>
    <w:p xmlns:wp14="http://schemas.microsoft.com/office/word/2010/wordml" w:rsidP="1C8B0BE6" wp14:paraId="556553F5" wp14:textId="7F6CB628">
      <w:pPr>
        <w:pStyle w:val="Normal"/>
        <w:spacing w:before="0" w:after="0" w:line="240" w:lineRule="auto"/>
        <w:jc w:val="center"/>
        <w:rPr>
          <w:rFonts w:ascii="Arial" w:hAnsi="Arial" w:eastAsia="Arial" w:cs="Arial"/>
          <w:noProof w:val="0"/>
          <w:sz w:val="20"/>
          <w:szCs w:val="20"/>
          <w:lang w:val="en-GB"/>
        </w:rPr>
      </w:pPr>
      <w:r w:rsidRPr="1C8B0BE6" w:rsidR="4DCB159E">
        <w:rPr>
          <w:b w:val="1"/>
          <w:bCs w:val="1"/>
          <w:sz w:val="40"/>
          <w:szCs w:val="40"/>
        </w:rPr>
        <w:t>Plan A: Poster Presentation</w:t>
      </w:r>
      <w:r w:rsidR="5034FCA4">
        <w:drawing>
          <wp:inline xmlns:wp14="http://schemas.microsoft.com/office/word/2010/wordprocessingDrawing" wp14:editId="41EBE1D0" wp14:anchorId="2E22751D">
            <wp:extent cx="5724525" cy="6572250"/>
            <wp:effectExtent l="0" t="0" r="0" b="0"/>
            <wp:docPr id="1658149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8149345" name="Picture 1658149345"/>
                    <pic:cNvPicPr/>
                  </pic:nvPicPr>
                  <pic:blipFill>
                    <a:blip xmlns:r="http://schemas.openxmlformats.org/officeDocument/2006/relationships" r:embed="rId1930090308">
                      <a:extLst>
                        <a:ext uri="{28A0092B-C50C-407E-A947-70E740481C1C}">
                          <a14:useLocalDpi xmlns:a14="http://schemas.microsoft.com/office/drawing/2010/main"/>
                        </a:ext>
                      </a:extLst>
                    </a:blip>
                    <a:stretch>
                      <a:fillRect/>
                    </a:stretch>
                  </pic:blipFill>
                  <pic:spPr>
                    <a:xfrm rot="0">
                      <a:off x="0" y="0"/>
                      <a:ext cx="5724525" cy="6572250"/>
                    </a:xfrm>
                    <a:prstGeom prst="rect">
                      <a:avLst/>
                    </a:prstGeom>
                  </pic:spPr>
                </pic:pic>
              </a:graphicData>
            </a:graphic>
          </wp:inline>
        </w:drawing>
      </w:r>
    </w:p>
    <w:p xmlns:wp14="http://schemas.microsoft.com/office/word/2010/wordml" w:rsidP="1C8B0BE6" wp14:paraId="04904C34" wp14:textId="30799267">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C8B0BE6" w:rsidR="467551CA">
        <w:rPr>
          <w:rFonts w:ascii="Calibri" w:hAnsi="Calibri" w:eastAsia="Calibri" w:cs="Calibri" w:asciiTheme="minorAscii" w:hAnsiTheme="minorAscii" w:eastAsiaTheme="minorAscii" w:cstheme="minorAscii"/>
          <w:b w:val="1"/>
          <w:bCs w:val="1"/>
          <w:noProof w:val="0"/>
          <w:sz w:val="40"/>
          <w:szCs w:val="40"/>
          <w:lang w:val="en-GB"/>
        </w:rPr>
        <w:t>Table Of Content</w:t>
      </w:r>
    </w:p>
    <w:p xmlns:wp14="http://schemas.microsoft.com/office/word/2010/wordml" w:rsidP="1C8B0BE6" wp14:paraId="038702D6" wp14:textId="42843073">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74B285A4" wp14:textId="496C1347">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C8B0BE6" w:rsidR="467551CA">
        <w:rPr>
          <w:rFonts w:ascii="Calibri" w:hAnsi="Calibri" w:eastAsia="Calibri" w:cs="Calibri" w:asciiTheme="minorAscii" w:hAnsiTheme="minorAscii" w:eastAsiaTheme="minorAscii" w:cstheme="minorAscii"/>
          <w:b w:val="1"/>
          <w:bCs w:val="1"/>
          <w:noProof w:val="0"/>
          <w:sz w:val="32"/>
          <w:szCs w:val="32"/>
          <w:lang w:val="en-US"/>
        </w:rPr>
        <w:t>Plan A: Poster</w:t>
      </w:r>
      <w:r w:rsidRPr="1C8B0BE6" w:rsidR="467551CA">
        <w:rPr>
          <w:rFonts w:ascii="Calibri" w:hAnsi="Calibri" w:eastAsia="Calibri" w:cs="Calibri" w:asciiTheme="minorAscii" w:hAnsiTheme="minorAscii" w:eastAsiaTheme="minorAscii" w:cstheme="minorAscii"/>
          <w:b w:val="0"/>
          <w:bCs w:val="0"/>
          <w:noProof w:val="0"/>
          <w:sz w:val="32"/>
          <w:szCs w:val="32"/>
          <w:lang w:val="en-US"/>
        </w:rPr>
        <w:t xml:space="preserve"> ...........................................................................</w:t>
      </w:r>
      <w:r w:rsidRPr="1C8B0BE6" w:rsidR="747B9A5A">
        <w:rPr>
          <w:rFonts w:ascii="Calibri" w:hAnsi="Calibri" w:eastAsia="Calibri" w:cs="Calibri" w:asciiTheme="minorAscii" w:hAnsiTheme="minorAscii" w:eastAsiaTheme="minorAscii" w:cstheme="minorAscii"/>
          <w:b w:val="0"/>
          <w:bCs w:val="0"/>
          <w:noProof w:val="0"/>
          <w:sz w:val="32"/>
          <w:szCs w:val="32"/>
          <w:lang w:val="en-US"/>
        </w:rPr>
        <w:t>........</w:t>
      </w:r>
      <w:r w:rsidRPr="1C8B0BE6" w:rsidR="22E64DD8">
        <w:rPr>
          <w:rFonts w:ascii="Calibri" w:hAnsi="Calibri" w:eastAsia="Calibri" w:cs="Calibri" w:asciiTheme="minorAscii" w:hAnsiTheme="minorAscii" w:eastAsiaTheme="minorAscii" w:cstheme="minorAscii"/>
          <w:b w:val="0"/>
          <w:bCs w:val="0"/>
          <w:noProof w:val="0"/>
          <w:sz w:val="32"/>
          <w:szCs w:val="32"/>
          <w:lang w:val="en-US"/>
        </w:rPr>
        <w:t xml:space="preserve"> 1</w:t>
      </w:r>
    </w:p>
    <w:p xmlns:wp14="http://schemas.microsoft.com/office/word/2010/wordml" w:rsidP="1C8B0BE6" wp14:paraId="6994D2B1" wp14:textId="774FA9C2">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C8B0BE6" wp14:paraId="7FD411E1" wp14:textId="0EE22DA7">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C8B0BE6" w:rsidR="6E7C112A">
        <w:rPr>
          <w:rFonts w:ascii="Calibri" w:hAnsi="Calibri" w:eastAsia="Calibri" w:cs="Calibri" w:asciiTheme="minorAscii" w:hAnsiTheme="minorAscii" w:eastAsiaTheme="minorAscii" w:cstheme="minorAscii"/>
          <w:b w:val="1"/>
          <w:bCs w:val="1"/>
          <w:noProof w:val="0"/>
          <w:sz w:val="32"/>
          <w:szCs w:val="32"/>
          <w:lang w:val="en-US"/>
        </w:rPr>
        <w:t>Plan B: Refection and Feedback</w:t>
      </w:r>
      <w:r w:rsidRPr="1C8B0BE6" w:rsidR="6E7C112A">
        <w:rPr>
          <w:rFonts w:ascii="Calibri" w:hAnsi="Calibri" w:eastAsia="Calibri" w:cs="Calibri" w:asciiTheme="minorAscii" w:hAnsiTheme="minorAscii" w:eastAsiaTheme="minorAscii" w:cstheme="minorAscii"/>
          <w:b w:val="0"/>
          <w:bCs w:val="0"/>
          <w:noProof w:val="0"/>
          <w:sz w:val="32"/>
          <w:szCs w:val="32"/>
          <w:lang w:val="en-US"/>
        </w:rPr>
        <w:t xml:space="preserve"> ..............................................</w:t>
      </w:r>
      <w:r w:rsidRPr="1C8B0BE6" w:rsidR="2122CC70">
        <w:rPr>
          <w:rFonts w:ascii="Calibri" w:hAnsi="Calibri" w:eastAsia="Calibri" w:cs="Calibri" w:asciiTheme="minorAscii" w:hAnsiTheme="minorAscii" w:eastAsiaTheme="minorAscii" w:cstheme="minorAscii"/>
          <w:b w:val="0"/>
          <w:bCs w:val="0"/>
          <w:noProof w:val="0"/>
          <w:sz w:val="32"/>
          <w:szCs w:val="32"/>
          <w:lang w:val="en-US"/>
        </w:rPr>
        <w:t>........  3</w:t>
      </w:r>
    </w:p>
    <w:p xmlns:wp14="http://schemas.microsoft.com/office/word/2010/wordml" w:rsidP="1C8B0BE6" wp14:paraId="6DEFF806" wp14:textId="0828C45C">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C8B0BE6" wp14:paraId="1E44BD2B" wp14:textId="33789D7C">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C8B0BE6" w:rsidR="6E7C112A">
        <w:rPr>
          <w:rFonts w:ascii="Calibri" w:hAnsi="Calibri" w:eastAsia="Calibri" w:cs="Calibri" w:asciiTheme="minorAscii" w:hAnsiTheme="minorAscii" w:eastAsiaTheme="minorAscii" w:cstheme="minorAscii"/>
          <w:b w:val="1"/>
          <w:bCs w:val="1"/>
          <w:noProof w:val="0"/>
          <w:sz w:val="32"/>
          <w:szCs w:val="32"/>
          <w:lang w:val="en-US"/>
        </w:rPr>
        <w:t>Plan C: Project Management Plan</w:t>
      </w:r>
      <w:r w:rsidRPr="1C8B0BE6" w:rsidR="6E7C112A">
        <w:rPr>
          <w:rFonts w:ascii="Calibri" w:hAnsi="Calibri" w:eastAsia="Calibri" w:cs="Calibri" w:asciiTheme="minorAscii" w:hAnsiTheme="minorAscii" w:eastAsiaTheme="minorAscii" w:cstheme="minorAscii"/>
          <w:b w:val="0"/>
          <w:bCs w:val="0"/>
          <w:noProof w:val="0"/>
          <w:sz w:val="32"/>
          <w:szCs w:val="32"/>
          <w:lang w:val="en-US"/>
        </w:rPr>
        <w:t xml:space="preserve"> </w:t>
      </w:r>
      <w:r w:rsidRPr="1C8B0BE6" w:rsidR="10058CD1">
        <w:rPr>
          <w:rFonts w:ascii="Calibri" w:hAnsi="Calibri" w:eastAsia="Calibri" w:cs="Calibri" w:asciiTheme="minorAscii" w:hAnsiTheme="minorAscii" w:eastAsiaTheme="minorAscii" w:cstheme="minorAscii"/>
          <w:b w:val="0"/>
          <w:bCs w:val="0"/>
          <w:noProof w:val="0"/>
          <w:sz w:val="32"/>
          <w:szCs w:val="32"/>
          <w:lang w:val="en-US"/>
        </w:rPr>
        <w:t>.</w:t>
      </w:r>
      <w:r w:rsidRPr="1C8B0BE6" w:rsidR="6E7C112A">
        <w:rPr>
          <w:rFonts w:ascii="Calibri" w:hAnsi="Calibri" w:eastAsia="Calibri" w:cs="Calibri" w:asciiTheme="minorAscii" w:hAnsiTheme="minorAscii" w:eastAsiaTheme="minorAscii" w:cstheme="minorAscii"/>
          <w:b w:val="0"/>
          <w:bCs w:val="0"/>
          <w:noProof w:val="0"/>
          <w:sz w:val="32"/>
          <w:szCs w:val="32"/>
          <w:lang w:val="en-US"/>
        </w:rPr>
        <w:t>..........................................</w:t>
      </w:r>
      <w:r w:rsidRPr="1C8B0BE6" w:rsidR="7C920E53">
        <w:rPr>
          <w:rFonts w:ascii="Calibri" w:hAnsi="Calibri" w:eastAsia="Calibri" w:cs="Calibri" w:asciiTheme="minorAscii" w:hAnsiTheme="minorAscii" w:eastAsiaTheme="minorAscii" w:cstheme="minorAscii"/>
          <w:b w:val="0"/>
          <w:bCs w:val="0"/>
          <w:noProof w:val="0"/>
          <w:sz w:val="32"/>
          <w:szCs w:val="32"/>
          <w:lang w:val="en-US"/>
        </w:rPr>
        <w:t>.</w:t>
      </w:r>
      <w:r w:rsidRPr="1C8B0BE6" w:rsidR="7D206B0A">
        <w:rPr>
          <w:rFonts w:ascii="Calibri" w:hAnsi="Calibri" w:eastAsia="Calibri" w:cs="Calibri" w:asciiTheme="minorAscii" w:hAnsiTheme="minorAscii" w:eastAsiaTheme="minorAscii" w:cstheme="minorAscii"/>
          <w:b w:val="0"/>
          <w:bCs w:val="0"/>
          <w:noProof w:val="0"/>
          <w:sz w:val="32"/>
          <w:szCs w:val="32"/>
          <w:lang w:val="en-US"/>
        </w:rPr>
        <w:t>........</w:t>
      </w:r>
      <w:r w:rsidRPr="1C8B0BE6" w:rsidR="2C1FBFE0">
        <w:rPr>
          <w:rFonts w:ascii="Calibri" w:hAnsi="Calibri" w:eastAsia="Calibri" w:cs="Calibri" w:asciiTheme="minorAscii" w:hAnsiTheme="minorAscii" w:eastAsiaTheme="minorAscii" w:cstheme="minorAscii"/>
          <w:b w:val="0"/>
          <w:bCs w:val="0"/>
          <w:noProof w:val="0"/>
          <w:sz w:val="32"/>
          <w:szCs w:val="32"/>
          <w:lang w:val="en-US"/>
        </w:rPr>
        <w:t xml:space="preserve"> </w:t>
      </w:r>
      <w:r w:rsidRPr="1C8B0BE6" w:rsidR="2C1FBFE0">
        <w:rPr>
          <w:rFonts w:ascii="Calibri" w:hAnsi="Calibri" w:eastAsia="Calibri" w:cs="Calibri" w:asciiTheme="minorAscii" w:hAnsiTheme="minorAscii" w:eastAsiaTheme="minorAscii" w:cstheme="minorAscii"/>
          <w:b w:val="0"/>
          <w:bCs w:val="0"/>
          <w:noProof w:val="0"/>
          <w:sz w:val="32"/>
          <w:szCs w:val="32"/>
          <w:lang w:val="en-US"/>
        </w:rPr>
        <w:t>6</w:t>
      </w:r>
    </w:p>
    <w:p xmlns:wp14="http://schemas.microsoft.com/office/word/2010/wordml" w:rsidP="1C8B0BE6" wp14:paraId="326B542F" wp14:textId="054DEF8D">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C8B0BE6" wp14:paraId="6670BD2B" wp14:textId="5BE7F2FC">
      <w:pPr>
        <w:pStyle w:val="Normal"/>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r w:rsidRPr="1C8B0BE6" w:rsidR="29A3BDC0">
        <w:rPr>
          <w:rFonts w:ascii="Calibri" w:hAnsi="Calibri" w:eastAsia="Calibri" w:cs="Calibri" w:asciiTheme="minorAscii" w:hAnsiTheme="minorAscii" w:eastAsiaTheme="minorAscii" w:cstheme="minorAscii"/>
          <w:b w:val="1"/>
          <w:bCs w:val="1"/>
          <w:noProof w:val="0"/>
          <w:sz w:val="32"/>
          <w:szCs w:val="32"/>
          <w:lang w:val="en-US"/>
        </w:rPr>
        <w:t xml:space="preserve">1. Introduction ............................................................................. </w:t>
      </w:r>
      <w:r w:rsidRPr="1C8B0BE6" w:rsidR="29A3BDC0">
        <w:rPr>
          <w:rFonts w:ascii="Calibri" w:hAnsi="Calibri" w:eastAsia="Calibri" w:cs="Calibri" w:asciiTheme="minorAscii" w:hAnsiTheme="minorAscii" w:eastAsiaTheme="minorAscii" w:cstheme="minorAscii"/>
          <w:b w:val="0"/>
          <w:bCs w:val="0"/>
          <w:noProof w:val="0"/>
          <w:sz w:val="32"/>
          <w:szCs w:val="32"/>
          <w:lang w:val="en-US"/>
        </w:rPr>
        <w:t>6</w:t>
      </w:r>
      <w:r w:rsidRPr="1C8B0BE6" w:rsidR="218F1D1F">
        <w:rPr>
          <w:rFonts w:ascii="Calibri" w:hAnsi="Calibri" w:eastAsia="Calibri" w:cs="Calibri" w:asciiTheme="minorAscii" w:hAnsiTheme="minorAscii" w:eastAsiaTheme="minorAscii" w:cstheme="minorAscii"/>
          <w:b w:val="0"/>
          <w:bCs w:val="0"/>
          <w:noProof w:val="0"/>
          <w:sz w:val="32"/>
          <w:szCs w:val="32"/>
          <w:lang w:val="en-US"/>
        </w:rPr>
        <w:t xml:space="preserve"> </w:t>
      </w:r>
    </w:p>
    <w:p xmlns:wp14="http://schemas.microsoft.com/office/word/2010/wordml" w:rsidP="1C8B0BE6" wp14:paraId="295E87E6" wp14:textId="7766C8EB">
      <w:pPr>
        <w:pStyle w:val="Normal"/>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US"/>
        </w:rPr>
      </w:pPr>
    </w:p>
    <w:p xmlns:wp14="http://schemas.microsoft.com/office/word/2010/wordml" w:rsidP="1C8B0BE6" wp14:paraId="77D5962B" wp14:textId="2EB998E0">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CF29D6B">
        <w:rPr>
          <w:rFonts w:ascii="Calibri" w:hAnsi="Calibri" w:eastAsia="Calibri" w:cs="Calibri" w:asciiTheme="minorAscii" w:hAnsiTheme="minorAscii" w:eastAsiaTheme="minorAscii" w:cstheme="minorAscii"/>
          <w:b w:val="1"/>
          <w:bCs w:val="1"/>
          <w:noProof w:val="0"/>
          <w:sz w:val="32"/>
          <w:szCs w:val="32"/>
          <w:lang w:val="en-GB"/>
        </w:rPr>
        <w:t xml:space="preserve">2. Project Description ................................................................... </w:t>
      </w:r>
      <w:r w:rsidRPr="1C8B0BE6" w:rsidR="6CF29D6B">
        <w:rPr>
          <w:rFonts w:ascii="Calibri" w:hAnsi="Calibri" w:eastAsia="Calibri" w:cs="Calibri" w:asciiTheme="minorAscii" w:hAnsiTheme="minorAscii" w:eastAsiaTheme="minorAscii" w:cstheme="minorAscii"/>
          <w:b w:val="0"/>
          <w:bCs w:val="0"/>
          <w:noProof w:val="0"/>
          <w:sz w:val="32"/>
          <w:szCs w:val="32"/>
          <w:lang w:val="en-GB"/>
        </w:rPr>
        <w:t>7</w:t>
      </w:r>
    </w:p>
    <w:p xmlns:wp14="http://schemas.microsoft.com/office/word/2010/wordml" w:rsidP="1C8B0BE6" wp14:paraId="1D3D93EF" wp14:textId="6085387F">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3D4715DA" wp14:textId="390EFCDD">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CF29D6B">
        <w:rPr>
          <w:rFonts w:ascii="Calibri" w:hAnsi="Calibri" w:eastAsia="Calibri" w:cs="Calibri" w:asciiTheme="minorAscii" w:hAnsiTheme="minorAscii" w:eastAsiaTheme="minorAscii" w:cstheme="minorAscii"/>
          <w:b w:val="1"/>
          <w:bCs w:val="1"/>
          <w:noProof w:val="0"/>
          <w:sz w:val="32"/>
          <w:szCs w:val="32"/>
          <w:lang w:val="en-GB"/>
        </w:rPr>
        <w:t xml:space="preserve">3. Scope ....................................................................................... </w:t>
      </w:r>
      <w:r w:rsidRPr="1C8B0BE6" w:rsidR="6CF29D6B">
        <w:rPr>
          <w:rFonts w:ascii="Calibri" w:hAnsi="Calibri" w:eastAsia="Calibri" w:cs="Calibri" w:asciiTheme="minorAscii" w:hAnsiTheme="minorAscii" w:eastAsiaTheme="minorAscii" w:cstheme="minorAscii"/>
          <w:b w:val="0"/>
          <w:bCs w:val="0"/>
          <w:noProof w:val="0"/>
          <w:sz w:val="32"/>
          <w:szCs w:val="32"/>
          <w:lang w:val="en-GB"/>
        </w:rPr>
        <w:t>9</w:t>
      </w:r>
    </w:p>
    <w:p xmlns:wp14="http://schemas.microsoft.com/office/word/2010/wordml" w:rsidP="1C8B0BE6" wp14:paraId="6C35CD55" wp14:textId="297E6C73">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28487702" wp14:textId="6BA0AB78">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r w:rsidRPr="1C8B0BE6" w:rsidR="6CF29D6B">
        <w:rPr>
          <w:rFonts w:ascii="Calibri" w:hAnsi="Calibri" w:eastAsia="Calibri" w:cs="Calibri" w:asciiTheme="minorAscii" w:hAnsiTheme="minorAscii" w:eastAsiaTheme="minorAscii" w:cstheme="minorAscii"/>
          <w:b w:val="1"/>
          <w:bCs w:val="1"/>
          <w:noProof w:val="0"/>
          <w:sz w:val="32"/>
          <w:szCs w:val="32"/>
          <w:lang w:val="en-GB"/>
        </w:rPr>
        <w:t>4. Work Breakdown Structure (WBS) .........................................</w:t>
      </w:r>
      <w:r w:rsidRPr="1C8B0BE6" w:rsidR="3F61A762">
        <w:rPr>
          <w:rFonts w:ascii="Calibri" w:hAnsi="Calibri" w:eastAsia="Calibri" w:cs="Calibri" w:asciiTheme="minorAscii" w:hAnsiTheme="minorAscii" w:eastAsiaTheme="minorAscii" w:cstheme="minorAscii"/>
          <w:b w:val="1"/>
          <w:bCs w:val="1"/>
          <w:noProof w:val="0"/>
          <w:sz w:val="32"/>
          <w:szCs w:val="32"/>
          <w:lang w:val="en-GB"/>
        </w:rPr>
        <w:t xml:space="preserve">. </w:t>
      </w:r>
      <w:r w:rsidRPr="1C8B0BE6" w:rsidR="3F61A762">
        <w:rPr>
          <w:rFonts w:ascii="Calibri" w:hAnsi="Calibri" w:eastAsia="Calibri" w:cs="Calibri" w:asciiTheme="minorAscii" w:hAnsiTheme="minorAscii" w:eastAsiaTheme="minorAscii" w:cstheme="minorAscii"/>
          <w:b w:val="0"/>
          <w:bCs w:val="0"/>
          <w:noProof w:val="0"/>
          <w:sz w:val="32"/>
          <w:szCs w:val="32"/>
          <w:lang w:val="en-GB"/>
        </w:rPr>
        <w:t>11</w:t>
      </w:r>
    </w:p>
    <w:p xmlns:wp14="http://schemas.microsoft.com/office/word/2010/wordml" w:rsidP="1C8B0BE6" wp14:paraId="0EA60C02" wp14:textId="4EAED98D">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4A56A1EB" wp14:textId="0C9EC4FC">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3F61A762">
        <w:rPr>
          <w:rFonts w:ascii="Calibri" w:hAnsi="Calibri" w:eastAsia="Calibri" w:cs="Calibri" w:asciiTheme="minorAscii" w:hAnsiTheme="minorAscii" w:eastAsiaTheme="minorAscii" w:cstheme="minorAscii"/>
          <w:b w:val="1"/>
          <w:bCs w:val="1"/>
          <w:noProof w:val="0"/>
          <w:sz w:val="32"/>
          <w:szCs w:val="32"/>
          <w:lang w:val="en-GB"/>
        </w:rPr>
        <w:t xml:space="preserve">5. Quad Chart ............................................................................. </w:t>
      </w:r>
      <w:r w:rsidRPr="1C8B0BE6" w:rsidR="6F99B863">
        <w:rPr>
          <w:rFonts w:ascii="Calibri" w:hAnsi="Calibri" w:eastAsia="Calibri" w:cs="Calibri" w:asciiTheme="minorAscii" w:hAnsiTheme="minorAscii" w:eastAsiaTheme="minorAscii" w:cstheme="minorAscii"/>
          <w:b w:val="0"/>
          <w:bCs w:val="0"/>
          <w:noProof w:val="0"/>
          <w:sz w:val="32"/>
          <w:szCs w:val="32"/>
          <w:lang w:val="en-GB"/>
        </w:rPr>
        <w:t>12</w:t>
      </w:r>
    </w:p>
    <w:p xmlns:wp14="http://schemas.microsoft.com/office/word/2010/wordml" w:rsidP="1C8B0BE6" wp14:paraId="71F82D8A" wp14:textId="232F2E00">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5918C749" wp14:textId="2E86027B">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F99B863">
        <w:rPr>
          <w:rFonts w:ascii="Calibri" w:hAnsi="Calibri" w:eastAsia="Calibri" w:cs="Calibri" w:asciiTheme="minorAscii" w:hAnsiTheme="minorAscii" w:eastAsiaTheme="minorAscii" w:cstheme="minorAscii"/>
          <w:b w:val="1"/>
          <w:bCs w:val="1"/>
          <w:noProof w:val="0"/>
          <w:sz w:val="32"/>
          <w:szCs w:val="32"/>
          <w:lang w:val="en-GB"/>
        </w:rPr>
        <w:t xml:space="preserve">6. Gantt Chart ............................................................................. </w:t>
      </w:r>
      <w:r w:rsidRPr="1C8B0BE6" w:rsidR="6F99B863">
        <w:rPr>
          <w:rFonts w:ascii="Calibri" w:hAnsi="Calibri" w:eastAsia="Calibri" w:cs="Calibri" w:asciiTheme="minorAscii" w:hAnsiTheme="minorAscii" w:eastAsiaTheme="minorAscii" w:cstheme="minorAscii"/>
          <w:b w:val="0"/>
          <w:bCs w:val="0"/>
          <w:noProof w:val="0"/>
          <w:sz w:val="32"/>
          <w:szCs w:val="32"/>
          <w:lang w:val="en-GB"/>
        </w:rPr>
        <w:t>13</w:t>
      </w:r>
    </w:p>
    <w:p xmlns:wp14="http://schemas.microsoft.com/office/word/2010/wordml" w:rsidP="1C8B0BE6" wp14:paraId="1CE50B7F" wp14:textId="68A3FD04">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6056C440" wp14:textId="1E97642F">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F99B863">
        <w:rPr>
          <w:rFonts w:ascii="Calibri" w:hAnsi="Calibri" w:eastAsia="Calibri" w:cs="Calibri" w:asciiTheme="minorAscii" w:hAnsiTheme="minorAscii" w:eastAsiaTheme="minorAscii" w:cstheme="minorAscii"/>
          <w:b w:val="1"/>
          <w:bCs w:val="1"/>
          <w:noProof w:val="0"/>
          <w:sz w:val="32"/>
          <w:szCs w:val="32"/>
          <w:lang w:val="en-GB"/>
        </w:rPr>
        <w:t xml:space="preserve">7. Stakeholders </w:t>
      </w:r>
      <w:r w:rsidRPr="1C8B0BE6" w:rsidR="1930D0C5">
        <w:rPr>
          <w:rFonts w:ascii="Calibri" w:hAnsi="Calibri" w:eastAsia="Calibri" w:cs="Calibri" w:asciiTheme="minorAscii" w:hAnsiTheme="minorAscii" w:eastAsiaTheme="minorAscii" w:cstheme="minorAscii"/>
          <w:b w:val="1"/>
          <w:bCs w:val="1"/>
          <w:noProof w:val="0"/>
          <w:sz w:val="32"/>
          <w:szCs w:val="32"/>
          <w:lang w:val="en-GB"/>
        </w:rPr>
        <w:t xml:space="preserve">Involvement ....................................................... </w:t>
      </w:r>
      <w:r w:rsidRPr="1C8B0BE6" w:rsidR="1930D0C5">
        <w:rPr>
          <w:rFonts w:ascii="Calibri" w:hAnsi="Calibri" w:eastAsia="Calibri" w:cs="Calibri" w:asciiTheme="minorAscii" w:hAnsiTheme="minorAscii" w:eastAsiaTheme="minorAscii" w:cstheme="minorAscii"/>
          <w:b w:val="0"/>
          <w:bCs w:val="0"/>
          <w:noProof w:val="0"/>
          <w:sz w:val="32"/>
          <w:szCs w:val="32"/>
          <w:lang w:val="en-GB"/>
        </w:rPr>
        <w:t>15</w:t>
      </w:r>
    </w:p>
    <w:p xmlns:wp14="http://schemas.microsoft.com/office/word/2010/wordml" w:rsidP="1C8B0BE6" wp14:paraId="02DBFB3A" wp14:textId="35B21C38">
      <w:pPr>
        <w:pStyle w:val="Normal"/>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57BA5B19" wp14:textId="6A2D7D0D">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1930D0C5">
        <w:rPr>
          <w:rFonts w:ascii="Calibri" w:hAnsi="Calibri" w:eastAsia="Calibri" w:cs="Calibri" w:asciiTheme="minorAscii" w:hAnsiTheme="minorAscii" w:eastAsiaTheme="minorAscii" w:cstheme="minorAscii"/>
          <w:b w:val="1"/>
          <w:bCs w:val="1"/>
          <w:noProof w:val="0"/>
          <w:sz w:val="32"/>
          <w:szCs w:val="32"/>
          <w:lang w:val="en-GB"/>
        </w:rPr>
        <w:t>8. Allocation of resources ............................................................</w:t>
      </w:r>
      <w:r w:rsidRPr="1C8B0BE6" w:rsidR="1930D0C5">
        <w:rPr>
          <w:rFonts w:ascii="Calibri" w:hAnsi="Calibri" w:eastAsia="Calibri" w:cs="Calibri" w:asciiTheme="minorAscii" w:hAnsiTheme="minorAscii" w:eastAsiaTheme="minorAscii" w:cstheme="minorAscii"/>
          <w:b w:val="0"/>
          <w:bCs w:val="0"/>
          <w:noProof w:val="0"/>
          <w:sz w:val="32"/>
          <w:szCs w:val="32"/>
          <w:lang w:val="en-GB"/>
        </w:rPr>
        <w:t>17</w:t>
      </w:r>
    </w:p>
    <w:p xmlns:wp14="http://schemas.microsoft.com/office/word/2010/wordml" w:rsidP="1C8B0BE6" wp14:paraId="7F6DABF4" wp14:textId="4602BD1D">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5DAAF2E4" wp14:textId="62F20CEC">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C250681">
        <w:rPr>
          <w:rFonts w:ascii="Calibri" w:hAnsi="Calibri" w:eastAsia="Calibri" w:cs="Calibri" w:asciiTheme="minorAscii" w:hAnsiTheme="minorAscii" w:eastAsiaTheme="minorAscii" w:cstheme="minorAscii"/>
          <w:b w:val="1"/>
          <w:bCs w:val="1"/>
          <w:noProof w:val="0"/>
          <w:sz w:val="32"/>
          <w:szCs w:val="32"/>
          <w:lang w:val="en-GB"/>
        </w:rPr>
        <w:t>9. Risk Analysis ...........................................................................</w:t>
      </w:r>
      <w:r w:rsidRPr="1C8B0BE6" w:rsidR="75B8EB36">
        <w:rPr>
          <w:rFonts w:ascii="Calibri" w:hAnsi="Calibri" w:eastAsia="Calibri" w:cs="Calibri" w:asciiTheme="minorAscii" w:hAnsiTheme="minorAscii" w:eastAsiaTheme="minorAscii" w:cstheme="minorAscii"/>
          <w:b w:val="1"/>
          <w:bCs w:val="1"/>
          <w:noProof w:val="0"/>
          <w:sz w:val="32"/>
          <w:szCs w:val="32"/>
          <w:lang w:val="en-GB"/>
        </w:rPr>
        <w:t xml:space="preserve"> </w:t>
      </w:r>
      <w:r w:rsidRPr="1C8B0BE6" w:rsidR="75B8EB36">
        <w:rPr>
          <w:rFonts w:ascii="Calibri" w:hAnsi="Calibri" w:eastAsia="Calibri" w:cs="Calibri" w:asciiTheme="minorAscii" w:hAnsiTheme="minorAscii" w:eastAsiaTheme="minorAscii" w:cstheme="minorAscii"/>
          <w:b w:val="0"/>
          <w:bCs w:val="0"/>
          <w:noProof w:val="0"/>
          <w:sz w:val="32"/>
          <w:szCs w:val="32"/>
          <w:lang w:val="en-GB"/>
        </w:rPr>
        <w:t>19</w:t>
      </w:r>
    </w:p>
    <w:p xmlns:wp14="http://schemas.microsoft.com/office/word/2010/wordml" w:rsidP="1C8B0BE6" wp14:paraId="4F8B5A6A" wp14:textId="2B3B67B3">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38BE11AF" wp14:textId="048FFB37">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D2E73A0">
        <w:rPr>
          <w:rFonts w:ascii="Calibri" w:hAnsi="Calibri" w:eastAsia="Calibri" w:cs="Calibri" w:asciiTheme="minorAscii" w:hAnsiTheme="minorAscii" w:eastAsiaTheme="minorAscii" w:cstheme="minorAscii"/>
          <w:b w:val="1"/>
          <w:bCs w:val="1"/>
          <w:noProof w:val="0"/>
          <w:sz w:val="32"/>
          <w:szCs w:val="32"/>
          <w:lang w:val="en-GB"/>
        </w:rPr>
        <w:t>10. Conclusion ............................................................................</w:t>
      </w:r>
      <w:r w:rsidRPr="1C8B0BE6" w:rsidR="4D2E73A0">
        <w:rPr>
          <w:rFonts w:ascii="Calibri" w:hAnsi="Calibri" w:eastAsia="Calibri" w:cs="Calibri" w:asciiTheme="minorAscii" w:hAnsiTheme="minorAscii" w:eastAsiaTheme="minorAscii" w:cstheme="minorAscii"/>
          <w:b w:val="0"/>
          <w:bCs w:val="0"/>
          <w:noProof w:val="0"/>
          <w:sz w:val="32"/>
          <w:szCs w:val="32"/>
          <w:lang w:val="en-GB"/>
        </w:rPr>
        <w:t>2</w:t>
      </w:r>
      <w:r w:rsidRPr="1C8B0BE6" w:rsidR="4E4E7B61">
        <w:rPr>
          <w:rFonts w:ascii="Calibri" w:hAnsi="Calibri" w:eastAsia="Calibri" w:cs="Calibri" w:asciiTheme="minorAscii" w:hAnsiTheme="minorAscii" w:eastAsiaTheme="minorAscii" w:cstheme="minorAscii"/>
          <w:b w:val="0"/>
          <w:bCs w:val="0"/>
          <w:noProof w:val="0"/>
          <w:sz w:val="32"/>
          <w:szCs w:val="32"/>
          <w:lang w:val="en-GB"/>
        </w:rPr>
        <w:t>1</w:t>
      </w:r>
    </w:p>
    <w:p xmlns:wp14="http://schemas.microsoft.com/office/word/2010/wordml" w:rsidP="1C8B0BE6" wp14:paraId="7F5CBC6F" wp14:textId="136B7CF3">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p>
    <w:p xmlns:wp14="http://schemas.microsoft.com/office/word/2010/wordml" w:rsidP="1C8B0BE6" wp14:paraId="0CF9C1CC" wp14:textId="23ED49EC">
      <w:pPr>
        <w:spacing w:before="0" w:after="0" w:line="240" w:lineRule="auto"/>
        <w:jc w:val="both"/>
        <w:rPr>
          <w:rFonts w:ascii="Calibri" w:hAnsi="Calibri" w:eastAsia="Calibri" w:cs="Calibri" w:asciiTheme="minorAscii" w:hAnsiTheme="minorAscii" w:eastAsiaTheme="minorAscii" w:cstheme="minorAscii"/>
          <w:b w:val="0"/>
          <w:bCs w:val="0"/>
          <w:noProof w:val="0"/>
          <w:sz w:val="32"/>
          <w:szCs w:val="32"/>
          <w:lang w:val="en-GB"/>
        </w:rPr>
      </w:pPr>
      <w:r w:rsidRPr="1C8B0BE6" w:rsidR="2C65958C">
        <w:rPr>
          <w:rFonts w:ascii="Calibri" w:hAnsi="Calibri" w:eastAsia="Calibri" w:cs="Calibri" w:asciiTheme="minorAscii" w:hAnsiTheme="minorAscii" w:eastAsiaTheme="minorAscii" w:cstheme="minorAscii"/>
          <w:b w:val="1"/>
          <w:bCs w:val="1"/>
          <w:noProof w:val="0"/>
          <w:sz w:val="32"/>
          <w:szCs w:val="32"/>
          <w:lang w:val="en-GB"/>
        </w:rPr>
        <w:t>11. References ............................................................................</w:t>
      </w:r>
      <w:r w:rsidRPr="1C8B0BE6" w:rsidR="2C65958C">
        <w:rPr>
          <w:rFonts w:ascii="Calibri" w:hAnsi="Calibri" w:eastAsia="Calibri" w:cs="Calibri" w:asciiTheme="minorAscii" w:hAnsiTheme="minorAscii" w:eastAsiaTheme="minorAscii" w:cstheme="minorAscii"/>
          <w:b w:val="0"/>
          <w:bCs w:val="0"/>
          <w:noProof w:val="0"/>
          <w:sz w:val="32"/>
          <w:szCs w:val="32"/>
          <w:lang w:val="en-GB"/>
        </w:rPr>
        <w:t>2</w:t>
      </w:r>
      <w:r w:rsidRPr="1C8B0BE6" w:rsidR="3473C4A8">
        <w:rPr>
          <w:rFonts w:ascii="Calibri" w:hAnsi="Calibri" w:eastAsia="Calibri" w:cs="Calibri" w:asciiTheme="minorAscii" w:hAnsiTheme="minorAscii" w:eastAsiaTheme="minorAscii" w:cstheme="minorAscii"/>
          <w:b w:val="0"/>
          <w:bCs w:val="0"/>
          <w:noProof w:val="0"/>
          <w:sz w:val="32"/>
          <w:szCs w:val="32"/>
          <w:lang w:val="en-GB"/>
        </w:rPr>
        <w:t>2</w:t>
      </w:r>
    </w:p>
    <w:p xmlns:wp14="http://schemas.microsoft.com/office/word/2010/wordml" w:rsidP="1C8B0BE6" wp14:paraId="3D96CF22" wp14:textId="69373C83">
      <w:pPr>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51B68B7B" wp14:textId="67E8DF6F">
      <w:pPr>
        <w:spacing w:before="0" w:after="0" w:line="240" w:lineRule="auto"/>
        <w:jc w:val="center"/>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1E0E58D8" wp14:textId="559F1812">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7115541E" wp14:textId="2F75A13F">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1199B99C" wp14:textId="076780B5">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10CF64B" wp14:textId="26314FEC">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C8B0BE6" w:rsidR="4364C5F2">
        <w:rPr>
          <w:rFonts w:ascii="Calibri" w:hAnsi="Calibri" w:eastAsia="Calibri" w:cs="Calibri" w:asciiTheme="minorAscii" w:hAnsiTheme="minorAscii" w:eastAsiaTheme="minorAscii" w:cstheme="minorAscii"/>
          <w:b w:val="1"/>
          <w:bCs w:val="1"/>
          <w:noProof w:val="0"/>
          <w:sz w:val="40"/>
          <w:szCs w:val="40"/>
          <w:lang w:val="en-GB"/>
        </w:rPr>
        <w:t xml:space="preserve">Plan B: Reflection </w:t>
      </w:r>
    </w:p>
    <w:p xmlns:wp14="http://schemas.microsoft.com/office/word/2010/wordml" w:rsidP="1C8B0BE6" wp14:paraId="122AD398" wp14:textId="20646B2D">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C8B0BE6" w:rsidR="4364C5F2">
        <w:rPr>
          <w:rFonts w:ascii="Calibri" w:hAnsi="Calibri" w:eastAsia="Calibri" w:cs="Calibri" w:asciiTheme="minorAscii" w:hAnsiTheme="minorAscii" w:eastAsiaTheme="minorAscii" w:cstheme="minorAscii"/>
          <w:b w:val="1"/>
          <w:bCs w:val="1"/>
          <w:noProof w:val="0"/>
          <w:sz w:val="40"/>
          <w:szCs w:val="40"/>
          <w:lang w:val="en-GB"/>
        </w:rPr>
        <w:t xml:space="preserve">Gibbs Reflection style </w:t>
      </w:r>
    </w:p>
    <w:p xmlns:wp14="http://schemas.microsoft.com/office/word/2010/wordml" w:rsidP="1C8B0BE6" wp14:paraId="61F70075" wp14:textId="32FA809F">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7573152" wp14:textId="4E10BD1F">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72CA15E4" wp14:textId="19AF6E1D">
      <w:pPr>
        <w:pStyle w:val="Normal"/>
        <w:spacing w:before="0" w:after="0" w:line="240" w:lineRule="auto"/>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779F03CB">
        <w:rPr>
          <w:rFonts w:ascii="Calibri" w:hAnsi="Calibri" w:eastAsia="Calibri" w:cs="Calibri" w:asciiTheme="minorAscii" w:hAnsiTheme="minorAscii" w:eastAsiaTheme="minorAscii" w:cstheme="minorAscii"/>
          <w:b w:val="1"/>
          <w:bCs w:val="1"/>
          <w:noProof w:val="0"/>
          <w:sz w:val="32"/>
          <w:szCs w:val="32"/>
          <w:lang w:val="en-GB"/>
        </w:rPr>
        <w:t xml:space="preserve">Description </w:t>
      </w:r>
    </w:p>
    <w:p xmlns:wp14="http://schemas.microsoft.com/office/word/2010/wordml" w:rsidP="1C8B0BE6" wp14:paraId="0F645DA5" wp14:textId="67F80EB1">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779F03CB">
        <w:rPr>
          <w:rFonts w:ascii="Calibri" w:hAnsi="Calibri" w:eastAsia="Calibri" w:cs="Calibri" w:asciiTheme="minorAscii" w:hAnsiTheme="minorAscii" w:eastAsiaTheme="minorAscii" w:cstheme="minorAscii"/>
          <w:noProof w:val="0"/>
          <w:sz w:val="32"/>
          <w:szCs w:val="32"/>
          <w:lang w:val="en-GB"/>
        </w:rPr>
        <w:t>I talked about how project management principles can be used to deal with the severe flooding in the West Midlands and help rebuild the damaged infrastructure in the area. My poster showed how emergency response can lead to a more organised recovery plan. I used project management tools like the quad chart, stakeholder analysis, Gantt chart, work breakdown structure, RACI matrix, project triangle, and risk assessment. The main point of my presentation was to show that flood recovery needs to be planned carefully, with clear steps, tasks, deadlines, and ways to deal with risks.</w:t>
      </w:r>
    </w:p>
    <w:p xmlns:wp14="http://schemas.microsoft.com/office/word/2010/wordml" w:rsidP="1C8B0BE6" wp14:paraId="723FB0A1" wp14:textId="501739BD">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F40DFB1" wp14:textId="71457556">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779F03CB">
        <w:rPr>
          <w:rFonts w:ascii="Calibri" w:hAnsi="Calibri" w:eastAsia="Calibri" w:cs="Calibri" w:asciiTheme="minorAscii" w:hAnsiTheme="minorAscii" w:eastAsiaTheme="minorAscii" w:cstheme="minorAscii"/>
          <w:b w:val="1"/>
          <w:bCs w:val="1"/>
          <w:noProof w:val="0"/>
          <w:sz w:val="32"/>
          <w:szCs w:val="32"/>
          <w:lang w:val="en-GB"/>
        </w:rPr>
        <w:t>Feelings</w:t>
      </w:r>
    </w:p>
    <w:p xmlns:wp14="http://schemas.microsoft.com/office/word/2010/wordml" w:rsidP="1C8B0BE6" wp14:paraId="42F07528" wp14:textId="3FC5349C">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779F03CB">
        <w:rPr>
          <w:rFonts w:ascii="Calibri" w:hAnsi="Calibri" w:eastAsia="Calibri" w:cs="Calibri" w:asciiTheme="minorAscii" w:hAnsiTheme="minorAscii" w:eastAsiaTheme="minorAscii" w:cstheme="minorAscii"/>
          <w:noProof w:val="0"/>
          <w:sz w:val="32"/>
          <w:szCs w:val="32"/>
          <w:lang w:val="en-GB"/>
        </w:rPr>
        <w:t xml:space="preserve">I was a little nervous before the presentation because I wanted to make sure that everyone understood what I was saying. </w:t>
      </w:r>
      <w:bookmarkStart w:name="_Int_h1zR3vol" w:id="53753232"/>
      <w:r w:rsidRPr="1C8B0BE6" w:rsidR="779F03CB">
        <w:rPr>
          <w:rFonts w:ascii="Calibri" w:hAnsi="Calibri" w:eastAsia="Calibri" w:cs="Calibri" w:asciiTheme="minorAscii" w:hAnsiTheme="minorAscii" w:eastAsiaTheme="minorAscii" w:cstheme="minorAscii"/>
          <w:noProof w:val="0"/>
          <w:sz w:val="32"/>
          <w:szCs w:val="32"/>
          <w:lang w:val="en-GB"/>
        </w:rPr>
        <w:t>I also felt some</w:t>
      </w:r>
      <w:bookmarkEnd w:id="53753232"/>
      <w:r w:rsidRPr="1C8B0BE6" w:rsidR="779F03CB">
        <w:rPr>
          <w:rFonts w:ascii="Calibri" w:hAnsi="Calibri" w:eastAsia="Calibri" w:cs="Calibri" w:asciiTheme="minorAscii" w:hAnsiTheme="minorAscii" w:eastAsiaTheme="minorAscii" w:cstheme="minorAscii"/>
          <w:noProof w:val="0"/>
          <w:sz w:val="32"/>
          <w:szCs w:val="32"/>
          <w:lang w:val="en-GB"/>
        </w:rPr>
        <w:t xml:space="preserve"> pressure because the subject was serious and there was a lot of information to cover. I was also </w:t>
      </w:r>
      <w:r w:rsidRPr="1C8B0BE6" w:rsidR="418FCEBA">
        <w:rPr>
          <w:rFonts w:ascii="Calibri" w:hAnsi="Calibri" w:eastAsia="Calibri" w:cs="Calibri" w:asciiTheme="minorAscii" w:hAnsiTheme="minorAscii" w:eastAsiaTheme="minorAscii" w:cstheme="minorAscii"/>
          <w:noProof w:val="0"/>
          <w:sz w:val="32"/>
          <w:szCs w:val="32"/>
          <w:lang w:val="en-GB"/>
        </w:rPr>
        <w:t>quite sure</w:t>
      </w:r>
      <w:r w:rsidRPr="1C8B0BE6" w:rsidR="779F03CB">
        <w:rPr>
          <w:rFonts w:ascii="Calibri" w:hAnsi="Calibri" w:eastAsia="Calibri" w:cs="Calibri" w:asciiTheme="minorAscii" w:hAnsiTheme="minorAscii" w:eastAsiaTheme="minorAscii" w:cstheme="minorAscii"/>
          <w:noProof w:val="0"/>
          <w:sz w:val="32"/>
          <w:szCs w:val="32"/>
          <w:lang w:val="en-GB"/>
        </w:rPr>
        <w:t xml:space="preserve"> of myself because I had done </w:t>
      </w:r>
      <w:r w:rsidRPr="1C8B0BE6" w:rsidR="1A16FE9C">
        <w:rPr>
          <w:rFonts w:ascii="Calibri" w:hAnsi="Calibri" w:eastAsia="Calibri" w:cs="Calibri" w:asciiTheme="minorAscii" w:hAnsiTheme="minorAscii" w:eastAsiaTheme="minorAscii" w:cstheme="minorAscii"/>
          <w:noProof w:val="0"/>
          <w:sz w:val="32"/>
          <w:szCs w:val="32"/>
          <w:lang w:val="en-GB"/>
        </w:rPr>
        <w:t>a decent job</w:t>
      </w:r>
      <w:r w:rsidRPr="1C8B0BE6" w:rsidR="779F03CB">
        <w:rPr>
          <w:rFonts w:ascii="Calibri" w:hAnsi="Calibri" w:eastAsia="Calibri" w:cs="Calibri" w:asciiTheme="minorAscii" w:hAnsiTheme="minorAscii" w:eastAsiaTheme="minorAscii" w:cstheme="minorAscii"/>
          <w:noProof w:val="0"/>
          <w:sz w:val="32"/>
          <w:szCs w:val="32"/>
          <w:lang w:val="en-GB"/>
        </w:rPr>
        <w:t xml:space="preserve"> of making the poster and knew what each part meant. I felt better after I started talking, but I still knew I needed to stay calm and not rush through my explanation.</w:t>
      </w:r>
    </w:p>
    <w:p xmlns:wp14="http://schemas.microsoft.com/office/word/2010/wordml" w:rsidP="1C8B0BE6" wp14:paraId="40CD2CA1" wp14:textId="289A0B5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55DB8733" wp14:textId="5F2CC5C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634D6061" wp14:textId="5C5C7906">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0D4CB6C0" wp14:textId="3AE80A91">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30F49A19">
        <w:rPr>
          <w:rFonts w:ascii="Calibri" w:hAnsi="Calibri" w:eastAsia="Calibri" w:cs="Calibri" w:asciiTheme="minorAscii" w:hAnsiTheme="minorAscii" w:eastAsiaTheme="minorAscii" w:cstheme="minorAscii"/>
          <w:b w:val="1"/>
          <w:bCs w:val="1"/>
          <w:noProof w:val="0"/>
          <w:sz w:val="32"/>
          <w:szCs w:val="32"/>
          <w:lang w:val="en-GB"/>
        </w:rPr>
        <w:t>Evaluation</w:t>
      </w:r>
    </w:p>
    <w:p xmlns:wp14="http://schemas.microsoft.com/office/word/2010/wordml" w:rsidP="1C8B0BE6" wp14:paraId="0D49D207" wp14:textId="62F0BFE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30F49A19">
        <w:rPr>
          <w:rFonts w:ascii="Calibri" w:hAnsi="Calibri" w:eastAsia="Calibri" w:cs="Calibri" w:asciiTheme="minorAscii" w:hAnsiTheme="minorAscii" w:eastAsiaTheme="minorAscii" w:cstheme="minorAscii"/>
          <w:noProof w:val="0"/>
          <w:sz w:val="32"/>
          <w:szCs w:val="32"/>
          <w:lang w:val="en-GB"/>
        </w:rPr>
        <w:t xml:space="preserve">The structure of my presentation was one thing that went well. The poster made sense because it started with the background of the flooding and then went through planning, stakeholders, scheduling, responsibilities, and risks. This made it easier for me to break down the topic into steps. </w:t>
      </w:r>
      <w:r w:rsidRPr="1C8B0BE6" w:rsidR="1D433AC9">
        <w:rPr>
          <w:rFonts w:ascii="Calibri" w:hAnsi="Calibri" w:eastAsia="Calibri" w:cs="Calibri" w:asciiTheme="minorAscii" w:hAnsiTheme="minorAscii" w:eastAsiaTheme="minorAscii" w:cstheme="minorAscii"/>
          <w:noProof w:val="0"/>
          <w:sz w:val="32"/>
          <w:szCs w:val="32"/>
          <w:lang w:val="en-GB"/>
        </w:rPr>
        <w:t>The project management tools</w:t>
      </w:r>
      <w:r w:rsidRPr="1C8B0BE6" w:rsidR="30F49A19">
        <w:rPr>
          <w:rFonts w:ascii="Calibri" w:hAnsi="Calibri" w:eastAsia="Calibri" w:cs="Calibri" w:asciiTheme="minorAscii" w:hAnsiTheme="minorAscii" w:eastAsiaTheme="minorAscii" w:cstheme="minorAscii"/>
          <w:noProof w:val="0"/>
          <w:sz w:val="32"/>
          <w:szCs w:val="32"/>
          <w:lang w:val="en-GB"/>
        </w:rPr>
        <w:t xml:space="preserve"> made my presentation better because they showed how to deal with a real </w:t>
      </w:r>
      <w:r w:rsidRPr="1C8B0BE6" w:rsidR="16F24BBD">
        <w:rPr>
          <w:rFonts w:ascii="Calibri" w:hAnsi="Calibri" w:eastAsia="Calibri" w:cs="Calibri" w:asciiTheme="minorAscii" w:hAnsiTheme="minorAscii" w:eastAsiaTheme="minorAscii" w:cstheme="minorAscii"/>
          <w:noProof w:val="0"/>
          <w:sz w:val="32"/>
          <w:szCs w:val="32"/>
          <w:lang w:val="en-GB"/>
        </w:rPr>
        <w:t xml:space="preserve">live </w:t>
      </w:r>
      <w:r w:rsidRPr="1C8B0BE6" w:rsidR="546D2D42">
        <w:rPr>
          <w:rFonts w:ascii="Calibri" w:hAnsi="Calibri" w:eastAsia="Calibri" w:cs="Calibri" w:asciiTheme="minorAscii" w:hAnsiTheme="minorAscii" w:eastAsiaTheme="minorAscii" w:cstheme="minorAscii"/>
          <w:noProof w:val="0"/>
          <w:sz w:val="32"/>
          <w:szCs w:val="32"/>
          <w:lang w:val="en-GB"/>
        </w:rPr>
        <w:t>problem,</w:t>
      </w:r>
      <w:r w:rsidRPr="1C8B0BE6" w:rsidR="30F49A19">
        <w:rPr>
          <w:rFonts w:ascii="Calibri" w:hAnsi="Calibri" w:eastAsia="Calibri" w:cs="Calibri" w:asciiTheme="minorAscii" w:hAnsiTheme="minorAscii" w:eastAsiaTheme="minorAscii" w:cstheme="minorAscii"/>
          <w:noProof w:val="0"/>
          <w:sz w:val="32"/>
          <w:szCs w:val="32"/>
          <w:lang w:val="en-GB"/>
        </w:rPr>
        <w:t xml:space="preserve"> one issue was that I occasionally relied too much on the poster when I was </w:t>
      </w:r>
      <w:r w:rsidRPr="1C8B0BE6" w:rsidR="25913122">
        <w:rPr>
          <w:rFonts w:ascii="Calibri" w:hAnsi="Calibri" w:eastAsia="Calibri" w:cs="Calibri" w:asciiTheme="minorAscii" w:hAnsiTheme="minorAscii" w:eastAsiaTheme="minorAscii" w:cstheme="minorAscii"/>
          <w:noProof w:val="0"/>
          <w:sz w:val="32"/>
          <w:szCs w:val="32"/>
          <w:lang w:val="en-GB"/>
        </w:rPr>
        <w:t>speaking. This</w:t>
      </w:r>
      <w:r w:rsidRPr="1C8B0BE6" w:rsidR="30F49A19">
        <w:rPr>
          <w:rFonts w:ascii="Calibri" w:hAnsi="Calibri" w:eastAsia="Calibri" w:cs="Calibri" w:asciiTheme="minorAscii" w:hAnsiTheme="minorAscii" w:eastAsiaTheme="minorAscii" w:cstheme="minorAscii"/>
          <w:noProof w:val="0"/>
          <w:sz w:val="32"/>
          <w:szCs w:val="32"/>
          <w:lang w:val="en-GB"/>
        </w:rPr>
        <w:t xml:space="preserve"> might have made my delivery sound less natural. I also think I could have made more eye contact and spoken more confidently to keep the audience's attention.</w:t>
      </w:r>
    </w:p>
    <w:p xmlns:wp14="http://schemas.microsoft.com/office/word/2010/wordml" w:rsidP="1C8B0BE6" wp14:paraId="18D5D0C6" wp14:textId="5A424C07">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5C802B5E" wp14:textId="40B63B16">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5149C7A4">
        <w:rPr>
          <w:rFonts w:ascii="Calibri" w:hAnsi="Calibri" w:eastAsia="Calibri" w:cs="Calibri" w:asciiTheme="minorAscii" w:hAnsiTheme="minorAscii" w:eastAsiaTheme="minorAscii" w:cstheme="minorAscii"/>
          <w:b w:val="1"/>
          <w:bCs w:val="1"/>
          <w:noProof w:val="0"/>
          <w:sz w:val="32"/>
          <w:szCs w:val="32"/>
          <w:lang w:val="en-GB"/>
        </w:rPr>
        <w:t>Analysis</w:t>
      </w:r>
    </w:p>
    <w:p xmlns:wp14="http://schemas.microsoft.com/office/word/2010/wordml" w:rsidP="1C8B0BE6" wp14:paraId="3BEAECB1" wp14:textId="796F4A3E">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5149C7A4">
        <w:rPr>
          <w:rFonts w:ascii="Calibri" w:hAnsi="Calibri" w:eastAsia="Calibri" w:cs="Calibri" w:asciiTheme="minorAscii" w:hAnsiTheme="minorAscii" w:eastAsiaTheme="minorAscii" w:cstheme="minorAscii"/>
          <w:noProof w:val="0"/>
          <w:sz w:val="32"/>
          <w:szCs w:val="32"/>
          <w:lang w:val="en-GB"/>
        </w:rPr>
        <w:t xml:space="preserve">This presentation helped me see that project management </w:t>
      </w:r>
      <w:r w:rsidRPr="1C8B0BE6" w:rsidR="34527C0C">
        <w:rPr>
          <w:rFonts w:ascii="Calibri" w:hAnsi="Calibri" w:eastAsia="Calibri" w:cs="Calibri" w:asciiTheme="minorAscii" w:hAnsiTheme="minorAscii" w:eastAsiaTheme="minorAscii" w:cstheme="minorAscii"/>
          <w:noProof w:val="0"/>
          <w:sz w:val="32"/>
          <w:szCs w:val="32"/>
          <w:lang w:val="en-GB"/>
        </w:rPr>
        <w:t>is not</w:t>
      </w:r>
      <w:r w:rsidRPr="1C8B0BE6" w:rsidR="5149C7A4">
        <w:rPr>
          <w:rFonts w:ascii="Calibri" w:hAnsi="Calibri" w:eastAsia="Calibri" w:cs="Calibri" w:asciiTheme="minorAscii" w:hAnsiTheme="minorAscii" w:eastAsiaTheme="minorAscii" w:cstheme="minorAscii"/>
          <w:noProof w:val="0"/>
          <w:sz w:val="32"/>
          <w:szCs w:val="32"/>
          <w:lang w:val="en-GB"/>
        </w:rPr>
        <w:t xml:space="preserve"> just a theory; it can be used in real life, like when recovering from Through this experience, I realized the importance of planning, engaging with others, creating a schedule, and managing risks when facing a significant challenge. Overall, these lessons have highlighted areas for personal growth and the value of collaboration. </w:t>
      </w:r>
      <w:r w:rsidRPr="1C8B0BE6" w:rsidR="2FE3F90E">
        <w:rPr>
          <w:rFonts w:ascii="Calibri" w:hAnsi="Calibri" w:eastAsia="Calibri" w:cs="Calibri" w:asciiTheme="minorAscii" w:hAnsiTheme="minorAscii" w:eastAsiaTheme="minorAscii" w:cstheme="minorAscii"/>
          <w:noProof w:val="0"/>
          <w:sz w:val="32"/>
          <w:szCs w:val="32"/>
          <w:lang w:val="en-GB"/>
        </w:rPr>
        <w:t>It is</w:t>
      </w:r>
      <w:r w:rsidRPr="1C8B0BE6" w:rsidR="5149C7A4">
        <w:rPr>
          <w:rFonts w:ascii="Calibri" w:hAnsi="Calibri" w:eastAsia="Calibri" w:cs="Calibri" w:asciiTheme="minorAscii" w:hAnsiTheme="minorAscii" w:eastAsiaTheme="minorAscii" w:cstheme="minorAscii"/>
          <w:noProof w:val="0"/>
          <w:sz w:val="32"/>
          <w:szCs w:val="32"/>
          <w:lang w:val="en-GB"/>
        </w:rPr>
        <w:t xml:space="preserve"> important to have </w:t>
      </w:r>
      <w:r w:rsidRPr="1C8B0BE6" w:rsidR="75D18012">
        <w:rPr>
          <w:rFonts w:ascii="Calibri" w:hAnsi="Calibri" w:eastAsia="Calibri" w:cs="Calibri" w:asciiTheme="minorAscii" w:hAnsiTheme="minorAscii" w:eastAsiaTheme="minorAscii" w:cstheme="minorAscii"/>
          <w:noProof w:val="0"/>
          <w:sz w:val="32"/>
          <w:szCs w:val="32"/>
          <w:lang w:val="en-GB"/>
        </w:rPr>
        <w:t>useful content</w:t>
      </w:r>
      <w:r w:rsidRPr="1C8B0BE6" w:rsidR="5149C7A4">
        <w:rPr>
          <w:rFonts w:ascii="Calibri" w:hAnsi="Calibri" w:eastAsia="Calibri" w:cs="Calibri" w:asciiTheme="minorAscii" w:hAnsiTheme="minorAscii" w:eastAsiaTheme="minorAscii" w:cstheme="minorAscii"/>
          <w:noProof w:val="0"/>
          <w:sz w:val="32"/>
          <w:szCs w:val="32"/>
          <w:lang w:val="en-GB"/>
        </w:rPr>
        <w:t xml:space="preserve">, but </w:t>
      </w:r>
      <w:r w:rsidRPr="1C8B0BE6" w:rsidR="079436E8">
        <w:rPr>
          <w:rFonts w:ascii="Calibri" w:hAnsi="Calibri" w:eastAsia="Calibri" w:cs="Calibri" w:asciiTheme="minorAscii" w:hAnsiTheme="minorAscii" w:eastAsiaTheme="minorAscii" w:cstheme="minorAscii"/>
          <w:noProof w:val="0"/>
          <w:sz w:val="32"/>
          <w:szCs w:val="32"/>
          <w:lang w:val="en-GB"/>
        </w:rPr>
        <w:t>it is</w:t>
      </w:r>
      <w:r w:rsidRPr="1C8B0BE6" w:rsidR="5149C7A4">
        <w:rPr>
          <w:rFonts w:ascii="Calibri" w:hAnsi="Calibri" w:eastAsia="Calibri" w:cs="Calibri" w:asciiTheme="minorAscii" w:hAnsiTheme="minorAscii" w:eastAsiaTheme="minorAscii" w:cstheme="minorAscii"/>
          <w:noProof w:val="0"/>
          <w:sz w:val="32"/>
          <w:szCs w:val="32"/>
          <w:lang w:val="en-GB"/>
        </w:rPr>
        <w:t xml:space="preserve"> just as important to sound confident and natural to get the audience interested. interest. Finding the right balance can make </w:t>
      </w:r>
      <w:r w:rsidRPr="1C8B0BE6" w:rsidR="2CD0343B">
        <w:rPr>
          <w:rFonts w:ascii="Calibri" w:hAnsi="Calibri" w:eastAsia="Calibri" w:cs="Calibri" w:asciiTheme="minorAscii" w:hAnsiTheme="minorAscii" w:eastAsiaTheme="minorAscii" w:cstheme="minorAscii"/>
          <w:noProof w:val="0"/>
          <w:sz w:val="32"/>
          <w:szCs w:val="32"/>
          <w:lang w:val="en-GB"/>
        </w:rPr>
        <w:t>a significant difference</w:t>
      </w:r>
      <w:r w:rsidRPr="1C8B0BE6" w:rsidR="5149C7A4">
        <w:rPr>
          <w:rFonts w:ascii="Calibri" w:hAnsi="Calibri" w:eastAsia="Calibri" w:cs="Calibri" w:asciiTheme="minorAscii" w:hAnsiTheme="minorAscii" w:eastAsiaTheme="minorAscii" w:cstheme="minorAscii"/>
          <w:noProof w:val="0"/>
          <w:sz w:val="32"/>
          <w:szCs w:val="32"/>
          <w:lang w:val="en-GB"/>
        </w:rPr>
        <w:t xml:space="preserve"> in how people hear your </w:t>
      </w:r>
      <w:r w:rsidRPr="1C8B0BE6" w:rsidR="115A1CA3">
        <w:rPr>
          <w:rFonts w:ascii="Calibri" w:hAnsi="Calibri" w:eastAsia="Calibri" w:cs="Calibri" w:asciiTheme="minorAscii" w:hAnsiTheme="minorAscii" w:eastAsiaTheme="minorAscii" w:cstheme="minorAscii"/>
          <w:noProof w:val="0"/>
          <w:sz w:val="32"/>
          <w:szCs w:val="32"/>
          <w:lang w:val="en-GB"/>
        </w:rPr>
        <w:t>message.</w:t>
      </w:r>
    </w:p>
    <w:p xmlns:wp14="http://schemas.microsoft.com/office/word/2010/wordml" w:rsidP="1C8B0BE6" wp14:paraId="42BAECE2" wp14:textId="4DB83DD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0FFD2A6A" wp14:textId="4570DACC">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45CFCAD9" wp14:textId="38C95C6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22F68007" wp14:textId="1E6A05D7">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115A1CA3">
        <w:rPr>
          <w:rFonts w:ascii="Calibri" w:hAnsi="Calibri" w:eastAsia="Calibri" w:cs="Calibri" w:asciiTheme="minorAscii" w:hAnsiTheme="minorAscii" w:eastAsiaTheme="minorAscii" w:cstheme="minorAscii"/>
          <w:b w:val="1"/>
          <w:bCs w:val="1"/>
          <w:noProof w:val="0"/>
          <w:sz w:val="32"/>
          <w:szCs w:val="32"/>
          <w:lang w:val="en-GB"/>
        </w:rPr>
        <w:t xml:space="preserve">Conclusion </w:t>
      </w:r>
    </w:p>
    <w:p xmlns:wp14="http://schemas.microsoft.com/office/word/2010/wordml" w:rsidP="1C8B0BE6" wp14:paraId="18830A11" wp14:textId="19A97CC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115A1CA3">
        <w:rPr>
          <w:rFonts w:ascii="Calibri" w:hAnsi="Calibri" w:eastAsia="Calibri" w:cs="Calibri" w:asciiTheme="minorAscii" w:hAnsiTheme="minorAscii" w:eastAsiaTheme="minorAscii" w:cstheme="minorAscii"/>
          <w:noProof w:val="0"/>
          <w:sz w:val="32"/>
          <w:szCs w:val="32"/>
          <w:lang w:val="en-GB"/>
        </w:rPr>
        <w:t xml:space="preserve">Overall, the presentation was good because it made it clear how project management can help people get back on their feet after a flood. It showed that rebuilding works better when there are clear goals, realistic timelines, clear roles, and good risk management. I was happy with the content, but I realised that I need to work on how I speak so that I </w:t>
      </w:r>
      <w:r w:rsidRPr="1C8B0BE6" w:rsidR="46F2309D">
        <w:rPr>
          <w:rFonts w:ascii="Calibri" w:hAnsi="Calibri" w:eastAsia="Calibri" w:cs="Calibri" w:asciiTheme="minorAscii" w:hAnsiTheme="minorAscii" w:eastAsiaTheme="minorAscii" w:cstheme="minorAscii"/>
          <w:noProof w:val="0"/>
          <w:sz w:val="32"/>
          <w:szCs w:val="32"/>
          <w:lang w:val="en-GB"/>
        </w:rPr>
        <w:t>do not</w:t>
      </w:r>
      <w:r w:rsidRPr="1C8B0BE6" w:rsidR="115A1CA3">
        <w:rPr>
          <w:rFonts w:ascii="Calibri" w:hAnsi="Calibri" w:eastAsia="Calibri" w:cs="Calibri" w:asciiTheme="minorAscii" w:hAnsiTheme="minorAscii" w:eastAsiaTheme="minorAscii" w:cstheme="minorAscii"/>
          <w:noProof w:val="0"/>
          <w:sz w:val="32"/>
          <w:szCs w:val="32"/>
          <w:lang w:val="en-GB"/>
        </w:rPr>
        <w:t xml:space="preserve"> rely on the poster as much and can talk more easily and confidently.</w:t>
      </w:r>
    </w:p>
    <w:p xmlns:wp14="http://schemas.microsoft.com/office/word/2010/wordml" w:rsidP="1C8B0BE6" wp14:paraId="1F1FAD8A" wp14:textId="3446F872">
      <w:pPr>
        <w:spacing w:before="255" w:beforeAutospacing="off" w:after="255" w:afterAutospacing="off"/>
        <w:jc w:val="both"/>
        <w:rPr>
          <w:rFonts w:ascii="Calibri" w:hAnsi="Calibri" w:eastAsia="Calibri" w:cs="Calibri" w:asciiTheme="minorAscii" w:hAnsiTheme="minorAscii" w:eastAsiaTheme="minorAscii" w:cstheme="minorAscii"/>
          <w:sz w:val="32"/>
          <w:szCs w:val="32"/>
        </w:rPr>
      </w:pPr>
    </w:p>
    <w:p xmlns:wp14="http://schemas.microsoft.com/office/word/2010/wordml" w:rsidP="1C8B0BE6" wp14:paraId="47AD37FC" wp14:textId="69931C63">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5C8DDD19" wp14:textId="4DA0F72E">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115A1CA3">
        <w:rPr>
          <w:rFonts w:ascii="Calibri" w:hAnsi="Calibri" w:eastAsia="Calibri" w:cs="Calibri" w:asciiTheme="minorAscii" w:hAnsiTheme="minorAscii" w:eastAsiaTheme="minorAscii" w:cstheme="minorAscii"/>
          <w:b w:val="1"/>
          <w:bCs w:val="1"/>
          <w:noProof w:val="0"/>
          <w:sz w:val="32"/>
          <w:szCs w:val="32"/>
          <w:lang w:val="en-GB"/>
        </w:rPr>
        <w:t>Plan of Action</w:t>
      </w:r>
    </w:p>
    <w:p xmlns:wp14="http://schemas.microsoft.com/office/word/2010/wordml" w:rsidP="1C8B0BE6" wp14:paraId="6A61B86D" wp14:textId="48621042">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115A1CA3">
        <w:rPr>
          <w:rFonts w:ascii="Calibri" w:hAnsi="Calibri" w:eastAsia="Calibri" w:cs="Calibri" w:asciiTheme="minorAscii" w:hAnsiTheme="minorAscii" w:eastAsiaTheme="minorAscii" w:cstheme="minorAscii"/>
          <w:noProof w:val="0"/>
          <w:sz w:val="32"/>
          <w:szCs w:val="32"/>
          <w:lang w:val="en-GB"/>
        </w:rPr>
        <w:t xml:space="preserve">I will practise speaking </w:t>
      </w:r>
      <w:r w:rsidRPr="1C8B0BE6" w:rsidR="0082A124">
        <w:rPr>
          <w:rFonts w:ascii="Calibri" w:hAnsi="Calibri" w:eastAsia="Calibri" w:cs="Calibri" w:asciiTheme="minorAscii" w:hAnsiTheme="minorAscii" w:eastAsiaTheme="minorAscii" w:cstheme="minorAscii"/>
          <w:noProof w:val="0"/>
          <w:sz w:val="32"/>
          <w:szCs w:val="32"/>
          <w:lang w:val="en-GB"/>
        </w:rPr>
        <w:t>aloud</w:t>
      </w:r>
      <w:r w:rsidRPr="1C8B0BE6" w:rsidR="115A1CA3">
        <w:rPr>
          <w:rFonts w:ascii="Calibri" w:hAnsi="Calibri" w:eastAsia="Calibri" w:cs="Calibri" w:asciiTheme="minorAscii" w:hAnsiTheme="minorAscii" w:eastAsiaTheme="minorAscii" w:cstheme="minorAscii"/>
          <w:noProof w:val="0"/>
          <w:sz w:val="32"/>
          <w:szCs w:val="32"/>
          <w:lang w:val="en-GB"/>
        </w:rPr>
        <w:t xml:space="preserve"> more before my next presentation so that I can do it more naturally without relying too much on my notes or poster. I also want to get better at making eye contact, projecting my voice, and being more confident when I talk to other people. Another thing I will do is work on making my ideas easier to understand and more like a conversation, so that more people can relate to what </w:t>
      </w:r>
      <w:r w:rsidRPr="1C8B0BE6" w:rsidR="6D458426">
        <w:rPr>
          <w:rFonts w:ascii="Calibri" w:hAnsi="Calibri" w:eastAsia="Calibri" w:cs="Calibri" w:asciiTheme="minorAscii" w:hAnsiTheme="minorAscii" w:eastAsiaTheme="minorAscii" w:cstheme="minorAscii"/>
          <w:noProof w:val="0"/>
          <w:sz w:val="32"/>
          <w:szCs w:val="32"/>
          <w:lang w:val="en-GB"/>
        </w:rPr>
        <w:t>I am</w:t>
      </w:r>
      <w:r w:rsidRPr="1C8B0BE6" w:rsidR="115A1CA3">
        <w:rPr>
          <w:rFonts w:ascii="Calibri" w:hAnsi="Calibri" w:eastAsia="Calibri" w:cs="Calibri" w:asciiTheme="minorAscii" w:hAnsiTheme="minorAscii" w:eastAsiaTheme="minorAscii" w:cstheme="minorAscii"/>
          <w:noProof w:val="0"/>
          <w:sz w:val="32"/>
          <w:szCs w:val="32"/>
          <w:lang w:val="en-GB"/>
        </w:rPr>
        <w:t xml:space="preserve"> saying.</w:t>
      </w:r>
    </w:p>
    <w:p xmlns:wp14="http://schemas.microsoft.com/office/word/2010/wordml" w:rsidP="1C8B0BE6" wp14:paraId="58327AC4" wp14:textId="610BDCB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52063A97" wp14:textId="0F0C8EFA">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0D2B0847" wp14:textId="73327329">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618A59A" wp14:textId="7877BEA0">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62F518D0" wp14:textId="0DE62014">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015CF187" wp14:textId="084CEF58">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3FF1402B" wp14:textId="12E2512A">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AFA1E23" wp14:textId="2FDF6677">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AB12EE6" wp14:textId="3DFBA2F9">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54A16EAE" wp14:textId="6ADA7187">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7BDDF8C9" wp14:textId="2E6BEF92">
      <w:pPr>
        <w:pStyle w:val="Normal"/>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C8B0BE6" w:rsidR="0B938B88">
        <w:rPr>
          <w:rFonts w:ascii="Calibri" w:hAnsi="Calibri" w:eastAsia="Calibri" w:cs="Calibri" w:asciiTheme="minorAscii" w:hAnsiTheme="minorAscii" w:eastAsiaTheme="minorAscii" w:cstheme="minorAscii"/>
          <w:b w:val="1"/>
          <w:bCs w:val="1"/>
          <w:noProof w:val="0"/>
          <w:sz w:val="40"/>
          <w:szCs w:val="40"/>
          <w:lang w:val="en-GB"/>
        </w:rPr>
        <w:t xml:space="preserve">Plan C </w:t>
      </w:r>
    </w:p>
    <w:p xmlns:wp14="http://schemas.microsoft.com/office/word/2010/wordml" w:rsidP="1C8B0BE6" wp14:paraId="166FA2E8" wp14:textId="1C223F8D">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C8B0BE6" w:rsidR="0B938B88">
        <w:rPr>
          <w:rFonts w:ascii="Calibri" w:hAnsi="Calibri" w:eastAsia="Calibri" w:cs="Calibri" w:asciiTheme="minorAscii" w:hAnsiTheme="minorAscii" w:eastAsiaTheme="minorAscii" w:cstheme="minorAscii"/>
          <w:b w:val="1"/>
          <w:bCs w:val="1"/>
          <w:noProof w:val="0"/>
          <w:sz w:val="40"/>
          <w:szCs w:val="40"/>
          <w:lang w:val="en-GB"/>
        </w:rPr>
        <w:t>Project Man</w:t>
      </w:r>
      <w:r w:rsidRPr="1C8B0BE6" w:rsidR="4912DDF5">
        <w:rPr>
          <w:rFonts w:ascii="Calibri" w:hAnsi="Calibri" w:eastAsia="Calibri" w:cs="Calibri" w:asciiTheme="minorAscii" w:hAnsiTheme="minorAscii" w:eastAsiaTheme="minorAscii" w:cstheme="minorAscii"/>
          <w:b w:val="1"/>
          <w:bCs w:val="1"/>
          <w:noProof w:val="0"/>
          <w:sz w:val="40"/>
          <w:szCs w:val="40"/>
          <w:lang w:val="en-GB"/>
        </w:rPr>
        <w:t>agement Plan</w:t>
      </w:r>
    </w:p>
    <w:p xmlns:wp14="http://schemas.microsoft.com/office/word/2010/wordml" w:rsidP="1C8B0BE6" wp14:paraId="01BFD248" wp14:textId="26E4E693">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r w:rsidRPr="1C8B0BE6" w:rsidR="1DC84F2C">
        <w:rPr>
          <w:rFonts w:ascii="Calibri" w:hAnsi="Calibri" w:eastAsia="Calibri" w:cs="Calibri" w:asciiTheme="minorAscii" w:hAnsiTheme="minorAscii" w:eastAsiaTheme="minorAscii" w:cstheme="minorAscii"/>
          <w:b w:val="1"/>
          <w:bCs w:val="1"/>
          <w:noProof w:val="0"/>
          <w:sz w:val="40"/>
          <w:szCs w:val="40"/>
          <w:lang w:val="en-GB"/>
        </w:rPr>
        <w:t xml:space="preserve">West Midlands Flood Recovery </w:t>
      </w:r>
      <w:r w:rsidRPr="1C8B0BE6" w:rsidR="4768D229">
        <w:rPr>
          <w:rFonts w:ascii="Calibri" w:hAnsi="Calibri" w:eastAsia="Calibri" w:cs="Calibri" w:asciiTheme="minorAscii" w:hAnsiTheme="minorAscii" w:eastAsiaTheme="minorAscii" w:cstheme="minorAscii"/>
          <w:b w:val="1"/>
          <w:bCs w:val="1"/>
          <w:noProof w:val="0"/>
          <w:sz w:val="40"/>
          <w:szCs w:val="40"/>
          <w:lang w:val="en-GB"/>
        </w:rPr>
        <w:t xml:space="preserve">Infrastructure Reconstruction Project </w:t>
      </w:r>
    </w:p>
    <w:p xmlns:wp14="http://schemas.microsoft.com/office/word/2010/wordml" w:rsidP="1C8B0BE6" wp14:paraId="3A59789F" wp14:textId="54F86255">
      <w:pPr>
        <w:spacing w:before="0" w:after="0" w:line="240" w:lineRule="auto"/>
        <w:jc w:val="center"/>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15F88DEA" wp14:textId="417F9CDA">
      <w:pPr>
        <w:spacing w:before="0" w:after="0" w:line="240" w:lineRule="auto"/>
        <w:jc w:val="both"/>
        <w:rPr>
          <w:rFonts w:ascii="Calibri" w:hAnsi="Calibri" w:eastAsia="Calibri" w:cs="Calibri" w:asciiTheme="minorAscii" w:hAnsiTheme="minorAscii" w:eastAsiaTheme="minorAscii" w:cstheme="minorAscii"/>
          <w:b w:val="1"/>
          <w:bCs w:val="1"/>
          <w:noProof w:val="0"/>
          <w:sz w:val="40"/>
          <w:szCs w:val="40"/>
          <w:lang w:val="en-GB"/>
        </w:rPr>
      </w:pPr>
    </w:p>
    <w:p xmlns:wp14="http://schemas.microsoft.com/office/word/2010/wordml" w:rsidP="1C8B0BE6" wp14:paraId="44ADF41D" wp14:textId="39F7C7E5">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1E80254">
        <w:rPr>
          <w:rFonts w:ascii="Calibri" w:hAnsi="Calibri" w:eastAsia="Calibri" w:cs="Calibri" w:asciiTheme="minorAscii" w:hAnsiTheme="minorAscii" w:eastAsiaTheme="minorAscii" w:cstheme="minorAscii"/>
          <w:b w:val="1"/>
          <w:bCs w:val="1"/>
          <w:noProof w:val="0"/>
          <w:sz w:val="32"/>
          <w:szCs w:val="32"/>
          <w:lang w:val="en-GB"/>
        </w:rPr>
        <w:t>1. Introduction</w:t>
      </w:r>
    </w:p>
    <w:p xmlns:wp14="http://schemas.microsoft.com/office/word/2010/wordml" w:rsidP="1C8B0BE6" wp14:paraId="01F12985" wp14:textId="07E2F961">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1E80254">
        <w:rPr>
          <w:rFonts w:ascii="Calibri" w:hAnsi="Calibri" w:eastAsia="Calibri" w:cs="Calibri" w:asciiTheme="minorAscii" w:hAnsiTheme="minorAscii" w:eastAsiaTheme="minorAscii" w:cstheme="minorAscii"/>
          <w:noProof w:val="0"/>
          <w:sz w:val="32"/>
          <w:szCs w:val="32"/>
          <w:lang w:val="en-GB"/>
        </w:rPr>
        <w:t xml:space="preserve">This project management plan responds to the assignment scenario in which severe flooding struck Worcester, Shrewsbury and Kidderminster in July 2025 after prolonged rainfall and high river levels caused local flooding, infrastructure </w:t>
      </w:r>
      <w:r w:rsidRPr="1C8B0BE6" w:rsidR="41E80254">
        <w:rPr>
          <w:rFonts w:ascii="Calibri" w:hAnsi="Calibri" w:eastAsia="Calibri" w:cs="Calibri" w:asciiTheme="minorAscii" w:hAnsiTheme="minorAscii" w:eastAsiaTheme="minorAscii" w:cstheme="minorAscii"/>
          <w:noProof w:val="0"/>
          <w:sz w:val="32"/>
          <w:szCs w:val="32"/>
          <w:lang w:val="en-GB"/>
        </w:rPr>
        <w:t>failure</w:t>
      </w:r>
      <w:r w:rsidRPr="1C8B0BE6" w:rsidR="41E80254">
        <w:rPr>
          <w:rFonts w:ascii="Calibri" w:hAnsi="Calibri" w:eastAsia="Calibri" w:cs="Calibri" w:asciiTheme="minorAscii" w:hAnsiTheme="minorAscii" w:eastAsiaTheme="minorAscii" w:cstheme="minorAscii"/>
          <w:noProof w:val="0"/>
          <w:sz w:val="32"/>
          <w:szCs w:val="32"/>
          <w:lang w:val="en-GB"/>
        </w:rPr>
        <w:t xml:space="preserve"> and widespread disruption. In England, a </w:t>
      </w:r>
      <w:r w:rsidRPr="1C8B0BE6" w:rsidR="41E80254">
        <w:rPr>
          <w:rFonts w:ascii="Calibri" w:hAnsi="Calibri" w:eastAsia="Calibri" w:cs="Calibri" w:asciiTheme="minorAscii" w:hAnsiTheme="minorAscii" w:eastAsiaTheme="minorAscii" w:cstheme="minorAscii"/>
          <w:b w:val="1"/>
          <w:bCs w:val="1"/>
          <w:noProof w:val="0"/>
          <w:sz w:val="32"/>
          <w:szCs w:val="32"/>
          <w:lang w:val="en-GB"/>
        </w:rPr>
        <w:t xml:space="preserve">Severe Flood </w:t>
      </w:r>
      <w:r w:rsidRPr="1C8B0BE6" w:rsidR="41E80254">
        <w:rPr>
          <w:rFonts w:ascii="Calibri" w:hAnsi="Calibri" w:eastAsia="Calibri" w:cs="Calibri" w:asciiTheme="minorAscii" w:hAnsiTheme="minorAscii" w:eastAsiaTheme="minorAscii" w:cstheme="minorAscii"/>
          <w:b w:val="1"/>
          <w:bCs w:val="1"/>
          <w:noProof w:val="0"/>
          <w:sz w:val="32"/>
          <w:szCs w:val="32"/>
          <w:lang w:val="en-GB"/>
        </w:rPr>
        <w:t xml:space="preserve">Warning </w:t>
      </w:r>
      <w:r w:rsidRPr="1C8B0BE6" w:rsidR="41E80254">
        <w:rPr>
          <w:rFonts w:ascii="Calibri" w:hAnsi="Calibri" w:eastAsia="Calibri" w:cs="Calibri" w:asciiTheme="minorAscii" w:hAnsiTheme="minorAscii" w:eastAsiaTheme="minorAscii" w:cstheme="minorAscii"/>
          <w:b w:val="0"/>
          <w:bCs w:val="0"/>
          <w:noProof w:val="0"/>
          <w:sz w:val="32"/>
          <w:szCs w:val="32"/>
          <w:lang w:val="en-GB"/>
        </w:rPr>
        <w:t>indicates</w:t>
      </w:r>
      <w:r w:rsidRPr="1C8B0BE6" w:rsidR="41E80254">
        <w:rPr>
          <w:rFonts w:ascii="Calibri" w:hAnsi="Calibri" w:eastAsia="Calibri" w:cs="Calibri" w:asciiTheme="minorAscii" w:hAnsiTheme="minorAscii" w:eastAsiaTheme="minorAscii" w:cstheme="minorAscii"/>
          <w:noProof w:val="0"/>
          <w:sz w:val="32"/>
          <w:szCs w:val="32"/>
          <w:lang w:val="en-GB"/>
        </w:rPr>
        <w:t xml:space="preserve"> danger to life and requires immediate action, which shows the seriousness of the operating environment assumed in this plan (Environment Agency, n.d.).</w:t>
      </w:r>
    </w:p>
    <w:p xmlns:wp14="http://schemas.microsoft.com/office/word/2010/wordml" w:rsidP="1C8B0BE6" wp14:paraId="484C2D55" wp14:textId="4F3D8F5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3873B325">
        <w:rPr>
          <w:rFonts w:ascii="Calibri" w:hAnsi="Calibri" w:eastAsia="Calibri" w:cs="Calibri" w:asciiTheme="minorAscii" w:hAnsiTheme="minorAscii" w:eastAsiaTheme="minorAscii" w:cstheme="minorAscii"/>
          <w:noProof w:val="0"/>
          <w:sz w:val="32"/>
          <w:szCs w:val="32"/>
          <w:lang w:val="en-GB"/>
        </w:rPr>
        <w:t xml:space="preserve">The selected response is a </w:t>
      </w:r>
      <w:r w:rsidRPr="1C8B0BE6" w:rsidR="3873B325">
        <w:rPr>
          <w:rFonts w:ascii="Calibri" w:hAnsi="Calibri" w:eastAsia="Calibri" w:cs="Calibri" w:asciiTheme="minorAscii" w:hAnsiTheme="minorAscii" w:eastAsiaTheme="minorAscii" w:cstheme="minorAscii"/>
          <w:b w:val="1"/>
          <w:bCs w:val="1"/>
          <w:noProof w:val="0"/>
          <w:sz w:val="32"/>
          <w:szCs w:val="32"/>
          <w:lang w:val="en-GB"/>
        </w:rPr>
        <w:t>flood recovery infrastructure reconstruction project</w:t>
      </w:r>
      <w:r w:rsidRPr="1C8B0BE6" w:rsidR="3873B325">
        <w:rPr>
          <w:rFonts w:ascii="Calibri" w:hAnsi="Calibri" w:eastAsia="Calibri" w:cs="Calibri" w:asciiTheme="minorAscii" w:hAnsiTheme="minorAscii" w:eastAsiaTheme="minorAscii" w:cstheme="minorAscii"/>
          <w:noProof w:val="0"/>
          <w:sz w:val="32"/>
          <w:szCs w:val="32"/>
          <w:lang w:val="en-GB"/>
        </w:rPr>
        <w:t xml:space="preserve"> focused on restoring damaged local roads, drainage assets, culverts, pedestrian routes and associated utility access corridors. This is a suitable project because transport access and drainage functionality are enabling systems for almost every other aspect of recovery. If roads remain damaged, emergency services, utility crews, refuse collection, school transport, deliveries and local business activity are all slowed down. If drainage assets are not rebuilt properly, the same locations remain highly vulnerable to repeated flooding, ponding and structural deterioration.</w:t>
      </w:r>
    </w:p>
    <w:p xmlns:wp14="http://schemas.microsoft.com/office/word/2010/wordml" w:rsidP="1C8B0BE6" wp14:paraId="722916E1" wp14:textId="66B881D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3873B325">
        <w:rPr>
          <w:rFonts w:ascii="Calibri" w:hAnsi="Calibri" w:eastAsia="Calibri" w:cs="Calibri" w:asciiTheme="minorAscii" w:hAnsiTheme="minorAscii" w:eastAsiaTheme="minorAscii" w:cstheme="minorAscii"/>
          <w:noProof w:val="0"/>
          <w:sz w:val="32"/>
          <w:szCs w:val="32"/>
          <w:lang w:val="en-GB"/>
        </w:rPr>
        <w:t>From a project management perspective, this proposal is appropriate because it has a defined purpose, a temporary lifecycle, clear deliverables, constrained resources and measurable success criteria. PMI describes a project as a temporary endeavour undertaken to create a unique product, service or result, while APM treats project planning as an integrated exercise linking scope, time, resources, cost, quality, risk and stakeholder expectations (PMI, n.d.-a; APM, n.d.-a). This document therefore presents a complete project management plan for one realistic reconstruction project that relevant stakeholders could review, approve and govern.</w:t>
      </w:r>
    </w:p>
    <w:p xmlns:wp14="http://schemas.microsoft.com/office/word/2010/wordml" w:rsidP="1C8B0BE6" wp14:paraId="437BDBB2" wp14:textId="1BEC799C">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3BB7C146" wp14:textId="66DAA956">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5ADB9F8">
        <w:rPr>
          <w:rFonts w:ascii="Calibri" w:hAnsi="Calibri" w:eastAsia="Calibri" w:cs="Calibri" w:asciiTheme="minorAscii" w:hAnsiTheme="minorAscii" w:eastAsiaTheme="minorAscii" w:cstheme="minorAscii"/>
          <w:b w:val="1"/>
          <w:bCs w:val="1"/>
          <w:noProof w:val="0"/>
          <w:sz w:val="32"/>
          <w:szCs w:val="32"/>
          <w:lang w:val="en-GB"/>
        </w:rPr>
        <w:t>2. Project Description</w:t>
      </w:r>
    </w:p>
    <w:p xmlns:wp14="http://schemas.microsoft.com/office/word/2010/wordml" w:rsidP="1C8B0BE6" wp14:paraId="5A568C81" wp14:textId="791E1CED">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5ADB9F8">
        <w:rPr>
          <w:rFonts w:ascii="Calibri" w:hAnsi="Calibri" w:eastAsia="Calibri" w:cs="Calibri" w:asciiTheme="minorAscii" w:hAnsiTheme="minorAscii" w:eastAsiaTheme="minorAscii" w:cstheme="minorAscii"/>
          <w:b w:val="1"/>
          <w:bCs w:val="1"/>
          <w:noProof w:val="0"/>
          <w:sz w:val="32"/>
          <w:szCs w:val="32"/>
          <w:lang w:val="en-GB"/>
        </w:rPr>
        <w:t>2.1 Project title and aim</w:t>
      </w:r>
    </w:p>
    <w:p xmlns:wp14="http://schemas.microsoft.com/office/word/2010/wordml" w:rsidP="1C8B0BE6" wp14:paraId="3993B919" wp14:textId="5CF436B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5ADB9F8">
        <w:rPr>
          <w:rFonts w:ascii="Calibri" w:hAnsi="Calibri" w:eastAsia="Calibri" w:cs="Calibri" w:asciiTheme="minorAscii" w:hAnsiTheme="minorAscii" w:eastAsiaTheme="minorAscii" w:cstheme="minorAscii"/>
          <w:noProof w:val="0"/>
          <w:sz w:val="32"/>
          <w:szCs w:val="32"/>
          <w:lang w:val="en-GB"/>
        </w:rPr>
        <w:t xml:space="preserve">The project is titled </w:t>
      </w:r>
      <w:r w:rsidRPr="1C8B0BE6" w:rsidR="45ADB9F8">
        <w:rPr>
          <w:rFonts w:ascii="Calibri" w:hAnsi="Calibri" w:eastAsia="Calibri" w:cs="Calibri" w:asciiTheme="minorAscii" w:hAnsiTheme="minorAscii" w:eastAsiaTheme="minorAscii" w:cstheme="minorAscii"/>
          <w:b w:val="1"/>
          <w:bCs w:val="1"/>
          <w:noProof w:val="0"/>
          <w:sz w:val="32"/>
          <w:szCs w:val="32"/>
          <w:lang w:val="en-GB"/>
        </w:rPr>
        <w:t>West Midlands Flood Recovery Infrastructure Reconstruction Project</w:t>
      </w:r>
      <w:r w:rsidRPr="1C8B0BE6" w:rsidR="45ADB9F8">
        <w:rPr>
          <w:rFonts w:ascii="Calibri" w:hAnsi="Calibri" w:eastAsia="Calibri" w:cs="Calibri" w:asciiTheme="minorAscii" w:hAnsiTheme="minorAscii" w:eastAsiaTheme="minorAscii" w:cstheme="minorAscii"/>
          <w:noProof w:val="0"/>
          <w:sz w:val="32"/>
          <w:szCs w:val="32"/>
          <w:lang w:val="en-GB"/>
        </w:rPr>
        <w:t>. Its aim is to restore critical local infrastructure damaged by floodwater and to rebuild it to a more</w:t>
      </w:r>
      <w:r w:rsidRPr="1C8B0BE6" w:rsidR="43235107">
        <w:rPr>
          <w:rFonts w:ascii="Calibri" w:hAnsi="Calibri" w:eastAsia="Calibri" w:cs="Calibri" w:asciiTheme="minorAscii" w:hAnsiTheme="minorAscii" w:eastAsiaTheme="minorAscii" w:cstheme="minorAscii"/>
          <w:noProof w:val="0"/>
          <w:sz w:val="32"/>
          <w:szCs w:val="32"/>
          <w:lang w:val="en-GB"/>
        </w:rPr>
        <w:t>9</w:t>
      </w:r>
      <w:r w:rsidRPr="1C8B0BE6" w:rsidR="45ADB9F8">
        <w:rPr>
          <w:rFonts w:ascii="Calibri" w:hAnsi="Calibri" w:eastAsia="Calibri" w:cs="Calibri" w:asciiTheme="minorAscii" w:hAnsiTheme="minorAscii" w:eastAsiaTheme="minorAscii" w:cstheme="minorAscii"/>
          <w:noProof w:val="0"/>
          <w:sz w:val="32"/>
          <w:szCs w:val="32"/>
          <w:lang w:val="en-GB"/>
        </w:rPr>
        <w:t xml:space="preserve"> resilient standard than before. The project covers the three affected towns in the scenario and prioritises public assets that have the greatest effect on access, safety, local </w:t>
      </w:r>
      <w:r w:rsidRPr="1C8B0BE6" w:rsidR="45ADB9F8">
        <w:rPr>
          <w:rFonts w:ascii="Calibri" w:hAnsi="Calibri" w:eastAsia="Calibri" w:cs="Calibri" w:asciiTheme="minorAscii" w:hAnsiTheme="minorAscii" w:eastAsiaTheme="minorAscii" w:cstheme="minorAscii"/>
          <w:noProof w:val="0"/>
          <w:sz w:val="32"/>
          <w:szCs w:val="32"/>
          <w:lang w:val="en-GB"/>
        </w:rPr>
        <w:t>services</w:t>
      </w:r>
      <w:r w:rsidRPr="1C8B0BE6" w:rsidR="45ADB9F8">
        <w:rPr>
          <w:rFonts w:ascii="Calibri" w:hAnsi="Calibri" w:eastAsia="Calibri" w:cs="Calibri" w:asciiTheme="minorAscii" w:hAnsiTheme="minorAscii" w:eastAsiaTheme="minorAscii" w:cstheme="minorAscii"/>
          <w:noProof w:val="0"/>
          <w:sz w:val="32"/>
          <w:szCs w:val="32"/>
          <w:lang w:val="en-GB"/>
        </w:rPr>
        <w:t xml:space="preserve"> and community recovery.</w:t>
      </w:r>
    </w:p>
    <w:p xmlns:wp14="http://schemas.microsoft.com/office/word/2010/wordml" w:rsidP="1C8B0BE6" wp14:paraId="5B8D30F9" wp14:textId="2A2E2877">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5ADB9F8">
        <w:rPr>
          <w:rFonts w:ascii="Calibri" w:hAnsi="Calibri" w:eastAsia="Calibri" w:cs="Calibri" w:asciiTheme="minorAscii" w:hAnsiTheme="minorAscii" w:eastAsiaTheme="minorAscii" w:cstheme="minorAscii"/>
          <w:b w:val="1"/>
          <w:bCs w:val="1"/>
          <w:noProof w:val="0"/>
          <w:sz w:val="32"/>
          <w:szCs w:val="32"/>
          <w:lang w:val="en-GB"/>
        </w:rPr>
        <w:t>2.2 Business need and justification</w:t>
      </w:r>
    </w:p>
    <w:p xmlns:wp14="http://schemas.microsoft.com/office/word/2010/wordml" w:rsidP="1C8B0BE6" wp14:paraId="7E3FBE9F" wp14:textId="5ACF117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5ADB9F8">
        <w:rPr>
          <w:rFonts w:ascii="Calibri" w:hAnsi="Calibri" w:eastAsia="Calibri" w:cs="Calibri" w:asciiTheme="minorAscii" w:hAnsiTheme="minorAscii" w:eastAsiaTheme="minorAscii" w:cstheme="minorAscii"/>
          <w:noProof w:val="0"/>
          <w:sz w:val="32"/>
          <w:szCs w:val="32"/>
          <w:lang w:val="en-GB"/>
        </w:rPr>
        <w:t>The business need is driven by three linked issues. First, flood-damaged roads, footways and culverts create an immediate public safety hazard. Second, damaged infrastructure prolongs social and economic disruption because residents, schools, health services and businesses all depend on functioning access routes. Third, simple like-for-like replacement would be poor value because national flood and coastal risk guidance encourages decision-makers to incorporate climate change allowances and resilience into planning and reconstruction activity (Environment Agency, n.d.-b; Environment Agency, n.d.-c).</w:t>
      </w:r>
    </w:p>
    <w:p xmlns:wp14="http://schemas.microsoft.com/office/word/2010/wordml" w:rsidP="1C8B0BE6" wp14:paraId="289FC768" wp14:textId="2C96508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5ADB9F8">
        <w:rPr>
          <w:rFonts w:ascii="Calibri" w:hAnsi="Calibri" w:eastAsia="Calibri" w:cs="Calibri" w:asciiTheme="minorAscii" w:hAnsiTheme="minorAscii" w:eastAsiaTheme="minorAscii" w:cstheme="minorAscii"/>
          <w:noProof w:val="0"/>
          <w:sz w:val="32"/>
          <w:szCs w:val="32"/>
          <w:lang w:val="en-GB"/>
        </w:rPr>
        <w:t>The project is therefore not just a repair exercise. It is a managed recovery intervention that combines restoration with resilience. Typical resilience measures within scope include improved drainage capacity, more robust surfacing and sub-base design, replacement of failed culverts, better edge protection on damaged routes, and staged delivery so that the most critical infrastructure is reopened first. This ‘build back better’ logic is also consistent with the flood risk management direction promoted in local government and national resilience guidance (LGA, n.d.-a).</w:t>
      </w:r>
    </w:p>
    <w:p xmlns:wp14="http://schemas.microsoft.com/office/word/2010/wordml" w:rsidP="1C8B0BE6" wp14:paraId="7ECAE687" wp14:textId="67BEBCCC">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C6FF218">
        <w:rPr>
          <w:rFonts w:ascii="Calibri" w:hAnsi="Calibri" w:eastAsia="Calibri" w:cs="Calibri" w:asciiTheme="minorAscii" w:hAnsiTheme="minorAscii" w:eastAsiaTheme="minorAscii" w:cstheme="minorAscii"/>
          <w:b w:val="1"/>
          <w:bCs w:val="1"/>
          <w:noProof w:val="0"/>
          <w:sz w:val="32"/>
          <w:szCs w:val="32"/>
          <w:lang w:val="en-GB"/>
        </w:rPr>
        <w:t>2.3 Objectives</w:t>
      </w:r>
    </w:p>
    <w:p xmlns:wp14="http://schemas.microsoft.com/office/word/2010/wordml" w:rsidP="1C8B0BE6" wp14:paraId="0D516A15" wp14:textId="41DF10BE">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Complete damage inspections, emergency engineering surveys and prioritisation of affected infrastructure within the first four weeks.</w:t>
      </w:r>
    </w:p>
    <w:p xmlns:wp14="http://schemas.microsoft.com/office/word/2010/wordml" w:rsidP="1C8B0BE6" wp14:paraId="4811F6F4" wp14:textId="78F9910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Restore safe access on all critical local routes serving emergency services, key public facilities and town-centre activity within three months.</w:t>
      </w:r>
    </w:p>
    <w:p xmlns:wp14="http://schemas.microsoft.com/office/word/2010/wordml" w:rsidP="1C8B0BE6" wp14:paraId="354EC014" wp14:textId="6BE0B12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Reconstruct flood-damaged roads, culverts, drainage networks, pedestrian routes and associated utility access corridors within twelve months.</w:t>
      </w:r>
    </w:p>
    <w:p xmlns:wp14="http://schemas.microsoft.com/office/word/2010/wordml" w:rsidP="1C8B0BE6" wp14:paraId="455D5661" wp14:textId="29B60B76">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Embed resilience measures into every permanent reconstruction package so that restored assets are less vulnerable to future flood conditions.</w:t>
      </w:r>
    </w:p>
    <w:p xmlns:wp14="http://schemas.microsoft.com/office/word/2010/wordml" w:rsidP="1C8B0BE6" wp14:paraId="517AAFA5" wp14:textId="1DE8840D">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Deliver the project within approved cost, time and quality tolerances while maintaining strong health, safety and stakeholder communication performance.</w:t>
      </w:r>
    </w:p>
    <w:p xmlns:wp14="http://schemas.microsoft.com/office/word/2010/wordml" w:rsidP="1C8B0BE6" wp14:paraId="1F3D11E5" wp14:textId="068A8057">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4C6FF218">
        <w:rPr>
          <w:rFonts w:ascii="Calibri" w:hAnsi="Calibri" w:eastAsia="Calibri" w:cs="Calibri" w:asciiTheme="minorAscii" w:hAnsiTheme="minorAscii" w:eastAsiaTheme="minorAscii" w:cstheme="minorAscii"/>
          <w:b w:val="1"/>
          <w:bCs w:val="1"/>
          <w:noProof w:val="0"/>
          <w:sz w:val="32"/>
          <w:szCs w:val="32"/>
          <w:lang w:val="en-GB"/>
        </w:rPr>
        <w:t>2.4 Main deliverables</w:t>
      </w:r>
    </w:p>
    <w:p xmlns:wp14="http://schemas.microsoft.com/office/word/2010/wordml" w:rsidP="1C8B0BE6" wp14:paraId="70CC7B04" wp14:textId="69F02C84">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Condition assessment reports and prioritised asset register.</w:t>
      </w:r>
    </w:p>
    <w:p xmlns:wp14="http://schemas.microsoft.com/office/word/2010/wordml" w:rsidP="1C8B0BE6" wp14:paraId="5FF9B590" wp14:textId="4A365EE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Engineering designs, approvals and work package specifications.</w:t>
      </w:r>
    </w:p>
    <w:p xmlns:wp14="http://schemas.microsoft.com/office/word/2010/wordml" w:rsidP="1C8B0BE6" wp14:paraId="78191C44" wp14:textId="21E3D99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Temporary traffic and pedestrian management arrangements.</w:t>
      </w:r>
    </w:p>
    <w:p xmlns:wp14="http://schemas.microsoft.com/office/word/2010/wordml" w:rsidP="1C8B0BE6" wp14:paraId="7C909A18" wp14:textId="7E9AA47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Reconstructed road sections, drainage systems and culvert assets.</w:t>
      </w:r>
    </w:p>
    <w:p xmlns:wp14="http://schemas.microsoft.com/office/word/2010/wordml" w:rsidP="1C8B0BE6" wp14:paraId="68087A92" wp14:textId="6E9C1A53">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Reinstated footpaths, crossings and access routes.</w:t>
      </w:r>
    </w:p>
    <w:p xmlns:wp14="http://schemas.microsoft.com/office/word/2010/wordml" w:rsidP="1C8B0BE6" wp14:paraId="4159EF01" wp14:textId="3F14F1F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Coordinated utility corridor reinstatement support.</w:t>
      </w:r>
    </w:p>
    <w:p xmlns:wp14="http://schemas.microsoft.com/office/word/2010/wordml" w:rsidP="1C8B0BE6" wp14:paraId="22938452" wp14:textId="575C0382">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C6FF218">
        <w:rPr>
          <w:rFonts w:ascii="Calibri" w:hAnsi="Calibri" w:eastAsia="Calibri" w:cs="Calibri" w:asciiTheme="minorAscii" w:hAnsiTheme="minorAscii" w:eastAsiaTheme="minorAscii" w:cstheme="minorAscii"/>
          <w:noProof w:val="0"/>
          <w:sz w:val="32"/>
          <w:szCs w:val="32"/>
          <w:lang w:val="en-GB"/>
        </w:rPr>
        <w:t>• Testing, quality assurance records, handover packs and lessons learned report.</w:t>
      </w:r>
    </w:p>
    <w:p xmlns:wp14="http://schemas.microsoft.com/office/word/2010/wordml" w:rsidP="1C8B0BE6" wp14:paraId="3D21773C" wp14:textId="335D220A">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316539DF" wp14:textId="32E65A38">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59C99623">
        <w:rPr>
          <w:rFonts w:ascii="Calibri" w:hAnsi="Calibri" w:eastAsia="Calibri" w:cs="Calibri" w:asciiTheme="minorAscii" w:hAnsiTheme="minorAscii" w:eastAsiaTheme="minorAscii" w:cstheme="minorAscii"/>
          <w:b w:val="1"/>
          <w:bCs w:val="1"/>
          <w:noProof w:val="0"/>
          <w:sz w:val="32"/>
          <w:szCs w:val="32"/>
          <w:lang w:val="en-GB"/>
        </w:rPr>
        <w:t>3. Scope</w:t>
      </w:r>
    </w:p>
    <w:p xmlns:wp14="http://schemas.microsoft.com/office/word/2010/wordml" w:rsidP="1C8B0BE6" wp14:paraId="298A9F7A" wp14:textId="42AC0BF9">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59C99623">
        <w:rPr>
          <w:rFonts w:ascii="Calibri" w:hAnsi="Calibri" w:eastAsia="Calibri" w:cs="Calibri" w:asciiTheme="minorAscii" w:hAnsiTheme="minorAscii" w:eastAsiaTheme="minorAscii" w:cstheme="minorAscii"/>
          <w:b w:val="1"/>
          <w:bCs w:val="1"/>
          <w:noProof w:val="0"/>
          <w:sz w:val="32"/>
          <w:szCs w:val="32"/>
          <w:lang w:val="en-GB"/>
        </w:rPr>
        <w:t>3.1 In-scope activities</w:t>
      </w:r>
    </w:p>
    <w:p xmlns:wp14="http://schemas.microsoft.com/office/word/2010/wordml" w:rsidP="1C8B0BE6" wp14:paraId="1FB0191C" wp14:textId="0AFAFC3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59C99623">
        <w:rPr>
          <w:rFonts w:ascii="Calibri" w:hAnsi="Calibri" w:eastAsia="Calibri" w:cs="Calibri" w:asciiTheme="minorAscii" w:hAnsiTheme="minorAscii" w:eastAsiaTheme="minorAscii" w:cstheme="minorAscii"/>
          <w:noProof w:val="0"/>
          <w:sz w:val="32"/>
          <w:szCs w:val="32"/>
          <w:lang w:val="en-GB"/>
        </w:rPr>
        <w:t>The project scope includes assessment, design, procurement, reconstruction and handover of selected public infrastructure damaged by flooding. In practical terms, this means emergency inspections, geotechnical and structural surveys, debris clearance needed to enable construction, traffic management, detailed engineering design, temporary works, civil works, drainage reinstatement, footway repair, surface reinstatement, quality inspection and final handover to the responsible authority.</w:t>
      </w:r>
    </w:p>
    <w:p xmlns:wp14="http://schemas.microsoft.com/office/word/2010/wordml" w:rsidP="1C8B0BE6" wp14:paraId="64AE72FA" wp14:textId="187C59B8">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59C99623">
        <w:rPr>
          <w:rFonts w:ascii="Calibri" w:hAnsi="Calibri" w:eastAsia="Calibri" w:cs="Calibri" w:asciiTheme="minorAscii" w:hAnsiTheme="minorAscii" w:eastAsiaTheme="minorAscii" w:cstheme="minorAscii"/>
          <w:noProof w:val="0"/>
          <w:sz w:val="32"/>
          <w:szCs w:val="32"/>
          <w:lang w:val="en-GB"/>
        </w:rPr>
        <w:t>Specific asset categories in scope are local road pavement structure, carriageway surfacing, drainage channels, gullies, culverts, embankment edges, footpaths, crossings and utility access corridors where road or drainage reconstruction depends on joint working with utility providers. Community communication, environmental protection measures and project governance are also in scope because they are necessary to achieve safe and acceptable delivery.</w:t>
      </w:r>
    </w:p>
    <w:p xmlns:wp14="http://schemas.microsoft.com/office/word/2010/wordml" w:rsidP="1C8B0BE6" wp14:paraId="3B9F03E4" wp14:textId="0AB19FD3">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59C99623">
        <w:rPr>
          <w:rFonts w:ascii="Calibri" w:hAnsi="Calibri" w:eastAsia="Calibri" w:cs="Calibri" w:asciiTheme="minorAscii" w:hAnsiTheme="minorAscii" w:eastAsiaTheme="minorAscii" w:cstheme="minorAscii"/>
          <w:b w:val="1"/>
          <w:bCs w:val="1"/>
          <w:noProof w:val="0"/>
          <w:sz w:val="32"/>
          <w:szCs w:val="32"/>
          <w:lang w:val="en-GB"/>
        </w:rPr>
        <w:t>3.2 Out-of-scope activities</w:t>
      </w:r>
    </w:p>
    <w:p xmlns:wp14="http://schemas.microsoft.com/office/word/2010/wordml" w:rsidP="1C8B0BE6" wp14:paraId="1872AC44" wp14:textId="3AFE2E22">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59C99623">
        <w:rPr>
          <w:rFonts w:ascii="Calibri" w:hAnsi="Calibri" w:eastAsia="Calibri" w:cs="Calibri" w:asciiTheme="minorAscii" w:hAnsiTheme="minorAscii" w:eastAsiaTheme="minorAscii" w:cstheme="minorAscii"/>
          <w:noProof w:val="0"/>
          <w:sz w:val="32"/>
          <w:szCs w:val="32"/>
          <w:lang w:val="en-GB"/>
        </w:rPr>
        <w:t>The following items are excluded from the project scope: reconstruction of private homes and commercial buildings; compensation, insurance and grant administration; large-scale regional flood defence schemes on the River Severn catchment; rail infrastructure outside the control of participating local authorities; permanent social care or housing recovery services; and strategic land-use planning changes that may arise after the event. These exclusions are important because uncontrolled scope growth would weaken delivery performance and dilute accountability.</w:t>
      </w:r>
    </w:p>
    <w:p xmlns:wp14="http://schemas.microsoft.com/office/word/2010/wordml" w:rsidP="1C8B0BE6" wp14:paraId="1D53A2C0" wp14:textId="6F0D036A">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59C99623">
        <w:rPr>
          <w:rFonts w:ascii="Calibri" w:hAnsi="Calibri" w:eastAsia="Calibri" w:cs="Calibri" w:asciiTheme="minorAscii" w:hAnsiTheme="minorAscii" w:eastAsiaTheme="minorAscii" w:cstheme="minorAscii"/>
          <w:b w:val="1"/>
          <w:bCs w:val="1"/>
          <w:noProof w:val="0"/>
          <w:sz w:val="32"/>
          <w:szCs w:val="32"/>
          <w:lang w:val="en-GB"/>
        </w:rPr>
        <w:t>3.3 Assumptions and constraints</w:t>
      </w:r>
    </w:p>
    <w:p xmlns:wp14="http://schemas.microsoft.com/office/word/2010/wordml" w:rsidP="1C8B0BE6" wp14:paraId="320A5AA4" wp14:textId="6DBBDF3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59C99623">
        <w:rPr>
          <w:rFonts w:ascii="Calibri" w:hAnsi="Calibri" w:eastAsia="Calibri" w:cs="Calibri" w:asciiTheme="minorAscii" w:hAnsiTheme="minorAscii" w:eastAsiaTheme="minorAscii" w:cstheme="minorAscii"/>
          <w:noProof w:val="0"/>
          <w:sz w:val="32"/>
          <w:szCs w:val="32"/>
          <w:lang w:val="en-GB"/>
        </w:rPr>
        <w:t xml:space="preserve">The project assumes that emergency response operations have already stabilised the affected areas sufficiently for survey teams and contractors to mobilise safely. It also assumes that relevant public-sector recovery funding is available, that utilities will cooperate on diversions or reinstatement, and that asset owners can provide baseline drawings or records where needed. Key constraints include uncertain ground conditions, continued poor weather, public sensitivity to road closures, statutory approvals, procurement lead </w:t>
      </w:r>
      <w:r w:rsidRPr="1C8B0BE6" w:rsidR="59C99623">
        <w:rPr>
          <w:rFonts w:ascii="Calibri" w:hAnsi="Calibri" w:eastAsia="Calibri" w:cs="Calibri" w:asciiTheme="minorAscii" w:hAnsiTheme="minorAscii" w:eastAsiaTheme="minorAscii" w:cstheme="minorAscii"/>
          <w:noProof w:val="0"/>
          <w:sz w:val="32"/>
          <w:szCs w:val="32"/>
          <w:lang w:val="en-GB"/>
        </w:rPr>
        <w:t>times</w:t>
      </w:r>
      <w:r w:rsidRPr="1C8B0BE6" w:rsidR="59C99623">
        <w:rPr>
          <w:rFonts w:ascii="Calibri" w:hAnsi="Calibri" w:eastAsia="Calibri" w:cs="Calibri" w:asciiTheme="minorAscii" w:hAnsiTheme="minorAscii" w:eastAsiaTheme="minorAscii" w:cstheme="minorAscii"/>
          <w:noProof w:val="0"/>
          <w:sz w:val="32"/>
          <w:szCs w:val="32"/>
          <w:lang w:val="en-GB"/>
        </w:rPr>
        <w:t xml:space="preserve"> and the need to coordinate works across three towns rather than one site.</w:t>
      </w:r>
    </w:p>
    <w:p xmlns:wp14="http://schemas.microsoft.com/office/word/2010/wordml" w:rsidP="1C8B0BE6" wp14:paraId="089FCC6E" wp14:textId="34EA91BF">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59C99623">
        <w:rPr>
          <w:rFonts w:ascii="Calibri" w:hAnsi="Calibri" w:eastAsia="Calibri" w:cs="Calibri" w:asciiTheme="minorAscii" w:hAnsiTheme="minorAscii" w:eastAsiaTheme="minorAscii" w:cstheme="minorAscii"/>
          <w:noProof w:val="0"/>
          <w:sz w:val="32"/>
          <w:szCs w:val="32"/>
          <w:lang w:val="en-GB"/>
        </w:rPr>
        <w:t xml:space="preserve">Scope discipline is especially important because the work breakdown structure, schedule, </w:t>
      </w:r>
      <w:r w:rsidRPr="1C8B0BE6" w:rsidR="59C99623">
        <w:rPr>
          <w:rFonts w:ascii="Calibri" w:hAnsi="Calibri" w:eastAsia="Calibri" w:cs="Calibri" w:asciiTheme="minorAscii" w:hAnsiTheme="minorAscii" w:eastAsiaTheme="minorAscii" w:cstheme="minorAscii"/>
          <w:noProof w:val="0"/>
          <w:sz w:val="32"/>
          <w:szCs w:val="32"/>
          <w:lang w:val="en-GB"/>
        </w:rPr>
        <w:t>budget</w:t>
      </w:r>
      <w:r w:rsidRPr="1C8B0BE6" w:rsidR="59C99623">
        <w:rPr>
          <w:rFonts w:ascii="Calibri" w:hAnsi="Calibri" w:eastAsia="Calibri" w:cs="Calibri" w:asciiTheme="minorAscii" w:hAnsiTheme="minorAscii" w:eastAsiaTheme="minorAscii" w:cstheme="minorAscii"/>
          <w:noProof w:val="0"/>
          <w:sz w:val="32"/>
          <w:szCs w:val="32"/>
          <w:lang w:val="en-GB"/>
        </w:rPr>
        <w:t xml:space="preserve"> and risk register all depend on a stable definition of what is and is not included. PMI guidance on WBS practice emphasises that decomposition should reflect the </w:t>
      </w:r>
      <w:r w:rsidRPr="1C8B0BE6" w:rsidR="5C32BCEE">
        <w:rPr>
          <w:rFonts w:ascii="Calibri" w:hAnsi="Calibri" w:eastAsia="Calibri" w:cs="Calibri" w:asciiTheme="minorAscii" w:hAnsiTheme="minorAscii" w:eastAsiaTheme="minorAscii" w:cstheme="minorAscii"/>
          <w:noProof w:val="0"/>
          <w:sz w:val="32"/>
          <w:szCs w:val="32"/>
          <w:lang w:val="en-GB"/>
        </w:rPr>
        <w:t>total approved</w:t>
      </w:r>
      <w:r w:rsidRPr="1C8B0BE6" w:rsidR="59C99623">
        <w:rPr>
          <w:rFonts w:ascii="Calibri" w:hAnsi="Calibri" w:eastAsia="Calibri" w:cs="Calibri" w:asciiTheme="minorAscii" w:hAnsiTheme="minorAscii" w:eastAsiaTheme="minorAscii" w:cstheme="minorAscii"/>
          <w:noProof w:val="0"/>
          <w:sz w:val="32"/>
          <w:szCs w:val="32"/>
          <w:lang w:val="en-GB"/>
        </w:rPr>
        <w:t xml:space="preserve"> scope and that work packages should be manageable enough to plan, </w:t>
      </w:r>
      <w:r w:rsidRPr="1C8B0BE6" w:rsidR="59C99623">
        <w:rPr>
          <w:rFonts w:ascii="Calibri" w:hAnsi="Calibri" w:eastAsia="Calibri" w:cs="Calibri" w:asciiTheme="minorAscii" w:hAnsiTheme="minorAscii" w:eastAsiaTheme="minorAscii" w:cstheme="minorAscii"/>
          <w:noProof w:val="0"/>
          <w:sz w:val="32"/>
          <w:szCs w:val="32"/>
          <w:lang w:val="en-GB"/>
        </w:rPr>
        <w:t>monitor</w:t>
      </w:r>
      <w:r w:rsidRPr="1C8B0BE6" w:rsidR="59C99623">
        <w:rPr>
          <w:rFonts w:ascii="Calibri" w:hAnsi="Calibri" w:eastAsia="Calibri" w:cs="Calibri" w:asciiTheme="minorAscii" w:hAnsiTheme="minorAscii" w:eastAsiaTheme="minorAscii" w:cstheme="minorAscii"/>
          <w:noProof w:val="0"/>
          <w:sz w:val="32"/>
          <w:szCs w:val="32"/>
          <w:lang w:val="en-GB"/>
        </w:rPr>
        <w:t xml:space="preserve"> and control effectively (PMI, n.d.-b).</w:t>
      </w:r>
    </w:p>
    <w:p xmlns:wp14="http://schemas.microsoft.com/office/word/2010/wordml" w:rsidP="1C8B0BE6" wp14:paraId="20F3834A" wp14:textId="23A74238">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2255151D" wp14:textId="284B505D">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1BED7B9">
        <w:rPr>
          <w:rFonts w:ascii="Calibri" w:hAnsi="Calibri" w:eastAsia="Calibri" w:cs="Calibri" w:asciiTheme="minorAscii" w:hAnsiTheme="minorAscii" w:eastAsiaTheme="minorAscii" w:cstheme="minorAscii"/>
          <w:b w:val="1"/>
          <w:bCs w:val="1"/>
          <w:noProof w:val="0"/>
          <w:sz w:val="32"/>
          <w:szCs w:val="32"/>
          <w:lang w:val="en-GB"/>
        </w:rPr>
        <w:t>4. Work Breakdown Structure</w:t>
      </w:r>
    </w:p>
    <w:p xmlns:wp14="http://schemas.microsoft.com/office/word/2010/wordml" w:rsidP="1C8B0BE6" wp14:paraId="36F1A5DD" wp14:textId="060D1F5B">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61BED7B9">
        <w:rPr>
          <w:rFonts w:ascii="Calibri" w:hAnsi="Calibri" w:eastAsia="Calibri" w:cs="Calibri" w:asciiTheme="minorAscii" w:hAnsiTheme="minorAscii" w:eastAsiaTheme="minorAscii" w:cstheme="minorAscii"/>
          <w:noProof w:val="0"/>
          <w:sz w:val="32"/>
          <w:szCs w:val="32"/>
          <w:lang w:val="en-GB"/>
        </w:rPr>
        <w:t xml:space="preserve">A work breakdown structure (WBS) is a deliverable-oriented hierarchical decomposition of the work needed to achieve the project </w:t>
      </w:r>
      <w:r w:rsidRPr="1C8B0BE6" w:rsidR="61BED7B9">
        <w:rPr>
          <w:rFonts w:ascii="Calibri" w:hAnsi="Calibri" w:eastAsia="Calibri" w:cs="Calibri" w:asciiTheme="minorAscii" w:hAnsiTheme="minorAscii" w:eastAsiaTheme="minorAscii" w:cstheme="minorAscii"/>
          <w:noProof w:val="0"/>
          <w:sz w:val="32"/>
          <w:szCs w:val="32"/>
          <w:lang w:val="en-GB"/>
        </w:rPr>
        <w:t>objectives</w:t>
      </w:r>
      <w:r w:rsidRPr="1C8B0BE6" w:rsidR="61BED7B9">
        <w:rPr>
          <w:rFonts w:ascii="Calibri" w:hAnsi="Calibri" w:eastAsia="Calibri" w:cs="Calibri" w:asciiTheme="minorAscii" w:hAnsiTheme="minorAscii" w:eastAsiaTheme="minorAscii" w:cstheme="minorAscii"/>
          <w:noProof w:val="0"/>
          <w:sz w:val="32"/>
          <w:szCs w:val="32"/>
          <w:lang w:val="en-GB"/>
        </w:rPr>
        <w:t xml:space="preserve"> (PMI, n.d.-c). For this project, the WBS is organised around major work packages that support governance, design, </w:t>
      </w:r>
      <w:r w:rsidRPr="1C8B0BE6" w:rsidR="61BED7B9">
        <w:rPr>
          <w:rFonts w:ascii="Calibri" w:hAnsi="Calibri" w:eastAsia="Calibri" w:cs="Calibri" w:asciiTheme="minorAscii" w:hAnsiTheme="minorAscii" w:eastAsiaTheme="minorAscii" w:cstheme="minorAscii"/>
          <w:noProof w:val="0"/>
          <w:sz w:val="32"/>
          <w:szCs w:val="32"/>
          <w:lang w:val="en-GB"/>
        </w:rPr>
        <w:t>construction</w:t>
      </w:r>
      <w:r w:rsidRPr="1C8B0BE6" w:rsidR="61BED7B9">
        <w:rPr>
          <w:rFonts w:ascii="Calibri" w:hAnsi="Calibri" w:eastAsia="Calibri" w:cs="Calibri" w:asciiTheme="minorAscii" w:hAnsiTheme="minorAscii" w:eastAsiaTheme="minorAscii" w:cstheme="minorAscii"/>
          <w:noProof w:val="0"/>
          <w:sz w:val="32"/>
          <w:szCs w:val="32"/>
          <w:lang w:val="en-GB"/>
        </w:rPr>
        <w:t xml:space="preserve"> and handover. This structure provides a logical base for scheduling, cost planning, </w:t>
      </w:r>
      <w:r w:rsidRPr="1C8B0BE6" w:rsidR="61BED7B9">
        <w:rPr>
          <w:rFonts w:ascii="Calibri" w:hAnsi="Calibri" w:eastAsia="Calibri" w:cs="Calibri" w:asciiTheme="minorAscii" w:hAnsiTheme="minorAscii" w:eastAsiaTheme="minorAscii" w:cstheme="minorAscii"/>
          <w:noProof w:val="0"/>
          <w:sz w:val="32"/>
          <w:szCs w:val="32"/>
          <w:lang w:val="en-GB"/>
        </w:rPr>
        <w:t>procurement</w:t>
      </w:r>
      <w:r w:rsidRPr="1C8B0BE6" w:rsidR="61BED7B9">
        <w:rPr>
          <w:rFonts w:ascii="Calibri" w:hAnsi="Calibri" w:eastAsia="Calibri" w:cs="Calibri" w:asciiTheme="minorAscii" w:hAnsiTheme="minorAscii" w:eastAsiaTheme="minorAscii" w:cstheme="minorAscii"/>
          <w:noProof w:val="0"/>
          <w:sz w:val="32"/>
          <w:szCs w:val="32"/>
          <w:lang w:val="en-GB"/>
        </w:rPr>
        <w:t xml:space="preserve"> and progress reporting.</w:t>
      </w:r>
    </w:p>
    <w:p xmlns:wp14="http://schemas.microsoft.com/office/word/2010/wordml" w:rsidP="1C8B0BE6" wp14:paraId="036A0BF3" wp14:textId="345039F8">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32"/>
          <w:szCs w:val="32"/>
          <w:lang w:val="en-GB"/>
        </w:rPr>
      </w:pPr>
      <w:r w:rsidRPr="1C8B0BE6" w:rsidR="66D5F33B">
        <w:rPr>
          <w:rFonts w:ascii="Calibri" w:hAnsi="Calibri" w:eastAsia="Calibri" w:cs="Calibri" w:asciiTheme="minorAscii" w:hAnsiTheme="minorAscii" w:eastAsiaTheme="minorAscii" w:cstheme="minorAscii"/>
          <w:noProof w:val="0"/>
          <w:color w:val="1F1F1F"/>
          <w:sz w:val="32"/>
          <w:szCs w:val="32"/>
          <w:lang w:val="en-GB"/>
        </w:rPr>
        <w:t>The WBS supports control by dividing the project into manageable packages, each of which can be assigned owners, resources, milestones, quality checks and cost codes.</w:t>
      </w:r>
    </w:p>
    <w:p xmlns:wp14="http://schemas.microsoft.com/office/word/2010/wordml" w:rsidP="1C8B0BE6" wp14:paraId="42925AC1" wp14:textId="0707A699">
      <w:pPr>
        <w:spacing w:before="360" w:beforeAutospacing="off" w:after="270" w:afterAutospacing="off" w:line="252" w:lineRule="auto"/>
        <w:jc w:val="both"/>
      </w:pPr>
      <w:r w:rsidRPr="1C8B0BE6" w:rsidR="50B0F86D">
        <w:rPr>
          <w:rFonts w:ascii="Calibri" w:hAnsi="Calibri" w:eastAsia="Calibri" w:cs="Calibri"/>
          <w:b w:val="1"/>
          <w:bCs w:val="1"/>
          <w:noProof w:val="0"/>
          <w:color w:val="1F4E79"/>
          <w:sz w:val="21"/>
          <w:szCs w:val="21"/>
          <w:lang w:val="en-GB"/>
        </w:rPr>
        <w:t>Work Breakdown Structure</w:t>
      </w:r>
    </w:p>
    <w:tbl>
      <w:tblPr>
        <w:tblStyle w:val="GridTable5Dark-Accent1"/>
        <w:bidiVisual w:val="0"/>
        <w:tblW w:w="0" w:type="auto"/>
        <w:tblLook w:val="06A0" w:firstRow="1" w:lastRow="0" w:firstColumn="1" w:lastColumn="0" w:noHBand="1" w:noVBand="1"/>
      </w:tblPr>
      <w:tblGrid>
        <w:gridCol w:w="913"/>
        <w:gridCol w:w="2861"/>
        <w:gridCol w:w="1074"/>
      </w:tblGrid>
      <w:tr w:rsidR="1C8B0BE6" w:rsidTr="1C8B0BE6" w14:paraId="1C4E4B0E">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37E977F0" w14:textId="2AEC9A60">
            <w:pPr>
              <w:spacing w:before="240" w:beforeAutospacing="off" w:after="150" w:afterAutospacing="off" w:line="144"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WBS Code</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1ADD3A7C" w14:textId="64934A86">
            <w:pPr>
              <w:spacing w:before="240" w:beforeAutospacing="off" w:after="150" w:afterAutospacing="off" w:line="144"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Work package</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4933D6E0" w14:textId="5E5BA01E">
            <w:pPr>
              <w:spacing w:before="240" w:beforeAutospacing="off" w:after="150" w:afterAutospacing="off" w:line="144"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Parent</w:t>
            </w:r>
          </w:p>
        </w:tc>
      </w:tr>
      <w:tr w:rsidR="1C8B0BE6" w:rsidTr="1C8B0BE6" w14:paraId="21DB4C48">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19ADE7B6" w14:textId="5BE10FE1">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0</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25A657AD" w14:textId="5A47AD64">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Flood Response &amp; Infrastructure Reconstruction</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1F92595B" w14:textId="4166FD5A">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Overall project</w:t>
            </w:r>
          </w:p>
        </w:tc>
      </w:tr>
      <w:tr w:rsidR="1C8B0BE6" w:rsidTr="1C8B0BE6" w14:paraId="435746B3">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07F7B43D" w14:textId="038D1CDC">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1</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20A4AD4A" w14:textId="71FF98B5">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Initiation</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434783D6" w14:textId="1D7B049B">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0</w:t>
            </w:r>
          </w:p>
        </w:tc>
      </w:tr>
      <w:tr w:rsidR="1C8B0BE6" w:rsidTr="1C8B0BE6" w14:paraId="7C337096">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03CCA168" w14:textId="29ACA5E3">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1.1</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3BFC769B" w14:textId="61BAC422">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Scope &amp; priorities</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3CFC4257" w14:textId="6B28A910">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1</w:t>
            </w:r>
          </w:p>
        </w:tc>
      </w:tr>
      <w:tr w:rsidR="1C8B0BE6" w:rsidTr="1C8B0BE6" w14:paraId="174E05F1">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62F1D61D" w14:textId="66179F77">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1.2</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6C5BF1F4" w14:textId="74200514">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Risk register &amp; comms</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544176B2" w14:textId="5130BA98">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1</w:t>
            </w:r>
          </w:p>
        </w:tc>
      </w:tr>
      <w:tr w:rsidR="1C8B0BE6" w:rsidTr="1C8B0BE6" w14:paraId="7082C43C">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1DF5F957" w14:textId="24741694">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2</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4F4DEAA2" w14:textId="054D53CD">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Planning</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7C9242D8" w14:textId="2208C64E">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0</w:t>
            </w:r>
          </w:p>
        </w:tc>
      </w:tr>
      <w:tr w:rsidR="1C8B0BE6" w:rsidTr="1C8B0BE6" w14:paraId="5EC2DE41">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663ED52C" w14:textId="5476ED82">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2.1</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20F6EA45" w14:textId="456B2564">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Surveys &amp; design</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32CDFA43" w14:textId="48E499F2">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2</w:t>
            </w:r>
          </w:p>
        </w:tc>
      </w:tr>
      <w:tr w:rsidR="1C8B0BE6" w:rsidTr="1C8B0BE6" w14:paraId="13D05A49">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12AABBC9" w14:textId="7814C4DC">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2.2</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36076DAC" w14:textId="14BE313C">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Consents &amp; procurement</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58DC9943" w14:textId="7956F96C">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2</w:t>
            </w:r>
          </w:p>
        </w:tc>
      </w:tr>
      <w:tr w:rsidR="1C8B0BE6" w:rsidTr="1C8B0BE6" w14:paraId="56381869">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76908598" w14:textId="05986D55">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3</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7AAF2CBF" w14:textId="4101DD78">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Delivery</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66B882E7" w14:textId="66BBB505">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0</w:t>
            </w:r>
          </w:p>
        </w:tc>
      </w:tr>
      <w:tr w:rsidR="1C8B0BE6" w:rsidTr="1C8B0BE6" w14:paraId="659775DD">
        <w:trPr>
          <w:trHeight w:val="126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6D02BB84" w14:textId="285238A6">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3.1</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35C0AA51" w14:textId="4479A8F3">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Clearance &amp; temporary works</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71E839F1" w14:textId="4CAD7667">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3</w:t>
            </w:r>
          </w:p>
        </w:tc>
      </w:tr>
      <w:tr w:rsidR="1C8B0BE6" w:rsidTr="1C8B0BE6" w14:paraId="2429A99C">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31BA584D" w14:textId="5AA34B7D">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3.2</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74E75192" w14:textId="3DECC932">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Permanent repairs / upgrade</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0FD840A9" w14:textId="0C0830E9">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3</w:t>
            </w:r>
          </w:p>
        </w:tc>
      </w:tr>
      <w:tr w:rsidR="1C8B0BE6" w:rsidTr="1C8B0BE6" w14:paraId="118E8C8F">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41EF936C" w14:textId="2DA605D0">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4</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1FBF153D" w14:textId="72588845">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Closure</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5EC1CB47" w14:textId="72EBCF79">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0</w:t>
            </w:r>
          </w:p>
        </w:tc>
      </w:tr>
      <w:tr w:rsidR="1C8B0BE6" w:rsidTr="1C8B0BE6" w14:paraId="3E8E48B2">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23E5E57B" w14:textId="33A6C56D">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4.1</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2B1ED274" w14:textId="55DBB4D7">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Testing &amp; handover</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51F8F0BD" w14:textId="570C8545">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4</w:t>
            </w:r>
          </w:p>
        </w:tc>
      </w:tr>
      <w:tr w:rsidR="1C8B0BE6" w:rsidTr="1C8B0BE6" w14:paraId="757E6D22">
        <w:trPr>
          <w:trHeight w:val="300"/>
        </w:trPr>
        <w:tc>
          <w:tcPr>
            <w:cnfStyle w:val="001000000000" w:firstRow="0" w:lastRow="0" w:firstColumn="1" w:lastColumn="0" w:oddVBand="0" w:evenVBand="0" w:oddHBand="0" w:evenHBand="0" w:firstRowFirstColumn="0" w:firstRowLastColumn="0" w:lastRowFirstColumn="0" w:lastRowLastColumn="0"/>
            <w:tcW w:w="913" w:type="dxa"/>
            <w:tcMar/>
          </w:tcPr>
          <w:p w:rsidR="1C8B0BE6" w:rsidP="1C8B0BE6" w:rsidRDefault="1C8B0BE6" w14:paraId="2940B535" w14:textId="79281D1B">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4.2</w:t>
            </w:r>
          </w:p>
        </w:tc>
        <w:tc>
          <w:tcPr>
            <w:cnfStyle w:val="000000000000" w:firstRow="0" w:lastRow="0" w:firstColumn="0" w:lastColumn="0" w:oddVBand="0" w:evenVBand="0" w:oddHBand="0" w:evenHBand="0" w:firstRowFirstColumn="0" w:firstRowLastColumn="0" w:lastRowFirstColumn="0" w:lastRowLastColumn="0"/>
            <w:tcW w:w="2861" w:type="dxa"/>
            <w:tcMar/>
          </w:tcPr>
          <w:p w:rsidR="1C8B0BE6" w:rsidP="1C8B0BE6" w:rsidRDefault="1C8B0BE6" w14:paraId="5B9A9686" w14:textId="44207AD3">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Lessons learned</w:t>
            </w:r>
          </w:p>
        </w:tc>
        <w:tc>
          <w:tcPr>
            <w:cnfStyle w:val="000000000000" w:firstRow="0" w:lastRow="0" w:firstColumn="0" w:lastColumn="0" w:oddVBand="0" w:evenVBand="0" w:oddHBand="0" w:evenHBand="0" w:firstRowFirstColumn="0" w:firstRowLastColumn="0" w:lastRowFirstColumn="0" w:lastRowLastColumn="0"/>
            <w:tcW w:w="1074" w:type="dxa"/>
            <w:tcMar/>
          </w:tcPr>
          <w:p w:rsidR="1C8B0BE6" w:rsidP="1C8B0BE6" w:rsidRDefault="1C8B0BE6" w14:paraId="64918B74" w14:textId="36F6AAA8">
            <w:pPr>
              <w:spacing w:before="240" w:beforeAutospacing="off" w:after="150" w:afterAutospacing="off" w:line="144" w:lineRule="auto"/>
              <w:rPr>
                <w:rFonts w:ascii="Arial" w:hAnsi="Arial" w:eastAsia="Arial" w:cs="Arial"/>
                <w:sz w:val="22"/>
                <w:szCs w:val="22"/>
              </w:rPr>
            </w:pPr>
            <w:r w:rsidRPr="1C8B0BE6" w:rsidR="1C8B0BE6">
              <w:rPr>
                <w:rFonts w:ascii="Arial" w:hAnsi="Arial" w:eastAsia="Arial" w:cs="Arial"/>
                <w:sz w:val="22"/>
                <w:szCs w:val="22"/>
              </w:rPr>
              <w:t>4</w:t>
            </w:r>
          </w:p>
        </w:tc>
      </w:tr>
    </w:tbl>
    <w:p xmlns:wp14="http://schemas.microsoft.com/office/word/2010/wordml" w:rsidP="1C8B0BE6" wp14:paraId="5B0F8947" wp14:textId="71614949">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32"/>
          <w:szCs w:val="32"/>
          <w:lang w:val="en-GB"/>
        </w:rPr>
      </w:pPr>
    </w:p>
    <w:p xmlns:wp14="http://schemas.microsoft.com/office/word/2010/wordml" w:rsidP="1C8B0BE6" wp14:paraId="20C9D881" wp14:textId="7B08286F">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32"/>
          <w:szCs w:val="32"/>
          <w:lang w:val="en-GB"/>
        </w:rPr>
      </w:pPr>
    </w:p>
    <w:p xmlns:wp14="http://schemas.microsoft.com/office/word/2010/wordml" w:rsidP="1C8B0BE6" wp14:paraId="05CB8496" wp14:textId="2919B52E">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6E12371D">
        <w:rPr>
          <w:rFonts w:ascii="Calibri" w:hAnsi="Calibri" w:eastAsia="Calibri" w:cs="Calibri" w:asciiTheme="minorAscii" w:hAnsiTheme="minorAscii" w:eastAsiaTheme="minorAscii" w:cstheme="minorAscii"/>
          <w:b w:val="1"/>
          <w:bCs w:val="1"/>
          <w:noProof w:val="0"/>
          <w:sz w:val="32"/>
          <w:szCs w:val="32"/>
          <w:lang w:val="en-GB"/>
        </w:rPr>
        <w:t>5. Quad Chart</w:t>
      </w:r>
    </w:p>
    <w:p xmlns:wp14="http://schemas.microsoft.com/office/word/2010/wordml" w:rsidP="1C8B0BE6" wp14:paraId="06DC8201" wp14:textId="78D36D2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6E12371D">
        <w:rPr>
          <w:rFonts w:ascii="Calibri" w:hAnsi="Calibri" w:eastAsia="Calibri" w:cs="Calibri" w:asciiTheme="minorAscii" w:hAnsiTheme="minorAscii" w:eastAsiaTheme="minorAscii" w:cstheme="minorAscii"/>
          <w:noProof w:val="0"/>
          <w:sz w:val="32"/>
          <w:szCs w:val="32"/>
          <w:lang w:val="en-GB"/>
        </w:rPr>
        <w:t xml:space="preserve">The quad chart below provides a concise summary for senior stakeholders who need to understand the project </w:t>
      </w:r>
      <w:r w:rsidRPr="1C8B0BE6" w:rsidR="6E12371D">
        <w:rPr>
          <w:rFonts w:ascii="Calibri" w:hAnsi="Calibri" w:eastAsia="Calibri" w:cs="Calibri" w:asciiTheme="minorAscii" w:hAnsiTheme="minorAscii" w:eastAsiaTheme="minorAscii" w:cstheme="minorAscii"/>
          <w:noProof w:val="0"/>
          <w:sz w:val="32"/>
          <w:szCs w:val="32"/>
          <w:lang w:val="en-GB"/>
        </w:rPr>
        <w:t>briefly</w:t>
      </w:r>
      <w:r w:rsidRPr="1C8B0BE6" w:rsidR="6E12371D">
        <w:rPr>
          <w:rFonts w:ascii="Calibri" w:hAnsi="Calibri" w:eastAsia="Calibri" w:cs="Calibri" w:asciiTheme="minorAscii" w:hAnsiTheme="minorAscii" w:eastAsiaTheme="minorAscii" w:cstheme="minorAscii"/>
          <w:noProof w:val="0"/>
          <w:sz w:val="32"/>
          <w:szCs w:val="32"/>
          <w:lang w:val="en-GB"/>
        </w:rPr>
        <w:t>. It is particularly useful in governance meetings because it combines strategic intent, beneficiaries, expected outcome and measurable success criteria on one page.</w:t>
      </w:r>
    </w:p>
    <w:p xmlns:wp14="http://schemas.microsoft.com/office/word/2010/wordml" w:rsidP="1C8B0BE6" wp14:paraId="2789CEE5" wp14:textId="0D760E4C">
      <w:pPr>
        <w:pStyle w:val="Normal"/>
        <w:spacing w:before="255" w:beforeAutospacing="off" w:after="255" w:afterAutospacing="off"/>
        <w:jc w:val="both"/>
        <w:rPr>
          <w:rFonts w:ascii="Arial" w:hAnsi="Arial" w:eastAsia="Arial" w:cs="Arial"/>
          <w:b w:val="1"/>
          <w:bCs w:val="1"/>
          <w:noProof w:val="0"/>
          <w:color w:val="1F4E79"/>
          <w:sz w:val="22"/>
          <w:szCs w:val="22"/>
          <w:lang w:val="en-GB"/>
        </w:rPr>
      </w:pPr>
    </w:p>
    <w:p xmlns:wp14="http://schemas.microsoft.com/office/word/2010/wordml" w:rsidP="1C8B0BE6" wp14:paraId="4F99B0DA" wp14:textId="0F0C1AB6">
      <w:pPr>
        <w:pStyle w:val="Normal"/>
        <w:spacing w:before="255" w:beforeAutospacing="off" w:after="255" w:afterAutospacing="off"/>
        <w:jc w:val="both"/>
        <w:rPr>
          <w:rFonts w:ascii="Arial" w:hAnsi="Arial" w:eastAsia="Arial" w:cs="Arial"/>
          <w:b w:val="1"/>
          <w:bCs w:val="1"/>
          <w:noProof w:val="0"/>
          <w:color w:val="1F4E79"/>
          <w:sz w:val="22"/>
          <w:szCs w:val="22"/>
          <w:lang w:val="en-GB"/>
        </w:rPr>
      </w:pPr>
    </w:p>
    <w:p xmlns:wp14="http://schemas.microsoft.com/office/word/2010/wordml" w:rsidP="1C8B0BE6" wp14:paraId="1F0ED8FC" wp14:textId="20821582">
      <w:pPr>
        <w:pStyle w:val="Normal"/>
        <w:spacing w:before="255" w:beforeAutospacing="off" w:after="255" w:afterAutospacing="off"/>
        <w:jc w:val="both"/>
        <w:rPr>
          <w:rFonts w:ascii="Arial" w:hAnsi="Arial" w:eastAsia="Arial" w:cs="Arial"/>
          <w:b w:val="1"/>
          <w:bCs w:val="1"/>
          <w:noProof w:val="0"/>
          <w:color w:val="1F4E79"/>
          <w:sz w:val="22"/>
          <w:szCs w:val="22"/>
          <w:lang w:val="en-GB"/>
        </w:rPr>
      </w:pPr>
    </w:p>
    <w:p xmlns:wp14="http://schemas.microsoft.com/office/word/2010/wordml" w:rsidP="1C8B0BE6" wp14:paraId="29F891C0" wp14:textId="2B0684BE">
      <w:pPr>
        <w:pStyle w:val="Normal"/>
        <w:spacing w:before="255" w:beforeAutospacing="off" w:after="255" w:afterAutospacing="off"/>
        <w:jc w:val="both"/>
        <w:rPr>
          <w:rFonts w:ascii="Arial" w:hAnsi="Arial" w:eastAsia="Arial" w:cs="Arial"/>
          <w:b w:val="1"/>
          <w:bCs w:val="1"/>
          <w:noProof w:val="0"/>
          <w:color w:val="1F4E79"/>
          <w:sz w:val="22"/>
          <w:szCs w:val="22"/>
          <w:lang w:val="en-GB"/>
        </w:rPr>
      </w:pPr>
    </w:p>
    <w:p xmlns:wp14="http://schemas.microsoft.com/office/word/2010/wordml" w:rsidP="1C8B0BE6" wp14:paraId="2859359A" wp14:textId="77BDEE6E">
      <w:pPr>
        <w:pStyle w:val="Normal"/>
        <w:spacing w:before="255" w:beforeAutospacing="off" w:after="255" w:afterAutospacing="off"/>
        <w:jc w:val="both"/>
        <w:rPr>
          <w:rFonts w:ascii="Arial" w:hAnsi="Arial" w:eastAsia="Arial" w:cs="Arial"/>
          <w:b w:val="1"/>
          <w:bCs w:val="1"/>
          <w:noProof w:val="0"/>
          <w:color w:val="1F4E79"/>
          <w:sz w:val="22"/>
          <w:szCs w:val="22"/>
          <w:lang w:val="en-GB"/>
        </w:rPr>
      </w:pPr>
    </w:p>
    <w:p xmlns:wp14="http://schemas.microsoft.com/office/word/2010/wordml" w:rsidP="1C8B0BE6" wp14:paraId="4485C66D" wp14:textId="70B6A858">
      <w:pPr>
        <w:pStyle w:val="Normal"/>
        <w:spacing w:before="255" w:beforeAutospacing="off" w:after="255" w:afterAutospacing="off"/>
        <w:jc w:val="both"/>
        <w:rPr>
          <w:rFonts w:ascii="Arial" w:hAnsi="Arial" w:eastAsia="Arial" w:cs="Arial"/>
          <w:b w:val="1"/>
          <w:bCs w:val="1"/>
          <w:noProof w:val="0"/>
          <w:color w:val="1F4E79"/>
          <w:sz w:val="22"/>
          <w:szCs w:val="22"/>
          <w:lang w:val="en-GB"/>
        </w:rPr>
      </w:pPr>
    </w:p>
    <w:p xmlns:wp14="http://schemas.microsoft.com/office/word/2010/wordml" w:rsidP="1C8B0BE6" wp14:paraId="20390E82" wp14:textId="1F303F0E">
      <w:pPr>
        <w:pStyle w:val="Normal"/>
        <w:spacing w:before="255" w:beforeAutospacing="off" w:after="255" w:afterAutospacing="off" w:line="360" w:lineRule="auto"/>
        <w:jc w:val="both"/>
        <w:rPr>
          <w:rFonts w:ascii="Arial" w:hAnsi="Arial" w:eastAsia="Arial" w:cs="Arial"/>
          <w:b w:val="1"/>
          <w:bCs w:val="1"/>
          <w:noProof w:val="0"/>
          <w:color w:val="1F4E79"/>
          <w:sz w:val="22"/>
          <w:szCs w:val="22"/>
          <w:lang w:val="en-GB"/>
        </w:rPr>
      </w:pPr>
      <w:r w:rsidRPr="1C8B0BE6" w:rsidR="146B601E">
        <w:rPr>
          <w:rFonts w:ascii="Arial" w:hAnsi="Arial" w:eastAsia="Arial" w:cs="Arial"/>
          <w:b w:val="1"/>
          <w:bCs w:val="1"/>
          <w:noProof w:val="0"/>
          <w:color w:val="1F4E79"/>
          <w:sz w:val="22"/>
          <w:szCs w:val="22"/>
          <w:lang w:val="en-GB"/>
        </w:rPr>
        <w:t>Quad Chart</w:t>
      </w:r>
    </w:p>
    <w:tbl>
      <w:tblPr>
        <w:tblStyle w:val="TableNormal"/>
        <w:bidiVisual w:val="0"/>
        <w:tblW w:w="0" w:type="auto"/>
        <w:tblBorders>
          <w:top w:color="000000" w:themeColor="text1"/>
          <w:left w:color="000000" w:themeColor="text1"/>
          <w:bottom w:color="000000" w:themeColor="text1"/>
          <w:right w:color="000000" w:themeColor="text1"/>
        </w:tblBorders>
        <w:tblLook w:val="06A0" w:firstRow="1" w:lastRow="0" w:firstColumn="1" w:lastColumn="0" w:noHBand="1" w:noVBand="1"/>
      </w:tblPr>
      <w:tblGrid>
        <w:gridCol w:w="2830"/>
        <w:gridCol w:w="2756"/>
      </w:tblGrid>
      <w:tr w:rsidR="1C8B0BE6" w:rsidTr="1C8B0BE6" w14:paraId="5B899B57">
        <w:trPr>
          <w:trHeight w:val="300"/>
        </w:trPr>
        <w:tc>
          <w:tcPr>
            <w:tcW w:w="2830" w:type="dxa"/>
            <w:shd w:val="clear" w:color="auto" w:fill="DDEEDD"/>
            <w:tcMar/>
            <w:vAlign w:val="top"/>
          </w:tcPr>
          <w:p w:rsidR="1C8B0BE6" w:rsidP="1C8B0BE6" w:rsidRDefault="1C8B0BE6" w14:paraId="0AE263F7" w14:textId="56296CD9">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b w:val="1"/>
                <w:bCs w:val="1"/>
                <w:sz w:val="22"/>
                <w:szCs w:val="22"/>
              </w:rPr>
              <w:t>PURPOSE</w:t>
            </w:r>
            <w:r>
              <w:br/>
            </w:r>
            <w:r w:rsidRPr="1C8B0BE6" w:rsidR="1C8B0BE6">
              <w:rPr>
                <w:rFonts w:ascii="Arial" w:hAnsi="Arial" w:eastAsia="Arial" w:cs="Arial"/>
                <w:sz w:val="22"/>
                <w:szCs w:val="22"/>
              </w:rPr>
              <w:t>• Restore safe access</w:t>
            </w:r>
            <w:r>
              <w:br/>
            </w:r>
            <w:r w:rsidRPr="1C8B0BE6" w:rsidR="1C8B0BE6">
              <w:rPr>
                <w:rFonts w:ascii="Arial" w:hAnsi="Arial" w:eastAsia="Arial" w:cs="Arial"/>
                <w:sz w:val="22"/>
                <w:szCs w:val="22"/>
              </w:rPr>
              <w:t>• Reinstate drainage and damaged assets</w:t>
            </w:r>
            <w:r>
              <w:br/>
            </w:r>
            <w:r w:rsidRPr="1C8B0BE6" w:rsidR="1C8B0BE6">
              <w:rPr>
                <w:rFonts w:ascii="Arial" w:hAnsi="Arial" w:eastAsia="Arial" w:cs="Arial"/>
                <w:sz w:val="22"/>
                <w:szCs w:val="22"/>
              </w:rPr>
              <w:t>• Protect homes, businesses and transport links</w:t>
            </w:r>
          </w:p>
        </w:tc>
        <w:tc>
          <w:tcPr>
            <w:tcW w:w="2756" w:type="dxa"/>
            <w:shd w:val="clear" w:color="auto" w:fill="DDEBF7"/>
            <w:tcMar/>
            <w:vAlign w:val="top"/>
          </w:tcPr>
          <w:p w:rsidR="1C8B0BE6" w:rsidP="1C8B0BE6" w:rsidRDefault="1C8B0BE6" w14:paraId="71C019F3" w14:textId="708A99EE">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b w:val="1"/>
                <w:bCs w:val="1"/>
                <w:sz w:val="22"/>
                <w:szCs w:val="22"/>
              </w:rPr>
              <w:t>STAKEHOLDERS</w:t>
            </w:r>
            <w:r>
              <w:br/>
            </w:r>
            <w:r w:rsidRPr="1C8B0BE6" w:rsidR="1C8B0BE6">
              <w:rPr>
                <w:rFonts w:ascii="Arial" w:hAnsi="Arial" w:eastAsia="Arial" w:cs="Arial"/>
                <w:sz w:val="22"/>
                <w:szCs w:val="22"/>
              </w:rPr>
              <w:t>• Residents and businesses</w:t>
            </w:r>
            <w:r>
              <w:br/>
            </w:r>
            <w:r w:rsidRPr="1C8B0BE6" w:rsidR="1C8B0BE6">
              <w:rPr>
                <w:rFonts w:ascii="Arial" w:hAnsi="Arial" w:eastAsia="Arial" w:cs="Arial"/>
                <w:sz w:val="22"/>
                <w:szCs w:val="22"/>
              </w:rPr>
              <w:t>• Local councils and Environment Agency</w:t>
            </w:r>
            <w:r>
              <w:br/>
            </w:r>
            <w:r w:rsidRPr="1C8B0BE6" w:rsidR="1C8B0BE6">
              <w:rPr>
                <w:rFonts w:ascii="Arial" w:hAnsi="Arial" w:eastAsia="Arial" w:cs="Arial"/>
                <w:sz w:val="22"/>
                <w:szCs w:val="22"/>
              </w:rPr>
              <w:t>• Utilities, emergency services and contractors</w:t>
            </w:r>
          </w:p>
        </w:tc>
      </w:tr>
      <w:tr w:rsidR="1C8B0BE6" w:rsidTr="1C8B0BE6" w14:paraId="4E383236">
        <w:trPr>
          <w:trHeight w:val="300"/>
        </w:trPr>
        <w:tc>
          <w:tcPr>
            <w:tcW w:w="2830" w:type="dxa"/>
            <w:shd w:val="clear" w:color="auto" w:fill="FFF2CC"/>
            <w:tcMar/>
            <w:vAlign w:val="top"/>
          </w:tcPr>
          <w:p w:rsidR="1C8B0BE6" w:rsidP="1C8B0BE6" w:rsidRDefault="1C8B0BE6" w14:paraId="28697C7C" w14:textId="42634351">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b w:val="1"/>
                <w:bCs w:val="1"/>
                <w:sz w:val="22"/>
                <w:szCs w:val="22"/>
              </w:rPr>
              <w:t>OUTPUTS</w:t>
            </w:r>
            <w:r>
              <w:br/>
            </w:r>
            <w:r w:rsidRPr="1C8B0BE6" w:rsidR="1C8B0BE6">
              <w:rPr>
                <w:rFonts w:ascii="Arial" w:hAnsi="Arial" w:eastAsia="Arial" w:cs="Arial"/>
                <w:sz w:val="22"/>
                <w:szCs w:val="22"/>
              </w:rPr>
              <w:t>• Critical routes reopened</w:t>
            </w:r>
            <w:r>
              <w:br/>
            </w:r>
            <w:r w:rsidRPr="1C8B0BE6" w:rsidR="1C8B0BE6">
              <w:rPr>
                <w:rFonts w:ascii="Arial" w:hAnsi="Arial" w:eastAsia="Arial" w:cs="Arial"/>
                <w:sz w:val="22"/>
                <w:szCs w:val="22"/>
              </w:rPr>
              <w:t>• Temporary barriers/signage installed</w:t>
            </w:r>
            <w:r>
              <w:br/>
            </w:r>
            <w:r w:rsidRPr="1C8B0BE6" w:rsidR="1C8B0BE6">
              <w:rPr>
                <w:rFonts w:ascii="Arial" w:hAnsi="Arial" w:eastAsia="Arial" w:cs="Arial"/>
                <w:sz w:val="22"/>
                <w:szCs w:val="22"/>
              </w:rPr>
              <w:t>• Drainage hotspots inspected and upgraded</w:t>
            </w:r>
          </w:p>
        </w:tc>
        <w:tc>
          <w:tcPr>
            <w:tcW w:w="2756" w:type="dxa"/>
            <w:shd w:val="clear" w:color="auto" w:fill="EADCF8"/>
            <w:tcMar/>
            <w:vAlign w:val="top"/>
          </w:tcPr>
          <w:p w:rsidR="1C8B0BE6" w:rsidP="1C8B0BE6" w:rsidRDefault="1C8B0BE6" w14:paraId="280537E6" w14:textId="1D87F26A">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b w:val="1"/>
                <w:bCs w:val="1"/>
                <w:sz w:val="22"/>
                <w:szCs w:val="22"/>
              </w:rPr>
              <w:t>MEASURES</w:t>
            </w:r>
            <w:r>
              <w:br/>
            </w:r>
            <w:r w:rsidRPr="1C8B0BE6" w:rsidR="1C8B0BE6">
              <w:rPr>
                <w:rFonts w:ascii="Arial" w:hAnsi="Arial" w:eastAsia="Arial" w:cs="Arial"/>
                <w:sz w:val="22"/>
                <w:szCs w:val="22"/>
              </w:rPr>
              <w:t>• Milestones met within tolerance</w:t>
            </w:r>
            <w:r>
              <w:br/>
            </w:r>
            <w:r w:rsidRPr="1C8B0BE6" w:rsidR="1C8B0BE6">
              <w:rPr>
                <w:rFonts w:ascii="Arial" w:hAnsi="Arial" w:eastAsia="Arial" w:cs="Arial"/>
                <w:sz w:val="22"/>
                <w:szCs w:val="22"/>
              </w:rPr>
              <w:t>• Zero major H&amp;S incidents</w:t>
            </w:r>
            <w:r>
              <w:br/>
            </w:r>
            <w:r w:rsidRPr="1C8B0BE6" w:rsidR="1C8B0BE6">
              <w:rPr>
                <w:rFonts w:ascii="Arial" w:hAnsi="Arial" w:eastAsia="Arial" w:cs="Arial"/>
                <w:sz w:val="22"/>
                <w:szCs w:val="22"/>
              </w:rPr>
              <w:t>• Reduced repeat closures after handover</w:t>
            </w:r>
          </w:p>
        </w:tc>
      </w:tr>
    </w:tbl>
    <w:p xmlns:wp14="http://schemas.microsoft.com/office/word/2010/wordml" w:rsidP="1C8B0BE6" wp14:paraId="688C9627" wp14:textId="39F25E70">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2DAEDF84" wp14:textId="7F129E8D">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color w:val="17375E"/>
          <w:sz w:val="32"/>
          <w:szCs w:val="32"/>
          <w:lang w:val="en-GB"/>
        </w:rPr>
      </w:pPr>
    </w:p>
    <w:p xmlns:wp14="http://schemas.microsoft.com/office/word/2010/wordml" w:rsidP="1C8B0BE6" wp14:paraId="6E7C5BE5" wp14:textId="05FA537F">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color w:val="17375E"/>
          <w:sz w:val="32"/>
          <w:szCs w:val="32"/>
          <w:lang w:val="en-GB"/>
        </w:rPr>
      </w:pPr>
      <w:r w:rsidRPr="1C8B0BE6" w:rsidR="6F7DF0EB">
        <w:rPr>
          <w:rFonts w:ascii="Calibri" w:hAnsi="Calibri" w:eastAsia="Calibri" w:cs="Calibri" w:asciiTheme="minorAscii" w:hAnsiTheme="minorAscii" w:eastAsiaTheme="minorAscii" w:cstheme="minorAscii"/>
          <w:b w:val="1"/>
          <w:bCs w:val="1"/>
          <w:noProof w:val="0"/>
          <w:color w:val="17375E"/>
          <w:sz w:val="32"/>
          <w:szCs w:val="32"/>
          <w:lang w:val="en-GB"/>
        </w:rPr>
        <w:t>6. Gantt Chart</w:t>
      </w:r>
    </w:p>
    <w:p xmlns:wp14="http://schemas.microsoft.com/office/word/2010/wordml" w:rsidP="1C8B0BE6" wp14:paraId="0F35273E" wp14:textId="04E5420A">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29106B58" wp14:textId="6F5D7956">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color w:val="17375E"/>
          <w:sz w:val="32"/>
          <w:szCs w:val="32"/>
          <w:lang w:val="en-GB"/>
        </w:rPr>
      </w:pPr>
      <w:r w:rsidRPr="1C8B0BE6" w:rsidR="6F7DF0EB">
        <w:rPr>
          <w:rFonts w:ascii="Calibri" w:hAnsi="Calibri" w:eastAsia="Calibri" w:cs="Calibri" w:asciiTheme="minorAscii" w:hAnsiTheme="minorAscii" w:eastAsiaTheme="minorAscii" w:cstheme="minorAscii"/>
          <w:noProof w:val="0"/>
          <w:sz w:val="32"/>
          <w:szCs w:val="32"/>
          <w:lang w:val="en-GB"/>
        </w:rPr>
        <w:t xml:space="preserve">The Gantt chart outlines a 24-week programme for infrastructure reconstruction using a phased and integrated approach. The project begins with initiation, surveys, and stakeholder consultation (Weeks 1–4), </w:t>
      </w:r>
      <w:r w:rsidRPr="1C8B0BE6" w:rsidR="6F7DF0EB">
        <w:rPr>
          <w:rFonts w:ascii="Calibri" w:hAnsi="Calibri" w:eastAsia="Calibri" w:cs="Calibri" w:asciiTheme="minorAscii" w:hAnsiTheme="minorAscii" w:eastAsiaTheme="minorAscii" w:cstheme="minorAscii"/>
          <w:noProof w:val="0"/>
          <w:sz w:val="32"/>
          <w:szCs w:val="32"/>
          <w:lang w:val="en-GB"/>
        </w:rPr>
        <w:t>establishing</w:t>
      </w:r>
      <w:r w:rsidRPr="1C8B0BE6" w:rsidR="6F7DF0EB">
        <w:rPr>
          <w:rFonts w:ascii="Calibri" w:hAnsi="Calibri" w:eastAsia="Calibri" w:cs="Calibri" w:asciiTheme="minorAscii" w:hAnsiTheme="minorAscii" w:eastAsiaTheme="minorAscii" w:cstheme="minorAscii"/>
          <w:noProof w:val="0"/>
          <w:sz w:val="32"/>
          <w:szCs w:val="32"/>
          <w:lang w:val="en-GB"/>
        </w:rPr>
        <w:t xml:space="preserve"> priorities and defining the scope of works. This is followed by design development and procurement (Weeks 3–12), ensuring that technical solutions and resources are in place.</w:t>
      </w:r>
    </w:p>
    <w:p xmlns:wp14="http://schemas.microsoft.com/office/word/2010/wordml" w:rsidP="1C8B0BE6" wp14:paraId="34A6979E" wp14:textId="5EAB0AC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5C124403" wp14:textId="358DE8CE">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6F7DF0EB">
        <w:rPr>
          <w:rFonts w:ascii="Calibri" w:hAnsi="Calibri" w:eastAsia="Calibri" w:cs="Calibri" w:asciiTheme="minorAscii" w:hAnsiTheme="minorAscii" w:eastAsiaTheme="minorAscii" w:cstheme="minorAscii"/>
          <w:noProof w:val="0"/>
          <w:sz w:val="32"/>
          <w:szCs w:val="32"/>
          <w:lang w:val="en-GB"/>
        </w:rPr>
        <w:t xml:space="preserve">Construction activities, including road reconstruction, drainage works, and utility coordination, take place between Weeks 9–20, with tasks overlapping to improve efficiency while </w:t>
      </w:r>
      <w:r w:rsidRPr="1C8B0BE6" w:rsidR="6F7DF0EB">
        <w:rPr>
          <w:rFonts w:ascii="Calibri" w:hAnsi="Calibri" w:eastAsia="Calibri" w:cs="Calibri" w:asciiTheme="minorAscii" w:hAnsiTheme="minorAscii" w:eastAsiaTheme="minorAscii" w:cstheme="minorAscii"/>
          <w:noProof w:val="0"/>
          <w:sz w:val="32"/>
          <w:szCs w:val="32"/>
          <w:lang w:val="en-GB"/>
        </w:rPr>
        <w:t>maintaining</w:t>
      </w:r>
      <w:r w:rsidRPr="1C8B0BE6" w:rsidR="6F7DF0EB">
        <w:rPr>
          <w:rFonts w:ascii="Calibri" w:hAnsi="Calibri" w:eastAsia="Calibri" w:cs="Calibri" w:asciiTheme="minorAscii" w:hAnsiTheme="minorAscii" w:eastAsiaTheme="minorAscii" w:cstheme="minorAscii"/>
          <w:noProof w:val="0"/>
          <w:sz w:val="32"/>
          <w:szCs w:val="32"/>
          <w:lang w:val="en-GB"/>
        </w:rPr>
        <w:t xml:space="preserve"> access to critical areas. Footway and access reinstatement are completed in parallel to restore local connectivity.</w:t>
      </w:r>
    </w:p>
    <w:p xmlns:wp14="http://schemas.microsoft.com/office/word/2010/wordml" w:rsidP="1C8B0BE6" wp14:paraId="14B59193" wp14:textId="7ED636E6">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37ED3079" wp14:textId="79C95DB3">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6F7DF0EB">
        <w:rPr>
          <w:rFonts w:ascii="Calibri" w:hAnsi="Calibri" w:eastAsia="Calibri" w:cs="Calibri" w:asciiTheme="minorAscii" w:hAnsiTheme="minorAscii" w:eastAsiaTheme="minorAscii" w:cstheme="minorAscii"/>
          <w:noProof w:val="0"/>
          <w:sz w:val="32"/>
          <w:szCs w:val="32"/>
          <w:lang w:val="en-GB"/>
        </w:rPr>
        <w:t xml:space="preserve">The final stages include testing, handover, and project closeout (Weeks 17–24), ensuring quality assurance and formal completion. Overall, the schedule </w:t>
      </w:r>
      <w:r w:rsidRPr="1C8B0BE6" w:rsidR="6F7DF0EB">
        <w:rPr>
          <w:rFonts w:ascii="Calibri" w:hAnsi="Calibri" w:eastAsia="Calibri" w:cs="Calibri" w:asciiTheme="minorAscii" w:hAnsiTheme="minorAscii" w:eastAsiaTheme="minorAscii" w:cstheme="minorAscii"/>
          <w:noProof w:val="0"/>
          <w:sz w:val="32"/>
          <w:szCs w:val="32"/>
          <w:lang w:val="en-GB"/>
        </w:rPr>
        <w:t>demonstrates</w:t>
      </w:r>
      <w:r w:rsidRPr="1C8B0BE6" w:rsidR="6F7DF0EB">
        <w:rPr>
          <w:rFonts w:ascii="Calibri" w:hAnsi="Calibri" w:eastAsia="Calibri" w:cs="Calibri" w:asciiTheme="minorAscii" w:hAnsiTheme="minorAscii" w:eastAsiaTheme="minorAscii" w:cstheme="minorAscii"/>
          <w:noProof w:val="0"/>
          <w:sz w:val="32"/>
          <w:szCs w:val="32"/>
          <w:lang w:val="en-GB"/>
        </w:rPr>
        <w:t xml:space="preserve"> effective planning, coordination, and time management aligned with project management best practices.</w:t>
      </w:r>
    </w:p>
    <w:p xmlns:wp14="http://schemas.microsoft.com/office/word/2010/wordml" w:rsidP="1C8B0BE6" wp14:paraId="5404EF76" wp14:textId="1A65E140">
      <w:pPr>
        <w:spacing w:before="360" w:beforeAutospacing="off" w:after="270" w:afterAutospacing="off" w:line="360" w:lineRule="auto"/>
        <w:jc w:val="both"/>
        <w:rPr>
          <w:rFonts w:ascii="Arial" w:hAnsi="Arial" w:eastAsia="Arial" w:cs="Arial"/>
          <w:b w:val="1"/>
          <w:bCs w:val="1"/>
          <w:noProof w:val="0"/>
          <w:color w:val="1F4E79"/>
          <w:sz w:val="22"/>
          <w:szCs w:val="22"/>
          <w:lang w:val="en-GB"/>
        </w:rPr>
      </w:pPr>
      <w:r w:rsidRPr="1C8B0BE6" w:rsidR="751E07DD">
        <w:rPr>
          <w:rFonts w:ascii="Arial" w:hAnsi="Arial" w:eastAsia="Arial" w:cs="Arial"/>
          <w:b w:val="1"/>
          <w:bCs w:val="1"/>
          <w:noProof w:val="0"/>
          <w:color w:val="1F4E79"/>
          <w:sz w:val="22"/>
          <w:szCs w:val="22"/>
          <w:lang w:val="en-GB"/>
        </w:rPr>
        <w:t>Gantt Chart Data (24 Weeks)</w:t>
      </w:r>
    </w:p>
    <w:tbl>
      <w:tblPr>
        <w:tblStyle w:val="GridTable5Dark-Accent1"/>
        <w:bidiVisual w:val="0"/>
        <w:tblW w:w="0" w:type="auto"/>
        <w:tblLook w:val="06A0" w:firstRow="1" w:lastRow="0" w:firstColumn="1" w:lastColumn="0" w:noHBand="1" w:noVBand="1"/>
      </w:tblPr>
      <w:tblGrid>
        <w:gridCol w:w="1828"/>
        <w:gridCol w:w="900"/>
        <w:gridCol w:w="980"/>
        <w:gridCol w:w="807"/>
      </w:tblGrid>
      <w:tr w:rsidR="1C8B0BE6" w:rsidTr="1C8B0BE6" w14:paraId="64BAAA72">
        <w:trPr>
          <w:trHeight w:val="300"/>
        </w:trPr>
        <w:tc>
          <w:tcPr>
            <w:tcW w:w="1828" w:type="dxa"/>
            <w:tcMar/>
          </w:tcPr>
          <w:p w:rsidR="1C8B0BE6" w:rsidP="1C8B0BE6" w:rsidRDefault="1C8B0BE6" w14:paraId="5ECAED0A" w14:textId="528CF30E">
            <w:pPr>
              <w:spacing w:before="240" w:beforeAutospacing="off" w:after="150" w:afterAutospacing="off" w:line="360"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Activity</w:t>
            </w:r>
          </w:p>
        </w:tc>
        <w:tc>
          <w:tcPr>
            <w:tcW w:w="900" w:type="dxa"/>
            <w:tcMar/>
          </w:tcPr>
          <w:p w:rsidR="1C8B0BE6" w:rsidP="1C8B0BE6" w:rsidRDefault="1C8B0BE6" w14:paraId="5BE1E4BF" w14:textId="5BAFF889">
            <w:pPr>
              <w:spacing w:before="240" w:beforeAutospacing="off" w:after="150" w:afterAutospacing="off" w:line="360"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Start week</w:t>
            </w:r>
          </w:p>
        </w:tc>
        <w:tc>
          <w:tcPr>
            <w:tcW w:w="980" w:type="dxa"/>
            <w:tcMar/>
          </w:tcPr>
          <w:p w:rsidR="1C8B0BE6" w:rsidP="1C8B0BE6" w:rsidRDefault="1C8B0BE6" w14:paraId="32F93D2E" w14:textId="611FDBC3">
            <w:pPr>
              <w:spacing w:before="240" w:beforeAutospacing="off" w:after="150" w:afterAutospacing="off" w:line="360"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Finish week</w:t>
            </w:r>
          </w:p>
        </w:tc>
        <w:tc>
          <w:tcPr>
            <w:tcW w:w="807" w:type="dxa"/>
            <w:tcMar/>
          </w:tcPr>
          <w:p w:rsidR="1C8B0BE6" w:rsidP="1C8B0BE6" w:rsidRDefault="1C8B0BE6" w14:paraId="1B291A72" w14:textId="69A1C89D">
            <w:pPr>
              <w:spacing w:before="240" w:beforeAutospacing="off" w:after="150" w:afterAutospacing="off" w:line="360" w:lineRule="auto"/>
              <w:rPr>
                <w:rFonts w:ascii="Arial" w:hAnsi="Arial" w:eastAsia="Arial" w:cs="Arial"/>
                <w:b w:val="1"/>
                <w:bCs w:val="1"/>
                <w:color w:val="FFFFFF" w:themeColor="background1" w:themeTint="FF" w:themeShade="FF"/>
                <w:sz w:val="22"/>
                <w:szCs w:val="22"/>
              </w:rPr>
            </w:pPr>
            <w:r w:rsidRPr="1C8B0BE6" w:rsidR="1C8B0BE6">
              <w:rPr>
                <w:rFonts w:ascii="Arial" w:hAnsi="Arial" w:eastAsia="Arial" w:cs="Arial"/>
                <w:b w:val="1"/>
                <w:bCs w:val="1"/>
                <w:color w:val="FFFFFF" w:themeColor="background1" w:themeTint="FF" w:themeShade="FF"/>
                <w:sz w:val="22"/>
                <w:szCs w:val="22"/>
              </w:rPr>
              <w:t>Duration</w:t>
            </w:r>
          </w:p>
        </w:tc>
      </w:tr>
      <w:tr w:rsidR="1C8B0BE6" w:rsidTr="1C8B0BE6" w14:paraId="69A807B8">
        <w:trPr>
          <w:trHeight w:val="300"/>
        </w:trPr>
        <w:tc>
          <w:tcPr>
            <w:tcW w:w="1828" w:type="dxa"/>
            <w:tcMar/>
          </w:tcPr>
          <w:p w:rsidR="1C8B0BE6" w:rsidP="1C8B0BE6" w:rsidRDefault="1C8B0BE6" w14:paraId="28B4B7F6" w14:textId="58DBE041">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Access &amp; make-safe</w:t>
            </w:r>
          </w:p>
        </w:tc>
        <w:tc>
          <w:tcPr>
            <w:tcW w:w="900" w:type="dxa"/>
            <w:tcMar/>
          </w:tcPr>
          <w:p w:rsidR="1C8B0BE6" w:rsidP="1C8B0BE6" w:rsidRDefault="1C8B0BE6" w14:paraId="21EAC811" w14:textId="02E103E9">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0</w:t>
            </w:r>
          </w:p>
        </w:tc>
        <w:tc>
          <w:tcPr>
            <w:tcW w:w="980" w:type="dxa"/>
            <w:tcMar/>
          </w:tcPr>
          <w:p w:rsidR="1C8B0BE6" w:rsidP="1C8B0BE6" w:rsidRDefault="1C8B0BE6" w14:paraId="2F54270B" w14:textId="571218E7">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4</w:t>
            </w:r>
          </w:p>
        </w:tc>
        <w:tc>
          <w:tcPr>
            <w:tcW w:w="807" w:type="dxa"/>
            <w:tcMar/>
          </w:tcPr>
          <w:p w:rsidR="1C8B0BE6" w:rsidP="1C8B0BE6" w:rsidRDefault="1C8B0BE6" w14:paraId="7ADBB71E" w14:textId="4C88EBDF">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4 weeks</w:t>
            </w:r>
          </w:p>
        </w:tc>
      </w:tr>
      <w:tr w:rsidR="1C8B0BE6" w:rsidTr="1C8B0BE6" w14:paraId="3C79618C">
        <w:trPr>
          <w:trHeight w:val="300"/>
        </w:trPr>
        <w:tc>
          <w:tcPr>
            <w:tcW w:w="1828" w:type="dxa"/>
            <w:tcMar/>
          </w:tcPr>
          <w:p w:rsidR="1C8B0BE6" w:rsidP="1C8B0BE6" w:rsidRDefault="1C8B0BE6" w14:paraId="34B8C841" w14:textId="5AEDB4D4">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Clear debris / gullies</w:t>
            </w:r>
          </w:p>
        </w:tc>
        <w:tc>
          <w:tcPr>
            <w:tcW w:w="900" w:type="dxa"/>
            <w:tcMar/>
          </w:tcPr>
          <w:p w:rsidR="1C8B0BE6" w:rsidP="1C8B0BE6" w:rsidRDefault="1C8B0BE6" w14:paraId="46C48600" w14:textId="1BFFFFE9">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0</w:t>
            </w:r>
          </w:p>
        </w:tc>
        <w:tc>
          <w:tcPr>
            <w:tcW w:w="980" w:type="dxa"/>
            <w:tcMar/>
          </w:tcPr>
          <w:p w:rsidR="1C8B0BE6" w:rsidP="1C8B0BE6" w:rsidRDefault="1C8B0BE6" w14:paraId="28BABC41" w14:textId="24EC5C82">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5</w:t>
            </w:r>
          </w:p>
        </w:tc>
        <w:tc>
          <w:tcPr>
            <w:tcW w:w="807" w:type="dxa"/>
            <w:tcMar/>
          </w:tcPr>
          <w:p w:rsidR="1C8B0BE6" w:rsidP="1C8B0BE6" w:rsidRDefault="1C8B0BE6" w14:paraId="0BF269F9" w14:textId="051204FD">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5 weeks</w:t>
            </w:r>
          </w:p>
        </w:tc>
      </w:tr>
      <w:tr w:rsidR="1C8B0BE6" w:rsidTr="1C8B0BE6" w14:paraId="7EF8E677">
        <w:trPr>
          <w:trHeight w:val="300"/>
        </w:trPr>
        <w:tc>
          <w:tcPr>
            <w:tcW w:w="1828" w:type="dxa"/>
            <w:tcMar/>
          </w:tcPr>
          <w:p w:rsidR="1C8B0BE6" w:rsidP="1C8B0BE6" w:rsidRDefault="1C8B0BE6" w14:paraId="0531EBFF" w14:textId="4D5E9653">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Temporary measures</w:t>
            </w:r>
          </w:p>
        </w:tc>
        <w:tc>
          <w:tcPr>
            <w:tcW w:w="900" w:type="dxa"/>
            <w:tcMar/>
          </w:tcPr>
          <w:p w:rsidR="1C8B0BE6" w:rsidP="1C8B0BE6" w:rsidRDefault="1C8B0BE6" w14:paraId="27C54E9E" w14:textId="3E70CA18">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1</w:t>
            </w:r>
          </w:p>
        </w:tc>
        <w:tc>
          <w:tcPr>
            <w:tcW w:w="980" w:type="dxa"/>
            <w:tcMar/>
          </w:tcPr>
          <w:p w:rsidR="1C8B0BE6" w:rsidP="1C8B0BE6" w:rsidRDefault="1C8B0BE6" w14:paraId="739AFF68" w14:textId="6FF17C9E">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6</w:t>
            </w:r>
          </w:p>
        </w:tc>
        <w:tc>
          <w:tcPr>
            <w:tcW w:w="807" w:type="dxa"/>
            <w:tcMar/>
          </w:tcPr>
          <w:p w:rsidR="1C8B0BE6" w:rsidP="1C8B0BE6" w:rsidRDefault="1C8B0BE6" w14:paraId="24AA9691" w14:textId="55A6BF4E">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5 weeks</w:t>
            </w:r>
          </w:p>
        </w:tc>
      </w:tr>
      <w:tr w:rsidR="1C8B0BE6" w:rsidTr="1C8B0BE6" w14:paraId="7BF9F706">
        <w:trPr>
          <w:trHeight w:val="1650"/>
        </w:trPr>
        <w:tc>
          <w:tcPr>
            <w:tcW w:w="1828" w:type="dxa"/>
            <w:tcMar/>
          </w:tcPr>
          <w:p w:rsidR="1C8B0BE6" w:rsidP="1C8B0BE6" w:rsidRDefault="1C8B0BE6" w14:paraId="4D7240FC" w14:textId="34B8437D">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Design</w:t>
            </w:r>
          </w:p>
        </w:tc>
        <w:tc>
          <w:tcPr>
            <w:tcW w:w="900" w:type="dxa"/>
            <w:tcMar/>
          </w:tcPr>
          <w:p w:rsidR="1C8B0BE6" w:rsidP="1C8B0BE6" w:rsidRDefault="1C8B0BE6" w14:paraId="3B32E3E6" w14:textId="1A2DC79B">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3</w:t>
            </w:r>
          </w:p>
        </w:tc>
        <w:tc>
          <w:tcPr>
            <w:tcW w:w="980" w:type="dxa"/>
            <w:tcMar/>
          </w:tcPr>
          <w:p w:rsidR="1C8B0BE6" w:rsidP="1C8B0BE6" w:rsidRDefault="1C8B0BE6" w14:paraId="16BF3362" w14:textId="59C19DE9">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9</w:t>
            </w:r>
          </w:p>
        </w:tc>
        <w:tc>
          <w:tcPr>
            <w:tcW w:w="807" w:type="dxa"/>
            <w:tcMar/>
          </w:tcPr>
          <w:p w:rsidR="1C8B0BE6" w:rsidP="1C8B0BE6" w:rsidRDefault="1C8B0BE6" w14:paraId="4CFE5B50" w14:textId="0B6CAD13">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6 weeks</w:t>
            </w:r>
          </w:p>
        </w:tc>
      </w:tr>
      <w:tr w:rsidR="1C8B0BE6" w:rsidTr="1C8B0BE6" w14:paraId="38A7E830">
        <w:trPr>
          <w:trHeight w:val="300"/>
        </w:trPr>
        <w:tc>
          <w:tcPr>
            <w:tcW w:w="1828" w:type="dxa"/>
            <w:tcMar/>
          </w:tcPr>
          <w:p w:rsidR="1C8B0BE6" w:rsidP="1C8B0BE6" w:rsidRDefault="1C8B0BE6" w14:paraId="7A3F6242" w14:textId="36216FBC">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Procure &amp; mobilise</w:t>
            </w:r>
          </w:p>
        </w:tc>
        <w:tc>
          <w:tcPr>
            <w:tcW w:w="900" w:type="dxa"/>
            <w:tcMar/>
          </w:tcPr>
          <w:p w:rsidR="1C8B0BE6" w:rsidP="1C8B0BE6" w:rsidRDefault="1C8B0BE6" w14:paraId="2B7F350F" w14:textId="7A30EEE2">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5</w:t>
            </w:r>
          </w:p>
        </w:tc>
        <w:tc>
          <w:tcPr>
            <w:tcW w:w="980" w:type="dxa"/>
            <w:tcMar/>
          </w:tcPr>
          <w:p w:rsidR="1C8B0BE6" w:rsidP="1C8B0BE6" w:rsidRDefault="1C8B0BE6" w14:paraId="6634661D" w14:textId="3E389808">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12</w:t>
            </w:r>
          </w:p>
        </w:tc>
        <w:tc>
          <w:tcPr>
            <w:tcW w:w="807" w:type="dxa"/>
            <w:tcMar/>
          </w:tcPr>
          <w:p w:rsidR="1C8B0BE6" w:rsidP="1C8B0BE6" w:rsidRDefault="1C8B0BE6" w14:paraId="5084D7FF" w14:textId="5EDA8711">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7 weeks</w:t>
            </w:r>
          </w:p>
        </w:tc>
      </w:tr>
      <w:tr w:rsidR="1C8B0BE6" w:rsidTr="1C8B0BE6" w14:paraId="47C44DD2">
        <w:trPr>
          <w:trHeight w:val="300"/>
        </w:trPr>
        <w:tc>
          <w:tcPr>
            <w:tcW w:w="1828" w:type="dxa"/>
            <w:tcMar/>
          </w:tcPr>
          <w:p w:rsidR="1C8B0BE6" w:rsidP="1C8B0BE6" w:rsidRDefault="1C8B0BE6" w14:paraId="5080CEDE" w14:textId="2A6CA046">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Permanent repairs / upgrade</w:t>
            </w:r>
          </w:p>
        </w:tc>
        <w:tc>
          <w:tcPr>
            <w:tcW w:w="900" w:type="dxa"/>
            <w:tcMar/>
          </w:tcPr>
          <w:p w:rsidR="1C8B0BE6" w:rsidP="1C8B0BE6" w:rsidRDefault="1C8B0BE6" w14:paraId="63C9E8EC" w14:textId="76852E73">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9</w:t>
            </w:r>
          </w:p>
        </w:tc>
        <w:tc>
          <w:tcPr>
            <w:tcW w:w="980" w:type="dxa"/>
            <w:tcMar/>
          </w:tcPr>
          <w:p w:rsidR="1C8B0BE6" w:rsidP="1C8B0BE6" w:rsidRDefault="1C8B0BE6" w14:paraId="74004EC3" w14:textId="2BA307A0">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22</w:t>
            </w:r>
          </w:p>
        </w:tc>
        <w:tc>
          <w:tcPr>
            <w:tcW w:w="807" w:type="dxa"/>
            <w:tcMar/>
          </w:tcPr>
          <w:p w:rsidR="1C8B0BE6" w:rsidP="1C8B0BE6" w:rsidRDefault="1C8B0BE6" w14:paraId="52C15EA5" w14:textId="5C92ED0D">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13 weeks</w:t>
            </w:r>
          </w:p>
        </w:tc>
      </w:tr>
      <w:tr w:rsidR="1C8B0BE6" w:rsidTr="1C8B0BE6" w14:paraId="080BCB56">
        <w:trPr>
          <w:trHeight w:val="300"/>
        </w:trPr>
        <w:tc>
          <w:tcPr>
            <w:tcW w:w="1828" w:type="dxa"/>
            <w:tcMar/>
          </w:tcPr>
          <w:p w:rsidR="1C8B0BE6" w:rsidP="1C8B0BE6" w:rsidRDefault="1C8B0BE6" w14:paraId="56A65104" w14:textId="6807BA3B">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Handover &amp; closeout</w:t>
            </w:r>
          </w:p>
        </w:tc>
        <w:tc>
          <w:tcPr>
            <w:tcW w:w="900" w:type="dxa"/>
            <w:tcMar/>
          </w:tcPr>
          <w:p w:rsidR="1C8B0BE6" w:rsidP="1C8B0BE6" w:rsidRDefault="1C8B0BE6" w14:paraId="523F743E" w14:textId="627B2A69">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21</w:t>
            </w:r>
          </w:p>
        </w:tc>
        <w:tc>
          <w:tcPr>
            <w:tcW w:w="980" w:type="dxa"/>
            <w:tcMar/>
          </w:tcPr>
          <w:p w:rsidR="1C8B0BE6" w:rsidP="1C8B0BE6" w:rsidRDefault="1C8B0BE6" w14:paraId="6AB7264C" w14:textId="185972A1">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24</w:t>
            </w:r>
          </w:p>
        </w:tc>
        <w:tc>
          <w:tcPr>
            <w:tcW w:w="807" w:type="dxa"/>
            <w:tcMar/>
          </w:tcPr>
          <w:p w:rsidR="1C8B0BE6" w:rsidP="1C8B0BE6" w:rsidRDefault="1C8B0BE6" w14:paraId="60F02353" w14:textId="48422783">
            <w:pPr>
              <w:spacing w:before="240" w:beforeAutospacing="off" w:after="150" w:afterAutospacing="off" w:line="360" w:lineRule="auto"/>
              <w:rPr>
                <w:rFonts w:ascii="Arial" w:hAnsi="Arial" w:eastAsia="Arial" w:cs="Arial"/>
                <w:sz w:val="22"/>
                <w:szCs w:val="22"/>
              </w:rPr>
            </w:pPr>
            <w:r w:rsidRPr="1C8B0BE6" w:rsidR="1C8B0BE6">
              <w:rPr>
                <w:rFonts w:ascii="Arial" w:hAnsi="Arial" w:eastAsia="Arial" w:cs="Arial"/>
                <w:sz w:val="22"/>
                <w:szCs w:val="22"/>
              </w:rPr>
              <w:t>3 weeks</w:t>
            </w:r>
          </w:p>
        </w:tc>
      </w:tr>
    </w:tbl>
    <w:p xmlns:wp14="http://schemas.microsoft.com/office/word/2010/wordml" w:rsidP="1C8B0BE6" wp14:paraId="263A26F9" wp14:textId="7878D526">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6C8012C0" wp14:textId="2DE3DE1F">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16CCE3F7" wp14:textId="68196E05">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460693CB" wp14:textId="43DBAF43">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p>
    <w:p xmlns:wp14="http://schemas.microsoft.com/office/word/2010/wordml" w:rsidP="1C8B0BE6" wp14:paraId="1B019FC4" wp14:textId="678FE43E">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color w:val="1F1F1F"/>
          <w:sz w:val="22"/>
          <w:szCs w:val="22"/>
          <w:lang w:val="en-GB"/>
        </w:rPr>
      </w:pPr>
    </w:p>
    <w:p xmlns:wp14="http://schemas.microsoft.com/office/word/2010/wordml" w:rsidP="1C8B0BE6" wp14:paraId="3EA6C108" wp14:textId="48A0EBE8">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32DCB613" wp14:textId="198CF2D4">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46204646" wp14:textId="10B5F5AE">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5A1216D8" wp14:textId="24935D63">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46E36C50" wp14:textId="766B13FD">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55E26DF8" wp14:textId="2C0B2AB4">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714F9CE3" wp14:textId="160186D9">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r w:rsidRPr="1C8B0BE6" w:rsidR="1975307B">
        <w:rPr>
          <w:rFonts w:ascii="Calibri" w:hAnsi="Calibri" w:eastAsia="Calibri" w:cs="Calibri" w:asciiTheme="minorAscii" w:hAnsiTheme="minorAscii" w:eastAsiaTheme="minorAscii" w:cstheme="minorAscii"/>
          <w:b w:val="1"/>
          <w:bCs w:val="1"/>
          <w:noProof w:val="0"/>
          <w:sz w:val="32"/>
          <w:szCs w:val="32"/>
          <w:lang w:val="en-GB"/>
        </w:rPr>
        <w:t>7. Stakeholders Involvement</w:t>
      </w:r>
    </w:p>
    <w:p xmlns:wp14="http://schemas.microsoft.com/office/word/2010/wordml" w:rsidP="1C8B0BE6" wp14:paraId="6B486812" wp14:textId="7AC570B0">
      <w:pPr>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335C808B" wp14:textId="093BB56C">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7E7AC44F">
        <w:rPr>
          <w:rFonts w:ascii="Calibri" w:hAnsi="Calibri" w:eastAsia="Calibri" w:cs="Calibri" w:asciiTheme="minorAscii" w:hAnsiTheme="minorAscii" w:eastAsiaTheme="minorAscii" w:cstheme="minorAscii"/>
          <w:noProof w:val="0"/>
          <w:sz w:val="32"/>
          <w:szCs w:val="32"/>
          <w:lang w:val="en-GB"/>
        </w:rPr>
        <w:t>Stakeholder management is central to this project because flood recover</w:t>
      </w:r>
      <w:r w:rsidRPr="1C8B0BE6" w:rsidR="50F501E7">
        <w:rPr>
          <w:rFonts w:ascii="Calibri" w:hAnsi="Calibri" w:eastAsia="Calibri" w:cs="Calibri" w:asciiTheme="minorAscii" w:hAnsiTheme="minorAscii" w:eastAsiaTheme="minorAscii" w:cstheme="minorAscii"/>
          <w:noProof w:val="0"/>
          <w:sz w:val="32"/>
          <w:szCs w:val="32"/>
          <w:lang w:val="en-GB"/>
        </w:rPr>
        <w:t xml:space="preserve">y involves multiple </w:t>
      </w:r>
      <w:r w:rsidRPr="1C8B0BE6" w:rsidR="740896B1">
        <w:rPr>
          <w:rFonts w:ascii="Calibri" w:hAnsi="Calibri" w:eastAsia="Calibri" w:cs="Calibri" w:asciiTheme="minorAscii" w:hAnsiTheme="minorAscii" w:eastAsiaTheme="minorAscii" w:cstheme="minorAscii"/>
          <w:noProof w:val="0"/>
          <w:sz w:val="32"/>
          <w:szCs w:val="32"/>
          <w:lang w:val="en-GB"/>
        </w:rPr>
        <w:t>organisations</w:t>
      </w:r>
      <w:r w:rsidRPr="1C8B0BE6" w:rsidR="50F501E7">
        <w:rPr>
          <w:rFonts w:ascii="Calibri" w:hAnsi="Calibri" w:eastAsia="Calibri" w:cs="Calibri" w:asciiTheme="minorAscii" w:hAnsiTheme="minorAscii" w:eastAsiaTheme="minorAscii" w:cstheme="minorAscii"/>
          <w:noProof w:val="0"/>
          <w:sz w:val="32"/>
          <w:szCs w:val="32"/>
          <w:lang w:val="en-GB"/>
        </w:rPr>
        <w:t xml:space="preserve"> </w:t>
      </w:r>
      <w:r w:rsidRPr="1C8B0BE6" w:rsidR="04B009C3">
        <w:rPr>
          <w:rFonts w:ascii="Calibri" w:hAnsi="Calibri" w:eastAsia="Calibri" w:cs="Calibri" w:asciiTheme="minorAscii" w:hAnsiTheme="minorAscii" w:eastAsiaTheme="minorAscii" w:cstheme="minorAscii"/>
          <w:noProof w:val="0"/>
          <w:sz w:val="32"/>
          <w:szCs w:val="32"/>
          <w:lang w:val="en-GB"/>
        </w:rPr>
        <w:t xml:space="preserve">with </w:t>
      </w:r>
      <w:r w:rsidRPr="1C8B0BE6" w:rsidR="789C93D1">
        <w:rPr>
          <w:rFonts w:ascii="Calibri" w:hAnsi="Calibri" w:eastAsia="Calibri" w:cs="Calibri" w:asciiTheme="minorAscii" w:hAnsiTheme="minorAscii" w:eastAsiaTheme="minorAscii" w:cstheme="minorAscii"/>
          <w:noProof w:val="0"/>
          <w:sz w:val="32"/>
          <w:szCs w:val="32"/>
          <w:lang w:val="en-GB"/>
        </w:rPr>
        <w:t>different responsibilities</w:t>
      </w:r>
      <w:r w:rsidRPr="1C8B0BE6" w:rsidR="7E7AC44F">
        <w:rPr>
          <w:rFonts w:ascii="Calibri" w:hAnsi="Calibri" w:eastAsia="Calibri" w:cs="Calibri" w:asciiTheme="minorAscii" w:hAnsiTheme="minorAscii" w:eastAsiaTheme="minorAscii" w:cstheme="minorAscii"/>
          <w:noProof w:val="0"/>
          <w:sz w:val="32"/>
          <w:szCs w:val="32"/>
          <w:lang w:val="en-GB"/>
        </w:rPr>
        <w:t xml:space="preserve">, </w:t>
      </w:r>
      <w:r w:rsidRPr="1C8B0BE6" w:rsidR="7E7AC44F">
        <w:rPr>
          <w:rFonts w:ascii="Calibri" w:hAnsi="Calibri" w:eastAsia="Calibri" w:cs="Calibri" w:asciiTheme="minorAscii" w:hAnsiTheme="minorAscii" w:eastAsiaTheme="minorAscii" w:cstheme="minorAscii"/>
          <w:noProof w:val="0"/>
          <w:sz w:val="32"/>
          <w:szCs w:val="32"/>
          <w:lang w:val="en-GB"/>
        </w:rPr>
        <w:t>priorities</w:t>
      </w:r>
      <w:r w:rsidRPr="1C8B0BE6" w:rsidR="7E7AC44F">
        <w:rPr>
          <w:rFonts w:ascii="Calibri" w:hAnsi="Calibri" w:eastAsia="Calibri" w:cs="Calibri" w:asciiTheme="minorAscii" w:hAnsiTheme="minorAscii" w:eastAsiaTheme="minorAscii" w:cstheme="minorAscii"/>
          <w:noProof w:val="0"/>
          <w:sz w:val="32"/>
          <w:szCs w:val="32"/>
          <w:lang w:val="en-GB"/>
        </w:rPr>
        <w:t xml:space="preserve"> and legal powers. APM defines stakeholder engagement as the systematic identification, analysis, </w:t>
      </w:r>
      <w:r w:rsidRPr="1C8B0BE6" w:rsidR="7E7AC44F">
        <w:rPr>
          <w:rFonts w:ascii="Calibri" w:hAnsi="Calibri" w:eastAsia="Calibri" w:cs="Calibri" w:asciiTheme="minorAscii" w:hAnsiTheme="minorAscii" w:eastAsiaTheme="minorAscii" w:cstheme="minorAscii"/>
          <w:noProof w:val="0"/>
          <w:sz w:val="32"/>
          <w:szCs w:val="32"/>
          <w:lang w:val="en-GB"/>
        </w:rPr>
        <w:t>planning</w:t>
      </w:r>
      <w:r w:rsidRPr="1C8B0BE6" w:rsidR="7E7AC44F">
        <w:rPr>
          <w:rFonts w:ascii="Calibri" w:hAnsi="Calibri" w:eastAsia="Calibri" w:cs="Calibri" w:asciiTheme="minorAscii" w:hAnsiTheme="minorAscii" w:eastAsiaTheme="minorAscii" w:cstheme="minorAscii"/>
          <w:noProof w:val="0"/>
          <w:sz w:val="32"/>
          <w:szCs w:val="32"/>
          <w:lang w:val="en-GB"/>
        </w:rPr>
        <w:t xml:space="preserve"> and implementation of actions designed to influence stakeholders, and it emphasises that project teams should first understand stakeholders before trying to influence them (APM, n.d.-b; APM, n.d.-c). In the flood risk context, local authorities acting as Lead Local Flood Authorities have an important coordinating role, while the Environment Agency has strategic and operational responsibilities depending on the source of flood risk (LGA, n.d.-b).</w:t>
      </w:r>
    </w:p>
    <w:p xmlns:wp14="http://schemas.microsoft.com/office/word/2010/wordml" w:rsidP="1C8B0BE6" wp14:paraId="5F5AB6FD" wp14:textId="34EF31D5">
      <w:pPr>
        <w:pStyle w:val="Normal"/>
        <w:spacing w:before="255" w:beforeAutospacing="off" w:after="255" w:afterAutospacing="off"/>
        <w:jc w:val="both"/>
        <w:rPr>
          <w:rFonts w:ascii="Calibri" w:hAnsi="Calibri" w:eastAsia="Calibri" w:cs="Calibri" w:asciiTheme="minorAscii" w:hAnsiTheme="minorAscii" w:eastAsiaTheme="minorAscii" w:cstheme="minorAscii"/>
          <w:b w:val="1"/>
          <w:bCs w:val="1"/>
          <w:noProof w:val="0"/>
          <w:sz w:val="32"/>
          <w:szCs w:val="32"/>
          <w:lang w:val="en-GB"/>
        </w:rPr>
      </w:pPr>
    </w:p>
    <w:p xmlns:wp14="http://schemas.microsoft.com/office/word/2010/wordml" w:rsidP="1C8B0BE6" wp14:paraId="047A660C" wp14:textId="15B86585">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1975307B">
        <w:rPr>
          <w:rFonts w:ascii="Calibri" w:hAnsi="Calibri" w:eastAsia="Calibri" w:cs="Calibri" w:asciiTheme="minorAscii" w:hAnsiTheme="minorAscii" w:eastAsiaTheme="minorAscii" w:cstheme="minorAscii"/>
          <w:noProof w:val="0"/>
          <w:sz w:val="32"/>
          <w:szCs w:val="32"/>
          <w:lang w:val="en-GB"/>
        </w:rPr>
        <w:t>For this project, stakeholder involvement must be active rather than symbolic. The local authority sponsor needs timely reporting and clear decision points. The Environment Agency must be consulted on flood-related design assumptions and permissions. Utility providers must be integrated early because buried services can delay construction significantly. Residents and businesses need clear communication on closures, access arrangements and expected benefits. Emergency services must influence route prioritisation so that the project supports response capability even during delivery.</w:t>
      </w:r>
    </w:p>
    <w:p xmlns:wp14="http://schemas.microsoft.com/office/word/2010/wordml" w:rsidP="1C8B0BE6" wp14:paraId="5003634E" wp14:textId="0CCF25A4">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47E5021B" wp14:textId="1032F0D7">
      <w:pPr>
        <w:pStyle w:val="Normal"/>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15AA9F4B" wp14:textId="518B199A">
      <w:pPr>
        <w:spacing w:before="255" w:beforeAutospacing="off" w:after="255" w:afterAutospacing="off"/>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3BA84D31" wp14:textId="7ED26560">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046624CA" wp14:textId="2CE31B96">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11FEE00A" wp14:textId="0A0D2F3D">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r w:rsidRPr="1C8B0BE6" w:rsidR="4912DDF5">
        <w:rPr>
          <w:rFonts w:ascii="Calibri" w:hAnsi="Calibri" w:eastAsia="Calibri" w:cs="Calibri" w:asciiTheme="minorAscii" w:hAnsiTheme="minorAscii" w:eastAsiaTheme="minorAscii" w:cstheme="minorAscii"/>
          <w:b w:val="1"/>
          <w:bCs w:val="1"/>
          <w:noProof w:val="0"/>
          <w:sz w:val="20"/>
          <w:szCs w:val="20"/>
          <w:lang w:val="en-GB"/>
        </w:rPr>
        <w:t xml:space="preserve"> </w:t>
      </w:r>
    </w:p>
    <w:tbl>
      <w:tblPr>
        <w:tblStyle w:val="GridTable5Dark-Accent1"/>
        <w:bidiVisual w:val="0"/>
        <w:tblW w:w="0" w:type="auto"/>
        <w:tblLook w:val="06A0" w:firstRow="1" w:lastRow="0" w:firstColumn="1" w:lastColumn="0" w:noHBand="1" w:noVBand="1"/>
      </w:tblPr>
      <w:tblGrid>
        <w:gridCol w:w="1991"/>
        <w:gridCol w:w="2055"/>
        <w:gridCol w:w="1155"/>
        <w:gridCol w:w="3945"/>
      </w:tblGrid>
      <w:tr w:rsidR="1C8B0BE6" w:rsidTr="1C8B0BE6" w14:paraId="20E164D6">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136AFFFA" w14:textId="743373D9">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Stakeholder</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4AE5BA4C" w14:textId="32DC2A16">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Interest / role</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5E532E11" w14:textId="59D9880F">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Influence</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596BC4B7" w14:textId="056D7CD6">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Engagement approach</w:t>
            </w:r>
          </w:p>
        </w:tc>
      </w:tr>
      <w:tr w:rsidR="1C8B0BE6" w:rsidTr="1C8B0BE6" w14:paraId="7AEE84BE">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43CE1B05" w14:textId="08EA5C0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Local councils / LLFAs</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4241C26C" w14:textId="30F3CEF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Funding, approvals, asset ownership and local recovery leadership</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3AAE7CBE" w14:textId="3C66A97B">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67021F40" w14:textId="643A4BA8">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Weekly governance review and stage-gate decisions</w:t>
            </w:r>
          </w:p>
        </w:tc>
      </w:tr>
      <w:tr w:rsidR="1C8B0BE6" w:rsidTr="1C8B0BE6" w14:paraId="73AA0E40">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10E631DD" w14:textId="53BEDFA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Environment Agency</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0733FDC5" w14:textId="1190C85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Flood risk, permits, resilience input and technical advice</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093F0272" w14:textId="1F6070B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6D89CB5A" w14:textId="615B342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Design consultation and approval checkpoints</w:t>
            </w:r>
          </w:p>
        </w:tc>
      </w:tr>
      <w:tr w:rsidR="1C8B0BE6" w:rsidTr="1C8B0BE6" w14:paraId="13D17BA8">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463C47BF" w14:textId="5EB86D2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Emergency services / LRF partners</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01A18292" w14:textId="71E38D88">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Access, public safety and emergency route continuity</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05BFF546" w14:textId="2E0BE2C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4D20145F" w14:textId="0B64E61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Priority-route planning and incident liaison</w:t>
            </w:r>
          </w:p>
        </w:tc>
      </w:tr>
      <w:tr w:rsidR="1C8B0BE6" w:rsidTr="1C8B0BE6" w14:paraId="3FCE1F89">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45BB8A89" w14:textId="01BC247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Utility providers</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616DA5DB" w14:textId="514B377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Service protection, diversions and reinstatement</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2E400927" w14:textId="249AF49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5B08003D" w14:textId="0CF1BC44">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Joint planning meetings and integrated programme updates</w:t>
            </w:r>
          </w:p>
        </w:tc>
      </w:tr>
      <w:tr w:rsidR="1C8B0BE6" w:rsidTr="1C8B0BE6" w14:paraId="57DB0D3A">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0A6E6BD8" w14:textId="67A0C599">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Residents and community groups</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15AEDB6D" w14:textId="2800AF5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Access, disruption, safety and local accountability</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3CEFE190" w14:textId="2E4E8FFE">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Medium</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1B08F6BE" w14:textId="7F25483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Notices, public updates, helpline and drop-in sessions</w:t>
            </w:r>
          </w:p>
        </w:tc>
      </w:tr>
      <w:tr w:rsidR="1C8B0BE6" w:rsidTr="1C8B0BE6" w14:paraId="53C59AB8">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4BD6E39A" w14:textId="476BED6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Local businesses</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73423E87" w14:textId="7FA53D3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Access for staff, deliveries and customers</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37529AD3" w14:textId="0506BB07">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Medium</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7AB484D6" w14:textId="3AADE658">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Phased works plans and targeted communications</w:t>
            </w:r>
          </w:p>
        </w:tc>
      </w:tr>
      <w:tr w:rsidR="1C8B0BE6" w:rsidTr="1C8B0BE6" w14:paraId="167720B9">
        <w:trPr>
          <w:trHeight w:val="300"/>
        </w:trPr>
        <w:tc>
          <w:tcPr>
            <w:cnfStyle w:val="001000000000" w:firstRow="0" w:lastRow="0" w:firstColumn="1" w:lastColumn="0" w:oddVBand="0" w:evenVBand="0" w:oddHBand="0" w:evenHBand="0" w:firstRowFirstColumn="0" w:firstRowLastColumn="0" w:lastRowFirstColumn="0" w:lastRowLastColumn="0"/>
            <w:tcW w:w="1991" w:type="dxa"/>
            <w:tcMar/>
          </w:tcPr>
          <w:p w:rsidR="1C8B0BE6" w:rsidP="1C8B0BE6" w:rsidRDefault="1C8B0BE6" w14:paraId="27D45D41" w14:textId="290DC9C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Contractors and suppliers</w:t>
            </w:r>
          </w:p>
        </w:tc>
        <w:tc>
          <w:tcPr>
            <w:cnfStyle w:val="000000000000" w:firstRow="0" w:lastRow="0" w:firstColumn="0" w:lastColumn="0" w:oddVBand="0" w:evenVBand="0" w:oddHBand="0" w:evenHBand="0" w:firstRowFirstColumn="0" w:firstRowLastColumn="0" w:lastRowFirstColumn="0" w:lastRowLastColumn="0"/>
            <w:tcW w:w="2055" w:type="dxa"/>
            <w:tcMar/>
          </w:tcPr>
          <w:p w:rsidR="1C8B0BE6" w:rsidP="1C8B0BE6" w:rsidRDefault="1C8B0BE6" w14:paraId="296209D5" w14:textId="1C768E2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Delivery, performance, safety and cost control</w:t>
            </w:r>
          </w:p>
        </w:tc>
        <w:tc>
          <w:tcPr>
            <w:cnfStyle w:val="000000000000" w:firstRow="0" w:lastRow="0" w:firstColumn="0" w:lastColumn="0" w:oddVBand="0" w:evenVBand="0" w:oddHBand="0" w:evenHBand="0" w:firstRowFirstColumn="0" w:firstRowLastColumn="0" w:lastRowFirstColumn="0" w:lastRowLastColumn="0"/>
            <w:tcW w:w="1155" w:type="dxa"/>
            <w:tcMar/>
          </w:tcPr>
          <w:p w:rsidR="1C8B0BE6" w:rsidP="1C8B0BE6" w:rsidRDefault="1C8B0BE6" w14:paraId="510817E8" w14:textId="726CCB2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High</w:t>
            </w:r>
          </w:p>
        </w:tc>
        <w:tc>
          <w:tcPr>
            <w:cnfStyle w:val="000000000000" w:firstRow="0" w:lastRow="0" w:firstColumn="0" w:lastColumn="0" w:oddVBand="0" w:evenVBand="0" w:oddHBand="0" w:evenHBand="0" w:firstRowFirstColumn="0" w:firstRowLastColumn="0" w:lastRowFirstColumn="0" w:lastRowLastColumn="0"/>
            <w:tcW w:w="3945" w:type="dxa"/>
            <w:tcMar/>
          </w:tcPr>
          <w:p w:rsidR="1C8B0BE6" w:rsidP="1C8B0BE6" w:rsidRDefault="1C8B0BE6" w14:paraId="073452D2" w14:textId="24157B2F">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Weekly progress meetings and KPI</w:t>
            </w:r>
          </w:p>
        </w:tc>
      </w:tr>
    </w:tbl>
    <w:p xmlns:wp14="http://schemas.microsoft.com/office/word/2010/wordml" w:rsidP="1C8B0BE6" wp14:paraId="11182D4C" wp14:textId="24F13C85">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5D9D4D8C" wp14:textId="3FBD72FD">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49765E92" wp14:textId="2417D839">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43CB4897" wp14:textId="14FEBDC2">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2171EF74" wp14:textId="7CFB934E">
      <w:pPr>
        <w:spacing w:before="0" w:after="0" w:line="240" w:lineRule="auto"/>
        <w:jc w:val="center"/>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631E0D5F" wp14:textId="74691AD7">
      <w:pPr>
        <w:spacing w:before="255" w:beforeAutospacing="off" w:after="255" w:afterAutospacing="off"/>
        <w:jc w:val="both"/>
        <w:rPr>
          <w:rFonts w:ascii="Calibri" w:hAnsi="Calibri" w:eastAsia="Calibri" w:cs="Calibri" w:asciiTheme="minorAscii" w:hAnsiTheme="minorAscii" w:eastAsiaTheme="minorAscii" w:cstheme="minorAscii"/>
          <w:noProof w:val="0"/>
          <w:sz w:val="32"/>
          <w:szCs w:val="32"/>
          <w:lang w:val="en-GB"/>
        </w:rPr>
      </w:pPr>
      <w:r w:rsidRPr="1C8B0BE6" w:rsidR="43D2F4E0">
        <w:rPr>
          <w:rFonts w:ascii="Calibri" w:hAnsi="Calibri" w:eastAsia="Calibri" w:cs="Calibri" w:asciiTheme="minorAscii" w:hAnsiTheme="minorAscii" w:eastAsiaTheme="minorAscii" w:cstheme="minorAscii"/>
          <w:noProof w:val="0"/>
          <w:sz w:val="32"/>
          <w:szCs w:val="32"/>
          <w:lang w:val="en-GB"/>
        </w:rPr>
        <w:t>The communication rhythm should include daily site coordination during active works, weekly contractor and technical meetings, fortnightly multi-stakeholder review meetings, monthly sponsor reports and advance public notice before any major traffic restriction or phase change. This approach reduces conflict, supports transparency and makes issue escalation faster.</w:t>
      </w:r>
    </w:p>
    <w:p xmlns:wp14="http://schemas.microsoft.com/office/word/2010/wordml" w:rsidP="1C8B0BE6" wp14:paraId="506BEF76" wp14:textId="44169A43">
      <w:pPr>
        <w:spacing w:before="0" w:after="0" w:line="240" w:lineRule="auto"/>
        <w:jc w:val="both"/>
        <w:rPr>
          <w:rFonts w:ascii="Calibri" w:hAnsi="Calibri" w:eastAsia="Calibri" w:cs="Calibri" w:asciiTheme="minorAscii" w:hAnsiTheme="minorAscii" w:eastAsiaTheme="minorAscii" w:cstheme="minorAscii"/>
          <w:b w:val="1"/>
          <w:bCs w:val="1"/>
          <w:noProof w:val="0"/>
          <w:sz w:val="20"/>
          <w:szCs w:val="20"/>
          <w:lang w:val="en-GB"/>
        </w:rPr>
      </w:pPr>
    </w:p>
    <w:p xmlns:wp14="http://schemas.microsoft.com/office/word/2010/wordml" w:rsidP="1C8B0BE6" wp14:paraId="3BAAC53A" wp14:textId="51A9E8FA">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6261F719" wp14:textId="71757576">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44E50319" wp14:textId="69F3EF39">
      <w:pPr>
        <w:spacing w:before="0" w:after="0" w:line="240" w:lineRule="auto"/>
        <w:jc w:val="both"/>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1821821B" wp14:textId="523D71BD">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1F26C2F7" wp14:textId="5A9A6C92">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234839A3" wp14:textId="32FAE995">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4B50659C" wp14:textId="3109E7CF">
      <w:pPr>
        <w:spacing w:before="0" w:after="0" w:line="240" w:lineRule="auto"/>
        <w:jc w:val="center"/>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C8B0BE6" wp14:paraId="0B09B5AB" wp14:textId="42E541E5">
      <w:pPr>
        <w:rPr>
          <w:rFonts w:ascii="Calibri" w:hAnsi="Calibri" w:eastAsia="Calibri" w:cs="Calibri" w:asciiTheme="minorAscii" w:hAnsiTheme="minorAscii" w:eastAsiaTheme="minorAscii" w:cstheme="minorAscii"/>
          <w:sz w:val="20"/>
          <w:szCs w:val="20"/>
        </w:rPr>
      </w:pPr>
    </w:p>
    <w:p xmlns:wp14="http://schemas.microsoft.com/office/word/2010/wordml" w:rsidP="1C8B0BE6" wp14:paraId="239D8EEE" wp14:textId="472A58DB">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C8B0BE6" w:rsidR="20C5C6BF">
        <w:rPr>
          <w:rFonts w:ascii="Calibri" w:hAnsi="Calibri" w:eastAsia="Calibri" w:cs="Calibri" w:asciiTheme="minorAscii" w:hAnsiTheme="minorAscii" w:eastAsiaTheme="minorAscii" w:cstheme="minorAscii"/>
          <w:b w:val="1"/>
          <w:bCs w:val="1"/>
          <w:noProof w:val="0"/>
          <w:sz w:val="32"/>
          <w:szCs w:val="32"/>
          <w:lang w:val="en-GB"/>
        </w:rPr>
        <w:t>8. Allocation of Resources</w:t>
      </w:r>
    </w:p>
    <w:p xmlns:wp14="http://schemas.microsoft.com/office/word/2010/wordml" w:rsidP="1C8B0BE6" wp14:paraId="10933E0B" wp14:textId="246182CE">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20C5C6BF">
        <w:rPr>
          <w:rFonts w:ascii="Calibri" w:hAnsi="Calibri" w:eastAsia="Calibri" w:cs="Calibri" w:asciiTheme="minorAscii" w:hAnsiTheme="minorAscii" w:eastAsiaTheme="minorAscii" w:cstheme="minorAscii"/>
          <w:noProof w:val="0"/>
          <w:sz w:val="32"/>
          <w:szCs w:val="32"/>
          <w:lang w:val="en-GB"/>
        </w:rPr>
        <w:t>Resource allocation for this project must cover people, plant, materials, funding and management capacity. APM describes resource management as the acquisition, allocation and management of resources such as individuals, skills, finance, technology, materials and machinery required for a project, while resource optimisation focuses on matching labour and non-labour resources to the schedule (APM, n.d.-d; APM, n.d.-e). That is particularly relevant in post-flood reconstruction because specialist engineers, drainage crews, plant operators and traffic management teams are all constrained resources that may be in demand across several recovery sites at once.</w:t>
      </w:r>
    </w:p>
    <w:p xmlns:wp14="http://schemas.microsoft.com/office/word/2010/wordml" w:rsidP="1C8B0BE6" wp14:paraId="28F04C18" wp14:textId="1912520B">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20C5C6BF">
        <w:rPr>
          <w:rFonts w:ascii="Calibri" w:hAnsi="Calibri" w:eastAsia="Calibri" w:cs="Calibri" w:asciiTheme="minorAscii" w:hAnsiTheme="minorAscii" w:eastAsiaTheme="minorAscii" w:cstheme="minorAscii"/>
          <w:noProof w:val="0"/>
          <w:sz w:val="32"/>
          <w:szCs w:val="32"/>
          <w:lang w:val="en-GB"/>
        </w:rPr>
        <w:t>A mixed delivery model is recommended. Core project management, sponsor control and technical assurance should remain with the client side, while physical reconstruction works should be delivered through external contractors using clear work packages, measurable outputs and safety requirements. This provides public accountability while also giving the project manager access to construction capacity at scale.</w:t>
      </w:r>
    </w:p>
    <w:p xmlns:wp14="http://schemas.microsoft.com/office/word/2010/wordml" w:rsidP="1C8B0BE6" wp14:paraId="2C9FEBFB" wp14:textId="74EE783D">
      <w:pPr>
        <w:rPr>
          <w:rFonts w:ascii="Calibri" w:hAnsi="Calibri" w:eastAsia="Calibri" w:cs="Calibri" w:asciiTheme="minorAscii" w:hAnsiTheme="minorAscii" w:eastAsiaTheme="minorAscii" w:cstheme="minorAscii"/>
          <w:sz w:val="20"/>
          <w:szCs w:val="20"/>
        </w:rPr>
      </w:pPr>
    </w:p>
    <w:tbl>
      <w:tblPr>
        <w:tblStyle w:val="GridTable5Dark-Accent1"/>
        <w:bidiVisual w:val="0"/>
        <w:tblW w:w="0" w:type="auto"/>
        <w:tblLook w:val="06A0" w:firstRow="1" w:lastRow="0" w:firstColumn="1" w:lastColumn="0" w:noHBand="1" w:noVBand="1"/>
      </w:tblPr>
      <w:tblGrid>
        <w:gridCol w:w="2156"/>
        <w:gridCol w:w="1414"/>
        <w:gridCol w:w="5572"/>
      </w:tblGrid>
      <w:tr w:rsidR="1C8B0BE6" w:rsidTr="1C8B0BE6" w14:paraId="671CC6CB">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1C0B571A" w14:textId="193B8F0A">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Role</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7C53AF82" w14:textId="737D5554">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Indicative quantity</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76669952" w14:textId="47AB70D4">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Primary responsibility</w:t>
            </w:r>
          </w:p>
        </w:tc>
      </w:tr>
      <w:tr w:rsidR="1C8B0BE6" w:rsidTr="1C8B0BE6" w14:paraId="6BEA91F8">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38AA6899" w14:textId="464FF1F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Project manager</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346D05AE" w14:textId="5B146B6C">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416E98D2" w14:textId="0763F67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Overall delivery, governance, integration, reporting and change control</w:t>
            </w:r>
          </w:p>
        </w:tc>
      </w:tr>
      <w:tr w:rsidR="1C8B0BE6" w:rsidTr="1C8B0BE6" w14:paraId="68671114">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41F65F61" w14:textId="2F73E197">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Deputy PM / site delivery lead</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701BCDF5" w14:textId="0FC56983">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6D082046" w14:textId="06B1291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Day-to-day coordination across the three towns</w:t>
            </w:r>
          </w:p>
        </w:tc>
      </w:tr>
      <w:tr w:rsidR="1C8B0BE6" w:rsidTr="1C8B0BE6" w14:paraId="017306A9">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46BB0B18" w14:textId="5BABD97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Civil / drainage engineers</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316BF461" w14:textId="3C6DBE0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3</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0F73FA86" w14:textId="32A4966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Technical assurance, design review and defect resolution</w:t>
            </w:r>
          </w:p>
        </w:tc>
      </w:tr>
      <w:tr w:rsidR="1C8B0BE6" w:rsidTr="1C8B0BE6" w14:paraId="0DD4F538">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4C23CCCE" w14:textId="13DB4692">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Planner / scheduler</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2A2085D2" w14:textId="5A83AF1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0F239483" w14:textId="1DDC6034">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Programme maintenance, look-ahead planning and critical path tracking</w:t>
            </w:r>
          </w:p>
        </w:tc>
      </w:tr>
      <w:tr w:rsidR="1C8B0BE6" w:rsidTr="1C8B0BE6" w14:paraId="621F2345">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2E83EA70" w14:textId="2C2A423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Quantity surveyor / cost controller</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08C04073" w14:textId="7E17F78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19D08007" w14:textId="2BFE579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Budget control, forecasting and contractor valuation</w:t>
            </w:r>
          </w:p>
        </w:tc>
      </w:tr>
      <w:tr w:rsidR="1C8B0BE6" w:rsidTr="1C8B0BE6" w14:paraId="7954A6B0">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7B4893F6" w14:textId="371068A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HSE manager</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0E0ED1B8" w14:textId="0FD2464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2630CF02" w14:textId="5DE08BE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Safety systems, audits and incident management</w:t>
            </w:r>
          </w:p>
        </w:tc>
      </w:tr>
      <w:tr w:rsidR="1C8B0BE6" w:rsidTr="1C8B0BE6" w14:paraId="41978982">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1F76BE71" w14:textId="257695C5">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Community liaison officer</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44B1EB5D" w14:textId="68EAE885">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19C9C1DC" w14:textId="5A8B306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Resident and business communication</w:t>
            </w:r>
          </w:p>
        </w:tc>
      </w:tr>
      <w:tr w:rsidR="1C8B0BE6" w:rsidTr="1C8B0BE6" w14:paraId="70DBF816">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7828AEDF" w14:textId="7EE788C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Town-based site supervisors</w:t>
            </w:r>
          </w:p>
        </w:tc>
        <w:tc>
          <w:tcPr>
            <w:cnfStyle w:val="000000000000" w:firstRow="0" w:lastRow="0" w:firstColumn="0" w:lastColumn="0" w:oddVBand="0" w:evenVBand="0" w:oddHBand="0" w:evenHBand="0" w:firstRowFirstColumn="0" w:firstRowLastColumn="0" w:lastRowFirstColumn="0" w:lastRowLastColumn="0"/>
            <w:tcW w:w="1414" w:type="dxa"/>
            <w:tcMar/>
          </w:tcPr>
          <w:p w:rsidR="1C8B0BE6" w:rsidP="1C8B0BE6" w:rsidRDefault="1C8B0BE6" w14:paraId="62811E75" w14:textId="6A31C4B6">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3</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2AEB9F6E" w14:textId="55A4D9E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Supervision of active work fronts</w:t>
            </w:r>
          </w:p>
        </w:tc>
      </w:tr>
      <w:tr w:rsidR="1C8B0BE6" w:rsidTr="1C8B0BE6" w14:paraId="6F5D7EB5">
        <w:trPr>
          <w:trHeight w:val="300"/>
        </w:trPr>
        <w:tc>
          <w:tcPr>
            <w:cnfStyle w:val="001000000000" w:firstRow="0" w:lastRow="0" w:firstColumn="1" w:lastColumn="0" w:oddVBand="0" w:evenVBand="0" w:oddHBand="0" w:evenHBand="0" w:firstRowFirstColumn="0" w:firstRowLastColumn="0" w:lastRowFirstColumn="0" w:lastRowLastColumn="0"/>
            <w:tcW w:w="2156" w:type="dxa"/>
            <w:tcMar/>
          </w:tcPr>
          <w:p w:rsidR="1C8B0BE6" w:rsidP="1C8B0BE6" w:rsidRDefault="1C8B0BE6" w14:paraId="2BC27C9E" w14:textId="755CEA27">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Operatives, plant crews and specialists</w:t>
            </w:r>
          </w:p>
        </w:tc>
        <w:tc>
          <w:tcPr>
            <w:cnfStyle w:val="000000000000" w:firstRow="0" w:lastRow="0" w:firstColumn="0" w:lastColumn="0" w:oddVBand="0" w:evenVBand="0" w:oddHBand="0" w:evenHBand="0" w:firstRowFirstColumn="0" w:firstRowLastColumn="0" w:lastRowFirstColumn="0" w:lastRowLastColumn="0"/>
            <w:tcW w:w="1414" w:type="dxa"/>
            <w:tcMar/>
          </w:tcPr>
          <w:p w:rsidR="393032C7" w:rsidP="1C8B0BE6" w:rsidRDefault="393032C7" w14:paraId="21FFA7B0" w14:textId="59BA4A33">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20"/>
                <w:szCs w:val="20"/>
              </w:rPr>
            </w:pPr>
            <w:r w:rsidRPr="1C8B0BE6" w:rsidR="393032C7">
              <w:rPr>
                <w:rFonts w:ascii="Calibri" w:hAnsi="Calibri" w:eastAsia="Calibri" w:cs="Calibri" w:asciiTheme="minorAscii" w:hAnsiTheme="minorAscii" w:eastAsiaTheme="minorAscii" w:cstheme="minorAscii"/>
                <w:color w:val="1F1F1F"/>
                <w:sz w:val="20"/>
                <w:szCs w:val="20"/>
              </w:rPr>
              <w:t>1.7</w:t>
            </w:r>
          </w:p>
        </w:tc>
        <w:tc>
          <w:tcPr>
            <w:cnfStyle w:val="000000000000" w:firstRow="0" w:lastRow="0" w:firstColumn="0" w:lastColumn="0" w:oddVBand="0" w:evenVBand="0" w:oddHBand="0" w:evenHBand="0" w:firstRowFirstColumn="0" w:firstRowLastColumn="0" w:lastRowFirstColumn="0" w:lastRowLastColumn="0"/>
            <w:tcW w:w="5572" w:type="dxa"/>
            <w:tcMar/>
          </w:tcPr>
          <w:p w:rsidR="1C8B0BE6" w:rsidP="1C8B0BE6" w:rsidRDefault="1C8B0BE6" w14:paraId="2D22C90E" w14:textId="10171084">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 xml:space="preserve">Execution of civil, drainage and reinstatement </w:t>
            </w:r>
            <w:r w:rsidRPr="1C8B0BE6" w:rsidR="3EDB2022">
              <w:rPr>
                <w:rFonts w:ascii="Calibri" w:hAnsi="Calibri" w:eastAsia="Calibri" w:cs="Calibri" w:asciiTheme="minorAscii" w:hAnsiTheme="minorAscii" w:eastAsiaTheme="minorAscii" w:cstheme="minorAscii"/>
                <w:color w:val="1F1F1F"/>
                <w:sz w:val="20"/>
                <w:szCs w:val="20"/>
              </w:rPr>
              <w:t>work</w:t>
            </w:r>
          </w:p>
        </w:tc>
      </w:tr>
    </w:tbl>
    <w:p xmlns:wp14="http://schemas.microsoft.com/office/word/2010/wordml" w:rsidP="1C8B0BE6" wp14:paraId="5E5787A5" wp14:textId="7E95CCC1">
      <w:pPr>
        <w:rPr>
          <w:rFonts w:ascii="Calibri" w:hAnsi="Calibri" w:eastAsia="Calibri" w:cs="Calibri" w:asciiTheme="minorAscii" w:hAnsiTheme="minorAscii" w:eastAsiaTheme="minorAscii" w:cstheme="minorAscii"/>
          <w:sz w:val="32"/>
          <w:szCs w:val="32"/>
        </w:rPr>
      </w:pPr>
    </w:p>
    <w:p w:rsidR="0D1EDA30" w:rsidP="1C8B0BE6" w:rsidRDefault="0D1EDA30" w14:paraId="3BF226EA" w14:textId="3849B947">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0D1EDA30">
        <w:rPr>
          <w:rFonts w:ascii="Calibri" w:hAnsi="Calibri" w:eastAsia="Calibri" w:cs="Calibri" w:asciiTheme="minorAscii" w:hAnsiTheme="minorAscii" w:eastAsiaTheme="minorAscii" w:cstheme="minorAscii"/>
          <w:noProof w:val="0"/>
          <w:sz w:val="32"/>
          <w:szCs w:val="32"/>
          <w:lang w:val="en-GB"/>
        </w:rPr>
        <w:t xml:space="preserve">Key non-labour resources include excavators, rollers, compactors, pumps, dewatering systems, temporary barriers, traffic signs, lighting units, aggregates, asphalt, kerbs, drainage pipes, precast culvert units, </w:t>
      </w:r>
      <w:r w:rsidRPr="1C8B0BE6" w:rsidR="0D1EDA30">
        <w:rPr>
          <w:rFonts w:ascii="Calibri" w:hAnsi="Calibri" w:eastAsia="Calibri" w:cs="Calibri" w:asciiTheme="minorAscii" w:hAnsiTheme="minorAscii" w:eastAsiaTheme="minorAscii" w:cstheme="minorAscii"/>
          <w:noProof w:val="0"/>
          <w:sz w:val="32"/>
          <w:szCs w:val="32"/>
          <w:lang w:val="en-GB"/>
        </w:rPr>
        <w:t>PPE</w:t>
      </w:r>
      <w:r w:rsidRPr="1C8B0BE6" w:rsidR="0D1EDA30">
        <w:rPr>
          <w:rFonts w:ascii="Calibri" w:hAnsi="Calibri" w:eastAsia="Calibri" w:cs="Calibri" w:asciiTheme="minorAscii" w:hAnsiTheme="minorAscii" w:eastAsiaTheme="minorAscii" w:cstheme="minorAscii"/>
          <w:noProof w:val="0"/>
          <w:sz w:val="32"/>
          <w:szCs w:val="32"/>
          <w:lang w:val="en-GB"/>
        </w:rPr>
        <w:t xml:space="preserve"> and survey equipment. Procurement should emphasise framework suppliers where possible so that mobilisation is not delayed by avoidable tendering time. Materials with long lead times should be ordered early, especially specialist drainage and culvert components.</w:t>
      </w:r>
    </w:p>
    <w:p w:rsidR="0D1EDA30" w:rsidP="1C8B0BE6" w:rsidRDefault="0D1EDA30" w14:paraId="3773460E" w14:textId="06CD9E53">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0D1EDA30">
        <w:rPr>
          <w:rFonts w:ascii="Calibri" w:hAnsi="Calibri" w:eastAsia="Calibri" w:cs="Calibri" w:asciiTheme="minorAscii" w:hAnsiTheme="minorAscii" w:eastAsiaTheme="minorAscii" w:cstheme="minorAscii"/>
          <w:noProof w:val="0"/>
          <w:sz w:val="32"/>
          <w:szCs w:val="32"/>
          <w:lang w:val="en-GB"/>
        </w:rPr>
        <w:t xml:space="preserve">A preliminary planning budget of </w:t>
      </w:r>
      <w:r w:rsidRPr="1C8B0BE6" w:rsidR="0D1EDA30">
        <w:rPr>
          <w:rFonts w:ascii="Calibri" w:hAnsi="Calibri" w:eastAsia="Calibri" w:cs="Calibri" w:asciiTheme="minorAscii" w:hAnsiTheme="minorAscii" w:eastAsiaTheme="minorAscii" w:cstheme="minorAscii"/>
          <w:b w:val="1"/>
          <w:bCs w:val="1"/>
          <w:noProof w:val="0"/>
          <w:sz w:val="32"/>
          <w:szCs w:val="32"/>
          <w:lang w:val="en-GB"/>
        </w:rPr>
        <w:t>GBP 13.7 million</w:t>
      </w:r>
      <w:r w:rsidRPr="1C8B0BE6" w:rsidR="0D1EDA30">
        <w:rPr>
          <w:rFonts w:ascii="Calibri" w:hAnsi="Calibri" w:eastAsia="Calibri" w:cs="Calibri" w:asciiTheme="minorAscii" w:hAnsiTheme="minorAscii" w:eastAsiaTheme="minorAscii" w:cstheme="minorAscii"/>
          <w:noProof w:val="0"/>
          <w:sz w:val="32"/>
          <w:szCs w:val="32"/>
          <w:lang w:val="en-GB"/>
        </w:rPr>
        <w:t xml:space="preserve"> is proposed. This would cover project management and controls, surveys and design, enabling works, road reconstruction, drainage and culvert work, utility coordination, </w:t>
      </w:r>
      <w:r w:rsidRPr="1C8B0BE6" w:rsidR="0D1EDA30">
        <w:rPr>
          <w:rFonts w:ascii="Calibri" w:hAnsi="Calibri" w:eastAsia="Calibri" w:cs="Calibri" w:asciiTheme="minorAscii" w:hAnsiTheme="minorAscii" w:eastAsiaTheme="minorAscii" w:cstheme="minorAscii"/>
          <w:noProof w:val="0"/>
          <w:sz w:val="32"/>
          <w:szCs w:val="32"/>
          <w:lang w:val="en-GB"/>
        </w:rPr>
        <w:t>inspections</w:t>
      </w:r>
      <w:r w:rsidRPr="1C8B0BE6" w:rsidR="0D1EDA30">
        <w:rPr>
          <w:rFonts w:ascii="Calibri" w:hAnsi="Calibri" w:eastAsia="Calibri" w:cs="Calibri" w:asciiTheme="minorAscii" w:hAnsiTheme="minorAscii" w:eastAsiaTheme="minorAscii" w:cstheme="minorAscii"/>
          <w:noProof w:val="0"/>
          <w:sz w:val="32"/>
          <w:szCs w:val="32"/>
          <w:lang w:val="en-GB"/>
        </w:rPr>
        <w:t xml:space="preserve"> and contingency. A contingency allowance of around fifteen per cent is justified because post-flood projects </w:t>
      </w:r>
      <w:r w:rsidRPr="1C8B0BE6" w:rsidR="0D1EDA30">
        <w:rPr>
          <w:rFonts w:ascii="Calibri" w:hAnsi="Calibri" w:eastAsia="Calibri" w:cs="Calibri" w:asciiTheme="minorAscii" w:hAnsiTheme="minorAscii" w:eastAsiaTheme="minorAscii" w:cstheme="minorAscii"/>
          <w:noProof w:val="0"/>
          <w:sz w:val="32"/>
          <w:szCs w:val="32"/>
          <w:lang w:val="en-GB"/>
        </w:rPr>
        <w:t>frequently</w:t>
      </w:r>
      <w:r w:rsidRPr="1C8B0BE6" w:rsidR="0D1EDA30">
        <w:rPr>
          <w:rFonts w:ascii="Calibri" w:hAnsi="Calibri" w:eastAsia="Calibri" w:cs="Calibri" w:asciiTheme="minorAscii" w:hAnsiTheme="minorAscii" w:eastAsiaTheme="minorAscii" w:cstheme="minorAscii"/>
          <w:noProof w:val="0"/>
          <w:sz w:val="32"/>
          <w:szCs w:val="32"/>
          <w:lang w:val="en-GB"/>
        </w:rPr>
        <w:t xml:space="preserve"> </w:t>
      </w:r>
      <w:r w:rsidRPr="1C8B0BE6" w:rsidR="0D1EDA30">
        <w:rPr>
          <w:rFonts w:ascii="Calibri" w:hAnsi="Calibri" w:eastAsia="Calibri" w:cs="Calibri" w:asciiTheme="minorAscii" w:hAnsiTheme="minorAscii" w:eastAsiaTheme="minorAscii" w:cstheme="minorAscii"/>
          <w:noProof w:val="0"/>
          <w:sz w:val="32"/>
          <w:szCs w:val="32"/>
          <w:lang w:val="en-GB"/>
        </w:rPr>
        <w:t>encounter</w:t>
      </w:r>
      <w:r w:rsidRPr="1C8B0BE6" w:rsidR="0D1EDA30">
        <w:rPr>
          <w:rFonts w:ascii="Calibri" w:hAnsi="Calibri" w:eastAsia="Calibri" w:cs="Calibri" w:asciiTheme="minorAscii" w:hAnsiTheme="minorAscii" w:eastAsiaTheme="minorAscii" w:cstheme="minorAscii"/>
          <w:noProof w:val="0"/>
          <w:sz w:val="32"/>
          <w:szCs w:val="32"/>
          <w:lang w:val="en-GB"/>
        </w:rPr>
        <w:t xml:space="preserve"> hidden defects, asset record gaps, soft ground </w:t>
      </w:r>
      <w:r w:rsidRPr="1C8B0BE6" w:rsidR="0D1EDA30">
        <w:rPr>
          <w:rFonts w:ascii="Calibri" w:hAnsi="Calibri" w:eastAsia="Calibri" w:cs="Calibri" w:asciiTheme="minorAscii" w:hAnsiTheme="minorAscii" w:eastAsiaTheme="minorAscii" w:cstheme="minorAscii"/>
          <w:noProof w:val="0"/>
          <w:sz w:val="32"/>
          <w:szCs w:val="32"/>
          <w:lang w:val="en-GB"/>
        </w:rPr>
        <w:t>conditions</w:t>
      </w:r>
      <w:r w:rsidRPr="1C8B0BE6" w:rsidR="0D1EDA30">
        <w:rPr>
          <w:rFonts w:ascii="Calibri" w:hAnsi="Calibri" w:eastAsia="Calibri" w:cs="Calibri" w:asciiTheme="minorAscii" w:hAnsiTheme="minorAscii" w:eastAsiaTheme="minorAscii" w:cstheme="minorAscii"/>
          <w:noProof w:val="0"/>
          <w:sz w:val="32"/>
          <w:szCs w:val="32"/>
          <w:lang w:val="en-GB"/>
        </w:rPr>
        <w:t xml:space="preserve"> and utility clashes. Cost control would be </w:t>
      </w:r>
      <w:r w:rsidRPr="1C8B0BE6" w:rsidR="0D1EDA30">
        <w:rPr>
          <w:rFonts w:ascii="Calibri" w:hAnsi="Calibri" w:eastAsia="Calibri" w:cs="Calibri" w:asciiTheme="minorAscii" w:hAnsiTheme="minorAscii" w:eastAsiaTheme="minorAscii" w:cstheme="minorAscii"/>
          <w:noProof w:val="0"/>
          <w:sz w:val="32"/>
          <w:szCs w:val="32"/>
          <w:lang w:val="en-GB"/>
        </w:rPr>
        <w:t>maintained</w:t>
      </w:r>
      <w:r w:rsidRPr="1C8B0BE6" w:rsidR="0D1EDA30">
        <w:rPr>
          <w:rFonts w:ascii="Calibri" w:hAnsi="Calibri" w:eastAsia="Calibri" w:cs="Calibri" w:asciiTheme="minorAscii" w:hAnsiTheme="minorAscii" w:eastAsiaTheme="minorAscii" w:cstheme="minorAscii"/>
          <w:noProof w:val="0"/>
          <w:sz w:val="32"/>
          <w:szCs w:val="32"/>
          <w:lang w:val="en-GB"/>
        </w:rPr>
        <w:t xml:space="preserve"> through monthly earned value style reporting, change control approval thresholds and reforecasting at each major phase gate.</w:t>
      </w:r>
    </w:p>
    <w:p w:rsidR="1C8B0BE6" w:rsidP="1C8B0BE6" w:rsidRDefault="1C8B0BE6" w14:paraId="4DEC63B7" w14:textId="42556417">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tbl>
      <w:tblPr>
        <w:tblStyle w:val="GridTable5Dark-Accent1"/>
        <w:bidiVisual w:val="0"/>
        <w:tblW w:w="0" w:type="auto"/>
        <w:tblLook w:val="06A0" w:firstRow="1" w:lastRow="0" w:firstColumn="1" w:lastColumn="0" w:noHBand="1" w:noVBand="1"/>
      </w:tblPr>
      <w:tblGrid>
        <w:gridCol w:w="5535"/>
        <w:gridCol w:w="3607"/>
      </w:tblGrid>
      <w:tr w:rsidR="1C8B0BE6" w:rsidTr="1C8B0BE6" w14:paraId="79AA0907">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6DEF0634" w14:textId="53C0E454">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Cost heading</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4551AF27" w14:textId="2FD8AA9F">
            <w:pPr>
              <w:spacing w:before="240" w:beforeAutospacing="off" w:after="150" w:afterAutospacing="off" w:line="162"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20"/>
                <w:szCs w:val="20"/>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20"/>
                <w:szCs w:val="20"/>
              </w:rPr>
              <w:t>Estimated cost (GBP m)</w:t>
            </w:r>
          </w:p>
        </w:tc>
      </w:tr>
      <w:tr w:rsidR="1C8B0BE6" w:rsidTr="1C8B0BE6" w14:paraId="0968882D">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17048CB0" w14:textId="4B7E37F8">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Project management and controls</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60E60AB6" w14:textId="091E7FEE">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0.90</w:t>
            </w:r>
          </w:p>
        </w:tc>
      </w:tr>
      <w:tr w:rsidR="1C8B0BE6" w:rsidTr="1C8B0BE6" w14:paraId="12DC1BC5">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25F263FE" w14:textId="0DFE05A4">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Surveys, design and approvals</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76E7DA80" w14:textId="735D9CA6">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0.80</w:t>
            </w:r>
          </w:p>
        </w:tc>
      </w:tr>
      <w:tr w:rsidR="1C8B0BE6" w:rsidTr="1C8B0BE6" w14:paraId="16267091">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7545C6FB" w14:textId="10DE40AD">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Enabling works and traffic management</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2E764145" w14:textId="032FA981">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0.90</w:t>
            </w:r>
          </w:p>
        </w:tc>
      </w:tr>
      <w:tr w:rsidR="1C8B0BE6" w:rsidTr="1C8B0BE6" w14:paraId="65F10CC8">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58861692" w14:textId="4E6C2871">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Road reconstruction</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5ABC8B20" w14:textId="63101B66">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4.80</w:t>
            </w:r>
          </w:p>
        </w:tc>
      </w:tr>
      <w:tr w:rsidR="1C8B0BE6" w:rsidTr="1C8B0BE6" w14:paraId="18031BC8">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2520A2DC" w14:textId="39E085D2">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 xml:space="preserve">Drainage and culvert </w:t>
            </w:r>
            <w:r w:rsidRPr="1C8B0BE6" w:rsidR="0D223928">
              <w:rPr>
                <w:rFonts w:ascii="Calibri" w:hAnsi="Calibri" w:eastAsia="Calibri" w:cs="Calibri" w:asciiTheme="minorAscii" w:hAnsiTheme="minorAscii" w:eastAsiaTheme="minorAscii" w:cstheme="minorAscii"/>
                <w:color w:val="1F1F1F"/>
                <w:sz w:val="20"/>
                <w:szCs w:val="20"/>
              </w:rPr>
              <w:t>work</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28E7A255" w14:textId="1D1C00AC">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2.20</w:t>
            </w:r>
          </w:p>
        </w:tc>
      </w:tr>
      <w:tr w:rsidR="1C8B0BE6" w:rsidTr="1C8B0BE6" w14:paraId="5A75C180">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45FAF23A" w14:textId="2EDEE8FF">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Footways and access route reinstatement</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40D63213" w14:textId="4F54FF1A">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0.70</w:t>
            </w:r>
          </w:p>
        </w:tc>
      </w:tr>
      <w:tr w:rsidR="1C8B0BE6" w:rsidTr="1C8B0BE6" w14:paraId="66D7866B">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0DAFAE79" w14:textId="219FCF18">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Utility coordination and reinstatement support</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20064476" w14:textId="21B0FFDD">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1.20</w:t>
            </w:r>
          </w:p>
        </w:tc>
      </w:tr>
      <w:tr w:rsidR="1C8B0BE6" w:rsidTr="1C8B0BE6" w14:paraId="4AB4EB7E">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2B8D4453" w14:textId="485054C9">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Testing, handover and closeout</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3AAF1D78" w14:textId="666AC02E">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0.30</w:t>
            </w:r>
          </w:p>
        </w:tc>
      </w:tr>
      <w:tr w:rsidR="1C8B0BE6" w:rsidTr="1C8B0BE6" w14:paraId="2DEB65C8">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0612ADCA" w14:textId="6F7868F0">
            <w:pPr>
              <w:spacing w:before="240" w:beforeAutospacing="off" w:after="150" w:afterAutospacing="off" w:line="162" w:lineRule="auto"/>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Contingency (approx. 15%)</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107980E5" w14:textId="529BB790">
            <w:pPr>
              <w:spacing w:before="240" w:beforeAutospacing="off" w:after="150" w:afterAutospacing="off" w:line="162" w:lineRule="auto"/>
              <w:jc w:val="right"/>
              <w:rPr>
                <w:rFonts w:ascii="Calibri" w:hAnsi="Calibri" w:eastAsia="Calibri" w:cs="Calibri" w:asciiTheme="minorAscii" w:hAnsiTheme="minorAscii" w:eastAsiaTheme="minorAscii" w:cstheme="minorAscii"/>
                <w:color w:val="1F1F1F"/>
                <w:sz w:val="20"/>
                <w:szCs w:val="20"/>
              </w:rPr>
            </w:pPr>
            <w:r w:rsidRPr="1C8B0BE6" w:rsidR="1C8B0BE6">
              <w:rPr>
                <w:rFonts w:ascii="Calibri" w:hAnsi="Calibri" w:eastAsia="Calibri" w:cs="Calibri" w:asciiTheme="minorAscii" w:hAnsiTheme="minorAscii" w:eastAsiaTheme="minorAscii" w:cstheme="minorAscii"/>
                <w:color w:val="1F1F1F"/>
                <w:sz w:val="20"/>
                <w:szCs w:val="20"/>
              </w:rPr>
              <w:t>1.90</w:t>
            </w:r>
          </w:p>
        </w:tc>
      </w:tr>
      <w:tr w:rsidR="1C8B0BE6" w:rsidTr="1C8B0BE6" w14:paraId="20080F66">
        <w:trPr>
          <w:trHeight w:val="300"/>
        </w:trPr>
        <w:tc>
          <w:tcPr>
            <w:cnfStyle w:val="001000000000" w:firstRow="0" w:lastRow="0" w:firstColumn="1" w:lastColumn="0" w:oddVBand="0" w:evenVBand="0" w:oddHBand="0" w:evenHBand="0" w:firstRowFirstColumn="0" w:firstRowLastColumn="0" w:lastRowFirstColumn="0" w:lastRowLastColumn="0"/>
            <w:tcW w:w="5535" w:type="dxa"/>
            <w:tcMar/>
          </w:tcPr>
          <w:p w:rsidR="1C8B0BE6" w:rsidP="1C8B0BE6" w:rsidRDefault="1C8B0BE6" w14:paraId="4F61BC61" w14:textId="4ACF3A05">
            <w:pPr>
              <w:spacing w:before="240" w:beforeAutospacing="off" w:after="150" w:afterAutospacing="off" w:line="162" w:lineRule="auto"/>
              <w:rPr>
                <w:rFonts w:ascii="Calibri" w:hAnsi="Calibri" w:eastAsia="Calibri" w:cs="Calibri" w:asciiTheme="minorAscii" w:hAnsiTheme="minorAscii" w:eastAsiaTheme="minorAscii" w:cstheme="minorAscii"/>
                <w:b w:val="1"/>
                <w:bCs w:val="1"/>
                <w:color w:val="17375E"/>
                <w:sz w:val="20"/>
                <w:szCs w:val="20"/>
              </w:rPr>
            </w:pPr>
            <w:r w:rsidRPr="1C8B0BE6" w:rsidR="1C8B0BE6">
              <w:rPr>
                <w:rFonts w:ascii="Calibri" w:hAnsi="Calibri" w:eastAsia="Calibri" w:cs="Calibri" w:asciiTheme="minorAscii" w:hAnsiTheme="minorAscii" w:eastAsiaTheme="minorAscii" w:cstheme="minorAscii"/>
                <w:b w:val="1"/>
                <w:bCs w:val="1"/>
                <w:color w:val="17375E"/>
                <w:sz w:val="20"/>
                <w:szCs w:val="20"/>
              </w:rPr>
              <w:t>Total</w:t>
            </w:r>
          </w:p>
        </w:tc>
        <w:tc>
          <w:tcPr>
            <w:cnfStyle w:val="000000000000" w:firstRow="0" w:lastRow="0" w:firstColumn="0" w:lastColumn="0" w:oddVBand="0" w:evenVBand="0" w:oddHBand="0" w:evenHBand="0" w:firstRowFirstColumn="0" w:firstRowLastColumn="0" w:lastRowFirstColumn="0" w:lastRowLastColumn="0"/>
            <w:tcW w:w="3607" w:type="dxa"/>
            <w:tcMar/>
          </w:tcPr>
          <w:p w:rsidR="1C8B0BE6" w:rsidP="1C8B0BE6" w:rsidRDefault="1C8B0BE6" w14:paraId="278F9B61" w14:textId="7CEEEFB7">
            <w:pPr>
              <w:spacing w:before="240" w:beforeAutospacing="off" w:after="150" w:afterAutospacing="off" w:line="162" w:lineRule="auto"/>
              <w:jc w:val="right"/>
              <w:rPr>
                <w:rFonts w:ascii="Calibri" w:hAnsi="Calibri" w:eastAsia="Calibri" w:cs="Calibri" w:asciiTheme="minorAscii" w:hAnsiTheme="minorAscii" w:eastAsiaTheme="minorAscii" w:cstheme="minorAscii"/>
                <w:b w:val="1"/>
                <w:bCs w:val="1"/>
                <w:color w:val="17375E"/>
                <w:sz w:val="20"/>
                <w:szCs w:val="20"/>
              </w:rPr>
            </w:pPr>
            <w:r w:rsidRPr="1C8B0BE6" w:rsidR="1C8B0BE6">
              <w:rPr>
                <w:rFonts w:ascii="Calibri" w:hAnsi="Calibri" w:eastAsia="Calibri" w:cs="Calibri" w:asciiTheme="minorAscii" w:hAnsiTheme="minorAscii" w:eastAsiaTheme="minorAscii" w:cstheme="minorAscii"/>
                <w:b w:val="1"/>
                <w:bCs w:val="1"/>
                <w:color w:val="17375E"/>
                <w:sz w:val="20"/>
                <w:szCs w:val="20"/>
              </w:rPr>
              <w:t>13.70</w:t>
            </w:r>
          </w:p>
          <w:p w:rsidR="1C8B0BE6" w:rsidP="1C8B0BE6" w:rsidRDefault="1C8B0BE6" w14:paraId="19ACE91C" w14:textId="3ED45044">
            <w:pPr>
              <w:spacing w:before="0" w:beforeAutospacing="off" w:after="0" w:afterAutospacing="off" w:line="162" w:lineRule="auto"/>
              <w:rPr>
                <w:rFonts w:ascii="Calibri" w:hAnsi="Calibri" w:eastAsia="Calibri" w:cs="Calibri" w:asciiTheme="minorAscii" w:hAnsiTheme="minorAscii" w:eastAsiaTheme="minorAscii" w:cstheme="minorAscii"/>
                <w:sz w:val="20"/>
                <w:szCs w:val="20"/>
              </w:rPr>
            </w:pPr>
          </w:p>
        </w:tc>
      </w:tr>
    </w:tbl>
    <w:p w:rsidR="1C8B0BE6" w:rsidP="1C8B0BE6" w:rsidRDefault="1C8B0BE6" w14:paraId="2BF7ECB7" w14:textId="056943AC">
      <w:pPr>
        <w:spacing w:before="255" w:beforeAutospacing="off" w:after="255" w:afterAutospacing="off"/>
        <w:rPr>
          <w:rFonts w:ascii="Calibri" w:hAnsi="Calibri" w:eastAsia="Calibri" w:cs="Calibri" w:asciiTheme="minorAscii" w:hAnsiTheme="minorAscii" w:eastAsiaTheme="minorAscii" w:cstheme="minorAscii"/>
          <w:noProof w:val="0"/>
          <w:sz w:val="20"/>
          <w:szCs w:val="20"/>
          <w:lang w:val="en-GB"/>
        </w:rPr>
      </w:pPr>
    </w:p>
    <w:p w:rsidR="088013B8" w:rsidP="1C8B0BE6" w:rsidRDefault="088013B8" w14:paraId="74BA40BF" w14:textId="7667BDB4">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C8B0BE6" w:rsidR="088013B8">
        <w:rPr>
          <w:rFonts w:ascii="Calibri" w:hAnsi="Calibri" w:eastAsia="Calibri" w:cs="Calibri" w:asciiTheme="minorAscii" w:hAnsiTheme="minorAscii" w:eastAsiaTheme="minorAscii" w:cstheme="minorAscii"/>
          <w:b w:val="1"/>
          <w:bCs w:val="1"/>
          <w:noProof w:val="0"/>
          <w:sz w:val="32"/>
          <w:szCs w:val="32"/>
          <w:lang w:val="en-GB"/>
        </w:rPr>
        <w:t>9. Risk Analysis</w:t>
      </w:r>
    </w:p>
    <w:p w:rsidR="088013B8" w:rsidP="1C8B0BE6" w:rsidRDefault="088013B8" w14:paraId="4E46CA23" w14:textId="0B41AD8A">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088013B8">
        <w:rPr>
          <w:rFonts w:ascii="Calibri" w:hAnsi="Calibri" w:eastAsia="Calibri" w:cs="Calibri" w:asciiTheme="minorAscii" w:hAnsiTheme="minorAscii" w:eastAsiaTheme="minorAscii" w:cstheme="minorAscii"/>
          <w:noProof w:val="0"/>
          <w:sz w:val="32"/>
          <w:szCs w:val="32"/>
          <w:lang w:val="en-GB"/>
        </w:rPr>
        <w:t>Risk management is critical in this project because flood recovery takes place in unstable conditions and under close public scrutiny. The risk profile is shaped by weather uncertainty, hidden damage, utility dependence, funding pressure, community disruption and safety exposure. APM treats risk and stakeholder management as connected disciplines, while the Met Office evidence on heavy rainfall trends reinforces the need to consider recurrent weather stress rather than treating the event as one-off bad luck (APM, n.d.-c; Met Office, n.d.).</w:t>
      </w:r>
    </w:p>
    <w:p w:rsidR="088013B8" w:rsidP="1C8B0BE6" w:rsidRDefault="088013B8" w14:paraId="1873A7C3" w14:textId="61459CEB">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088013B8">
        <w:rPr>
          <w:rFonts w:ascii="Calibri" w:hAnsi="Calibri" w:eastAsia="Calibri" w:cs="Calibri" w:asciiTheme="minorAscii" w:hAnsiTheme="minorAscii" w:eastAsiaTheme="minorAscii" w:cstheme="minorAscii"/>
          <w:noProof w:val="0"/>
          <w:sz w:val="32"/>
          <w:szCs w:val="32"/>
          <w:lang w:val="en-GB"/>
        </w:rPr>
        <w:t>A standard qualitative risk matrix is used. Likelihood and impact are scored from 1 to 5, giving a risk score from 1 to 25. Scores of 15 or above are treated as high and require active management and</w:t>
      </w:r>
      <w:r w:rsidRPr="1C8B0BE6" w:rsidR="61325C70">
        <w:rPr>
          <w:rFonts w:ascii="Calibri" w:hAnsi="Calibri" w:eastAsia="Calibri" w:cs="Calibri" w:asciiTheme="minorAscii" w:hAnsiTheme="minorAscii" w:eastAsiaTheme="minorAscii" w:cstheme="minorAscii"/>
          <w:noProof w:val="0"/>
          <w:sz w:val="32"/>
          <w:szCs w:val="32"/>
          <w:lang w:val="en-GB"/>
        </w:rPr>
        <w:t xml:space="preserve"> </w:t>
      </w:r>
      <w:r w:rsidRPr="1C8B0BE6" w:rsidR="088013B8">
        <w:rPr>
          <w:rFonts w:ascii="Calibri" w:hAnsi="Calibri" w:eastAsia="Calibri" w:cs="Calibri" w:asciiTheme="minorAscii" w:hAnsiTheme="minorAscii" w:eastAsiaTheme="minorAscii" w:cstheme="minorAscii"/>
          <w:noProof w:val="0"/>
          <w:sz w:val="32"/>
          <w:szCs w:val="32"/>
          <w:lang w:val="en-GB"/>
        </w:rPr>
        <w:t xml:space="preserve">sponsor visibility. Scores from 8 to 14 are medium and require named owners plus mitigation actions. Lower scores </w:t>
      </w:r>
      <w:r w:rsidRPr="1C8B0BE6" w:rsidR="088013B8">
        <w:rPr>
          <w:rFonts w:ascii="Calibri" w:hAnsi="Calibri" w:eastAsia="Calibri" w:cs="Calibri" w:asciiTheme="minorAscii" w:hAnsiTheme="minorAscii" w:eastAsiaTheme="minorAscii" w:cstheme="minorAscii"/>
          <w:noProof w:val="0"/>
          <w:sz w:val="32"/>
          <w:szCs w:val="32"/>
          <w:lang w:val="en-GB"/>
        </w:rPr>
        <w:t>remain</w:t>
      </w:r>
      <w:r w:rsidRPr="1C8B0BE6" w:rsidR="088013B8">
        <w:rPr>
          <w:rFonts w:ascii="Calibri" w:hAnsi="Calibri" w:eastAsia="Calibri" w:cs="Calibri" w:asciiTheme="minorAscii" w:hAnsiTheme="minorAscii" w:eastAsiaTheme="minorAscii" w:cstheme="minorAscii"/>
          <w:noProof w:val="0"/>
          <w:sz w:val="32"/>
          <w:szCs w:val="32"/>
          <w:lang w:val="en-GB"/>
        </w:rPr>
        <w:t xml:space="preserve"> monitored because even small risks can escalate rapidly in live public infrastructure projects.</w:t>
      </w:r>
    </w:p>
    <w:tbl>
      <w:tblPr>
        <w:tblStyle w:val="TableNormal"/>
        <w:bidiVisual w:val="0"/>
        <w:tblW w:w="0" w:type="auto"/>
        <w:tblBorders>
          <w:top w:color="000000" w:themeColor="text1"/>
          <w:left w:color="000000" w:themeColor="text1"/>
          <w:bottom w:color="000000" w:themeColor="text1"/>
          <w:right w:color="000000" w:themeColor="text1"/>
        </w:tblBorders>
        <w:tblLook w:val="06A0" w:firstRow="1" w:lastRow="0" w:firstColumn="1" w:lastColumn="0" w:noHBand="1" w:noVBand="1"/>
      </w:tblPr>
      <w:tblGrid>
        <w:gridCol w:w="1470"/>
        <w:gridCol w:w="380"/>
        <w:gridCol w:w="360"/>
        <w:gridCol w:w="585"/>
        <w:gridCol w:w="1470"/>
        <w:gridCol w:w="1515"/>
      </w:tblGrid>
      <w:tr w:rsidR="1C8B0BE6" w:rsidTr="1C8B0BE6" w14:paraId="1F45FD98">
        <w:trPr>
          <w:trHeight w:val="300"/>
        </w:trPr>
        <w:tc>
          <w:tcPr>
            <w:tcW w:w="1470" w:type="dxa"/>
            <w:shd w:val="clear" w:color="auto" w:fill="2F5597"/>
            <w:tcMar>
              <w:left w:w="30" w:type="dxa"/>
            </w:tcMar>
            <w:vAlign w:val="center"/>
          </w:tcPr>
          <w:p w:rsidR="1C8B0BE6" w:rsidP="1C8B0BE6" w:rsidRDefault="1C8B0BE6" w14:paraId="50FB93D1" w14:textId="52E14653">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18"/>
                <w:szCs w:val="18"/>
              </w:rPr>
              <w:t>Risk</w:t>
            </w:r>
          </w:p>
        </w:tc>
        <w:tc>
          <w:tcPr>
            <w:tcW w:w="380" w:type="dxa"/>
            <w:shd w:val="clear" w:color="auto" w:fill="2F5597"/>
            <w:tcMar>
              <w:left w:w="30" w:type="dxa"/>
            </w:tcMar>
            <w:vAlign w:val="center"/>
          </w:tcPr>
          <w:p w:rsidR="1C8B0BE6" w:rsidP="1C8B0BE6" w:rsidRDefault="1C8B0BE6" w14:paraId="32B92255" w14:textId="1A61BE0C">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18"/>
                <w:szCs w:val="18"/>
              </w:rPr>
              <w:t>L</w:t>
            </w:r>
          </w:p>
        </w:tc>
        <w:tc>
          <w:tcPr>
            <w:tcW w:w="360" w:type="dxa"/>
            <w:shd w:val="clear" w:color="auto" w:fill="2F5597"/>
            <w:tcMar>
              <w:left w:w="30" w:type="dxa"/>
            </w:tcMar>
            <w:vAlign w:val="center"/>
          </w:tcPr>
          <w:p w:rsidR="1C8B0BE6" w:rsidP="1C8B0BE6" w:rsidRDefault="1C8B0BE6" w14:paraId="40F59BB3" w14:textId="7CD30136">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18"/>
                <w:szCs w:val="18"/>
              </w:rPr>
              <w:t>I</w:t>
            </w:r>
          </w:p>
        </w:tc>
        <w:tc>
          <w:tcPr>
            <w:tcW w:w="585" w:type="dxa"/>
            <w:shd w:val="clear" w:color="auto" w:fill="2F5597"/>
            <w:tcMar>
              <w:left w:w="30" w:type="dxa"/>
            </w:tcMar>
            <w:vAlign w:val="center"/>
          </w:tcPr>
          <w:p w:rsidR="1C8B0BE6" w:rsidP="1C8B0BE6" w:rsidRDefault="1C8B0BE6" w14:paraId="77D2AAB1" w14:textId="6EB387D5">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18"/>
                <w:szCs w:val="18"/>
              </w:rPr>
              <w:t>Score</w:t>
            </w:r>
          </w:p>
        </w:tc>
        <w:tc>
          <w:tcPr>
            <w:tcW w:w="1470" w:type="dxa"/>
            <w:shd w:val="clear" w:color="auto" w:fill="2F5597"/>
            <w:tcMar>
              <w:left w:w="30" w:type="dxa"/>
            </w:tcMar>
            <w:vAlign w:val="center"/>
          </w:tcPr>
          <w:p w:rsidR="1C8B0BE6" w:rsidP="1C8B0BE6" w:rsidRDefault="1C8B0BE6" w14:paraId="58BDCD27" w14:textId="0AC04106">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18"/>
                <w:szCs w:val="18"/>
              </w:rPr>
              <w:t>Mitigation / response</w:t>
            </w:r>
          </w:p>
        </w:tc>
        <w:tc>
          <w:tcPr>
            <w:tcW w:w="1515" w:type="dxa"/>
            <w:shd w:val="clear" w:color="auto" w:fill="2F5597"/>
            <w:tcMar>
              <w:left w:w="30" w:type="dxa"/>
            </w:tcMar>
            <w:vAlign w:val="center"/>
          </w:tcPr>
          <w:p w:rsidR="1C8B0BE6" w:rsidP="1C8B0BE6" w:rsidRDefault="1C8B0BE6" w14:paraId="28C84111" w14:textId="0F562F16">
            <w:pPr>
              <w:spacing w:before="240" w:beforeAutospacing="off" w:after="150" w:afterAutospacing="off" w:line="144" w:lineRule="auto"/>
              <w:jc w:val="center"/>
              <w:rPr>
                <w:rFonts w:ascii="Calibri" w:hAnsi="Calibri" w:eastAsia="Calibri" w:cs="Calibri" w:asciiTheme="minorAscii" w:hAnsiTheme="minorAscii" w:eastAsiaTheme="minorAscii" w:cstheme="minorAscii"/>
                <w:b w:val="1"/>
                <w:bCs w:val="1"/>
                <w:color w:val="FFFFFF" w:themeColor="background1" w:themeTint="FF" w:themeShade="FF"/>
                <w:sz w:val="18"/>
                <w:szCs w:val="18"/>
              </w:rPr>
            </w:pPr>
            <w:r w:rsidRPr="1C8B0BE6" w:rsidR="1C8B0BE6">
              <w:rPr>
                <w:rFonts w:ascii="Calibri" w:hAnsi="Calibri" w:eastAsia="Calibri" w:cs="Calibri" w:asciiTheme="minorAscii" w:hAnsiTheme="minorAscii" w:eastAsiaTheme="minorAscii" w:cstheme="minorAscii"/>
                <w:b w:val="1"/>
                <w:bCs w:val="1"/>
                <w:color w:val="FFFFFF" w:themeColor="background1" w:themeTint="FF" w:themeShade="FF"/>
                <w:sz w:val="18"/>
                <w:szCs w:val="18"/>
              </w:rPr>
              <w:t>Owner</w:t>
            </w:r>
          </w:p>
        </w:tc>
      </w:tr>
      <w:tr w:rsidR="1C8B0BE6" w:rsidTr="1C8B0BE6" w14:paraId="4E2B2D26">
        <w:trPr>
          <w:trHeight w:val="300"/>
        </w:trPr>
        <w:tc>
          <w:tcPr>
            <w:tcW w:w="1470" w:type="dxa"/>
            <w:tcMar>
              <w:left w:w="30" w:type="dxa"/>
            </w:tcMar>
            <w:vAlign w:val="center"/>
          </w:tcPr>
          <w:p w:rsidR="1C8B0BE6" w:rsidP="1C8B0BE6" w:rsidRDefault="1C8B0BE6" w14:paraId="78314751" w14:textId="0161365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 xml:space="preserve">Further heavy rainfall delays </w:t>
            </w:r>
            <w:r w:rsidRPr="1C8B0BE6" w:rsidR="26BDC783">
              <w:rPr>
                <w:rFonts w:ascii="Calibri" w:hAnsi="Calibri" w:eastAsia="Calibri" w:cs="Calibri" w:asciiTheme="minorAscii" w:hAnsiTheme="minorAscii" w:eastAsiaTheme="minorAscii" w:cstheme="minorAscii"/>
                <w:color w:val="1F1F1F"/>
                <w:sz w:val="18"/>
                <w:szCs w:val="18"/>
              </w:rPr>
              <w:t>work</w:t>
            </w:r>
          </w:p>
        </w:tc>
        <w:tc>
          <w:tcPr>
            <w:tcW w:w="380" w:type="dxa"/>
            <w:tcMar>
              <w:left w:w="30" w:type="dxa"/>
            </w:tcMar>
            <w:vAlign w:val="center"/>
          </w:tcPr>
          <w:p w:rsidR="1C8B0BE6" w:rsidP="1C8B0BE6" w:rsidRDefault="1C8B0BE6" w14:paraId="42A76ED4" w14:textId="2D41BE3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5</w:t>
            </w:r>
          </w:p>
        </w:tc>
        <w:tc>
          <w:tcPr>
            <w:tcW w:w="360" w:type="dxa"/>
            <w:tcMar>
              <w:left w:w="30" w:type="dxa"/>
            </w:tcMar>
            <w:vAlign w:val="center"/>
          </w:tcPr>
          <w:p w:rsidR="1C8B0BE6" w:rsidP="1C8B0BE6" w:rsidRDefault="1C8B0BE6" w14:paraId="040DC66F" w14:textId="65C6C4D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5</w:t>
            </w:r>
          </w:p>
        </w:tc>
        <w:tc>
          <w:tcPr>
            <w:tcW w:w="585" w:type="dxa"/>
            <w:shd w:val="clear" w:color="auto" w:fill="F4CCCC"/>
            <w:tcMar>
              <w:left w:w="30" w:type="dxa"/>
            </w:tcMar>
            <w:vAlign w:val="center"/>
          </w:tcPr>
          <w:p w:rsidR="1C8B0BE6" w:rsidP="1C8B0BE6" w:rsidRDefault="1C8B0BE6" w14:paraId="30ECD50E" w14:textId="4B54AAD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25</w:t>
            </w:r>
          </w:p>
        </w:tc>
        <w:tc>
          <w:tcPr>
            <w:tcW w:w="1470" w:type="dxa"/>
            <w:tcMar>
              <w:left w:w="30" w:type="dxa"/>
            </w:tcMar>
            <w:vAlign w:val="center"/>
          </w:tcPr>
          <w:p w:rsidR="1C8B0BE6" w:rsidP="1C8B0BE6" w:rsidRDefault="1C8B0BE6" w14:paraId="1E167C54" w14:textId="1699E0EC">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Phase works seasonally, monitor forecasts, protect drainage routes and hold programme float</w:t>
            </w:r>
          </w:p>
        </w:tc>
        <w:tc>
          <w:tcPr>
            <w:tcW w:w="1515" w:type="dxa"/>
            <w:tcMar>
              <w:left w:w="30" w:type="dxa"/>
            </w:tcMar>
            <w:vAlign w:val="center"/>
          </w:tcPr>
          <w:p w:rsidR="1C8B0BE6" w:rsidP="1C8B0BE6" w:rsidRDefault="1C8B0BE6" w14:paraId="6E3C19FF" w14:textId="2372D05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PM / Contractor</w:t>
            </w:r>
          </w:p>
        </w:tc>
      </w:tr>
      <w:tr w:rsidR="1C8B0BE6" w:rsidTr="1C8B0BE6" w14:paraId="0A5443B0">
        <w:trPr>
          <w:trHeight w:val="300"/>
        </w:trPr>
        <w:tc>
          <w:tcPr>
            <w:tcW w:w="1470" w:type="dxa"/>
            <w:tcMar>
              <w:left w:w="30" w:type="dxa"/>
            </w:tcMar>
            <w:vAlign w:val="center"/>
          </w:tcPr>
          <w:p w:rsidR="1C8B0BE6" w:rsidP="1C8B0BE6" w:rsidRDefault="1C8B0BE6" w14:paraId="729C3E4F" w14:textId="22CFA07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Hidden underground damage discovered during excavation</w:t>
            </w:r>
          </w:p>
        </w:tc>
        <w:tc>
          <w:tcPr>
            <w:tcW w:w="380" w:type="dxa"/>
            <w:tcMar>
              <w:left w:w="30" w:type="dxa"/>
            </w:tcMar>
            <w:vAlign w:val="center"/>
          </w:tcPr>
          <w:p w:rsidR="1C8B0BE6" w:rsidP="1C8B0BE6" w:rsidRDefault="1C8B0BE6" w14:paraId="52EAF466" w14:textId="4CCBFB3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360" w:type="dxa"/>
            <w:tcMar>
              <w:left w:w="30" w:type="dxa"/>
            </w:tcMar>
            <w:vAlign w:val="center"/>
          </w:tcPr>
          <w:p w:rsidR="1C8B0BE6" w:rsidP="1C8B0BE6" w:rsidRDefault="1C8B0BE6" w14:paraId="6A89583E" w14:textId="4486AFC7">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4CCCC"/>
            <w:tcMar>
              <w:left w:w="30" w:type="dxa"/>
            </w:tcMar>
            <w:vAlign w:val="center"/>
          </w:tcPr>
          <w:p w:rsidR="1C8B0BE6" w:rsidP="1C8B0BE6" w:rsidRDefault="1C8B0BE6" w14:paraId="6F6AB0F2" w14:textId="41F94382">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16</w:t>
            </w:r>
          </w:p>
        </w:tc>
        <w:tc>
          <w:tcPr>
            <w:tcW w:w="1470" w:type="dxa"/>
            <w:tcMar>
              <w:left w:w="30" w:type="dxa"/>
            </w:tcMar>
            <w:vAlign w:val="center"/>
          </w:tcPr>
          <w:p w:rsidR="1C8B0BE6" w:rsidP="1C8B0BE6" w:rsidRDefault="1C8B0BE6" w14:paraId="5C0B0E07" w14:textId="20A2035F">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Use trial holes, surveys, contingency budget and rapid design-change route</w:t>
            </w:r>
          </w:p>
        </w:tc>
        <w:tc>
          <w:tcPr>
            <w:tcW w:w="1515" w:type="dxa"/>
            <w:tcMar>
              <w:left w:w="30" w:type="dxa"/>
            </w:tcMar>
            <w:vAlign w:val="center"/>
          </w:tcPr>
          <w:p w:rsidR="1C8B0BE6" w:rsidP="1C8B0BE6" w:rsidRDefault="1C8B0BE6" w14:paraId="568C1576" w14:textId="37BE721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Lead engineer</w:t>
            </w:r>
          </w:p>
        </w:tc>
      </w:tr>
      <w:tr w:rsidR="1C8B0BE6" w:rsidTr="1C8B0BE6" w14:paraId="2EFC1115">
        <w:trPr>
          <w:trHeight w:val="300"/>
        </w:trPr>
        <w:tc>
          <w:tcPr>
            <w:tcW w:w="1470" w:type="dxa"/>
            <w:tcMar>
              <w:left w:w="30" w:type="dxa"/>
            </w:tcMar>
            <w:vAlign w:val="center"/>
          </w:tcPr>
          <w:p w:rsidR="1C8B0BE6" w:rsidP="1C8B0BE6" w:rsidRDefault="1C8B0BE6" w14:paraId="59935405" w14:textId="67C65D8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Utility diversion or reinstatement delay</w:t>
            </w:r>
          </w:p>
        </w:tc>
        <w:tc>
          <w:tcPr>
            <w:tcW w:w="380" w:type="dxa"/>
            <w:tcMar>
              <w:left w:w="30" w:type="dxa"/>
            </w:tcMar>
            <w:vAlign w:val="center"/>
          </w:tcPr>
          <w:p w:rsidR="1C8B0BE6" w:rsidP="1C8B0BE6" w:rsidRDefault="1C8B0BE6" w14:paraId="14B51E69" w14:textId="6C66A196">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360" w:type="dxa"/>
            <w:tcMar>
              <w:left w:w="30" w:type="dxa"/>
            </w:tcMar>
            <w:vAlign w:val="center"/>
          </w:tcPr>
          <w:p w:rsidR="1C8B0BE6" w:rsidP="1C8B0BE6" w:rsidRDefault="1C8B0BE6" w14:paraId="2699AF3A" w14:textId="6B83790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4CCCC"/>
            <w:tcMar>
              <w:left w:w="30" w:type="dxa"/>
            </w:tcMar>
            <w:vAlign w:val="center"/>
          </w:tcPr>
          <w:p w:rsidR="1C8B0BE6" w:rsidP="1C8B0BE6" w:rsidRDefault="1C8B0BE6" w14:paraId="180AAE18" w14:textId="4D545AA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16</w:t>
            </w:r>
          </w:p>
        </w:tc>
        <w:tc>
          <w:tcPr>
            <w:tcW w:w="1470" w:type="dxa"/>
            <w:tcMar>
              <w:left w:w="30" w:type="dxa"/>
            </w:tcMar>
            <w:vAlign w:val="center"/>
          </w:tcPr>
          <w:p w:rsidR="1C8B0BE6" w:rsidP="1C8B0BE6" w:rsidRDefault="1C8B0BE6" w14:paraId="53EBEEDF" w14:textId="28C8CD4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Start utility coordination early and maintain shared programme reviews</w:t>
            </w:r>
          </w:p>
        </w:tc>
        <w:tc>
          <w:tcPr>
            <w:tcW w:w="1515" w:type="dxa"/>
            <w:tcMar>
              <w:left w:w="30" w:type="dxa"/>
            </w:tcMar>
            <w:vAlign w:val="center"/>
          </w:tcPr>
          <w:p w:rsidR="1C8B0BE6" w:rsidP="1C8B0BE6" w:rsidRDefault="1C8B0BE6" w14:paraId="77AD8143" w14:textId="27F27EBB">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Deputy PM</w:t>
            </w:r>
          </w:p>
        </w:tc>
      </w:tr>
      <w:tr w:rsidR="1C8B0BE6" w:rsidTr="1C8B0BE6" w14:paraId="5CA22356">
        <w:trPr>
          <w:trHeight w:val="300"/>
        </w:trPr>
        <w:tc>
          <w:tcPr>
            <w:tcW w:w="1470" w:type="dxa"/>
            <w:tcMar>
              <w:left w:w="30" w:type="dxa"/>
            </w:tcMar>
            <w:vAlign w:val="center"/>
          </w:tcPr>
          <w:p w:rsidR="1C8B0BE6" w:rsidP="1C8B0BE6" w:rsidRDefault="1C8B0BE6" w14:paraId="2DA2841E" w14:textId="7B29025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Funding approval or reimbursement delay</w:t>
            </w:r>
          </w:p>
        </w:tc>
        <w:tc>
          <w:tcPr>
            <w:tcW w:w="380" w:type="dxa"/>
            <w:tcMar>
              <w:left w:w="30" w:type="dxa"/>
            </w:tcMar>
            <w:vAlign w:val="center"/>
          </w:tcPr>
          <w:p w:rsidR="1C8B0BE6" w:rsidP="1C8B0BE6" w:rsidRDefault="1C8B0BE6" w14:paraId="710A79CD" w14:textId="4237C1C3">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C8B0BE6" w:rsidP="1C8B0BE6" w:rsidRDefault="1C8B0BE6" w14:paraId="6D14C3B8" w14:textId="5B64F7FC">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5</w:t>
            </w:r>
          </w:p>
        </w:tc>
        <w:tc>
          <w:tcPr>
            <w:tcW w:w="585" w:type="dxa"/>
            <w:shd w:val="clear" w:color="auto" w:fill="F4CCCC"/>
            <w:tcMar>
              <w:left w:w="30" w:type="dxa"/>
            </w:tcMar>
            <w:vAlign w:val="center"/>
          </w:tcPr>
          <w:p w:rsidR="1C8B0BE6" w:rsidP="1C8B0BE6" w:rsidRDefault="1C8B0BE6" w14:paraId="3D1E4B71" w14:textId="5F80CAC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15</w:t>
            </w:r>
          </w:p>
        </w:tc>
        <w:tc>
          <w:tcPr>
            <w:tcW w:w="1470" w:type="dxa"/>
            <w:tcMar>
              <w:left w:w="30" w:type="dxa"/>
            </w:tcMar>
            <w:vAlign w:val="center"/>
          </w:tcPr>
          <w:p w:rsidR="1C8B0BE6" w:rsidP="1C8B0BE6" w:rsidRDefault="1C8B0BE6" w14:paraId="330C9512" w14:textId="66F033DA">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Use stage-gate reporting and evidence-based sponsor reviews</w:t>
            </w:r>
          </w:p>
        </w:tc>
        <w:tc>
          <w:tcPr>
            <w:tcW w:w="1515" w:type="dxa"/>
            <w:tcMar>
              <w:left w:w="30" w:type="dxa"/>
            </w:tcMar>
            <w:vAlign w:val="center"/>
          </w:tcPr>
          <w:p w:rsidR="1C8B0BE6" w:rsidP="1C8B0BE6" w:rsidRDefault="1C8B0BE6" w14:paraId="76AFCA7F" w14:textId="6EB37D6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Sponsor / PM</w:t>
            </w:r>
          </w:p>
        </w:tc>
      </w:tr>
      <w:tr w:rsidR="1C8B0BE6" w:rsidTr="1C8B0BE6" w14:paraId="3A0D276F">
        <w:trPr>
          <w:trHeight w:val="300"/>
        </w:trPr>
        <w:tc>
          <w:tcPr>
            <w:tcW w:w="1470" w:type="dxa"/>
            <w:tcMar>
              <w:left w:w="30" w:type="dxa"/>
            </w:tcMar>
            <w:vAlign w:val="center"/>
          </w:tcPr>
          <w:p w:rsidR="1C8B0BE6" w:rsidP="1C8B0BE6" w:rsidRDefault="1C8B0BE6" w14:paraId="332C53DD" w14:textId="4F8DED1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Procurement or supply chain shortage</w:t>
            </w:r>
          </w:p>
        </w:tc>
        <w:tc>
          <w:tcPr>
            <w:tcW w:w="380" w:type="dxa"/>
            <w:tcMar>
              <w:left w:w="30" w:type="dxa"/>
            </w:tcMar>
            <w:vAlign w:val="center"/>
          </w:tcPr>
          <w:p w:rsidR="1C8B0BE6" w:rsidP="1C8B0BE6" w:rsidRDefault="1C8B0BE6" w14:paraId="6BCF7DC7" w14:textId="69A5DE74">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C8B0BE6" w:rsidP="1C8B0BE6" w:rsidRDefault="1C8B0BE6" w14:paraId="4B180009" w14:textId="2F3E3C7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FF2CC"/>
            <w:tcMar>
              <w:left w:w="30" w:type="dxa"/>
            </w:tcMar>
            <w:vAlign w:val="center"/>
          </w:tcPr>
          <w:p w:rsidR="1C8B0BE6" w:rsidP="1C8B0BE6" w:rsidRDefault="1C8B0BE6" w14:paraId="5826833B" w14:textId="785ACA1E">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12</w:t>
            </w:r>
          </w:p>
        </w:tc>
        <w:tc>
          <w:tcPr>
            <w:tcW w:w="1470" w:type="dxa"/>
            <w:tcMar>
              <w:left w:w="30" w:type="dxa"/>
            </w:tcMar>
            <w:vAlign w:val="center"/>
          </w:tcPr>
          <w:p w:rsidR="1C8B0BE6" w:rsidP="1C8B0BE6" w:rsidRDefault="1C8B0BE6" w14:paraId="45C42A7F" w14:textId="3E9ECE1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Use framework suppliers, early ordering and approved alternatives</w:t>
            </w:r>
          </w:p>
        </w:tc>
        <w:tc>
          <w:tcPr>
            <w:tcW w:w="1515" w:type="dxa"/>
            <w:tcMar>
              <w:left w:w="30" w:type="dxa"/>
            </w:tcMar>
            <w:vAlign w:val="center"/>
          </w:tcPr>
          <w:p w:rsidR="1C8B0BE6" w:rsidP="1C8B0BE6" w:rsidRDefault="1C8B0BE6" w14:paraId="06985F93" w14:textId="0C2624E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QS / Procurement</w:t>
            </w:r>
          </w:p>
        </w:tc>
      </w:tr>
      <w:tr w:rsidR="1C8B0BE6" w:rsidTr="1C8B0BE6" w14:paraId="494ED3C3">
        <w:trPr>
          <w:trHeight w:val="300"/>
        </w:trPr>
        <w:tc>
          <w:tcPr>
            <w:tcW w:w="1470" w:type="dxa"/>
            <w:tcMar>
              <w:left w:w="30" w:type="dxa"/>
            </w:tcMar>
            <w:vAlign w:val="center"/>
          </w:tcPr>
          <w:p w:rsidR="1C8B0BE6" w:rsidP="1C8B0BE6" w:rsidRDefault="1C8B0BE6" w14:paraId="7C6E2356" w14:textId="4CE30785">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Major H&amp;S incident on unstable or contaminated site</w:t>
            </w:r>
          </w:p>
        </w:tc>
        <w:tc>
          <w:tcPr>
            <w:tcW w:w="380" w:type="dxa"/>
            <w:tcMar>
              <w:left w:w="30" w:type="dxa"/>
            </w:tcMar>
            <w:vAlign w:val="center"/>
          </w:tcPr>
          <w:p w:rsidR="1C8B0BE6" w:rsidP="1C8B0BE6" w:rsidRDefault="1C8B0BE6" w14:paraId="536F343F" w14:textId="31F5E64B">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2</w:t>
            </w:r>
          </w:p>
        </w:tc>
        <w:tc>
          <w:tcPr>
            <w:tcW w:w="360" w:type="dxa"/>
            <w:tcMar>
              <w:left w:w="30" w:type="dxa"/>
            </w:tcMar>
            <w:vAlign w:val="center"/>
          </w:tcPr>
          <w:p w:rsidR="1C8B0BE6" w:rsidP="1C8B0BE6" w:rsidRDefault="1C8B0BE6" w14:paraId="0C2FDA61" w14:textId="23C03E77">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5</w:t>
            </w:r>
          </w:p>
        </w:tc>
        <w:tc>
          <w:tcPr>
            <w:tcW w:w="585" w:type="dxa"/>
            <w:shd w:val="clear" w:color="auto" w:fill="FFF2CC"/>
            <w:tcMar>
              <w:left w:w="30" w:type="dxa"/>
            </w:tcMar>
            <w:vAlign w:val="center"/>
          </w:tcPr>
          <w:p w:rsidR="1C8B0BE6" w:rsidP="1C8B0BE6" w:rsidRDefault="1C8B0BE6" w14:paraId="437681C1" w14:textId="19785575">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10</w:t>
            </w:r>
          </w:p>
        </w:tc>
        <w:tc>
          <w:tcPr>
            <w:tcW w:w="1470" w:type="dxa"/>
            <w:tcMar>
              <w:left w:w="30" w:type="dxa"/>
            </w:tcMar>
            <w:vAlign w:val="center"/>
          </w:tcPr>
          <w:p w:rsidR="1C8B0BE6" w:rsidP="1C8B0BE6" w:rsidRDefault="1C8B0BE6" w14:paraId="36B6BACF" w14:textId="2FD5A119">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Strict HSE plans, inductions, exclusion zones and daily briefings</w:t>
            </w:r>
          </w:p>
        </w:tc>
        <w:tc>
          <w:tcPr>
            <w:tcW w:w="1515" w:type="dxa"/>
            <w:tcMar>
              <w:left w:w="30" w:type="dxa"/>
            </w:tcMar>
            <w:vAlign w:val="center"/>
          </w:tcPr>
          <w:p w:rsidR="1C8B0BE6" w:rsidP="1C8B0BE6" w:rsidRDefault="1C8B0BE6" w14:paraId="7B4867CC" w14:textId="4D298A8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HSE manager</w:t>
            </w:r>
          </w:p>
        </w:tc>
      </w:tr>
      <w:tr w:rsidR="1C8B0BE6" w:rsidTr="1C8B0BE6" w14:paraId="66B05B75">
        <w:trPr>
          <w:trHeight w:val="300"/>
        </w:trPr>
        <w:tc>
          <w:tcPr>
            <w:tcW w:w="1470" w:type="dxa"/>
            <w:tcMar>
              <w:left w:w="30" w:type="dxa"/>
            </w:tcMar>
            <w:vAlign w:val="center"/>
          </w:tcPr>
          <w:p w:rsidR="1C8B0BE6" w:rsidP="1C8B0BE6" w:rsidRDefault="1C8B0BE6" w14:paraId="2CE68853" w14:textId="0E4282C3">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Community opposition due to closures</w:t>
            </w:r>
          </w:p>
        </w:tc>
        <w:tc>
          <w:tcPr>
            <w:tcW w:w="380" w:type="dxa"/>
            <w:tcMar>
              <w:left w:w="30" w:type="dxa"/>
            </w:tcMar>
            <w:vAlign w:val="center"/>
          </w:tcPr>
          <w:p w:rsidR="1C8B0BE6" w:rsidP="1C8B0BE6" w:rsidRDefault="1C8B0BE6" w14:paraId="5A2ABABE" w14:textId="23DFD56B">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C8B0BE6" w:rsidP="1C8B0BE6" w:rsidRDefault="1C8B0BE6" w14:paraId="0D1F0D76" w14:textId="0A64E73E">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3</w:t>
            </w:r>
          </w:p>
        </w:tc>
        <w:tc>
          <w:tcPr>
            <w:tcW w:w="585" w:type="dxa"/>
            <w:shd w:val="clear" w:color="auto" w:fill="FFF2CC"/>
            <w:tcMar>
              <w:left w:w="30" w:type="dxa"/>
            </w:tcMar>
            <w:vAlign w:val="center"/>
          </w:tcPr>
          <w:p w:rsidR="1C8B0BE6" w:rsidP="1C8B0BE6" w:rsidRDefault="1C8B0BE6" w14:paraId="0FE0A5C5" w14:textId="4ECA43BD">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9</w:t>
            </w:r>
          </w:p>
        </w:tc>
        <w:tc>
          <w:tcPr>
            <w:tcW w:w="1470" w:type="dxa"/>
            <w:tcMar>
              <w:left w:w="30" w:type="dxa"/>
            </w:tcMar>
            <w:vAlign w:val="center"/>
          </w:tcPr>
          <w:p w:rsidR="1C8B0BE6" w:rsidP="1C8B0BE6" w:rsidRDefault="1C8B0BE6" w14:paraId="747E53E6" w14:textId="1FA4B4B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Advance communication, phased access and liaison with local businesses</w:t>
            </w:r>
          </w:p>
        </w:tc>
        <w:tc>
          <w:tcPr>
            <w:tcW w:w="1515" w:type="dxa"/>
            <w:tcMar>
              <w:left w:w="30" w:type="dxa"/>
            </w:tcMar>
            <w:vAlign w:val="center"/>
          </w:tcPr>
          <w:p w:rsidR="1C8B0BE6" w:rsidP="1C8B0BE6" w:rsidRDefault="1C8B0BE6" w14:paraId="311D1E05" w14:textId="4F9699D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Liaison officer</w:t>
            </w:r>
          </w:p>
        </w:tc>
      </w:tr>
      <w:tr w:rsidR="1C8B0BE6" w:rsidTr="1C8B0BE6" w14:paraId="7C1F408A">
        <w:trPr>
          <w:trHeight w:val="300"/>
        </w:trPr>
        <w:tc>
          <w:tcPr>
            <w:tcW w:w="1470" w:type="dxa"/>
            <w:tcMar>
              <w:left w:w="30" w:type="dxa"/>
            </w:tcMar>
            <w:vAlign w:val="center"/>
          </w:tcPr>
          <w:p w:rsidR="1C8B0BE6" w:rsidP="1C8B0BE6" w:rsidRDefault="1C8B0BE6" w14:paraId="5C49DFED" w14:textId="2E7A89CD">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Environmental non-compliance or permit breach</w:t>
            </w:r>
          </w:p>
        </w:tc>
        <w:tc>
          <w:tcPr>
            <w:tcW w:w="380" w:type="dxa"/>
            <w:tcMar>
              <w:left w:w="30" w:type="dxa"/>
            </w:tcMar>
            <w:vAlign w:val="center"/>
          </w:tcPr>
          <w:p w:rsidR="1C8B0BE6" w:rsidP="1C8B0BE6" w:rsidRDefault="1C8B0BE6" w14:paraId="22CFD2E4" w14:textId="006A8121">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2</w:t>
            </w:r>
          </w:p>
        </w:tc>
        <w:tc>
          <w:tcPr>
            <w:tcW w:w="360" w:type="dxa"/>
            <w:tcMar>
              <w:left w:w="30" w:type="dxa"/>
            </w:tcMar>
            <w:vAlign w:val="center"/>
          </w:tcPr>
          <w:p w:rsidR="1C8B0BE6" w:rsidP="1C8B0BE6" w:rsidRDefault="1C8B0BE6" w14:paraId="1BD17F92" w14:textId="214C894F">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FF2CC"/>
            <w:tcMar>
              <w:left w:w="30" w:type="dxa"/>
            </w:tcMar>
            <w:vAlign w:val="center"/>
          </w:tcPr>
          <w:p w:rsidR="1C8B0BE6" w:rsidP="1C8B0BE6" w:rsidRDefault="1C8B0BE6" w14:paraId="51214684" w14:textId="56C81348">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8</w:t>
            </w:r>
          </w:p>
        </w:tc>
        <w:tc>
          <w:tcPr>
            <w:tcW w:w="1470" w:type="dxa"/>
            <w:tcMar>
              <w:left w:w="30" w:type="dxa"/>
            </w:tcMar>
            <w:vAlign w:val="center"/>
          </w:tcPr>
          <w:p w:rsidR="1C8B0BE6" w:rsidP="1C8B0BE6" w:rsidRDefault="1C8B0BE6" w14:paraId="5F99600B" w14:textId="23055D20">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Method statements, inspections and permit checks</w:t>
            </w:r>
          </w:p>
        </w:tc>
        <w:tc>
          <w:tcPr>
            <w:tcW w:w="1515" w:type="dxa"/>
            <w:tcMar>
              <w:left w:w="30" w:type="dxa"/>
            </w:tcMar>
            <w:vAlign w:val="center"/>
          </w:tcPr>
          <w:p w:rsidR="1C8B0BE6" w:rsidP="1C8B0BE6" w:rsidRDefault="1C8B0BE6" w14:paraId="2421BAFC" w14:textId="0695D287">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Environmental lead</w:t>
            </w:r>
          </w:p>
        </w:tc>
      </w:tr>
      <w:tr w:rsidR="1C8B0BE6" w:rsidTr="1C8B0BE6" w14:paraId="5A0A0767">
        <w:trPr>
          <w:trHeight w:val="300"/>
        </w:trPr>
        <w:tc>
          <w:tcPr>
            <w:tcW w:w="1470" w:type="dxa"/>
            <w:tcMar>
              <w:left w:w="30" w:type="dxa"/>
            </w:tcMar>
            <w:vAlign w:val="center"/>
          </w:tcPr>
          <w:p w:rsidR="1C8B0BE6" w:rsidP="1C8B0BE6" w:rsidRDefault="1C8B0BE6" w14:paraId="6099FD5F" w14:textId="24136F69">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Contractor underperformance</w:t>
            </w:r>
          </w:p>
        </w:tc>
        <w:tc>
          <w:tcPr>
            <w:tcW w:w="380" w:type="dxa"/>
            <w:tcMar>
              <w:left w:w="30" w:type="dxa"/>
            </w:tcMar>
            <w:vAlign w:val="center"/>
          </w:tcPr>
          <w:p w:rsidR="1C8B0BE6" w:rsidP="1C8B0BE6" w:rsidRDefault="1C8B0BE6" w14:paraId="4D09A3AF" w14:textId="415EDDF2">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3</w:t>
            </w:r>
          </w:p>
        </w:tc>
        <w:tc>
          <w:tcPr>
            <w:tcW w:w="360" w:type="dxa"/>
            <w:tcMar>
              <w:left w:w="30" w:type="dxa"/>
            </w:tcMar>
            <w:vAlign w:val="center"/>
          </w:tcPr>
          <w:p w:rsidR="1C8B0BE6" w:rsidP="1C8B0BE6" w:rsidRDefault="1C8B0BE6" w14:paraId="2DFC977C" w14:textId="465349AC">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4</w:t>
            </w:r>
          </w:p>
        </w:tc>
        <w:tc>
          <w:tcPr>
            <w:tcW w:w="585" w:type="dxa"/>
            <w:shd w:val="clear" w:color="auto" w:fill="FFF2CC"/>
            <w:tcMar>
              <w:left w:w="30" w:type="dxa"/>
            </w:tcMar>
            <w:vAlign w:val="center"/>
          </w:tcPr>
          <w:p w:rsidR="1C8B0BE6" w:rsidP="1C8B0BE6" w:rsidRDefault="1C8B0BE6" w14:paraId="69DD0BA0" w14:textId="79471D49">
            <w:pPr>
              <w:spacing w:before="240" w:beforeAutospacing="off" w:after="150" w:afterAutospacing="off" w:line="144" w:lineRule="auto"/>
              <w:jc w:val="center"/>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12</w:t>
            </w:r>
          </w:p>
        </w:tc>
        <w:tc>
          <w:tcPr>
            <w:tcW w:w="1470" w:type="dxa"/>
            <w:tcMar>
              <w:left w:w="30" w:type="dxa"/>
            </w:tcMar>
            <w:vAlign w:val="center"/>
          </w:tcPr>
          <w:p w:rsidR="1C8B0BE6" w:rsidP="1C8B0BE6" w:rsidRDefault="1C8B0BE6" w14:paraId="5A6E5432" w14:textId="42359001">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KPI-based management, financial checks and backup capacity</w:t>
            </w:r>
          </w:p>
        </w:tc>
        <w:tc>
          <w:tcPr>
            <w:tcW w:w="1515" w:type="dxa"/>
            <w:tcMar>
              <w:left w:w="30" w:type="dxa"/>
            </w:tcMar>
            <w:vAlign w:val="center"/>
          </w:tcPr>
          <w:p w:rsidR="1C8B0BE6" w:rsidP="1C8B0BE6" w:rsidRDefault="1C8B0BE6" w14:paraId="18299985" w14:textId="46C076A6">
            <w:pPr>
              <w:spacing w:before="240" w:beforeAutospacing="off" w:after="150" w:afterAutospacing="off" w:line="144" w:lineRule="auto"/>
              <w:rPr>
                <w:rFonts w:ascii="Calibri" w:hAnsi="Calibri" w:eastAsia="Calibri" w:cs="Calibri" w:asciiTheme="minorAscii" w:hAnsiTheme="minorAscii" w:eastAsiaTheme="minorAscii" w:cstheme="minorAscii"/>
                <w:color w:val="1F1F1F"/>
                <w:sz w:val="18"/>
                <w:szCs w:val="18"/>
              </w:rPr>
            </w:pPr>
            <w:r w:rsidRPr="1C8B0BE6" w:rsidR="1C8B0BE6">
              <w:rPr>
                <w:rFonts w:ascii="Calibri" w:hAnsi="Calibri" w:eastAsia="Calibri" w:cs="Calibri" w:asciiTheme="minorAscii" w:hAnsiTheme="minorAscii" w:eastAsiaTheme="minorAscii" w:cstheme="minorAscii"/>
                <w:color w:val="1F1F1F"/>
                <w:sz w:val="18"/>
                <w:szCs w:val="18"/>
              </w:rPr>
              <w:t>Project manager</w:t>
            </w:r>
          </w:p>
        </w:tc>
      </w:tr>
    </w:tbl>
    <w:p w:rsidR="444C0C27" w:rsidP="1C8B0BE6" w:rsidRDefault="444C0C27" w14:paraId="10F8D589" w14:textId="493A00BB">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444C0C27">
        <w:rPr>
          <w:rFonts w:ascii="Calibri" w:hAnsi="Calibri" w:eastAsia="Calibri" w:cs="Calibri" w:asciiTheme="minorAscii" w:hAnsiTheme="minorAscii" w:eastAsiaTheme="minorAscii" w:cstheme="minorAscii"/>
          <w:noProof w:val="0"/>
          <w:sz w:val="32"/>
          <w:szCs w:val="32"/>
          <w:lang w:val="en-GB"/>
        </w:rPr>
        <w:t>The risk response strategy combines avoidance, reduction, transfer and acceptance. Further heavy rainfall cannot be prevented, so the emphasis is on reducing exposure through phasing, temporary drainage and buffer time. Utility risks are reduced through early integration. Some commercial risks may be transferred through contract terms. Residual low-level risk is accepted where the cost of total elimination would be unreasonable. The risk register should be reviewed weekly by the project team and formally each month by the sponsor board, with immediate escalation of any risk that becomes critical.</w:t>
      </w:r>
    </w:p>
    <w:p w:rsidR="1C8B0BE6" w:rsidP="1C8B0BE6" w:rsidRDefault="1C8B0BE6" w14:paraId="66E6E0A0" w14:textId="1154C3A3">
      <w:pPr>
        <w:pStyle w:val="Normal"/>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p>
    <w:p w:rsidR="1C6E0647" w:rsidP="1C8B0BE6" w:rsidRDefault="1C6E0647" w14:paraId="2D011A61" w14:textId="5D0B8AB6">
      <w:pPr>
        <w:pStyle w:val="Normal"/>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C8B0BE6" w:rsidR="1C6E0647">
        <w:rPr>
          <w:rFonts w:ascii="Calibri" w:hAnsi="Calibri" w:eastAsia="Calibri" w:cs="Calibri" w:asciiTheme="minorAscii" w:hAnsiTheme="minorAscii" w:eastAsiaTheme="minorAscii" w:cstheme="minorAscii"/>
          <w:b w:val="1"/>
          <w:bCs w:val="1"/>
          <w:noProof w:val="0"/>
          <w:sz w:val="32"/>
          <w:szCs w:val="32"/>
          <w:lang w:val="en-GB"/>
        </w:rPr>
        <w:t>10. Conclusion</w:t>
      </w:r>
    </w:p>
    <w:p w:rsidR="1C8B0BE6" w:rsidP="1C8B0BE6" w:rsidRDefault="1C8B0BE6" w14:paraId="48E82EF0" w14:textId="4FC392B3">
      <w:pPr>
        <w:pStyle w:val="Normal"/>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p>
    <w:p w:rsidR="1C6E0647" w:rsidP="1C8B0BE6" w:rsidRDefault="1C6E0647" w14:paraId="3D211012" w14:textId="16BD7E47">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1C6E0647">
        <w:rPr>
          <w:rFonts w:ascii="Calibri" w:hAnsi="Calibri" w:eastAsia="Calibri" w:cs="Calibri" w:asciiTheme="minorAscii" w:hAnsiTheme="minorAscii" w:eastAsiaTheme="minorAscii" w:cstheme="minorAscii"/>
          <w:noProof w:val="0"/>
          <w:sz w:val="32"/>
          <w:szCs w:val="32"/>
          <w:lang w:val="en-GB"/>
        </w:rPr>
        <w:t>This project management plan identifies a realistic and high-value response to the flooding scenario: the reconstruction of local infrastructure damaged across Worcester, Shrewsbury and Kidderminster. The chosen project directly addresses the practical consequences of flooding by restoring roads, drainage systems, culverts, footways and access routes that communities depend on every day. It also supports wider recovery because functioning infrastructure underpins emergency access, local services, business continuity and public confidence.</w:t>
      </w:r>
    </w:p>
    <w:p w:rsidR="1C6E0647" w:rsidP="1C8B0BE6" w:rsidRDefault="1C6E0647" w14:paraId="7CDB2224" w14:textId="2ACE2C52">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1C6E0647">
        <w:rPr>
          <w:rFonts w:ascii="Calibri" w:hAnsi="Calibri" w:eastAsia="Calibri" w:cs="Calibri" w:asciiTheme="minorAscii" w:hAnsiTheme="minorAscii" w:eastAsiaTheme="minorAscii" w:cstheme="minorAscii"/>
          <w:noProof w:val="0"/>
          <w:sz w:val="32"/>
          <w:szCs w:val="32"/>
          <w:lang w:val="en-GB"/>
        </w:rPr>
        <w:t>The plan demonstrates the application of core project management approaches through clear scope definition, a deliverable-led WBS, a time-phased Gantt chart, a stakeholder engagement strategy, structured resource allocation and a formal risk analysis. It also reflects current UK guidance by recognising the seriousness of severe flood warnings, the need to consider future flood and rainfall pressures, and the importance of resilient rebuilding rather than simple replacement (Environment Agency, n.d.; Met Office, n.d.; LGA, n.d.-a).</w:t>
      </w:r>
    </w:p>
    <w:p w:rsidR="1C6E0647" w:rsidP="1C8B0BE6" w:rsidRDefault="1C6E0647" w14:paraId="7A1FA845" w14:textId="6A2B04B4">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r w:rsidRPr="1C8B0BE6" w:rsidR="1C6E0647">
        <w:rPr>
          <w:rFonts w:ascii="Calibri" w:hAnsi="Calibri" w:eastAsia="Calibri" w:cs="Calibri" w:asciiTheme="minorAscii" w:hAnsiTheme="minorAscii" w:eastAsiaTheme="minorAscii" w:cstheme="minorAscii"/>
          <w:noProof w:val="0"/>
          <w:sz w:val="32"/>
          <w:szCs w:val="32"/>
          <w:lang w:val="en-GB"/>
        </w:rPr>
        <w:t xml:space="preserve">Overall, the project is suitable for stakeholder approval because it is specific, manageable and </w:t>
      </w:r>
      <w:r w:rsidRPr="1C8B0BE6" w:rsidR="1C6E0647">
        <w:rPr>
          <w:rFonts w:ascii="Calibri" w:hAnsi="Calibri" w:eastAsia="Calibri" w:cs="Calibri" w:asciiTheme="minorAscii" w:hAnsiTheme="minorAscii" w:eastAsiaTheme="minorAscii" w:cstheme="minorAscii"/>
          <w:noProof w:val="0"/>
          <w:sz w:val="32"/>
          <w:szCs w:val="32"/>
          <w:lang w:val="en-GB"/>
        </w:rPr>
        <w:t>outcome focused</w:t>
      </w:r>
      <w:r w:rsidRPr="1C8B0BE6" w:rsidR="1C6E0647">
        <w:rPr>
          <w:rFonts w:ascii="Calibri" w:hAnsi="Calibri" w:eastAsia="Calibri" w:cs="Calibri" w:asciiTheme="minorAscii" w:hAnsiTheme="minorAscii" w:eastAsiaTheme="minorAscii" w:cstheme="minorAscii"/>
          <w:noProof w:val="0"/>
          <w:sz w:val="32"/>
          <w:szCs w:val="32"/>
          <w:lang w:val="en-GB"/>
        </w:rPr>
        <w:t xml:space="preserve">. If governed effectively, it would enable the affected towns to move from emergency disruption to controlled recovery while leaving behind infrastructure that is safer, more </w:t>
      </w:r>
      <w:r w:rsidRPr="1C8B0BE6" w:rsidR="1C6E0647">
        <w:rPr>
          <w:rFonts w:ascii="Calibri" w:hAnsi="Calibri" w:eastAsia="Calibri" w:cs="Calibri" w:asciiTheme="minorAscii" w:hAnsiTheme="minorAscii" w:eastAsiaTheme="minorAscii" w:cstheme="minorAscii"/>
          <w:noProof w:val="0"/>
          <w:sz w:val="32"/>
          <w:szCs w:val="32"/>
          <w:lang w:val="en-GB"/>
        </w:rPr>
        <w:t>resilient</w:t>
      </w:r>
      <w:r w:rsidRPr="1C8B0BE6" w:rsidR="1C6E0647">
        <w:rPr>
          <w:rFonts w:ascii="Calibri" w:hAnsi="Calibri" w:eastAsia="Calibri" w:cs="Calibri" w:asciiTheme="minorAscii" w:hAnsiTheme="minorAscii" w:eastAsiaTheme="minorAscii" w:cstheme="minorAscii"/>
          <w:noProof w:val="0"/>
          <w:sz w:val="32"/>
          <w:szCs w:val="32"/>
          <w:lang w:val="en-GB"/>
        </w:rPr>
        <w:t xml:space="preserve"> and better prepared for future extreme weather.</w:t>
      </w:r>
    </w:p>
    <w:p w:rsidR="1C8B0BE6" w:rsidP="1C8B0BE6" w:rsidRDefault="1C8B0BE6" w14:paraId="70F2FF7F" w14:textId="14FB141C">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p w:rsidR="6086F5B0" w:rsidP="1C8B0BE6" w:rsidRDefault="6086F5B0" w14:paraId="30896391" w14:textId="109403F7">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r w:rsidRPr="1C8B0BE6" w:rsidR="6086F5B0">
        <w:rPr>
          <w:rFonts w:ascii="Calibri" w:hAnsi="Calibri" w:eastAsia="Calibri" w:cs="Calibri" w:asciiTheme="minorAscii" w:hAnsiTheme="minorAscii" w:eastAsiaTheme="minorAscii" w:cstheme="minorAscii"/>
          <w:b w:val="1"/>
          <w:bCs w:val="1"/>
          <w:noProof w:val="0"/>
          <w:sz w:val="32"/>
          <w:szCs w:val="32"/>
          <w:lang w:val="en-GB"/>
        </w:rPr>
        <w:t>11. References</w:t>
      </w:r>
    </w:p>
    <w:p w:rsidR="1C8B0BE6" w:rsidP="1C8B0BE6" w:rsidRDefault="1C8B0BE6" w14:paraId="33C68072" w14:textId="0D57DBA8">
      <w:pPr>
        <w:spacing w:before="255" w:beforeAutospacing="off" w:after="255" w:afterAutospacing="off"/>
        <w:rPr>
          <w:rFonts w:ascii="Calibri" w:hAnsi="Calibri" w:eastAsia="Calibri" w:cs="Calibri" w:asciiTheme="minorAscii" w:hAnsiTheme="minorAscii" w:eastAsiaTheme="minorAscii" w:cstheme="minorAscii"/>
          <w:b w:val="1"/>
          <w:bCs w:val="1"/>
          <w:noProof w:val="0"/>
          <w:sz w:val="32"/>
          <w:szCs w:val="32"/>
          <w:lang w:val="en-GB"/>
        </w:rPr>
      </w:pPr>
    </w:p>
    <w:p w:rsidR="6086F5B0" w:rsidP="1C8B0BE6" w:rsidRDefault="6086F5B0" w14:paraId="0B6A0206" w14:textId="0F432EB6">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APM (n.d.-a) What is project planning? Available at: </w:t>
      </w:r>
      <w:hyperlink r:id="R0b7edb6360b548f3">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https://www.apm.org.uk/resources/what-is-project-management/what-is-planning/</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2B49457B" w14:textId="1F0ECE66">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APM (n.d.-b) Stakeholder engagement. Available at: </w:t>
      </w:r>
      <w:hyperlink r:id="Rf2bb0c1d5cb2483f">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https://www.apm.org.uk/resources/find-a-resource/stakeholder-engagement/</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0B2F7ABB" w14:textId="01B6457A">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APM (n.d.-c) 10 Key Principles of Stakeholder Engagement. Available at: </w:t>
      </w:r>
      <w:hyperlink r:id="Re53458e08f024fc6">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https://www.apm.org.uk/resources/find-a-resource/stakeholder-engagement/key-principles/</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3CE9855E" w14:textId="07DAF880">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APM (n.d.-d) What is resource management? Available at: </w:t>
      </w:r>
      <w:hyperlink r:id="R58f50a0643224614">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https://www.apm.org.uk/blog/what-is-resource-management/</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72F02C6B" w14:textId="3A74847E">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APM (n.d.-e) What is resource optimisation? Available at: </w:t>
      </w:r>
      <w:hyperlink r:id="R36a8c0bb906941e8">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https://www.apm.org.uk/resources/what-is-project-management/what-is-resource-optimisation/</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7E4700E3" w14:textId="23EF9E61">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Environment Agency (n.d.) Flood alerts and warnings: what they are and what to do. Available at: </w:t>
      </w:r>
      <w:hyperlink r:id="Raa0a82fcdab249c4">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https://www.gov.uk/guidance/flood-alerts-and-warnings-what-they-are-and-what-to-do</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0C4059CC" w14:textId="67F3779C">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Environment Agency (n.d.-b) Flood risk assessments: climate change allowances. Available at: </w:t>
      </w:r>
      <w:hyperlink r:id="R97ed81d5357141bf">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https://www.gov.uk/guidance/flood-risk-assessments-climate-change-allowances</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49E9CFEF" w14:textId="0E1BC2B0">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Environment Agency (n.d.-c) Flood and coastal risk projects, schemes and strategies: climate change allowances. Available at: </w:t>
      </w:r>
      <w:hyperlink r:id="Rfeea7c6a3ae54f00">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https://www.gov.uk/guidance/flood-and-coastal-risk-projects-schemes-and-strategies-climate-change-allowances</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59ECD6D3" w14:textId="59723E9B">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LGA (n.d.-a) FCERM National Strategy. Available at: </w:t>
      </w:r>
      <w:hyperlink r:id="R13735e71267b4288">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https://www.local.gov.uk/topics/severe-weather/flooding/local-flood-risk-management-strategies-lfrms-guidance/fcerm-national</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5A278492" w14:textId="519A6459">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LGA (n.d.-b) Managing flood risk: roles and responsibilities. Available at: </w:t>
      </w:r>
      <w:hyperlink r:id="R2cf74f8fc86c400d">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https://www.local.gov.uk/topics/severe-weather/flooding/local-flood-risk-management/managing-flood-risk-roles-and</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44A01814" w14:textId="776D4820">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Met Office (n.d.) UK and Global extreme events – Heavy rainfall and floods. Available at: </w:t>
      </w:r>
      <w:hyperlink r:id="Re8bc9ede3f954a9e">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https://www.metoffice.gov.uk/research/climate/understanding-climate/uk-and-global-extreme-events-heavy-rainfall-and-floods</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4EE9280A" w14:textId="0A4A0515">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PMI (n.d.-a) What is a project? Available at: </w:t>
      </w:r>
      <w:hyperlink r:id="R2cde03981a074473">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https://www.pmi.org/about/what-is-a-project</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6EC8A0E0" w14:textId="5A30DF78">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PMI (n.d.-b) Practice Standard for Work Breakdown Structures. Available at: </w:t>
      </w:r>
      <w:hyperlink r:id="R957af8a8c3df41e5">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https://www.pmi.org/standards/work-breakdown-structures-third-edition</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6086F5B0" w:rsidP="1C8B0BE6" w:rsidRDefault="6086F5B0" w14:paraId="7D4AC57D" w14:textId="576AA098">
      <w:pPr>
        <w:spacing w:before="255" w:beforeAutospacing="off" w:after="255" w:afterAutospacing="off"/>
        <w:ind w:left="540" w:right="0"/>
        <w:rPr>
          <w:rFonts w:ascii="Calibri" w:hAnsi="Calibri" w:eastAsia="Calibri" w:cs="Calibri" w:asciiTheme="minorAscii" w:hAnsiTheme="minorAscii" w:eastAsiaTheme="minorAscii" w:cstheme="minorAscii"/>
          <w:noProof w:val="0"/>
          <w:sz w:val="32"/>
          <w:szCs w:val="32"/>
          <w:lang w:val="en-GB"/>
        </w:rPr>
      </w:pPr>
      <w:r w:rsidRPr="1C8B0BE6" w:rsidR="6086F5B0">
        <w:rPr>
          <w:rFonts w:ascii="Calibri" w:hAnsi="Calibri" w:eastAsia="Calibri" w:cs="Calibri" w:asciiTheme="minorAscii" w:hAnsiTheme="minorAscii" w:eastAsiaTheme="minorAscii" w:cstheme="minorAscii"/>
          <w:noProof w:val="0"/>
          <w:sz w:val="32"/>
          <w:szCs w:val="32"/>
          <w:lang w:val="en-GB"/>
        </w:rPr>
        <w:t xml:space="preserve">PMI (n.d.-c) Work Breakdown Structure (WBS) – Basic Principles. Available at: </w:t>
      </w:r>
      <w:hyperlink r:id="R77f4c81bb7be4d77">
        <w:r w:rsidRPr="1C8B0BE6" w:rsidR="6086F5B0">
          <w:rPr>
            <w:rStyle w:val="Hyperlink"/>
            <w:rFonts w:ascii="Calibri" w:hAnsi="Calibri" w:eastAsia="Calibri" w:cs="Calibri" w:asciiTheme="minorAscii" w:hAnsiTheme="minorAscii" w:eastAsiaTheme="minorAscii" w:cstheme="minorAscii"/>
            <w:noProof w:val="0"/>
            <w:sz w:val="32"/>
            <w:szCs w:val="32"/>
            <w:lang w:val="en-GB"/>
          </w:rPr>
          <w:t>https://www.pmi.org/learning/library/work-breakdown-structure-basic-principles-4883</w:t>
        </w:r>
      </w:hyperlink>
      <w:r w:rsidRPr="1C8B0BE6" w:rsidR="6086F5B0">
        <w:rPr>
          <w:rFonts w:ascii="Calibri" w:hAnsi="Calibri" w:eastAsia="Calibri" w:cs="Calibri" w:asciiTheme="minorAscii" w:hAnsiTheme="minorAscii" w:eastAsiaTheme="minorAscii" w:cstheme="minorAscii"/>
          <w:noProof w:val="0"/>
          <w:sz w:val="32"/>
          <w:szCs w:val="32"/>
          <w:lang w:val="en-GB"/>
        </w:rPr>
        <w:t xml:space="preserve"> (Accessed: 20 April 2026).</w:t>
      </w:r>
    </w:p>
    <w:p w:rsidR="1C8B0BE6" w:rsidP="1C8B0BE6" w:rsidRDefault="1C8B0BE6" w14:paraId="1A56C44D" w14:textId="0F2B9A26">
      <w:pPr>
        <w:spacing w:before="255" w:beforeAutospacing="off" w:after="255" w:afterAutospacing="off"/>
      </w:pPr>
    </w:p>
    <w:p w:rsidR="1C8B0BE6" w:rsidP="1C8B0BE6" w:rsidRDefault="1C8B0BE6" w14:paraId="5EBC6960" w14:textId="2ED3006C">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p w:rsidR="1C8B0BE6" w:rsidP="1C8B0BE6" w:rsidRDefault="1C8B0BE6" w14:paraId="7F52EF7A" w14:textId="41DDCC78">
      <w:pPr>
        <w:spacing w:before="255" w:beforeAutospacing="off" w:after="255" w:afterAutospacing="off"/>
        <w:rPr>
          <w:rFonts w:ascii="Calibri" w:hAnsi="Calibri" w:eastAsia="Calibri" w:cs="Calibri" w:asciiTheme="minorAscii" w:hAnsiTheme="minorAscii" w:eastAsiaTheme="minorAscii" w:cstheme="minorAscii"/>
          <w:noProof w:val="0"/>
          <w:sz w:val="32"/>
          <w:szCs w:val="32"/>
          <w:lang w:val="en-GB"/>
        </w:rPr>
      </w:pPr>
    </w:p>
    <w:p w:rsidR="1C8B0BE6" w:rsidP="1C8B0BE6" w:rsidRDefault="1C8B0BE6" w14:paraId="51256391" w14:textId="097E4068">
      <w:pPr>
        <w:rPr>
          <w:rFonts w:ascii="Calibri" w:hAnsi="Calibri" w:eastAsia="Calibri" w:cs="Calibri" w:asciiTheme="minorAscii" w:hAnsiTheme="minorAscii" w:eastAsiaTheme="minorAscii" w:cstheme="minorAscii"/>
          <w:sz w:val="18"/>
          <w:szCs w:val="18"/>
        </w:rPr>
      </w:pPr>
    </w:p>
    <w:sectPr>
      <w:pgSz w:w="11906" w:h="16838" w:orient="portrait"/>
      <w:pgMar w:top="1440" w:right="1440" w:bottom="1440" w:left="1440" w:header="720" w:footer="720" w:gutter="0"/>
      <w:cols w:space="720"/>
      <w:docGrid w:linePitch="360"/>
      <w:footerReference w:type="default" r:id="Rc6106249182544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8B0BE6" w:rsidTr="1C8B0BE6" w14:paraId="7A45BA8F">
      <w:trPr>
        <w:trHeight w:val="300"/>
      </w:trPr>
      <w:tc>
        <w:tcPr>
          <w:tcW w:w="3005" w:type="dxa"/>
          <w:tcMar/>
        </w:tcPr>
        <w:p w:rsidR="1C8B0BE6" w:rsidP="1C8B0BE6" w:rsidRDefault="1C8B0BE6" w14:paraId="1ECC12E3" w14:textId="5CD61887">
          <w:pPr>
            <w:pStyle w:val="Header"/>
            <w:bidi w:val="0"/>
            <w:ind w:left="-115"/>
            <w:jc w:val="left"/>
          </w:pPr>
        </w:p>
      </w:tc>
      <w:tc>
        <w:tcPr>
          <w:tcW w:w="3005" w:type="dxa"/>
          <w:tcMar/>
        </w:tcPr>
        <w:p w:rsidR="1C8B0BE6" w:rsidP="1C8B0BE6" w:rsidRDefault="1C8B0BE6" w14:paraId="1663B7C2" w14:textId="70C66B69">
          <w:pPr>
            <w:pStyle w:val="Header"/>
            <w:bidi w:val="0"/>
            <w:jc w:val="center"/>
          </w:pPr>
        </w:p>
      </w:tc>
      <w:tc>
        <w:tcPr>
          <w:tcW w:w="3005" w:type="dxa"/>
          <w:tcMar/>
        </w:tcPr>
        <w:p w:rsidR="1C8B0BE6" w:rsidP="1C8B0BE6" w:rsidRDefault="1C8B0BE6" w14:paraId="1C33C5E2" w14:textId="51516B1B">
          <w:pPr>
            <w:pStyle w:val="Header"/>
            <w:bidi w:val="0"/>
            <w:ind w:right="-115"/>
            <w:jc w:val="right"/>
          </w:pPr>
        </w:p>
      </w:tc>
    </w:tr>
  </w:tbl>
  <w:p w:rsidR="1C8B0BE6" w:rsidP="1C8B0BE6" w:rsidRDefault="1C8B0BE6" w14:paraId="0C277544" w14:textId="1C1A0CB0">
    <w:pPr>
      <w:pStyle w:val="Footer"/>
      <w:bidi w:val="0"/>
    </w:pPr>
  </w:p>
</w:ftr>
</file>

<file path=word/intelligence2.xml><?xml version="1.0" encoding="utf-8"?>
<int2:intelligence xmlns:int2="http://schemas.microsoft.com/office/intelligence/2020/intelligence">
  <int2:observations>
    <int2:bookmark int2:bookmarkName="_Int_h1zR3vol" int2:invalidationBookmarkName="" int2:hashCode="W+w1UTCp6zbiGo" int2:id="lFd79SRg">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434bd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0c3b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76607"/>
    <w:rsid w:val="0033F30D"/>
    <w:rsid w:val="003F3DFD"/>
    <w:rsid w:val="0082A124"/>
    <w:rsid w:val="00AFA8FA"/>
    <w:rsid w:val="019F8512"/>
    <w:rsid w:val="02365F29"/>
    <w:rsid w:val="02F48027"/>
    <w:rsid w:val="03B0C673"/>
    <w:rsid w:val="03BDDDCD"/>
    <w:rsid w:val="03BDDDCD"/>
    <w:rsid w:val="048672DD"/>
    <w:rsid w:val="04B009C3"/>
    <w:rsid w:val="054707B3"/>
    <w:rsid w:val="057ECFE7"/>
    <w:rsid w:val="05DF8EA1"/>
    <w:rsid w:val="06161823"/>
    <w:rsid w:val="06E39B11"/>
    <w:rsid w:val="06F7C0CA"/>
    <w:rsid w:val="06F7C0CA"/>
    <w:rsid w:val="07563BDC"/>
    <w:rsid w:val="079436E8"/>
    <w:rsid w:val="088013B8"/>
    <w:rsid w:val="08E451C7"/>
    <w:rsid w:val="09A74F4C"/>
    <w:rsid w:val="0A398F4B"/>
    <w:rsid w:val="0B129CD8"/>
    <w:rsid w:val="0B938B88"/>
    <w:rsid w:val="0BA3101A"/>
    <w:rsid w:val="0BADBF74"/>
    <w:rsid w:val="0C3536D9"/>
    <w:rsid w:val="0D1EDA30"/>
    <w:rsid w:val="0D223928"/>
    <w:rsid w:val="0D4452C9"/>
    <w:rsid w:val="0F4C85D2"/>
    <w:rsid w:val="10058CD1"/>
    <w:rsid w:val="10097F02"/>
    <w:rsid w:val="107422DC"/>
    <w:rsid w:val="10C63E54"/>
    <w:rsid w:val="10C63E54"/>
    <w:rsid w:val="115A1CA3"/>
    <w:rsid w:val="11A900B6"/>
    <w:rsid w:val="11C842A6"/>
    <w:rsid w:val="11C842A6"/>
    <w:rsid w:val="127C9498"/>
    <w:rsid w:val="12865293"/>
    <w:rsid w:val="13214E39"/>
    <w:rsid w:val="13F830EC"/>
    <w:rsid w:val="14237D5C"/>
    <w:rsid w:val="14237D5C"/>
    <w:rsid w:val="146B601E"/>
    <w:rsid w:val="14C05934"/>
    <w:rsid w:val="15606571"/>
    <w:rsid w:val="1583C247"/>
    <w:rsid w:val="16F24BBD"/>
    <w:rsid w:val="1723A5DF"/>
    <w:rsid w:val="18FB24F6"/>
    <w:rsid w:val="1930D0C5"/>
    <w:rsid w:val="19361698"/>
    <w:rsid w:val="1975307B"/>
    <w:rsid w:val="19A2CF41"/>
    <w:rsid w:val="19A2CF41"/>
    <w:rsid w:val="1A16FE9C"/>
    <w:rsid w:val="1A7BD2A1"/>
    <w:rsid w:val="1A7BD2A1"/>
    <w:rsid w:val="1B62A08B"/>
    <w:rsid w:val="1C6E0647"/>
    <w:rsid w:val="1C7328BC"/>
    <w:rsid w:val="1C7328BC"/>
    <w:rsid w:val="1C7A2480"/>
    <w:rsid w:val="1C8B0BE6"/>
    <w:rsid w:val="1D19D8A9"/>
    <w:rsid w:val="1D433AC9"/>
    <w:rsid w:val="1D57031F"/>
    <w:rsid w:val="1DC84F2C"/>
    <w:rsid w:val="1EF7DDCD"/>
    <w:rsid w:val="1F7F5A20"/>
    <w:rsid w:val="1F81985C"/>
    <w:rsid w:val="20BACDC5"/>
    <w:rsid w:val="20C5C6BF"/>
    <w:rsid w:val="2122CC70"/>
    <w:rsid w:val="218F1D1F"/>
    <w:rsid w:val="22145888"/>
    <w:rsid w:val="22145888"/>
    <w:rsid w:val="22153C30"/>
    <w:rsid w:val="2249897A"/>
    <w:rsid w:val="22E40828"/>
    <w:rsid w:val="22E64DD8"/>
    <w:rsid w:val="241F2F3D"/>
    <w:rsid w:val="25913122"/>
    <w:rsid w:val="261EF765"/>
    <w:rsid w:val="26208FA0"/>
    <w:rsid w:val="26BDC783"/>
    <w:rsid w:val="27867257"/>
    <w:rsid w:val="287510BB"/>
    <w:rsid w:val="28D76607"/>
    <w:rsid w:val="290A2563"/>
    <w:rsid w:val="291A10BC"/>
    <w:rsid w:val="29A3BDC0"/>
    <w:rsid w:val="2A0C2699"/>
    <w:rsid w:val="2AE5AB46"/>
    <w:rsid w:val="2C1FBFE0"/>
    <w:rsid w:val="2C65958C"/>
    <w:rsid w:val="2CD0343B"/>
    <w:rsid w:val="2E929160"/>
    <w:rsid w:val="2EBCC53B"/>
    <w:rsid w:val="2F38EFC3"/>
    <w:rsid w:val="2F80175A"/>
    <w:rsid w:val="2FE3F90E"/>
    <w:rsid w:val="300F50AB"/>
    <w:rsid w:val="30F49A19"/>
    <w:rsid w:val="3199A4BD"/>
    <w:rsid w:val="31AE033F"/>
    <w:rsid w:val="31AE033F"/>
    <w:rsid w:val="32A5AA1F"/>
    <w:rsid w:val="32EC2081"/>
    <w:rsid w:val="32EC2081"/>
    <w:rsid w:val="3314FB2B"/>
    <w:rsid w:val="3349FFDA"/>
    <w:rsid w:val="34527C0C"/>
    <w:rsid w:val="3473C4A8"/>
    <w:rsid w:val="347F1A3B"/>
    <w:rsid w:val="34BCE984"/>
    <w:rsid w:val="34C72977"/>
    <w:rsid w:val="351D7E85"/>
    <w:rsid w:val="36AA055A"/>
    <w:rsid w:val="36AA835F"/>
    <w:rsid w:val="36C67809"/>
    <w:rsid w:val="37B01CEF"/>
    <w:rsid w:val="38314763"/>
    <w:rsid w:val="385B4582"/>
    <w:rsid w:val="385B4582"/>
    <w:rsid w:val="3873B325"/>
    <w:rsid w:val="393032C7"/>
    <w:rsid w:val="39C8CD29"/>
    <w:rsid w:val="3A3B8186"/>
    <w:rsid w:val="3A5627B3"/>
    <w:rsid w:val="3A5627B3"/>
    <w:rsid w:val="3B1E6CD7"/>
    <w:rsid w:val="3B712E81"/>
    <w:rsid w:val="3C37AF54"/>
    <w:rsid w:val="3D1226E6"/>
    <w:rsid w:val="3D4F8136"/>
    <w:rsid w:val="3DABD6C3"/>
    <w:rsid w:val="3DC61561"/>
    <w:rsid w:val="3EDB2022"/>
    <w:rsid w:val="3EFEBDEF"/>
    <w:rsid w:val="3F61A762"/>
    <w:rsid w:val="3FAE7B19"/>
    <w:rsid w:val="411727E7"/>
    <w:rsid w:val="41471549"/>
    <w:rsid w:val="418FCEBA"/>
    <w:rsid w:val="41E80254"/>
    <w:rsid w:val="42225B80"/>
    <w:rsid w:val="43235107"/>
    <w:rsid w:val="4364C5F2"/>
    <w:rsid w:val="43D2F4E0"/>
    <w:rsid w:val="441DB989"/>
    <w:rsid w:val="444C0C27"/>
    <w:rsid w:val="451755AD"/>
    <w:rsid w:val="45695612"/>
    <w:rsid w:val="45ADB9F8"/>
    <w:rsid w:val="45F87C15"/>
    <w:rsid w:val="464EAA8D"/>
    <w:rsid w:val="467551CA"/>
    <w:rsid w:val="46A44AC7"/>
    <w:rsid w:val="46F2309D"/>
    <w:rsid w:val="4758BEB1"/>
    <w:rsid w:val="4768D229"/>
    <w:rsid w:val="4799C6F0"/>
    <w:rsid w:val="48863357"/>
    <w:rsid w:val="488DC995"/>
    <w:rsid w:val="4912DDF5"/>
    <w:rsid w:val="49EF8417"/>
    <w:rsid w:val="4BC37317"/>
    <w:rsid w:val="4BC37317"/>
    <w:rsid w:val="4C11CC79"/>
    <w:rsid w:val="4C11CC79"/>
    <w:rsid w:val="4C6FF218"/>
    <w:rsid w:val="4C8A0B5C"/>
    <w:rsid w:val="4CE96432"/>
    <w:rsid w:val="4CF7C07C"/>
    <w:rsid w:val="4D2E73A0"/>
    <w:rsid w:val="4DCB159E"/>
    <w:rsid w:val="4E4E7B61"/>
    <w:rsid w:val="4FD1669F"/>
    <w:rsid w:val="5034FCA4"/>
    <w:rsid w:val="50B0F86D"/>
    <w:rsid w:val="50E868AC"/>
    <w:rsid w:val="50F501E7"/>
    <w:rsid w:val="5149C7A4"/>
    <w:rsid w:val="51D5DDEB"/>
    <w:rsid w:val="52709592"/>
    <w:rsid w:val="5305E336"/>
    <w:rsid w:val="53278C09"/>
    <w:rsid w:val="537D973B"/>
    <w:rsid w:val="537F09D3"/>
    <w:rsid w:val="53D7218B"/>
    <w:rsid w:val="546D2D42"/>
    <w:rsid w:val="54BA943D"/>
    <w:rsid w:val="54D33592"/>
    <w:rsid w:val="5601244E"/>
    <w:rsid w:val="56CA9F84"/>
    <w:rsid w:val="5792FEFC"/>
    <w:rsid w:val="58BF525D"/>
    <w:rsid w:val="590B791D"/>
    <w:rsid w:val="59A780DC"/>
    <w:rsid w:val="59C99623"/>
    <w:rsid w:val="5A200C10"/>
    <w:rsid w:val="5A200C10"/>
    <w:rsid w:val="5A2C5BFC"/>
    <w:rsid w:val="5A960457"/>
    <w:rsid w:val="5ACC60CD"/>
    <w:rsid w:val="5B6EBD28"/>
    <w:rsid w:val="5C1A222B"/>
    <w:rsid w:val="5C32BCEE"/>
    <w:rsid w:val="5C69D019"/>
    <w:rsid w:val="5F61639B"/>
    <w:rsid w:val="6086F5B0"/>
    <w:rsid w:val="6125B521"/>
    <w:rsid w:val="61325C70"/>
    <w:rsid w:val="61834BAE"/>
    <w:rsid w:val="61BED7B9"/>
    <w:rsid w:val="61E86DE1"/>
    <w:rsid w:val="630690A0"/>
    <w:rsid w:val="6317E66C"/>
    <w:rsid w:val="631EE4FD"/>
    <w:rsid w:val="6338B83D"/>
    <w:rsid w:val="648BABF5"/>
    <w:rsid w:val="65325BC2"/>
    <w:rsid w:val="66D5F33B"/>
    <w:rsid w:val="66DF5253"/>
    <w:rsid w:val="688F747D"/>
    <w:rsid w:val="69445BCE"/>
    <w:rsid w:val="69798B6A"/>
    <w:rsid w:val="69CD9EEF"/>
    <w:rsid w:val="6AED7D52"/>
    <w:rsid w:val="6B387936"/>
    <w:rsid w:val="6B659DB3"/>
    <w:rsid w:val="6C250681"/>
    <w:rsid w:val="6C2B63C7"/>
    <w:rsid w:val="6CF29D6B"/>
    <w:rsid w:val="6D458426"/>
    <w:rsid w:val="6D792FC4"/>
    <w:rsid w:val="6E12371D"/>
    <w:rsid w:val="6E7C112A"/>
    <w:rsid w:val="6F141E7A"/>
    <w:rsid w:val="6F42EFDA"/>
    <w:rsid w:val="6F7DF0EB"/>
    <w:rsid w:val="6F99B863"/>
    <w:rsid w:val="704323F2"/>
    <w:rsid w:val="704FA46C"/>
    <w:rsid w:val="70636004"/>
    <w:rsid w:val="71C018DB"/>
    <w:rsid w:val="71C018DB"/>
    <w:rsid w:val="73144125"/>
    <w:rsid w:val="73296E0F"/>
    <w:rsid w:val="73716A45"/>
    <w:rsid w:val="73D7C7B7"/>
    <w:rsid w:val="740896B1"/>
    <w:rsid w:val="747B9A5A"/>
    <w:rsid w:val="751E07DD"/>
    <w:rsid w:val="755E44BF"/>
    <w:rsid w:val="75666A39"/>
    <w:rsid w:val="75B8EB36"/>
    <w:rsid w:val="75D18012"/>
    <w:rsid w:val="76F76042"/>
    <w:rsid w:val="779F03CB"/>
    <w:rsid w:val="77BB17FE"/>
    <w:rsid w:val="789C93D1"/>
    <w:rsid w:val="78E108D3"/>
    <w:rsid w:val="7A7DE823"/>
    <w:rsid w:val="7AD933D2"/>
    <w:rsid w:val="7BB6D3AF"/>
    <w:rsid w:val="7C757671"/>
    <w:rsid w:val="7C920E53"/>
    <w:rsid w:val="7D206B0A"/>
    <w:rsid w:val="7D688A64"/>
    <w:rsid w:val="7DE5D9F3"/>
    <w:rsid w:val="7E17938F"/>
    <w:rsid w:val="7E7AC44F"/>
    <w:rsid w:val="7E82FB05"/>
    <w:rsid w:val="7E8B97B2"/>
    <w:rsid w:val="7F44F33A"/>
    <w:rsid w:val="7FAAEAA5"/>
    <w:rsid w:val="7FAAE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76607"/>
  <w15:chartTrackingRefBased/>
  <w15:docId w15:val="{3C1F0A55-9B3C-48DF-B127-FC2C50D6C3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C8B0BE6"/>
    <w:pPr>
      <w:tabs>
        <w:tab w:val="center" w:leader="none" w:pos="4680"/>
        <w:tab w:val="right" w:leader="none" w:pos="9360"/>
      </w:tabs>
      <w:spacing w:after="0" w:line="240" w:lineRule="auto"/>
    </w:pPr>
  </w:style>
  <w:style w:type="paragraph" w:styleId="Footer">
    <w:uiPriority w:val="99"/>
    <w:name w:val="footer"/>
    <w:basedOn w:val="Normal"/>
    <w:unhideWhenUsed/>
    <w:rsid w:val="1C8B0BE6"/>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C8B0BE6"/>
    <w:rPr>
      <w:color w:val="467886"/>
      <w:u w:val="single"/>
    </w:rPr>
  </w:style>
  <w:style w:type="paragraph" w:styleId="ListParagraph">
    <w:uiPriority w:val="34"/>
    <w:name w:val="List Paragraph"/>
    <w:basedOn w:val="Normal"/>
    <w:qFormat/>
    <w:rsid w:val="1C8B0BE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30090308" /><Relationship Type="http://schemas.openxmlformats.org/officeDocument/2006/relationships/hyperlink" Target="https://www.apm.org.uk/resources/what-is-project-management/what-is-planning/" TargetMode="External" Id="R0b7edb6360b548f3" /><Relationship Type="http://schemas.openxmlformats.org/officeDocument/2006/relationships/hyperlink" Target="https://www.apm.org.uk/resources/find-a-resource/stakeholder-engagement/" TargetMode="External" Id="Rf2bb0c1d5cb2483f" /><Relationship Type="http://schemas.openxmlformats.org/officeDocument/2006/relationships/hyperlink" Target="https://www.apm.org.uk/resources/find-a-resource/stakeholder-engagement/key-principles/" TargetMode="External" Id="Re53458e08f024fc6" /><Relationship Type="http://schemas.openxmlformats.org/officeDocument/2006/relationships/hyperlink" Target="https://www.apm.org.uk/blog/what-is-resource-management/" TargetMode="External" Id="R58f50a0643224614" /><Relationship Type="http://schemas.openxmlformats.org/officeDocument/2006/relationships/hyperlink" Target="https://www.apm.org.uk/resources/what-is-project-management/what-is-resource-optimisation/" TargetMode="External" Id="R36a8c0bb906941e8" /><Relationship Type="http://schemas.openxmlformats.org/officeDocument/2006/relationships/hyperlink" Target="https://www.gov.uk/guidance/flood-alerts-and-warnings-what-they-are-and-what-to-do" TargetMode="External" Id="Raa0a82fcdab249c4" /><Relationship Type="http://schemas.openxmlformats.org/officeDocument/2006/relationships/hyperlink" Target="https://www.gov.uk/guidance/flood-risk-assessments-climate-change-allowances" TargetMode="External" Id="R97ed81d5357141bf" /><Relationship Type="http://schemas.openxmlformats.org/officeDocument/2006/relationships/hyperlink" Target="https://www.gov.uk/guidance/flood-and-coastal-risk-projects-schemes-and-strategies-climate-change-allowances" TargetMode="External" Id="Rfeea7c6a3ae54f00" /><Relationship Type="http://schemas.openxmlformats.org/officeDocument/2006/relationships/hyperlink" Target="https://www.local.gov.uk/topics/severe-weather/flooding/local-flood-risk-management-strategies-lfrms-guidance/fcerm-national" TargetMode="External" Id="R13735e71267b4288" /><Relationship Type="http://schemas.openxmlformats.org/officeDocument/2006/relationships/hyperlink" Target="https://www.local.gov.uk/topics/severe-weather/flooding/local-flood-risk-management/managing-flood-risk-roles-and" TargetMode="External" Id="R2cf74f8fc86c400d" /><Relationship Type="http://schemas.openxmlformats.org/officeDocument/2006/relationships/hyperlink" Target="https://www.metoffice.gov.uk/research/climate/understanding-climate/uk-and-global-extreme-events-heavy-rainfall-and-floods" TargetMode="External" Id="Re8bc9ede3f954a9e" /><Relationship Type="http://schemas.openxmlformats.org/officeDocument/2006/relationships/hyperlink" Target="https://www.pmi.org/about/what-is-a-project" TargetMode="External" Id="R2cde03981a074473" /><Relationship Type="http://schemas.openxmlformats.org/officeDocument/2006/relationships/hyperlink" Target="https://www.pmi.org/standards/work-breakdown-structures-third-edition" TargetMode="External" Id="R957af8a8c3df41e5" /><Relationship Type="http://schemas.openxmlformats.org/officeDocument/2006/relationships/hyperlink" Target="https://www.pmi.org/learning/library/work-breakdown-structure-basic-principles-4883" TargetMode="External" Id="R77f4c81bb7be4d77" /><Relationship Type="http://schemas.openxmlformats.org/officeDocument/2006/relationships/footer" Target="/word/footer.xml" Id="Rc61062491825442e" /><Relationship Type="http://schemas.microsoft.com/office/2020/10/relationships/intelligence" Target="/word/intelligence2.xml" Id="R9c1e4742ed4b4fee" /><Relationship Type="http://schemas.openxmlformats.org/officeDocument/2006/relationships/numbering" Target="/word/numbering.xml" Id="Rb50ee02c09db48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Balan (2334196)</dc:creator>
  <keywords/>
  <dc:description/>
  <lastModifiedBy>Bogdan Balan (2334196)</lastModifiedBy>
  <revision>2</revision>
  <dcterms:created xsi:type="dcterms:W3CDTF">2026-04-23T12:23:14.1665078Z</dcterms:created>
  <dcterms:modified xsi:type="dcterms:W3CDTF">2026-04-25T14:49:21.2521877Z</dcterms:modified>
</coreProperties>
</file>