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DE14E"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 xml:space="preserve">Introduction </w:t>
      </w:r>
    </w:p>
    <w:p w14:paraId="77594B71"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The essay contributes to understanding reflective practice in teaching, emphasizing the importance of critical incidents and their interpretation. The essay shows how reflective practice empowers educators to recognize and justify their professional practice using theory and knowledge. The essay provides a methodology for documenting and analyzing classroom incidents, enhancing teaching practice. The essay explores the relevance of a critical incident to curriculum reform in Wales and connects reflective practice to broader educational contexts. The literature review in the essay adds to knowledge about reflective practice in teaching.</w:t>
      </w:r>
    </w:p>
    <w:p w14:paraId="37B033A6" w14:textId="77777777" w:rsidR="0096042D" w:rsidRPr="0096042D" w:rsidRDefault="0096042D" w:rsidP="0096042D">
      <w:pPr>
        <w:spacing w:line="360" w:lineRule="auto"/>
        <w:rPr>
          <w:rFonts w:ascii="Arial" w:hAnsi="Arial" w:cs="Arial"/>
          <w:color w:val="00B050"/>
          <w:shd w:val="clear" w:color="auto" w:fill="FFFFFF"/>
          <w14:ligatures w14:val="none"/>
        </w:rPr>
      </w:pPr>
    </w:p>
    <w:p w14:paraId="7DBA3C0C" w14:textId="77777777" w:rsidR="0096042D" w:rsidRPr="0096042D" w:rsidRDefault="0096042D" w:rsidP="0096042D">
      <w:pPr>
        <w:spacing w:line="360" w:lineRule="auto"/>
        <w:rPr>
          <w:rFonts w:ascii="Arial" w:hAnsi="Arial" w:cs="Arial"/>
          <w:color w:val="00B050"/>
          <w:shd w:val="clear" w:color="auto" w:fill="FFFFFF"/>
          <w14:ligatures w14:val="none"/>
        </w:rPr>
      </w:pPr>
    </w:p>
    <w:p w14:paraId="6C9E82E8" w14:textId="77777777" w:rsidR="0096042D" w:rsidRPr="0096042D" w:rsidRDefault="0096042D" w:rsidP="0096042D">
      <w:pPr>
        <w:spacing w:after="160" w:line="259" w:lineRule="auto"/>
        <w:ind w:left="13" w:right="1"/>
        <w:rPr>
          <w:rFonts w:ascii="Arial" w:hAnsi="Arial" w:cs="Arial"/>
          <w:color w:val="00B050"/>
          <w:u w:val="single"/>
          <w14:ligatures w14:val="none"/>
        </w:rPr>
      </w:pPr>
      <w:r w:rsidRPr="0096042D">
        <w:rPr>
          <w:rFonts w:ascii="Arial" w:hAnsi="Arial" w:cs="Arial"/>
          <w:color w:val="00B050"/>
          <w:u w:val="single"/>
          <w14:ligatures w14:val="none"/>
        </w:rPr>
        <w:t>School context</w:t>
      </w:r>
      <w:r w:rsidRPr="0096042D">
        <w:rPr>
          <w:rFonts w:ascii="Arial" w:eastAsia="Calibri" w:hAnsi="Arial" w:cs="Arial"/>
          <w:color w:val="00B050"/>
          <w:sz w:val="18"/>
          <w:u w:val="single"/>
          <w14:ligatures w14:val="none"/>
        </w:rPr>
        <w:t xml:space="preserve"> </w:t>
      </w:r>
    </w:p>
    <w:p w14:paraId="1810E383" w14:textId="77777777" w:rsidR="0096042D" w:rsidRPr="0096042D" w:rsidRDefault="0096042D" w:rsidP="0096042D">
      <w:pPr>
        <w:spacing w:line="360" w:lineRule="auto"/>
        <w:rPr>
          <w:rFonts w:ascii="Arial" w:hAnsi="Arial" w:cs="Arial"/>
          <w:color w:val="00B050"/>
          <w:shd w:val="clear" w:color="auto" w:fill="FFFFFF"/>
          <w14:ligatures w14:val="none"/>
        </w:rPr>
      </w:pPr>
    </w:p>
    <w:p w14:paraId="5AF4DB5A"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My essay revolves around a significant occurrence that I observed at SCHOOL X, an educational institution that adheres to the English medium of instruction. Located in Swansea, a coastal town in South Wales, this school was established in 1996. The establishment caters to students aged 11 to 16 and currently has an enrolment of approximately 1,280 pupils.</w:t>
      </w:r>
    </w:p>
    <w:p w14:paraId="7E8FDF76"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I partook in a year 7 student trial that encompassed five distinct subject lessons throughout the day. The critical incident that I witnessed specifically occurred during the second lesson of a year 7 Mathematics class. There were 29 students present, and the class consisted of students with varying abilities. The class comprised 15 boys and 14 girls.</w:t>
      </w:r>
    </w:p>
    <w:p w14:paraId="707CB4EA" w14:textId="77777777" w:rsidR="0096042D" w:rsidRPr="0096042D" w:rsidRDefault="0096042D" w:rsidP="0096042D">
      <w:pPr>
        <w:spacing w:line="360" w:lineRule="auto"/>
        <w:rPr>
          <w:rFonts w:ascii="Arial" w:hAnsi="Arial" w:cs="Arial"/>
          <w:color w:val="00B050"/>
          <w:shd w:val="clear" w:color="auto" w:fill="FFFFFF"/>
          <w14:ligatures w14:val="none"/>
        </w:rPr>
      </w:pPr>
    </w:p>
    <w:p w14:paraId="7B35695E" w14:textId="77777777" w:rsidR="0096042D" w:rsidRPr="0096042D" w:rsidRDefault="0096042D" w:rsidP="0096042D">
      <w:pPr>
        <w:spacing w:line="360" w:lineRule="auto"/>
        <w:rPr>
          <w:rFonts w:ascii="Arial" w:hAnsi="Arial" w:cs="Arial"/>
          <w:color w:val="00B050"/>
          <w:shd w:val="clear" w:color="auto" w:fill="FFFFFF"/>
          <w14:ligatures w14:val="none"/>
        </w:rPr>
      </w:pPr>
    </w:p>
    <w:p w14:paraId="4B183ECC" w14:textId="77777777" w:rsidR="0096042D" w:rsidRPr="0096042D" w:rsidRDefault="0096042D" w:rsidP="0096042D">
      <w:pPr>
        <w:spacing w:line="360" w:lineRule="auto"/>
        <w:rPr>
          <w:rFonts w:ascii="Arial" w:hAnsi="Arial" w:cs="Arial"/>
          <w:color w:val="00B050"/>
          <w:shd w:val="clear" w:color="auto" w:fill="FFFFFF"/>
          <w14:ligatures w14:val="none"/>
        </w:rPr>
      </w:pPr>
    </w:p>
    <w:p w14:paraId="7C2DF77D" w14:textId="77777777" w:rsidR="0096042D" w:rsidRPr="0096042D" w:rsidRDefault="0096042D" w:rsidP="0096042D">
      <w:pPr>
        <w:spacing w:line="360" w:lineRule="auto"/>
        <w:rPr>
          <w:rFonts w:ascii="Arial" w:hAnsi="Arial" w:cs="Arial"/>
          <w:color w:val="00B050"/>
          <w:shd w:val="clear" w:color="auto" w:fill="FFFFFF"/>
          <w14:ligatures w14:val="none"/>
        </w:rPr>
      </w:pPr>
    </w:p>
    <w:p w14:paraId="0A7C7F62" w14:textId="77777777" w:rsidR="0096042D" w:rsidRPr="0096042D" w:rsidRDefault="0096042D" w:rsidP="0096042D">
      <w:pPr>
        <w:spacing w:line="360" w:lineRule="auto"/>
        <w:rPr>
          <w:rFonts w:ascii="Arial" w:hAnsi="Arial" w:cs="Arial"/>
          <w:color w:val="00B050"/>
          <w:shd w:val="clear" w:color="auto" w:fill="FFFFFF"/>
          <w14:ligatures w14:val="none"/>
        </w:rPr>
      </w:pPr>
    </w:p>
    <w:p w14:paraId="652F8793" w14:textId="77777777" w:rsidR="0096042D" w:rsidRPr="0096042D" w:rsidRDefault="0096042D" w:rsidP="0096042D">
      <w:pPr>
        <w:spacing w:line="360" w:lineRule="auto"/>
        <w:rPr>
          <w:rFonts w:ascii="Arial" w:hAnsi="Arial" w:cs="Arial"/>
          <w:color w:val="00B050"/>
          <w:shd w:val="clear" w:color="auto" w:fill="FFFFFF"/>
          <w14:ligatures w14:val="none"/>
        </w:rPr>
      </w:pPr>
    </w:p>
    <w:p w14:paraId="6B70FC59" w14:textId="77777777" w:rsidR="0096042D" w:rsidRPr="0096042D" w:rsidRDefault="0096042D" w:rsidP="0096042D">
      <w:pPr>
        <w:spacing w:line="360" w:lineRule="auto"/>
        <w:rPr>
          <w:rFonts w:ascii="Arial" w:hAnsi="Arial" w:cs="Arial"/>
          <w:color w:val="00B050"/>
          <w:shd w:val="clear" w:color="auto" w:fill="FFFFFF"/>
          <w14:ligatures w14:val="none"/>
        </w:rPr>
      </w:pPr>
    </w:p>
    <w:p w14:paraId="688DDC63" w14:textId="77777777" w:rsidR="0096042D" w:rsidRPr="0096042D" w:rsidRDefault="0096042D" w:rsidP="0096042D">
      <w:pPr>
        <w:spacing w:line="360" w:lineRule="auto"/>
        <w:rPr>
          <w:rFonts w:ascii="Arial" w:hAnsi="Arial" w:cs="Arial"/>
          <w:color w:val="00B050"/>
          <w:shd w:val="clear" w:color="auto" w:fill="FFFFFF"/>
          <w14:ligatures w14:val="none"/>
        </w:rPr>
      </w:pPr>
    </w:p>
    <w:p w14:paraId="254CBE1F" w14:textId="77777777" w:rsidR="0096042D" w:rsidRPr="0096042D" w:rsidRDefault="0096042D" w:rsidP="0096042D">
      <w:pPr>
        <w:spacing w:line="360" w:lineRule="auto"/>
        <w:rPr>
          <w:rFonts w:ascii="Arial" w:hAnsi="Arial" w:cs="Arial"/>
          <w:color w:val="00B050"/>
          <w:shd w:val="clear" w:color="auto" w:fill="FFFFFF"/>
          <w14:ligatures w14:val="none"/>
        </w:rPr>
      </w:pPr>
    </w:p>
    <w:p w14:paraId="0C268448" w14:textId="77777777" w:rsidR="0096042D" w:rsidRPr="0096042D" w:rsidRDefault="0096042D" w:rsidP="0096042D">
      <w:pPr>
        <w:spacing w:line="360" w:lineRule="auto"/>
        <w:rPr>
          <w:rFonts w:ascii="Arial" w:hAnsi="Arial" w:cs="Arial"/>
          <w:color w:val="00B050"/>
          <w:shd w:val="clear" w:color="auto" w:fill="FFFFFF"/>
          <w14:ligatures w14:val="none"/>
        </w:rPr>
      </w:pPr>
    </w:p>
    <w:p w14:paraId="3CAD698A"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lastRenderedPageBreak/>
        <w:t>What are critical incidents and why is it important to Analyse Critical Incidents?</w:t>
      </w:r>
    </w:p>
    <w:p w14:paraId="63B6B37D" w14:textId="77777777" w:rsidR="0096042D" w:rsidRPr="0096042D" w:rsidRDefault="0096042D" w:rsidP="0096042D">
      <w:pPr>
        <w:spacing w:line="360" w:lineRule="auto"/>
        <w:rPr>
          <w:rFonts w:ascii="Arial" w:hAnsi="Arial" w:cs="Arial"/>
          <w:color w:val="00B050"/>
          <w:shd w:val="clear" w:color="auto" w:fill="FFFFFF"/>
          <w14:ligatures w14:val="none"/>
        </w:rPr>
      </w:pPr>
    </w:p>
    <w:p w14:paraId="7310B2E0"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The overwhelming majority of critical incident occurrences are far from sensational or conspicuous: they are largely uncomplicated narratives of exceedingly ordinary happenings. Critical incidents in teaching provide important insights into underlying patterns, intentions, and frameworks. Initially, these incidents may seem typical but become critical through analysis. Identifying critical incidents helps teachers develop skills and enhance awareness of professional principles and challenges, encouraging self-reflection. (Tripp, 2011)</w:t>
      </w:r>
    </w:p>
    <w:p w14:paraId="62AB2DDD" w14:textId="77777777" w:rsidR="0096042D" w:rsidRPr="0096042D" w:rsidRDefault="0096042D" w:rsidP="0096042D">
      <w:pPr>
        <w:spacing w:line="360" w:lineRule="auto"/>
        <w:rPr>
          <w:rFonts w:ascii="Arial" w:hAnsi="Arial" w:cs="Arial"/>
          <w:color w:val="00B050"/>
          <w:shd w:val="clear" w:color="auto" w:fill="FFFFFF"/>
          <w14:ligatures w14:val="none"/>
        </w:rPr>
      </w:pPr>
    </w:p>
    <w:p w14:paraId="5C0B661A" w14:textId="77777777" w:rsidR="0096042D" w:rsidRPr="0096042D" w:rsidRDefault="0096042D" w:rsidP="0096042D">
      <w:pPr>
        <w:spacing w:line="360" w:lineRule="auto"/>
        <w:rPr>
          <w:rFonts w:ascii="Arial" w:hAnsi="Arial" w:cs="Arial"/>
          <w:color w:val="00B050"/>
          <w:shd w:val="clear" w:color="auto" w:fill="FFFFFF"/>
          <w14:ligatures w14:val="none"/>
        </w:rPr>
      </w:pPr>
    </w:p>
    <w:p w14:paraId="3C58E616"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 xml:space="preserve">The critical importance of reflection </w:t>
      </w:r>
    </w:p>
    <w:p w14:paraId="397FB063" w14:textId="77777777" w:rsidR="0096042D" w:rsidRPr="0096042D" w:rsidRDefault="0096042D" w:rsidP="0096042D">
      <w:pPr>
        <w:spacing w:line="360" w:lineRule="auto"/>
        <w:rPr>
          <w:rFonts w:ascii="Arial" w:hAnsi="Arial" w:cs="Arial"/>
          <w:color w:val="00B050"/>
          <w:shd w:val="clear" w:color="auto" w:fill="FFFFFF"/>
          <w14:ligatures w14:val="none"/>
        </w:rPr>
      </w:pPr>
    </w:p>
    <w:p w14:paraId="729E89FF"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Not all educators possess the level of introspection that is desired, although an increasing number have begun to embrace this quality as our understanding of effective teaching methodologies expands. Additionally, the education system has started to impart the necessary skills for teachers to engage in self-reflection. Nonetheless, currently, the primary foundation underlying the professional competence of most teachers remains rooted in adept action acquired through practical experience. Consequently, adopting a reflective approach to teaching becomes imperative in cultivating a professional demeanor toward pedagogical practices. (Tripp D 2011) </w:t>
      </w:r>
    </w:p>
    <w:p w14:paraId="4720F924" w14:textId="77777777" w:rsidR="0096042D" w:rsidRPr="0096042D" w:rsidRDefault="0096042D" w:rsidP="0096042D">
      <w:pPr>
        <w:spacing w:line="360" w:lineRule="auto"/>
        <w:rPr>
          <w:rFonts w:ascii="Arial" w:hAnsi="Arial" w:cs="Arial"/>
          <w:color w:val="00B050"/>
          <w:shd w:val="clear" w:color="auto" w:fill="FFFFFF"/>
          <w14:ligatures w14:val="none"/>
        </w:rPr>
      </w:pPr>
    </w:p>
    <w:p w14:paraId="5702BD82"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The idea of reflective practice is widely discussed in relation to the education of new teachers and their professional growth. Dewey and Schön are the most frequently considered perspectives in teacher education. Dewey's theory distinguishes reflective thinking from routine thinking, which is influenced by rules and tradition. Reflective thinking requires rationality and the consideration of relevant knowledge to develop teaching expertise. Practitioners should reflect on past experiences to promote professional growth. (Dewey 1933) Schon's work adds another level of reflection, distinguishing between reflection-on-action and reflection-in-action. Professional development aims to clarify and enhance this 'knowledge-in-action'. (Schon, D. 1983, 1987, 1991)</w:t>
      </w:r>
    </w:p>
    <w:p w14:paraId="1F2CFF7E" w14:textId="77777777" w:rsidR="0096042D" w:rsidRPr="0096042D" w:rsidRDefault="0096042D" w:rsidP="0096042D">
      <w:pPr>
        <w:spacing w:line="360" w:lineRule="auto"/>
        <w:rPr>
          <w:rFonts w:ascii="Arial" w:hAnsi="Arial" w:cs="Arial"/>
          <w:color w:val="00B050"/>
          <w:shd w:val="clear" w:color="auto" w:fill="FFFFFF"/>
          <w14:ligatures w14:val="none"/>
        </w:rPr>
      </w:pPr>
    </w:p>
    <w:p w14:paraId="1C524165"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lastRenderedPageBreak/>
        <w:t>Tripp emphasizes the importance of educators being able to diagnose and use their expertise to analyse their teaching methods. They should also be able to interpret the diagnostic assessment to make informed decisions. When examining incidents in teaching, the goal is often to confirm or discover new insights. Regardless of the outcomes, a careful and systematic analysis is necessary for professional integrity. Diagnosing and evaluating challenges allows for considering alternatives. (Tripp D 2011)</w:t>
      </w:r>
    </w:p>
    <w:p w14:paraId="1AA37126" w14:textId="77777777" w:rsidR="0096042D" w:rsidRPr="0096042D" w:rsidRDefault="0096042D" w:rsidP="0096042D">
      <w:pPr>
        <w:spacing w:line="360" w:lineRule="auto"/>
        <w:rPr>
          <w:rFonts w:ascii="Arial" w:hAnsi="Arial" w:cs="Arial"/>
          <w:color w:val="00B050"/>
          <w:shd w:val="clear" w:color="auto" w:fill="FFFFFF"/>
          <w14:ligatures w14:val="none"/>
        </w:rPr>
      </w:pPr>
    </w:p>
    <w:p w14:paraId="0B386DCA"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Tripp states that a diagnostic educator is an individual who possesses the ability to critically examine their instructional methods in a learned and scholarly manner to generate proficient explanations upon which they can establish and defend their professional assessments. (Tripp D 2011) Similarly, Zwozdiak-Myers suggests that reflective practice allows you to methodically assess your teaching by conducting classroom research, examining personal theories and beliefs, and exploring different viewpoints and possibilities. The development of reflective practice is crucial for professional growth. It helps teachers prepare for challenges in the classroom and make effective decisions. Openness, accountability, and commitment are necessary for thoughtful reflection. (Zwozdiak-Myers, 2010) This theory is corroborated by (Stenhouse (1975) who asserts that the prominent attribute of extended professionals lies in their ability and dedication to participate in independent self-improvement through structured self-examination, contemplation, and investigation.</w:t>
      </w:r>
    </w:p>
    <w:p w14:paraId="0ED88D97" w14:textId="77777777" w:rsidR="0096042D" w:rsidRPr="0096042D" w:rsidRDefault="0096042D" w:rsidP="0096042D">
      <w:pPr>
        <w:spacing w:line="360" w:lineRule="auto"/>
        <w:rPr>
          <w:rFonts w:ascii="Arial" w:hAnsi="Arial" w:cs="Arial"/>
          <w:color w:val="00B050"/>
          <w:shd w:val="clear" w:color="auto" w:fill="FFFFFF"/>
          <w14:ligatures w14:val="none"/>
        </w:rPr>
      </w:pPr>
    </w:p>
    <w:p w14:paraId="24BC9DF8" w14:textId="77777777" w:rsidR="0096042D" w:rsidRPr="0096042D" w:rsidRDefault="0096042D" w:rsidP="0096042D">
      <w:pPr>
        <w:spacing w:line="360" w:lineRule="auto"/>
        <w:rPr>
          <w:rFonts w:ascii="Arial" w:hAnsi="Arial" w:cs="Arial"/>
          <w:color w:val="00B050"/>
          <w:shd w:val="clear" w:color="auto" w:fill="FFFFFF"/>
          <w14:ligatures w14:val="none"/>
        </w:rPr>
      </w:pPr>
    </w:p>
    <w:p w14:paraId="7304EAD6"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According to Brookfield, The critically reflective teacher aims to develop awareness of their teaching from different perspectives. Brookfield proposes four lenses for critical reflection: reflecting on experiences, considering students' perspectives, learning from colleagues' experiences, and engaging with scholarly literature. These approaches align with self-reflection, receiving student feedback, assessing peers, and exploring academic literature. These processes are fundamental for effective teaching and becoming an exceptional teacher (Brookfield, 1995).</w:t>
      </w:r>
    </w:p>
    <w:p w14:paraId="1EB21957"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Stenhouse (1975) describes five important qualities of extended professionals in research on their practice. These include questioning their practice, reflecting critically, testing theories in practical settings, valuing observation and discussion of teaching, and studying their teaching. Stenhouse, L. (1975) </w:t>
      </w:r>
    </w:p>
    <w:p w14:paraId="3182F35A"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lastRenderedPageBreak/>
        <w:t xml:space="preserve">In his review, Donaldson (2015) reinforces the previous theories identified above and emphasizes the importance of a strong foundation in pedagogy for effective curriculum and assessment development. Implementing a predetermined set of teaching methods is not enough; well-trained educators with a deep understanding of effective instruction are required. The impact on teachers' development as reflective practitioners is significant.  (Donaldson 2015) Furlong (2020) agrees with Donaldson's findings and highlights the need for professionalism to succeed in wider reforms in Wales. (Furlong 2020)   </w:t>
      </w:r>
    </w:p>
    <w:p w14:paraId="07BE87E2" w14:textId="77777777" w:rsidR="0096042D" w:rsidRPr="0096042D" w:rsidRDefault="0096042D" w:rsidP="0096042D">
      <w:pPr>
        <w:spacing w:line="360" w:lineRule="auto"/>
        <w:rPr>
          <w:rFonts w:ascii="Arial" w:hAnsi="Arial" w:cs="Arial"/>
          <w:color w:val="00B050"/>
          <w:shd w:val="clear" w:color="auto" w:fill="FFFFFF"/>
          <w14:ligatures w14:val="none"/>
        </w:rPr>
      </w:pPr>
    </w:p>
    <w:p w14:paraId="336FA7D1"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Critical Incident Case Study</w:t>
      </w:r>
    </w:p>
    <w:p w14:paraId="5D85D809"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For the purpose of this task, I elected to employ a written observation technique in the guise of field notes (Appendix A, B, C &amp; D). I concluded that this approach was most advantageous due to its inherent ability to provide a well-defined framework, ensuring the accuracy of my recorded observations while encompassing all necessary components.</w:t>
      </w:r>
    </w:p>
    <w:p w14:paraId="72BDCCAC"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noProof/>
          <w:color w:val="00B050"/>
          <w:shd w:val="clear" w:color="auto" w:fill="FFFFFF"/>
          <w14:ligatures w14:val="none"/>
        </w:rPr>
        <mc:AlternateContent>
          <mc:Choice Requires="wps">
            <w:drawing>
              <wp:anchor distT="45720" distB="45720" distL="114300" distR="114300" simplePos="0" relativeHeight="251660288" behindDoc="0" locked="0" layoutInCell="1" allowOverlap="1" wp14:anchorId="4622571E" wp14:editId="2E74E2BB">
                <wp:simplePos x="0" y="0"/>
                <wp:positionH relativeFrom="column">
                  <wp:posOffset>30480</wp:posOffset>
                </wp:positionH>
                <wp:positionV relativeFrom="paragraph">
                  <wp:posOffset>80645</wp:posOffset>
                </wp:positionV>
                <wp:extent cx="2735580" cy="21564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5580" cy="2156460"/>
                        </a:xfrm>
                        <a:prstGeom prst="rect">
                          <a:avLst/>
                        </a:prstGeom>
                        <a:solidFill>
                          <a:srgbClr val="FFFFFF"/>
                        </a:solidFill>
                        <a:ln w="9525">
                          <a:solidFill>
                            <a:srgbClr val="000000"/>
                          </a:solidFill>
                          <a:miter lim="800000"/>
                          <a:headEnd/>
                          <a:tailEnd/>
                        </a:ln>
                      </wps:spPr>
                      <wps:txbx>
                        <w:txbxContent>
                          <w:p w14:paraId="30871ADA" w14:textId="77777777" w:rsidR="0096042D" w:rsidRDefault="0096042D" w:rsidP="0096042D">
                            <w:r>
                              <w:t xml:space="preserve">Insert diagram of the class here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22571E" id="_x0000_t202" coordsize="21600,21600" o:spt="202" path="m,l,21600r21600,l21600,xe">
                <v:stroke joinstyle="miter"/>
                <v:path gradientshapeok="t" o:connecttype="rect"/>
              </v:shapetype>
              <v:shape id="Text Box 2" o:spid="_x0000_s1026" type="#_x0000_t202" style="position:absolute;margin-left:2.4pt;margin-top:6.35pt;width:215.4pt;height:169.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">
                <v:textbox>
                  <w:txbxContent>
                    <w:p w14:paraId="30871ADA" w14:textId="77777777" w:rsidR="0096042D" w:rsidRDefault="0096042D" w:rsidP="0096042D">
                      <w:r>
                        <w:t xml:space="preserve">Insert diagram of the class here </w:t>
                      </w:r>
                    </w:p>
                  </w:txbxContent>
                </v:textbox>
                <w10:wrap type="square"/>
              </v:shape>
            </w:pict>
          </mc:Fallback>
        </mc:AlternateContent>
      </w:r>
    </w:p>
    <w:p w14:paraId="7661E8E7" w14:textId="77777777" w:rsidR="0096042D" w:rsidRPr="0096042D" w:rsidRDefault="0096042D" w:rsidP="0096042D">
      <w:pPr>
        <w:spacing w:line="360" w:lineRule="auto"/>
        <w:rPr>
          <w:rFonts w:ascii="Arial" w:hAnsi="Arial" w:cs="Arial"/>
          <w:color w:val="00B050"/>
          <w:shd w:val="clear" w:color="auto" w:fill="FFFFFF"/>
          <w14:ligatures w14:val="none"/>
        </w:rPr>
      </w:pPr>
    </w:p>
    <w:p w14:paraId="2530E107" w14:textId="77777777" w:rsidR="0096042D" w:rsidRPr="0096042D" w:rsidRDefault="0096042D" w:rsidP="0096042D">
      <w:pPr>
        <w:spacing w:line="360" w:lineRule="auto"/>
        <w:rPr>
          <w:rFonts w:ascii="Arial" w:hAnsi="Arial" w:cs="Arial"/>
          <w:color w:val="00B050"/>
          <w:shd w:val="clear" w:color="auto" w:fill="FFFFFF"/>
          <w14:ligatures w14:val="none"/>
        </w:rPr>
      </w:pPr>
    </w:p>
    <w:p w14:paraId="5F358DCD" w14:textId="77777777" w:rsidR="0096042D" w:rsidRPr="0096042D" w:rsidRDefault="0096042D" w:rsidP="0096042D">
      <w:pPr>
        <w:spacing w:line="360" w:lineRule="auto"/>
        <w:rPr>
          <w:rFonts w:ascii="Arial" w:hAnsi="Arial" w:cs="Arial"/>
          <w:color w:val="00B050"/>
          <w:shd w:val="clear" w:color="auto" w:fill="FFFFFF"/>
          <w14:ligatures w14:val="none"/>
        </w:rPr>
      </w:pPr>
    </w:p>
    <w:p w14:paraId="248DDD85" w14:textId="77777777" w:rsidR="0096042D" w:rsidRPr="0096042D" w:rsidRDefault="0096042D" w:rsidP="0096042D">
      <w:pPr>
        <w:spacing w:line="360" w:lineRule="auto"/>
        <w:rPr>
          <w:rFonts w:ascii="Arial" w:hAnsi="Arial" w:cs="Arial"/>
          <w:color w:val="00B050"/>
          <w:shd w:val="clear" w:color="auto" w:fill="FFFFFF"/>
          <w14:ligatures w14:val="none"/>
        </w:rPr>
      </w:pPr>
    </w:p>
    <w:p w14:paraId="71780E4E" w14:textId="77777777" w:rsidR="0096042D" w:rsidRPr="0096042D" w:rsidRDefault="0096042D" w:rsidP="0096042D">
      <w:pPr>
        <w:spacing w:line="360" w:lineRule="auto"/>
        <w:rPr>
          <w:rFonts w:ascii="Arial" w:hAnsi="Arial" w:cs="Arial"/>
          <w:color w:val="00B050"/>
          <w:shd w:val="clear" w:color="auto" w:fill="FFFFFF"/>
          <w14:ligatures w14:val="none"/>
        </w:rPr>
      </w:pPr>
    </w:p>
    <w:p w14:paraId="25C9C21F" w14:textId="77777777" w:rsidR="0096042D" w:rsidRPr="0096042D" w:rsidRDefault="0096042D" w:rsidP="0096042D">
      <w:pPr>
        <w:spacing w:line="360" w:lineRule="auto"/>
        <w:rPr>
          <w:rFonts w:ascii="Arial" w:hAnsi="Arial" w:cs="Arial"/>
          <w:color w:val="00B050"/>
          <w:shd w:val="clear" w:color="auto" w:fill="FFFFFF"/>
          <w14:ligatures w14:val="none"/>
        </w:rPr>
      </w:pPr>
    </w:p>
    <w:p w14:paraId="4828D56F" w14:textId="77777777" w:rsidR="0096042D" w:rsidRPr="0096042D" w:rsidRDefault="0096042D" w:rsidP="0096042D">
      <w:pPr>
        <w:spacing w:line="360" w:lineRule="auto"/>
        <w:rPr>
          <w:rFonts w:ascii="Arial" w:hAnsi="Arial" w:cs="Arial"/>
          <w:color w:val="00B050"/>
          <w:shd w:val="clear" w:color="auto" w:fill="FFFFFF"/>
          <w14:ligatures w14:val="none"/>
        </w:rPr>
      </w:pPr>
    </w:p>
    <w:p w14:paraId="6190E9AD" w14:textId="77777777" w:rsidR="0096042D" w:rsidRPr="0096042D" w:rsidRDefault="0096042D" w:rsidP="0096042D">
      <w:pPr>
        <w:spacing w:line="360" w:lineRule="auto"/>
        <w:rPr>
          <w:rFonts w:ascii="Arial" w:hAnsi="Arial" w:cs="Arial"/>
          <w:color w:val="00B050"/>
          <w:shd w:val="clear" w:color="auto" w:fill="FFFFFF"/>
          <w14:ligatures w14:val="none"/>
        </w:rPr>
      </w:pPr>
    </w:p>
    <w:p w14:paraId="0F617056" w14:textId="77777777" w:rsidR="0096042D" w:rsidRPr="0096042D" w:rsidRDefault="0096042D" w:rsidP="0096042D">
      <w:pPr>
        <w:spacing w:line="360" w:lineRule="auto"/>
        <w:rPr>
          <w:rFonts w:ascii="Arial" w:hAnsi="Arial" w:cs="Arial"/>
          <w:color w:val="00B050"/>
          <w:shd w:val="clear" w:color="auto" w:fill="FFFFFF"/>
          <w14:ligatures w14:val="none"/>
        </w:rPr>
      </w:pPr>
    </w:p>
    <w:p w14:paraId="281F4898" w14:textId="77777777" w:rsidR="0096042D" w:rsidRPr="0096042D" w:rsidRDefault="0096042D" w:rsidP="0096042D">
      <w:pPr>
        <w:spacing w:line="360" w:lineRule="auto"/>
        <w:rPr>
          <w:rFonts w:ascii="Arial" w:hAnsi="Arial" w:cs="Arial"/>
          <w:color w:val="00B050"/>
          <w:shd w:val="clear" w:color="auto" w:fill="FFFFFF"/>
          <w14:ligatures w14:val="none"/>
        </w:rPr>
      </w:pPr>
    </w:p>
    <w:p w14:paraId="5330AF48"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 </w:t>
      </w:r>
    </w:p>
    <w:p w14:paraId="0DC1429D"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Figure 1 depicts a schematic representation showcasing the arrangement of the educational space and the precise seating positions of the whiteboards, learners, and the teacher</w:t>
      </w:r>
    </w:p>
    <w:p w14:paraId="4A253243"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The arrangement of the classroom consisted of three rows of rectangular tables positioned adjacent to one another in a lengthwise manner. The classroom, however, proved to be insufficiently spacious for accommodating the number of students present. Furthermore, the shape of the classroom appeared to be </w:t>
      </w:r>
      <w:r w:rsidRPr="0096042D">
        <w:rPr>
          <w:rFonts w:ascii="Arial" w:hAnsi="Arial" w:cs="Arial"/>
          <w:color w:val="00B050"/>
          <w:shd w:val="clear" w:color="auto" w:fill="FFFFFF"/>
          <w14:ligatures w14:val="none"/>
        </w:rPr>
        <w:lastRenderedPageBreak/>
        <w:t xml:space="preserve">elongated and rather narrow. Situated off-center and to the right of the back wall of the room was an interactive whiteboard measuring approximately 5 feet in length and 4 feet in width. Adjacent to this interactive whiteboard was a smaller whiteboard, measuring approximately 4 feet in length and 3 feet in width. It became readily apparent that learners seated at the periphery of the tables on the right-hand side of the classroom, farthest away from the whiteboards, would encounter difficulties in clearly perceiving the content displayed on either of the whiteboards. I occupied a position directly behind two male learners who were situated after the ultimate line of tables on the right-hand side, the farthest distance from the whiteboards. The desk of the teacher was situated at the forefront of the classroom, positioned to the right of the whiteboards, there was very little room in the class for the teacher to move around the students, especially within the third row of tables where the two learners were seated. </w:t>
      </w:r>
    </w:p>
    <w:p w14:paraId="10061B25"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The objectives of the lesson were for the learners to understand the properties of numbers such as factors, multiples, squares, and cubes. Gain comprehension of multiples. Acquire comprehension of integer exponents and roots. Gain comprehension and utilize the distinct prime factorization of a number.</w:t>
      </w:r>
    </w:p>
    <w:p w14:paraId="554C1602"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The lesson commenced with a preliminary starter activity centered around Factors, Primes, and Multiples. The instructor delivered this exercise through the utilization of a PowerPoint presentation. The students were tasked with identifying pairs that, when multiplied together, yield specific totals. Subsequent to this exercise, the teacher asked the learners to put up their hands if they knew the answer. He then  handpicked several of these students to disclose the answers to the remainder of the class. The teacher then proceeded to the next  activity. The students were prompted to discern a factor, the teacher employed the same method of raising hands to assess comprehension as before. The remainder of the lesson encompassed prime numbers and multiples, and the teacher continued to employ the same method of assessment of raising hands. At no time during the lesson did the teacher attempt to obtain responses from learners who did not raise their hands. </w:t>
      </w:r>
    </w:p>
    <w:p w14:paraId="62F53413"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Throughout the lesson, I observed that the two students exhibited a lack of involvement in the lesson, they sat quietly and observed the lesson, however they didn’t seem confident to answer any questions. They refrained from actively participating and it became evident that their seating arrangement hindered their ability to clearly see the information presented on the whiteboards or attentively </w:t>
      </w:r>
      <w:r w:rsidRPr="0096042D">
        <w:rPr>
          <w:rFonts w:ascii="Arial" w:hAnsi="Arial" w:cs="Arial"/>
          <w:color w:val="00B050"/>
          <w:shd w:val="clear" w:color="auto" w:fill="FFFFFF"/>
          <w14:ligatures w14:val="none"/>
        </w:rPr>
        <w:lastRenderedPageBreak/>
        <w:t xml:space="preserve">observe the teacher's demonstrations on how to solve the mathematical equations on the whiteboards. I could directly see that neither of them attempted to work out the mathematical answers, they simply ducked under the teacher's radar, then waited for the teacher to put the correct answers on the whiteboard and then they copied them into their exercise books. As the lesson was finalised the teacher failed to recap on the topics that he delivered to the learners. </w:t>
      </w:r>
    </w:p>
    <w:p w14:paraId="73DBA593"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Unfortunately, the teacher failed to verify if all the learners had accomplished the goals of the lesson. The learners didn't have a chance to express their comprehension of all aspects of the lesson or ask the teacher for additional help. There was no recall at the beginning of the lesson or recapping at the end of the lesson to support assessment for learning.  Numerous critical incidents were identified during the lesson, but for the purpose of this essay, I will focus on the teacher's repeated use of the same (hands-up) assessment method, I will also touch briefly on the classroom layout as I believe that this played a crucial part in the critical incident identified. </w:t>
      </w:r>
    </w:p>
    <w:p w14:paraId="4C6BEF17" w14:textId="77777777" w:rsidR="0096042D" w:rsidRPr="0096042D" w:rsidRDefault="0096042D" w:rsidP="0096042D">
      <w:pPr>
        <w:spacing w:line="360" w:lineRule="auto"/>
        <w:rPr>
          <w:rFonts w:ascii="Arial" w:hAnsi="Arial" w:cs="Arial"/>
          <w:color w:val="00B050"/>
          <w:shd w:val="clear" w:color="auto" w:fill="FFFFFF"/>
          <w14:ligatures w14:val="none"/>
        </w:rPr>
      </w:pPr>
    </w:p>
    <w:p w14:paraId="63C01467" w14:textId="77777777" w:rsidR="0096042D" w:rsidRPr="0096042D" w:rsidRDefault="0096042D" w:rsidP="0096042D">
      <w:pPr>
        <w:spacing w:line="360" w:lineRule="auto"/>
        <w:rPr>
          <w:rFonts w:ascii="Arial" w:hAnsi="Arial" w:cs="Arial"/>
          <w:shd w:val="clear" w:color="auto" w:fill="FFFFFF"/>
          <w14:ligatures w14:val="none"/>
        </w:rPr>
      </w:pPr>
    </w:p>
    <w:p w14:paraId="5ADBA575"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 xml:space="preserve">Why I identified this as a critical incident </w:t>
      </w:r>
    </w:p>
    <w:p w14:paraId="376764E1"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The primary aim of the new curriculum for Wales is to prioritize four purposes and characteristics for the future of the students. According to the Successful Futures Review conducted by Professor Graham Donaldson in 2015, which was based on the analysis and evidence collected from schools in Wales, there are four main aspects that learners should possess when they leave school.</w:t>
      </w:r>
    </w:p>
    <w:p w14:paraId="1495CA62"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These aspects are as follows:</w:t>
      </w:r>
    </w:p>
    <w:p w14:paraId="5181BF62"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Ambitious and Capable Learners - Enterprising and Creative Contributors - Ethical and Informed Citizens - Healthy and Confident Individuals (Donaldson, 2015)</w:t>
      </w:r>
    </w:p>
    <w:p w14:paraId="7997EBC3"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The two purposes identified by Donaldson that relate to my critical incident are Ambitious Capable learners and Healthy confident individuals. The lesson did not cultivate any skills that would enable the two identified learners to fulfil these purposes, they were not actively engaged in the lesson or encouraged by the teacher to participate, the seating arrangement also contributed to this critical incident. Due to being given the freedom to choose their seats at the far end of the classroom, the learners were unable to fully concentrate and access the information provided by the teacher, resulting in a lack of engagement and participation. This </w:t>
      </w:r>
      <w:r w:rsidRPr="0096042D">
        <w:rPr>
          <w:rFonts w:ascii="Arial" w:hAnsi="Arial" w:cs="Arial"/>
          <w:color w:val="00B050"/>
          <w:shd w:val="clear" w:color="auto" w:fill="FFFFFF"/>
          <w14:ligatures w14:val="none"/>
        </w:rPr>
        <w:lastRenderedPageBreak/>
        <w:t xml:space="preserve">practice is relevant to the Four Purposes as carefully planned seating plans encourage students to collaborate with peers they would not typically have the opportunity to work with, reflecting the dynamics of future workplaces. In this case, the arrangement of the students would have had a significant impact on their learning. This further validates Donaldson's (2015) four purposes.   </w:t>
      </w:r>
    </w:p>
    <w:p w14:paraId="543C9DE3" w14:textId="77777777" w:rsidR="0096042D" w:rsidRPr="0096042D" w:rsidRDefault="0096042D" w:rsidP="0096042D">
      <w:pPr>
        <w:spacing w:line="360" w:lineRule="auto"/>
        <w:rPr>
          <w:rFonts w:ascii="Arial" w:hAnsi="Arial" w:cs="Arial"/>
          <w:color w:val="00B050"/>
          <w:u w:val="single"/>
          <w:shd w:val="clear" w:color="auto" w:fill="FFFFFF"/>
          <w14:ligatures w14:val="none"/>
        </w:rPr>
      </w:pPr>
    </w:p>
    <w:p w14:paraId="3481E5A8"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14:ligatures w14:val="none"/>
        </w:rPr>
        <w:t>There are several crucial applications of raising hands, (Hands up to confirm, hands up for ideas, hands up for questions). It is a beneficial tool to establish effective procedures for each use, ensuring that you intentionally encourage students to raise their hands for a specific purpose. This prevents it from becoming a mindless habit and enables all students to actively participate, rather than allowing some to overpower others while others remain passive.</w:t>
      </w:r>
      <w:r w:rsidRPr="0096042D">
        <w:rPr>
          <w:rFonts w:ascii="Arial" w:hAnsi="Arial" w:cs="Arial"/>
          <w:color w:val="00B050"/>
          <w:shd w:val="clear" w:color="auto" w:fill="FFFFFF"/>
          <w14:ligatures w14:val="none"/>
        </w:rPr>
        <w:t xml:space="preserve">  (Wiliam D 2015)</w:t>
      </w:r>
    </w:p>
    <w:p w14:paraId="76542FDA" w14:textId="77777777" w:rsidR="0096042D" w:rsidRPr="0096042D" w:rsidRDefault="0096042D" w:rsidP="0096042D">
      <w:pPr>
        <w:spacing w:line="360" w:lineRule="auto"/>
        <w:rPr>
          <w:rFonts w:ascii="Arial" w:hAnsi="Arial" w:cs="Arial"/>
          <w:color w:val="00B050"/>
          <w14:ligatures w14:val="none"/>
        </w:rPr>
      </w:pPr>
    </w:p>
    <w:p w14:paraId="16BCA586" w14:textId="77777777" w:rsidR="0096042D" w:rsidRPr="0096042D" w:rsidRDefault="0096042D" w:rsidP="0096042D">
      <w:pPr>
        <w:spacing w:line="360" w:lineRule="auto"/>
        <w:rPr>
          <w:rFonts w:ascii="Arial" w:hAnsi="Arial" w:cs="Arial"/>
          <w:color w:val="00B050"/>
          <w14:ligatures w14:val="none"/>
        </w:rPr>
      </w:pPr>
      <w:r w:rsidRPr="0096042D">
        <w:rPr>
          <w:rFonts w:ascii="Arial" w:hAnsi="Arial" w:cs="Arial"/>
          <w:color w:val="00B050"/>
          <w14:ligatures w14:val="none"/>
        </w:rPr>
        <w:t xml:space="preserve">In a classroom setting where the teacher solicits responses from eager volunteers, certain students tend to monopolize the lesson or conversation while others remain reserved. Almost invariably, during an informal exchange in class, a small group of students assume the majority of the responsibility for contributing ideas, engaging in discussion, and practicing skills. This approach is not conducive to fostering a classroom environment where all individuals are encouraged to actively participate in thoughtful deliberation. </w:t>
      </w:r>
      <w:r w:rsidRPr="0096042D">
        <w:rPr>
          <w:rFonts w:ascii="Arial" w:hAnsi="Arial" w:cs="Arial"/>
          <w:color w:val="00B050"/>
          <w:shd w:val="clear" w:color="auto" w:fill="FFFFFF"/>
          <w14:ligatures w14:val="none"/>
        </w:rPr>
        <w:t>(Wiliam D 2015)</w:t>
      </w:r>
    </w:p>
    <w:p w14:paraId="5E26CBBC" w14:textId="77777777" w:rsidR="0096042D" w:rsidRPr="0096042D" w:rsidRDefault="0096042D" w:rsidP="0096042D">
      <w:pPr>
        <w:spacing w:line="360" w:lineRule="auto"/>
        <w:rPr>
          <w:rFonts w:ascii="Arial" w:hAnsi="Arial" w:cs="Arial"/>
          <w14:ligatures w14:val="none"/>
        </w:rPr>
      </w:pPr>
    </w:p>
    <w:p w14:paraId="1162E522" w14:textId="77777777" w:rsidR="0096042D" w:rsidRPr="0096042D" w:rsidRDefault="0096042D" w:rsidP="0096042D">
      <w:pPr>
        <w:spacing w:line="360" w:lineRule="auto"/>
        <w:rPr>
          <w:rFonts w:ascii="Arial" w:hAnsi="Arial" w:cs="Arial"/>
          <w:shd w:val="clear" w:color="auto" w:fill="FFFFFF"/>
          <w14:ligatures w14:val="none"/>
        </w:rPr>
      </w:pPr>
    </w:p>
    <w:p w14:paraId="19FD0A2B" w14:textId="77777777" w:rsidR="0096042D" w:rsidRPr="0096042D" w:rsidRDefault="0096042D" w:rsidP="0096042D">
      <w:pPr>
        <w:spacing w:line="360" w:lineRule="auto"/>
        <w:rPr>
          <w:rFonts w:ascii="Arial" w:hAnsi="Arial" w:cs="Arial"/>
          <w:shd w:val="clear" w:color="auto" w:fill="FFFFFF"/>
          <w14:ligatures w14:val="none"/>
        </w:rPr>
      </w:pPr>
    </w:p>
    <w:p w14:paraId="1B7BCBAC" w14:textId="77777777" w:rsidR="0096042D" w:rsidRPr="0096042D" w:rsidRDefault="0096042D" w:rsidP="0096042D">
      <w:pPr>
        <w:spacing w:line="360" w:lineRule="auto"/>
        <w:rPr>
          <w:rFonts w:ascii="Arial" w:hAnsi="Arial" w:cs="Arial"/>
          <w:shd w:val="clear" w:color="auto" w:fill="FFFFFF"/>
          <w14:ligatures w14:val="none"/>
        </w:rPr>
      </w:pPr>
    </w:p>
    <w:p w14:paraId="774133DD" w14:textId="77777777" w:rsidR="0096042D" w:rsidRPr="0096042D" w:rsidRDefault="0096042D" w:rsidP="0096042D">
      <w:pPr>
        <w:spacing w:line="360" w:lineRule="auto"/>
        <w:rPr>
          <w:rFonts w:ascii="Arial" w:hAnsi="Arial" w:cs="Arial"/>
          <w:shd w:val="clear" w:color="auto" w:fill="FFFFFF"/>
          <w14:ligatures w14:val="none"/>
        </w:rPr>
      </w:pPr>
    </w:p>
    <w:p w14:paraId="1B6F8FD6" w14:textId="77777777" w:rsidR="0096042D" w:rsidRPr="0096042D" w:rsidRDefault="0096042D" w:rsidP="0096042D">
      <w:pPr>
        <w:spacing w:line="360" w:lineRule="auto"/>
        <w:rPr>
          <w:rFonts w:ascii="Arial" w:hAnsi="Arial" w:cs="Arial"/>
          <w:shd w:val="clear" w:color="auto" w:fill="FFFFFF"/>
          <w14:ligatures w14:val="none"/>
        </w:rPr>
      </w:pPr>
    </w:p>
    <w:p w14:paraId="21EDC39C" w14:textId="77777777" w:rsidR="0096042D" w:rsidRPr="0096042D" w:rsidRDefault="0096042D" w:rsidP="0096042D">
      <w:pPr>
        <w:spacing w:line="360" w:lineRule="auto"/>
        <w:rPr>
          <w:rFonts w:ascii="Arial" w:hAnsi="Arial" w:cs="Arial"/>
          <w:shd w:val="clear" w:color="auto" w:fill="FFFFFF"/>
          <w14:ligatures w14:val="none"/>
        </w:rPr>
      </w:pPr>
    </w:p>
    <w:p w14:paraId="3975FA5C" w14:textId="77777777" w:rsidR="0096042D" w:rsidRPr="0096042D" w:rsidRDefault="0096042D" w:rsidP="0096042D">
      <w:pPr>
        <w:spacing w:line="360" w:lineRule="auto"/>
        <w:rPr>
          <w:rFonts w:ascii="Arial" w:hAnsi="Arial" w:cs="Arial"/>
          <w:shd w:val="clear" w:color="auto" w:fill="FFFFFF"/>
          <w14:ligatures w14:val="none"/>
        </w:rPr>
      </w:pPr>
    </w:p>
    <w:p w14:paraId="7E126838" w14:textId="77777777" w:rsidR="0096042D" w:rsidRPr="0096042D" w:rsidRDefault="0096042D" w:rsidP="0096042D">
      <w:pPr>
        <w:spacing w:line="360" w:lineRule="auto"/>
        <w:rPr>
          <w:rFonts w:ascii="Arial" w:hAnsi="Arial" w:cs="Arial"/>
          <w:shd w:val="clear" w:color="auto" w:fill="FFFFFF"/>
          <w14:ligatures w14:val="none"/>
        </w:rPr>
      </w:pPr>
    </w:p>
    <w:p w14:paraId="23353384" w14:textId="77777777" w:rsidR="0096042D" w:rsidRPr="0096042D" w:rsidRDefault="0096042D" w:rsidP="0096042D">
      <w:pPr>
        <w:spacing w:line="360" w:lineRule="auto"/>
        <w:rPr>
          <w:rFonts w:ascii="Arial" w:hAnsi="Arial" w:cs="Arial"/>
          <w:shd w:val="clear" w:color="auto" w:fill="FFFFFF"/>
          <w14:ligatures w14:val="none"/>
        </w:rPr>
      </w:pPr>
    </w:p>
    <w:p w14:paraId="4B061C81" w14:textId="77777777" w:rsidR="0096042D" w:rsidRPr="0096042D" w:rsidRDefault="0096042D" w:rsidP="0096042D">
      <w:pPr>
        <w:spacing w:line="360" w:lineRule="auto"/>
        <w:rPr>
          <w:rFonts w:ascii="Arial" w:hAnsi="Arial" w:cs="Arial"/>
          <w:shd w:val="clear" w:color="auto" w:fill="FFFFFF"/>
          <w14:ligatures w14:val="none"/>
        </w:rPr>
      </w:pPr>
    </w:p>
    <w:p w14:paraId="44805AA1" w14:textId="77777777" w:rsidR="0096042D" w:rsidRPr="0096042D" w:rsidRDefault="0096042D" w:rsidP="0096042D">
      <w:pPr>
        <w:spacing w:line="360" w:lineRule="auto"/>
        <w:rPr>
          <w:rFonts w:ascii="Arial" w:hAnsi="Arial" w:cs="Arial"/>
          <w:shd w:val="clear" w:color="auto" w:fill="FFFFFF"/>
          <w14:ligatures w14:val="none"/>
        </w:rPr>
      </w:pPr>
    </w:p>
    <w:p w14:paraId="0B219D32" w14:textId="77777777" w:rsidR="0096042D" w:rsidRPr="0096042D" w:rsidRDefault="0096042D" w:rsidP="0096042D">
      <w:pPr>
        <w:spacing w:line="360" w:lineRule="auto"/>
        <w:rPr>
          <w:rFonts w:ascii="Arial" w:hAnsi="Arial" w:cs="Arial"/>
          <w:shd w:val="clear" w:color="auto" w:fill="FFFFFF"/>
          <w14:ligatures w14:val="none"/>
        </w:rPr>
      </w:pPr>
    </w:p>
    <w:p w14:paraId="23983E50" w14:textId="77777777" w:rsidR="0096042D" w:rsidRPr="0096042D" w:rsidRDefault="0096042D" w:rsidP="0096042D">
      <w:pPr>
        <w:spacing w:line="360" w:lineRule="auto"/>
        <w:rPr>
          <w:rFonts w:ascii="Arial" w:hAnsi="Arial" w:cs="Arial"/>
          <w:shd w:val="clear" w:color="auto" w:fill="FFFFFF"/>
          <w14:ligatures w14:val="none"/>
        </w:rPr>
      </w:pPr>
    </w:p>
    <w:p w14:paraId="229B50EA" w14:textId="77777777" w:rsidR="0096042D" w:rsidRPr="0096042D" w:rsidRDefault="0096042D" w:rsidP="0096042D">
      <w:pPr>
        <w:spacing w:line="360" w:lineRule="auto"/>
        <w:rPr>
          <w:rFonts w:ascii="Arial" w:hAnsi="Arial" w:cs="Arial"/>
          <w:shd w:val="clear" w:color="auto" w:fill="FFFFFF"/>
          <w14:ligatures w14:val="none"/>
        </w:rPr>
      </w:pPr>
    </w:p>
    <w:p w14:paraId="3B7BF048" w14:textId="77777777" w:rsidR="0096042D" w:rsidRPr="0096042D" w:rsidRDefault="0096042D" w:rsidP="0096042D">
      <w:pPr>
        <w:spacing w:line="360" w:lineRule="auto"/>
        <w:rPr>
          <w:rFonts w:ascii="Arial" w:hAnsi="Arial" w:cs="Arial"/>
          <w:shd w:val="clear" w:color="auto" w:fill="FFFFFF"/>
          <w14:ligatures w14:val="none"/>
        </w:rPr>
      </w:pPr>
    </w:p>
    <w:p w14:paraId="1CBDDABE" w14:textId="77777777" w:rsidR="0096042D" w:rsidRPr="0096042D" w:rsidRDefault="0096042D" w:rsidP="0096042D">
      <w:pPr>
        <w:spacing w:line="360" w:lineRule="auto"/>
        <w:rPr>
          <w:rFonts w:ascii="Arial" w:hAnsi="Arial" w:cs="Arial"/>
          <w:shd w:val="clear" w:color="auto" w:fill="FFFFFF"/>
          <w14:ligatures w14:val="none"/>
        </w:rPr>
      </w:pPr>
    </w:p>
    <w:p w14:paraId="3A7D63AB" w14:textId="77777777" w:rsidR="0096042D" w:rsidRPr="0096042D" w:rsidRDefault="0096042D" w:rsidP="0096042D">
      <w:pPr>
        <w:spacing w:line="360" w:lineRule="auto"/>
        <w:rPr>
          <w:rFonts w:ascii="Arial" w:hAnsi="Arial" w:cs="Arial"/>
          <w:shd w:val="clear" w:color="auto" w:fill="FFFFFF"/>
          <w14:ligatures w14:val="none"/>
        </w:rPr>
      </w:pPr>
    </w:p>
    <w:p w14:paraId="77657D3F" w14:textId="77777777" w:rsidR="0096042D" w:rsidRPr="0096042D" w:rsidRDefault="0096042D" w:rsidP="0096042D">
      <w:pPr>
        <w:spacing w:line="360" w:lineRule="auto"/>
        <w:rPr>
          <w:rFonts w:ascii="Arial" w:hAnsi="Arial" w:cs="Arial"/>
          <w:shd w:val="clear" w:color="auto" w:fill="FFFFFF"/>
          <w14:ligatures w14:val="none"/>
        </w:rPr>
      </w:pPr>
    </w:p>
    <w:p w14:paraId="0B82C9D5" w14:textId="77777777" w:rsidR="0096042D" w:rsidRPr="0096042D" w:rsidRDefault="0096042D" w:rsidP="0096042D">
      <w:pPr>
        <w:spacing w:line="360" w:lineRule="auto"/>
        <w:rPr>
          <w:rFonts w:ascii="Arial" w:hAnsi="Arial" w:cs="Arial"/>
          <w:shd w:val="clear" w:color="auto" w:fill="FFFFFF"/>
          <w14:ligatures w14:val="none"/>
        </w:rPr>
      </w:pPr>
    </w:p>
    <w:p w14:paraId="3385B23E" w14:textId="77777777" w:rsidR="0096042D" w:rsidRPr="0096042D" w:rsidRDefault="0096042D" w:rsidP="0096042D">
      <w:pPr>
        <w:spacing w:line="360" w:lineRule="auto"/>
        <w:rPr>
          <w:rFonts w:ascii="Arial" w:hAnsi="Arial" w:cs="Arial"/>
          <w:shd w:val="clear" w:color="auto" w:fill="FFFFFF"/>
          <w14:ligatures w14:val="none"/>
        </w:rPr>
      </w:pPr>
    </w:p>
    <w:p w14:paraId="2B13C167" w14:textId="77777777" w:rsidR="0096042D" w:rsidRPr="0096042D" w:rsidRDefault="0096042D" w:rsidP="0096042D">
      <w:pPr>
        <w:spacing w:line="360" w:lineRule="auto"/>
        <w:rPr>
          <w:rFonts w:ascii="Arial" w:hAnsi="Arial" w:cs="Arial"/>
          <w:shd w:val="clear" w:color="auto" w:fill="FFFFFF"/>
          <w14:ligatures w14:val="none"/>
        </w:rPr>
      </w:pPr>
    </w:p>
    <w:p w14:paraId="2FEF4DD5" w14:textId="77777777" w:rsidR="0096042D" w:rsidRPr="0096042D" w:rsidRDefault="0096042D" w:rsidP="0096042D">
      <w:pPr>
        <w:spacing w:line="360" w:lineRule="auto"/>
        <w:rPr>
          <w:rFonts w:ascii="Arial" w:hAnsi="Arial" w:cs="Arial"/>
          <w:shd w:val="clear" w:color="auto" w:fill="FFFFFF"/>
          <w14:ligatures w14:val="none"/>
        </w:rPr>
      </w:pPr>
    </w:p>
    <w:p w14:paraId="0A89ADD0" w14:textId="77777777" w:rsidR="0096042D" w:rsidRPr="0096042D" w:rsidRDefault="0096042D" w:rsidP="0096042D">
      <w:pPr>
        <w:spacing w:line="360" w:lineRule="auto"/>
        <w:rPr>
          <w:rFonts w:ascii="Arial" w:hAnsi="Arial" w:cs="Arial"/>
          <w:shd w:val="clear" w:color="auto" w:fill="FFFFFF"/>
          <w14:ligatures w14:val="none"/>
        </w:rPr>
      </w:pPr>
    </w:p>
    <w:p w14:paraId="5EDDB856" w14:textId="77777777" w:rsidR="0096042D" w:rsidRPr="0096042D" w:rsidRDefault="0096042D" w:rsidP="0096042D">
      <w:pPr>
        <w:spacing w:line="360" w:lineRule="auto"/>
        <w:rPr>
          <w:rFonts w:ascii="Arial" w:hAnsi="Arial" w:cs="Arial"/>
          <w:color w:val="00B050"/>
          <w:sz w:val="28"/>
          <w:szCs w:val="28"/>
          <w:u w:val="single"/>
          <w14:ligatures w14:val="none"/>
        </w:rPr>
      </w:pPr>
      <w:r w:rsidRPr="0096042D">
        <w:rPr>
          <w:rFonts w:ascii="Arial" w:hAnsi="Arial" w:cs="Arial"/>
          <w:color w:val="00B050"/>
          <w:sz w:val="28"/>
          <w:szCs w:val="28"/>
          <w:u w:val="single"/>
          <w14:ligatures w14:val="none"/>
        </w:rPr>
        <w:t>Teaching and Learning Methods that I would adopt.</w:t>
      </w:r>
    </w:p>
    <w:p w14:paraId="7AF5A8C9" w14:textId="77777777" w:rsidR="0096042D" w:rsidRPr="0096042D" w:rsidRDefault="0096042D" w:rsidP="0096042D">
      <w:pPr>
        <w:spacing w:line="360" w:lineRule="auto"/>
        <w:rPr>
          <w:rFonts w:ascii="Arial" w:hAnsi="Arial" w:cs="Arial"/>
          <w:color w:val="00B050"/>
          <w:u w:val="single"/>
          <w:shd w:val="clear" w:color="auto" w:fill="FFFFFF"/>
          <w14:ligatures w14:val="none"/>
        </w:rPr>
      </w:pPr>
    </w:p>
    <w:p w14:paraId="3D59164A"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Assessment for learning</w:t>
      </w:r>
    </w:p>
    <w:p w14:paraId="1DB8E4AF"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Assessment is important for educators to identify strengths, areas for improvement, and next steps in learning. Learners should be at the center and engaged in the process. Assessment should be ongoing and linked to teaching and learning. Collaboration is important for progress and well-being. Assessment supports learner advancement and helps with planning. Integration of assessment with teaching and learning is crucial. Assessment helps identify learner progress and plan for future learning. It also involves parents/guardians. (Curriculum for Wales) </w:t>
      </w:r>
    </w:p>
    <w:p w14:paraId="5929D235" w14:textId="77777777" w:rsidR="0096042D" w:rsidRPr="0096042D" w:rsidRDefault="0096042D" w:rsidP="0096042D">
      <w:pPr>
        <w:spacing w:line="360" w:lineRule="auto"/>
        <w:rPr>
          <w:rFonts w:ascii="Arial" w:hAnsi="Arial" w:cs="Arial"/>
          <w:color w:val="00B050"/>
          <w:shd w:val="clear" w:color="auto" w:fill="FFFFFF"/>
          <w14:ligatures w14:val="none"/>
        </w:rPr>
      </w:pPr>
    </w:p>
    <w:p w14:paraId="347223C8" w14:textId="77777777" w:rsidR="0096042D" w:rsidRPr="0096042D" w:rsidRDefault="0096042D" w:rsidP="0096042D">
      <w:pPr>
        <w:spacing w:line="360" w:lineRule="auto"/>
        <w:rPr>
          <w:rFonts w:ascii="Arial" w:hAnsi="Arial" w:cs="Arial"/>
          <w:color w:val="00B050"/>
          <w:shd w:val="clear" w:color="auto" w:fill="FFFFFF"/>
          <w14:ligatures w14:val="none"/>
        </w:rPr>
      </w:pPr>
    </w:p>
    <w:p w14:paraId="19D3720C"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noProof/>
          <w14:ligatures w14:val="none"/>
        </w:rPr>
        <w:lastRenderedPageBreak/>
        <w:drawing>
          <wp:inline distT="0" distB="0" distL="0" distR="0" wp14:anchorId="552AE8B0" wp14:editId="6A2D9016">
            <wp:extent cx="4351020" cy="4367410"/>
            <wp:effectExtent l="0" t="0" r="0" b="0"/>
            <wp:docPr id="2048844109" name="Picture 2048844109" descr="A diagram of a learn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81520" name="Picture 1" descr="A diagram of a learning process&#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54419" cy="4370821"/>
                    </a:xfrm>
                    <a:prstGeom prst="rect">
                      <a:avLst/>
                    </a:prstGeom>
                    <a:noFill/>
                    <a:ln>
                      <a:noFill/>
                    </a:ln>
                  </pic:spPr>
                </pic:pic>
              </a:graphicData>
            </a:graphic>
          </wp:inline>
        </w:drawing>
      </w:r>
    </w:p>
    <w:p w14:paraId="5FCAE749" w14:textId="77777777" w:rsidR="0096042D" w:rsidRPr="0096042D" w:rsidRDefault="0096042D" w:rsidP="0096042D">
      <w:pPr>
        <w:spacing w:line="360" w:lineRule="auto"/>
        <w:rPr>
          <w:rFonts w:ascii="Arial" w:hAnsi="Arial" w:cs="Arial"/>
          <w:color w:val="00B050"/>
          <w:shd w:val="clear" w:color="auto" w:fill="FFFFFF"/>
          <w14:ligatures w14:val="none"/>
        </w:rPr>
      </w:pPr>
    </w:p>
    <w:p w14:paraId="0617CCD1"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Figure 4 Key principles and purpose of assessment (Curriculum for Wales)</w:t>
      </w:r>
    </w:p>
    <w:p w14:paraId="5A19139D" w14:textId="77777777" w:rsidR="0096042D" w:rsidRPr="0096042D" w:rsidRDefault="0096042D" w:rsidP="0096042D">
      <w:pPr>
        <w:spacing w:line="360" w:lineRule="auto"/>
        <w:rPr>
          <w:rFonts w:ascii="Arial" w:hAnsi="Arial" w:cs="Arial"/>
          <w:color w:val="00B050"/>
          <w:shd w:val="clear" w:color="auto" w:fill="FFFFFF"/>
          <w14:ligatures w14:val="none"/>
        </w:rPr>
      </w:pPr>
    </w:p>
    <w:p w14:paraId="0F1255E4" w14:textId="77777777" w:rsidR="0096042D" w:rsidRPr="0096042D" w:rsidRDefault="0096042D" w:rsidP="0096042D">
      <w:pPr>
        <w:spacing w:line="360" w:lineRule="auto"/>
        <w:rPr>
          <w:rFonts w:ascii="Arial" w:hAnsi="Arial" w:cs="Arial"/>
          <w:shd w:val="clear" w:color="auto" w:fill="FFFFFF"/>
          <w14:ligatures w14:val="none"/>
        </w:rPr>
      </w:pPr>
    </w:p>
    <w:p w14:paraId="4D75B5DD" w14:textId="77777777" w:rsidR="0096042D" w:rsidRPr="0096042D" w:rsidRDefault="0096042D" w:rsidP="0096042D">
      <w:pPr>
        <w:spacing w:line="360" w:lineRule="auto"/>
        <w:rPr>
          <w:rFonts w:ascii="Arial" w:hAnsi="Arial" w:cs="Arial"/>
          <w:shd w:val="clear" w:color="auto" w:fill="FFFFFF"/>
          <w14:ligatures w14:val="none"/>
        </w:rPr>
      </w:pPr>
    </w:p>
    <w:p w14:paraId="37CEB54E"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u w:val="single"/>
          <w:shd w:val="clear" w:color="auto" w:fill="FFFFFF"/>
          <w14:ligatures w14:val="none"/>
        </w:rPr>
        <w:t>Effective questioning techniques</w:t>
      </w:r>
    </w:p>
    <w:p w14:paraId="100E38E5"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Factors to consider - Supportive learning environment </w:t>
      </w:r>
    </w:p>
    <w:p w14:paraId="0CA96E94"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For effective questioning, both the teacher and student need a conducive learning environment. The teacher's role is to facilitate and nurture academic, personal, and social growth. The classroom is a community of learners with shared responsibility for success. The teacher is a guide and mentor, not just a dispenser of information. (Frisby &amp; Martin, 2010)</w:t>
      </w:r>
    </w:p>
    <w:p w14:paraId="5B03DEE2" w14:textId="77777777" w:rsidR="0096042D" w:rsidRPr="0096042D" w:rsidRDefault="0096042D" w:rsidP="0096042D">
      <w:pPr>
        <w:spacing w:line="360" w:lineRule="auto"/>
        <w:rPr>
          <w:rFonts w:ascii="Arial" w:hAnsi="Arial" w:cs="Arial"/>
          <w:color w:val="00B050"/>
          <w:shd w:val="clear" w:color="auto" w:fill="FFFFFF"/>
          <w14:ligatures w14:val="none"/>
        </w:rPr>
      </w:pPr>
    </w:p>
    <w:p w14:paraId="3E8A6A01"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The configuration of seats within the educational setting serves as a vital component in facilitating effective inquiry. Whenever possible, learners should assume a circular arrangement, allowing them to face one another and engage in more intimate interactions. This particular seating arrangement ensures that both the instructor and </w:t>
      </w:r>
      <w:r w:rsidRPr="0096042D">
        <w:rPr>
          <w:rFonts w:ascii="Arial" w:hAnsi="Arial" w:cs="Arial"/>
          <w:color w:val="00B050"/>
          <w:shd w:val="clear" w:color="auto" w:fill="FFFFFF"/>
          <w14:ligatures w14:val="none"/>
        </w:rPr>
        <w:lastRenderedPageBreak/>
        <w:t xml:space="preserve">classmates have clear visibility of all individuals, thereby reducing the likelihood of engaging in unrelated endeavors (Gremmen, M.C 2016). </w:t>
      </w:r>
    </w:p>
    <w:p w14:paraId="5F118366" w14:textId="77777777" w:rsidR="0096042D" w:rsidRPr="0096042D" w:rsidRDefault="0096042D" w:rsidP="0096042D">
      <w:pPr>
        <w:spacing w:line="360" w:lineRule="auto"/>
        <w:rPr>
          <w:rFonts w:ascii="Arial" w:hAnsi="Arial" w:cs="Arial"/>
          <w:shd w:val="clear" w:color="auto" w:fill="FFFFFF"/>
          <w14:ligatures w14:val="none"/>
        </w:rPr>
      </w:pPr>
    </w:p>
    <w:p w14:paraId="3DEAD47E"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The dimensions and arrangement of the mathematics classroom, nevertheless, were not conducive to the execution of this instructional method. The classroom was unsuitable for its intended function due to its insufficient dimensions and incapability to adequately cater to the number of students while guaranteeing that they all have an unobstructed view of the whiteboards. The teacher must have the freedom to move around, enabling contact with every student in the class (Gremmen, M.C 2016) </w:t>
      </w:r>
    </w:p>
    <w:p w14:paraId="74E6C9F3"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Research findings have indicated that the establishment of a positive and harmonious relationship between the teacher and fellow students has a significant impact on students' sense of belongingness and their willingness to actively engage in the learning process. As a consequence, this positive relationship facilitates both cognitive and affective learning outcomes (Frisby &amp; Martin, 2010). However, the arrangement of the two learners' seating positions hindered the development of this connection, leading to their disengagement from the learning environment.</w:t>
      </w:r>
    </w:p>
    <w:p w14:paraId="54DE69DC" w14:textId="77777777" w:rsidR="0096042D" w:rsidRPr="0096042D" w:rsidRDefault="0096042D" w:rsidP="0096042D">
      <w:pPr>
        <w:spacing w:line="360" w:lineRule="auto"/>
        <w:rPr>
          <w:rFonts w:ascii="Arial" w:hAnsi="Arial" w:cs="Arial"/>
          <w:color w:val="00B050"/>
          <w:shd w:val="clear" w:color="auto" w:fill="FFFFFF"/>
          <w14:ligatures w14:val="none"/>
        </w:rPr>
      </w:pPr>
    </w:p>
    <w:p w14:paraId="738FFD0D"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Socrates, the Greek philosopher of the 5th century BCE, who is widely regarded as the father of Western philosophy, held the belief that genuine and authentic learning takes place when individuals engage in questioning. Socrates embodied this philosophy as an instructor by consistently posing inquiries to his students, guiding them to discover their comprehension of the subject matter being taught (Schwartz C 2021 )</w:t>
      </w:r>
    </w:p>
    <w:p w14:paraId="75EBDDA5"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Researchers have consistently discovered that questioning is a highly influential teaching skill when it comes to students' achievement. As a result, it is essential to dedicate considerable focus to improving the questioning capabilities of both novice and seasoned educators. (Wiliam D  2015) </w:t>
      </w:r>
    </w:p>
    <w:p w14:paraId="74A301F1" w14:textId="77777777" w:rsidR="0096042D" w:rsidRPr="0096042D" w:rsidRDefault="0096042D" w:rsidP="0096042D">
      <w:pPr>
        <w:spacing w:line="360" w:lineRule="auto"/>
        <w:rPr>
          <w:rFonts w:ascii="Arial" w:hAnsi="Arial" w:cs="Arial"/>
          <w:color w:val="00B050"/>
          <w:shd w:val="clear" w:color="auto" w:fill="FFFFFF"/>
          <w14:ligatures w14:val="none"/>
        </w:rPr>
      </w:pPr>
    </w:p>
    <w:p w14:paraId="2C8E7642"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Considering Dylan Wiliam's podcast relating to effective questioning in the classroom Dylan Wiliam suggests a small yet impactful change: implementing a policy where students do not raise their hands. Dylan states that the main issue lies in the fact that teachers often pose a question and then only hear responses from the confident and articulate students who put up their hands. The teacher then moves on if these students provide a correct answer. However, this means that the evidence about </w:t>
      </w:r>
      <w:r w:rsidRPr="0096042D">
        <w:rPr>
          <w:rFonts w:ascii="Arial" w:hAnsi="Arial" w:cs="Arial"/>
          <w:color w:val="00B050"/>
          <w:shd w:val="clear" w:color="auto" w:fill="FFFFFF"/>
          <w14:ligatures w14:val="none"/>
        </w:rPr>
        <w:lastRenderedPageBreak/>
        <w:t xml:space="preserve">who understands the material and who does not is not very reliable, as it is based solely on the input of a select group of students. Therefore, when it comes to classroom questioning, the key is to consider how good the evidence is. If the teacher is only hearing from confident students, they cannot make decisions that cater to the learning needs of the entire class, which may consist of 25 or 30 diverse students. </w:t>
      </w:r>
      <w:r w:rsidRPr="0096042D">
        <w:rPr>
          <w:rFonts w:ascii="Arial" w:hAnsi="Arial" w:cs="Arial"/>
          <w:color w:val="00B050"/>
          <w14:ligatures w14:val="none"/>
        </w:rPr>
        <w:t xml:space="preserve">Therefore, it is crucial to expand the range of evidence and acquire deeper understanding of the thought processes of every student in the classroom. </w:t>
      </w:r>
      <w:r w:rsidRPr="0096042D">
        <w:rPr>
          <w:rFonts w:ascii="Arial" w:hAnsi="Arial" w:cs="Arial"/>
          <w:color w:val="00B050"/>
          <w:shd w:val="clear" w:color="auto" w:fill="FFFFFF"/>
          <w14:ligatures w14:val="none"/>
        </w:rPr>
        <w:t>He believes there are two compelling reasons for posing a question. One reason is to gather information that aids in making informed decisions about future actions. The other, of course, is to stimulate critical thinking in students. Consequently, there are various approaches that teachers can take when it comes to questioning in the classroom. However, in general, if a teacher asks a question with the intention of determining whether to proceed or to reinforce a point, then it is essential to gather higher quality evidence than what can be obtained solely from confident and articulate students. (Dylan Wiliam Podcast 2019)</w:t>
      </w:r>
    </w:p>
    <w:p w14:paraId="705B979E" w14:textId="77777777" w:rsidR="0096042D" w:rsidRPr="0096042D" w:rsidRDefault="0096042D" w:rsidP="0096042D">
      <w:pPr>
        <w:spacing w:line="360" w:lineRule="auto"/>
        <w:rPr>
          <w:rFonts w:ascii="Arial" w:hAnsi="Arial" w:cs="Arial"/>
          <w:color w:val="00B050"/>
          <w:shd w:val="clear" w:color="auto" w:fill="FFFFFF"/>
          <w14:ligatures w14:val="none"/>
        </w:rPr>
      </w:pPr>
    </w:p>
    <w:p w14:paraId="04D479D8" w14:textId="77777777" w:rsidR="0096042D" w:rsidRPr="0096042D" w:rsidRDefault="0096042D" w:rsidP="0096042D">
      <w:pPr>
        <w:spacing w:line="360" w:lineRule="auto"/>
        <w:rPr>
          <w:rFonts w:ascii="Arial" w:hAnsi="Arial" w:cs="Arial"/>
          <w:color w:val="00B050"/>
          <w:u w:val="single"/>
          <w14:ligatures w14:val="none"/>
        </w:rPr>
      </w:pPr>
      <w:r w:rsidRPr="0096042D">
        <w:rPr>
          <w:rFonts w:ascii="Arial" w:hAnsi="Arial" w:cs="Arial"/>
          <w:color w:val="00B050"/>
          <w:u w:val="single"/>
          <w14:ligatures w14:val="none"/>
        </w:rPr>
        <w:t xml:space="preserve">Cold Calling </w:t>
      </w:r>
    </w:p>
    <w:p w14:paraId="6653073E" w14:textId="77777777" w:rsidR="0096042D" w:rsidRPr="0096042D" w:rsidRDefault="0096042D" w:rsidP="0096042D">
      <w:pPr>
        <w:spacing w:line="360" w:lineRule="auto"/>
        <w:rPr>
          <w:rFonts w:ascii="Arial" w:hAnsi="Arial" w:cs="Arial"/>
          <w:color w:val="00B050"/>
          <w14:ligatures w14:val="none"/>
        </w:rPr>
      </w:pPr>
      <w:r w:rsidRPr="0096042D">
        <w:rPr>
          <w:rFonts w:ascii="Arial" w:hAnsi="Arial" w:cs="Arial"/>
          <w:color w:val="00B050"/>
          <w14:ligatures w14:val="none"/>
        </w:rPr>
        <w:t>The technique of Cold Calling, which involves randomly selecting students to answer questions, establishes the implicit expectation that each and every student in the classroom is fully prepared and willing to respond to any inquiry posed by the instructor. This particular approach to student engagement serves to foster a heightened sense of attentiveness, active involvement, and overall participation amongst the entire student body present within the learning environment.</w:t>
      </w:r>
    </w:p>
    <w:p w14:paraId="1A49C312" w14:textId="77777777" w:rsidR="0096042D" w:rsidRPr="0096042D" w:rsidRDefault="0096042D" w:rsidP="0096042D">
      <w:pPr>
        <w:spacing w:line="360" w:lineRule="auto"/>
        <w:rPr>
          <w:rFonts w:ascii="Arial" w:hAnsi="Arial" w:cs="Arial"/>
          <w:color w:val="00B050"/>
          <w14:ligatures w14:val="none"/>
        </w:rPr>
      </w:pPr>
      <w:r w:rsidRPr="0096042D">
        <w:rPr>
          <w:rFonts w:ascii="Arial" w:hAnsi="Arial" w:cs="Arial"/>
          <w:color w:val="00B050"/>
          <w14:ligatures w14:val="none"/>
        </w:rPr>
        <w:t xml:space="preserve">Cold-calling necessitates educators to choose a specific pupil to address their query, out of the entire class, instead of depending on voluntary hand-raising. </w:t>
      </w:r>
      <w:bookmarkStart w:id="0" w:name="_Hlk148088909"/>
      <w:r w:rsidRPr="0096042D">
        <w:rPr>
          <w:rFonts w:ascii="Arial" w:hAnsi="Arial" w:cs="Arial"/>
          <w:color w:val="00B050"/>
          <w14:ligatures w14:val="none"/>
        </w:rPr>
        <w:t>Sherrington and Stafford (2018)</w:t>
      </w:r>
      <w:bookmarkEnd w:id="0"/>
      <w:r w:rsidRPr="0096042D">
        <w:rPr>
          <w:rFonts w:ascii="Arial" w:hAnsi="Arial" w:cs="Arial"/>
          <w:color w:val="00B050"/>
          <w14:ligatures w14:val="none"/>
        </w:rPr>
        <w:t xml:space="preserve"> contend that this establishes an anticipation that every child should be prepared to respond to a teacher's inquiry.</w:t>
      </w:r>
    </w:p>
    <w:p w14:paraId="1ACD5272" w14:textId="77777777" w:rsidR="0096042D" w:rsidRPr="0096042D" w:rsidRDefault="0096042D" w:rsidP="0096042D">
      <w:pPr>
        <w:spacing w:line="360" w:lineRule="auto"/>
        <w:rPr>
          <w:rFonts w:ascii="Arial" w:hAnsi="Arial" w:cs="Arial"/>
          <w:color w:val="00B050"/>
          <w:shd w:val="clear" w:color="auto" w:fill="FFFFFF"/>
          <w14:ligatures w14:val="none"/>
        </w:rPr>
      </w:pPr>
    </w:p>
    <w:p w14:paraId="51E0AF23"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Pagliaro says questioning is important in exploring the curriculum. Students must ask about the investigation, search for information, and evaluate their findings. Teachers play a critical role in questioning. Educators must plan questions to evaluate students' knowledge. The quality of the question affects students' comprehension. Teachers are role models for questioning. A teacher's good questioning helps </w:t>
      </w:r>
      <w:r w:rsidRPr="0096042D">
        <w:rPr>
          <w:rFonts w:ascii="Arial" w:hAnsi="Arial" w:cs="Arial"/>
          <w:color w:val="00B050"/>
          <w:shd w:val="clear" w:color="auto" w:fill="FFFFFF"/>
          <w14:ligatures w14:val="none"/>
        </w:rPr>
        <w:lastRenderedPageBreak/>
        <w:t>students engage in the lesson, ask questions and think independently. (Pagliaro, MM 2017)</w:t>
      </w:r>
    </w:p>
    <w:p w14:paraId="33ABB5BF" w14:textId="77777777" w:rsidR="0096042D" w:rsidRPr="0096042D" w:rsidRDefault="0096042D" w:rsidP="0096042D">
      <w:pPr>
        <w:spacing w:line="360" w:lineRule="auto"/>
        <w:rPr>
          <w:rFonts w:ascii="Arial" w:hAnsi="Arial" w:cs="Arial"/>
          <w:color w:val="00B050"/>
          <w:shd w:val="clear" w:color="auto" w:fill="FFFFFF"/>
          <w14:ligatures w14:val="none"/>
        </w:rPr>
      </w:pPr>
    </w:p>
    <w:p w14:paraId="5D6826AB"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Pagliaro suggests that teachers should create a supportive environment to engage students. Get the attention of the whole class before asking a question. Ask clear and specific questions. Present one question at a time. Encourage active participation and critical thinking. Pause before choosing a student to respond. Use students' names when addressing them. Balance volunteers and non-volunteers. Ensure every student has a chance to participate. Include lower-achieving students as appropriate. (Pagliaro M.M 2017)</w:t>
      </w:r>
    </w:p>
    <w:p w14:paraId="7FA0567E" w14:textId="77777777" w:rsidR="0096042D" w:rsidRPr="0096042D" w:rsidRDefault="0096042D" w:rsidP="0096042D">
      <w:pPr>
        <w:spacing w:line="360" w:lineRule="auto"/>
        <w:rPr>
          <w:rFonts w:ascii="Arial" w:hAnsi="Arial" w:cs="Arial"/>
          <w:shd w:val="clear" w:color="auto" w:fill="FFFFFF"/>
          <w14:ligatures w14:val="none"/>
        </w:rPr>
      </w:pPr>
    </w:p>
    <w:p w14:paraId="452320F3"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 xml:space="preserve">Promoting Effective Classroom Participation </w:t>
      </w:r>
    </w:p>
    <w:p w14:paraId="6FB3E9CF"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To foster a culture that encourages active involvement. Hollander (2002) explores the necessity of presenting participation as a joint duty of the entire class, rather than solely an individual obligation. To foster a dialogue that fosters connections, students must perceive their participation as a valuable addition to a shared encounter. Requesting students to provide a response to a peer's input aids in promoting such a discussion. Furthermore, providing positive reinforcement for these contributions fosters this sense of collective responsibility. (Hollander, J.A. 2002)</w:t>
      </w:r>
    </w:p>
    <w:p w14:paraId="641D9ABD"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Some students may experience hesitancy or lack of confidence when it comes to answering or asking questions in front of the class. In such cases, it would be beneficial to advise them to write down their inquiries on a piece of paper after the class in an anonymous manner. This way, the following day, the question can be addressed.</w:t>
      </w:r>
    </w:p>
    <w:p w14:paraId="5EC63E44"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While conducting the lesson, it is advisable to provide positive affirmations to those who answer questions or raise questions. It is important to express appreciation for their inquisitiveness whenever they pose an inquiry. Additionally, it is commendable to acknowledge their perceptive queries. Furthermore, gratitude should be expressed for their active participation, and thanks should be extended once more as they depart from the classroom at the end of the day. The student who expresses their lack of understanding or poses a question for the first time will forever remember the warmth and encouragement displayed by the teacher.</w:t>
      </w:r>
    </w:p>
    <w:p w14:paraId="764FAF56"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(Promoting Effective Classroom Participation. Centre for Teaching Excellence, University of Waterloo).</w:t>
      </w:r>
    </w:p>
    <w:p w14:paraId="6A066103" w14:textId="77777777" w:rsidR="0096042D" w:rsidRPr="0096042D" w:rsidRDefault="0096042D" w:rsidP="0096042D">
      <w:pPr>
        <w:spacing w:line="360" w:lineRule="auto"/>
        <w:rPr>
          <w:rFonts w:ascii="Arial" w:hAnsi="Arial" w:cs="Arial"/>
          <w:shd w:val="clear" w:color="auto" w:fill="FFFFFF"/>
          <w14:ligatures w14:val="none"/>
        </w:rPr>
      </w:pPr>
    </w:p>
    <w:p w14:paraId="11C4AA27"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 xml:space="preserve">Assessment for learning - Hinge questions </w:t>
      </w:r>
    </w:p>
    <w:p w14:paraId="40C04986"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A hinge question is an exceptional tool for evaluating a learner's knowledge. It serves the purpose of assessing comprehension and the depth of thinking within a lesson, while also guiding the subsequent stage. It is of utmost importance to engage in prior planning of the question. The optimal time to pose the question is at the midpoint of the lesson, allowing for the opportunity to address any concerns that may arise.</w:t>
      </w:r>
    </w:p>
    <w:p w14:paraId="2BD16BBA"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The idea behind incorporating a question into the design of the lesson is to convey the intention of verifying the students' continued engagement. This necessitates meticulous planning of the specific question to be posed at that particular juncture to elicit a response from every student. The method of response could involve the use of mini whiteboards, or similar tools. By doing so, the teacher can ascertain understanding, gather evidence, and subsequently determine whether or not to proceed. Consequently, the entire lesson revolves around this pivotal point. (Dylan Wiliam)</w:t>
      </w:r>
    </w:p>
    <w:p w14:paraId="1C1E9471" w14:textId="77777777" w:rsidR="0096042D" w:rsidRPr="0096042D" w:rsidRDefault="0096042D" w:rsidP="0096042D">
      <w:pPr>
        <w:spacing w:line="360" w:lineRule="auto"/>
        <w:rPr>
          <w:rFonts w:ascii="Arial" w:hAnsi="Arial" w:cs="Arial"/>
          <w:color w:val="00B050"/>
          <w:shd w:val="clear" w:color="auto" w:fill="FFFFFF"/>
          <w14:ligatures w14:val="none"/>
        </w:rPr>
      </w:pPr>
    </w:p>
    <w:p w14:paraId="5C316CAB" w14:textId="77777777" w:rsidR="0096042D" w:rsidRPr="0096042D" w:rsidRDefault="0096042D" w:rsidP="0096042D">
      <w:pPr>
        <w:spacing w:line="360" w:lineRule="auto"/>
        <w:rPr>
          <w:rFonts w:ascii="Arial" w:hAnsi="Arial" w:cs="Arial"/>
          <w:u w:val="single"/>
          <w:shd w:val="clear" w:color="auto" w:fill="FFFFFF"/>
          <w14:ligatures w14:val="none"/>
        </w:rPr>
      </w:pPr>
    </w:p>
    <w:p w14:paraId="6F22D01C" w14:textId="77777777" w:rsidR="0096042D" w:rsidRPr="0096042D" w:rsidRDefault="0096042D" w:rsidP="0096042D">
      <w:pPr>
        <w:spacing w:line="360" w:lineRule="auto"/>
        <w:rPr>
          <w:rFonts w:ascii="Arial" w:hAnsi="Arial" w:cs="Arial"/>
          <w:u w:val="single"/>
          <w:shd w:val="clear" w:color="auto" w:fill="FFFFFF"/>
          <w14:ligatures w14:val="none"/>
        </w:rPr>
      </w:pPr>
    </w:p>
    <w:p w14:paraId="2596A2E8"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 xml:space="preserve">Using higher-level open questions </w:t>
      </w:r>
    </w:p>
    <w:p w14:paraId="1EF464F1" w14:textId="77777777" w:rsidR="0096042D" w:rsidRPr="0096042D" w:rsidRDefault="0096042D" w:rsidP="0096042D">
      <w:pPr>
        <w:spacing w:line="360" w:lineRule="auto"/>
        <w:rPr>
          <w:rFonts w:ascii="Arial" w:hAnsi="Arial" w:cs="Arial"/>
          <w:color w:val="00B050"/>
          <w:shd w:val="clear" w:color="auto" w:fill="FFFFFF"/>
          <w14:ligatures w14:val="none"/>
        </w:rPr>
      </w:pPr>
    </w:p>
    <w:p w14:paraId="20D1300B"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Higher-level questions are called divergent or open questions in education. They require longer responses and higher levels of thinking. Students become more active in the conversation as the teacher asks fewer questions. The speaker is the one doing the work and learning. When a teacher asks a question that requires higher thinking, it encourages more student participation. Divergent questions lead to longer responses and can have multiple correct answers. These questions promote student-centered instruction. Some educators intentionally focus on higher-order thinking by using Bloom's taxonomy. Adams, N.E. (2015</w:t>
      </w:r>
    </w:p>
    <w:p w14:paraId="142CDC35" w14:textId="77777777" w:rsidR="0096042D" w:rsidRPr="0096042D" w:rsidRDefault="0096042D" w:rsidP="0096042D">
      <w:pPr>
        <w:spacing w:line="360" w:lineRule="auto"/>
        <w:rPr>
          <w:rFonts w:ascii="Arial" w:hAnsi="Arial" w:cs="Arial"/>
          <w:color w:val="00B050"/>
          <w:shd w:val="clear" w:color="auto" w:fill="FFFFFF"/>
          <w14:ligatures w14:val="none"/>
        </w:rPr>
      </w:pPr>
    </w:p>
    <w:p w14:paraId="1808984D" w14:textId="77777777" w:rsidR="0096042D" w:rsidRPr="0096042D" w:rsidRDefault="0096042D" w:rsidP="0096042D">
      <w:pPr>
        <w:spacing w:line="360" w:lineRule="auto"/>
        <w:rPr>
          <w:rFonts w:ascii="Arial" w:hAnsi="Arial" w:cs="Arial"/>
          <w:color w:val="00B050"/>
          <w:shd w:val="clear" w:color="auto" w:fill="FFFFFF"/>
          <w14:ligatures w14:val="none"/>
        </w:rPr>
      </w:pPr>
    </w:p>
    <w:p w14:paraId="1CC77A8C" w14:textId="77777777" w:rsidR="0096042D" w:rsidRPr="0096042D" w:rsidRDefault="0096042D" w:rsidP="0096042D">
      <w:pPr>
        <w:spacing w:line="360" w:lineRule="auto"/>
        <w:rPr>
          <w:rFonts w:ascii="Arial" w:hAnsi="Arial" w:cs="Arial"/>
          <w:color w:val="00B050"/>
          <w:shd w:val="clear" w:color="auto" w:fill="FFFFFF"/>
          <w14:ligatures w14:val="none"/>
        </w:rPr>
      </w:pPr>
    </w:p>
    <w:p w14:paraId="2BB505A8" w14:textId="77777777" w:rsidR="0096042D" w:rsidRPr="0096042D" w:rsidRDefault="0096042D" w:rsidP="0096042D">
      <w:pPr>
        <w:spacing w:line="360" w:lineRule="auto"/>
        <w:rPr>
          <w:rFonts w:ascii="Arial" w:hAnsi="Arial" w:cs="Arial"/>
          <w:color w:val="00B050"/>
          <w:shd w:val="clear" w:color="auto" w:fill="FFFFFF"/>
          <w14:ligatures w14:val="none"/>
        </w:rPr>
      </w:pPr>
    </w:p>
    <w:p w14:paraId="5AA6CBBB" w14:textId="77777777" w:rsidR="0096042D" w:rsidRPr="0096042D" w:rsidRDefault="0096042D" w:rsidP="0096042D">
      <w:pPr>
        <w:spacing w:line="360" w:lineRule="auto"/>
        <w:rPr>
          <w:rFonts w:ascii="Arial" w:hAnsi="Arial" w:cs="Arial"/>
          <w:color w:val="00B050"/>
          <w:shd w:val="clear" w:color="auto" w:fill="FFFFFF"/>
          <w14:ligatures w14:val="none"/>
        </w:rPr>
      </w:pPr>
    </w:p>
    <w:p w14:paraId="4BE2ACA2"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lastRenderedPageBreak/>
        <w:t xml:space="preserve">Bloom's Taxonomy </w:t>
      </w:r>
    </w:p>
    <w:p w14:paraId="5205ABAD" w14:textId="77777777" w:rsidR="0096042D" w:rsidRPr="0096042D" w:rsidRDefault="0096042D" w:rsidP="0096042D">
      <w:pPr>
        <w:spacing w:line="360" w:lineRule="auto"/>
        <w:rPr>
          <w:rFonts w:ascii="Arial" w:hAnsi="Arial" w:cs="Arial"/>
          <w:shd w:val="clear" w:color="auto" w:fill="FFFFFF"/>
          <w14:ligatures w14:val="none"/>
        </w:rPr>
      </w:pPr>
      <w:r w:rsidRPr="0096042D">
        <w:rPr>
          <w:rFonts w:ascii="Arial" w:hAnsi="Arial" w:cs="Arial"/>
          <w:b/>
          <w:bCs/>
          <w:noProof/>
          <w:u w:val="single"/>
          <w14:ligatures w14:val="none"/>
        </w:rPr>
        <w:drawing>
          <wp:anchor distT="0" distB="0" distL="114300" distR="114300" simplePos="0" relativeHeight="251659264" behindDoc="1" locked="0" layoutInCell="1" allowOverlap="1" wp14:anchorId="70FD8843" wp14:editId="49615E3D">
            <wp:simplePos x="0" y="0"/>
            <wp:positionH relativeFrom="margin">
              <wp:align>left</wp:align>
            </wp:positionH>
            <wp:positionV relativeFrom="paragraph">
              <wp:posOffset>240030</wp:posOffset>
            </wp:positionV>
            <wp:extent cx="5731510" cy="3223895"/>
            <wp:effectExtent l="0" t="0" r="2540" b="0"/>
            <wp:wrapTight wrapText="bothSides">
              <wp:wrapPolygon edited="0">
                <wp:start x="0" y="0"/>
                <wp:lineTo x="0" y="21443"/>
                <wp:lineTo x="21538" y="21443"/>
                <wp:lineTo x="21538" y="0"/>
                <wp:lineTo x="0" y="0"/>
              </wp:wrapPolygon>
            </wp:wrapTight>
            <wp:docPr id="290645209" name="Picture 290645209" descr="A diagram of 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007104" name="Picture 4" descr="A diagram of a diagram of a diagram&#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E97EA1C"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 xml:space="preserve">Figure 2 Bloom's Taxonomy </w:t>
      </w:r>
    </w:p>
    <w:p w14:paraId="64FCFAFA" w14:textId="77777777" w:rsidR="0096042D" w:rsidRPr="0096042D" w:rsidRDefault="0096042D" w:rsidP="0096042D">
      <w:pPr>
        <w:spacing w:line="360" w:lineRule="auto"/>
        <w:rPr>
          <w:rFonts w:ascii="Arial" w:hAnsi="Arial" w:cs="Arial"/>
          <w:color w:val="00B050"/>
          <w:shd w:val="clear" w:color="auto" w:fill="FFFFFF"/>
          <w14:ligatures w14:val="none"/>
        </w:rPr>
      </w:pPr>
    </w:p>
    <w:p w14:paraId="58353B9C" w14:textId="77777777" w:rsidR="0096042D" w:rsidRPr="0096042D" w:rsidRDefault="0096042D" w:rsidP="0096042D">
      <w:pPr>
        <w:spacing w:line="360" w:lineRule="auto"/>
        <w:rPr>
          <w:rFonts w:ascii="Arial" w:hAnsi="Arial" w:cs="Arial"/>
          <w:shd w:val="clear" w:color="auto" w:fill="FFFFFF"/>
          <w14:ligatures w14:val="none"/>
        </w:rPr>
      </w:pPr>
    </w:p>
    <w:p w14:paraId="0D3CB401" w14:textId="77777777" w:rsidR="0096042D" w:rsidRPr="0096042D" w:rsidRDefault="0096042D" w:rsidP="0096042D">
      <w:pPr>
        <w:spacing w:line="360" w:lineRule="auto"/>
        <w:rPr>
          <w:rFonts w:ascii="Arial" w:hAnsi="Arial" w:cs="Arial"/>
          <w:shd w:val="clear" w:color="auto" w:fill="FFFFFF"/>
          <w14:ligatures w14:val="none"/>
        </w:rPr>
      </w:pPr>
      <w:r w:rsidRPr="0096042D">
        <w:rPr>
          <w:rFonts w:ascii="Arial" w:hAnsi="Arial" w:cs="Arial"/>
          <w:shd w:val="clear" w:color="auto" w:fill="FFFFFF"/>
          <w14:ligatures w14:val="none"/>
        </w:rPr>
        <w:t xml:space="preserve">Information contained within “A taxonomy for learning, teaching, and assessing; a revision of Bloom's taxonomy of educational objectives” states that the framework created by Bloom and his colleagues had six categories: Knowledge, Comprehension, Application, Analysis, Synthesis, and Evaluation. </w:t>
      </w:r>
      <w:r w:rsidRPr="0096042D">
        <w:rPr>
          <w:rFonts w:ascii="Arial" w:hAnsi="Arial" w:cs="Arial"/>
          <w14:ligatures w14:val="none"/>
        </w:rPr>
        <w:t>The categories following Knowledge were referred to as skills and abilities, with the recognition that knowledge is essential for utilizing these skills and abilities. Each category consisted of subcategories, all varying from straightforward to intricate and tangible to conceptual. The classification is often recalled by the six primary categories.</w:t>
      </w:r>
      <w:r w:rsidRPr="0096042D">
        <w:rPr>
          <w:rFonts w:ascii="Arial" w:hAnsi="Arial" w:cs="Arial"/>
          <w:shd w:val="clear" w:color="auto" w:fill="FFFFFF"/>
          <w14:ligatures w14:val="none"/>
        </w:rPr>
        <w:t xml:space="preserve">  </w:t>
      </w:r>
    </w:p>
    <w:p w14:paraId="6CD24627" w14:textId="77777777" w:rsidR="0096042D" w:rsidRPr="0096042D" w:rsidRDefault="0096042D" w:rsidP="0096042D">
      <w:pPr>
        <w:spacing w:line="360" w:lineRule="auto"/>
        <w:rPr>
          <w:rFonts w:ascii="Arial" w:hAnsi="Arial" w:cs="Arial"/>
          <w:shd w:val="clear" w:color="auto" w:fill="FFFFFF"/>
          <w14:ligatures w14:val="none"/>
        </w:rPr>
      </w:pPr>
    </w:p>
    <w:p w14:paraId="59DA446C"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u w:val="single"/>
          <w:shd w:val="clear" w:color="auto" w:fill="FFFFFF"/>
          <w14:ligatures w14:val="none"/>
        </w:rPr>
        <w:t>Encouraging a learners participation</w:t>
      </w:r>
    </w:p>
    <w:p w14:paraId="257FBF9F" w14:textId="77777777" w:rsidR="0096042D" w:rsidRPr="0096042D" w:rsidRDefault="0096042D" w:rsidP="0096042D">
      <w:pPr>
        <w:spacing w:line="360" w:lineRule="auto"/>
        <w:rPr>
          <w:rFonts w:ascii="Arial" w:hAnsi="Arial" w:cs="Arial"/>
          <w:color w:val="00B050"/>
          <w:shd w:val="clear" w:color="auto" w:fill="FFFFFF"/>
          <w14:ligatures w14:val="none"/>
        </w:rPr>
      </w:pPr>
    </w:p>
    <w:p w14:paraId="30E70F2E"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Students must actively listen to each other to create a learning community. They should also share their own thoughts when asked. This is not meant to surprise or discomfort students but comes from genuine curiosity. Educators should make students feel valued and that their answers or opinions matter. (Donalson, Successful futures 2015)</w:t>
      </w:r>
    </w:p>
    <w:p w14:paraId="2B3E1813"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lastRenderedPageBreak/>
        <w:t>The provision of feedback possesses the capacity to significantly impact and mold an individual's learning and achievements, albeit with the potential for both positive and negative effects. It is imperative to furnish feedback for each response offered. Employing skillful questioning techniques, endeavor to motivate all participants, including those who may be uncomfortable being called upon by the teacher or those who are encountering challenges in their academic pursuits, to provide detailed answers. (Tofade, T., Elsner, J. and Haines, S.T. 2013)</w:t>
      </w:r>
    </w:p>
    <w:p w14:paraId="082E6BDE" w14:textId="77777777" w:rsidR="0096042D" w:rsidRPr="0096042D" w:rsidRDefault="0096042D" w:rsidP="0096042D">
      <w:pPr>
        <w:spacing w:line="360" w:lineRule="auto"/>
        <w:rPr>
          <w:rFonts w:ascii="Arial" w:hAnsi="Arial" w:cs="Arial"/>
          <w:shd w:val="clear" w:color="auto" w:fill="FFFFFF"/>
          <w14:ligatures w14:val="none"/>
        </w:rPr>
      </w:pPr>
    </w:p>
    <w:p w14:paraId="77ECEAC1"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 xml:space="preserve">Recall and retrieval of information </w:t>
      </w:r>
    </w:p>
    <w:p w14:paraId="56F6D66A"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Recapping the previous lesson and retrieval of information at the end of the current lesson holds substantial significance in the overall learning process. It is crucial to revisit and consolidate the knowledge gained in the previous lesson as it helps to reinforce the understanding and retention of the subject matter. Similarly, concluding the current lesson with a recap allows for a comprehensive review of the key concepts and ideas covered, ensuring that students have a clear grasp of the material before moving on to the next topic. This practice not only aids in deepening the comprehension of the subject but also serves as a valuable tool for educators to assess the student's progress and identify any areas of confusion or misunderstanding.( John B. Watson)</w:t>
      </w:r>
    </w:p>
    <w:p w14:paraId="568C745A" w14:textId="77777777" w:rsidR="0096042D" w:rsidRPr="0096042D" w:rsidRDefault="0096042D" w:rsidP="0096042D">
      <w:pPr>
        <w:spacing w:line="360" w:lineRule="auto"/>
        <w:rPr>
          <w:rFonts w:ascii="Arial" w:hAnsi="Arial" w:cs="Arial"/>
          <w:color w:val="00B050"/>
          <w:shd w:val="clear" w:color="auto" w:fill="FFFFFF"/>
          <w14:ligatures w14:val="none"/>
        </w:rPr>
      </w:pPr>
    </w:p>
    <w:p w14:paraId="65588459" w14:textId="77777777" w:rsidR="0096042D" w:rsidRPr="0096042D" w:rsidRDefault="0096042D" w:rsidP="0096042D">
      <w:pPr>
        <w:spacing w:line="360" w:lineRule="auto"/>
        <w:rPr>
          <w:rFonts w:ascii="Arial" w:hAnsi="Arial" w:cs="Arial"/>
          <w:color w:val="00B050"/>
          <w:shd w:val="clear" w:color="auto" w:fill="FFFFFF"/>
          <w14:ligatures w14:val="none"/>
        </w:rPr>
      </w:pPr>
    </w:p>
    <w:p w14:paraId="0FDA3A81"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Figure 3, J.B Watson</w:t>
      </w:r>
    </w:p>
    <w:p w14:paraId="4203171E"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John B. Watson, who is widely acknowledged as the Father of Behaviorism, independently formulated this theory. The principles of this theory are based on classical and operant conditioning. Watson hypothesized that the learning process is governed by two fundamental laws, namely frequency and recency. In his book titled "Behaviorism," Watson asserts that reviewing and summarizing topics at the beginning and end of a lesson serves as an excellent tool for assessing learning. This practice not only gauges the extent of knowledge acquisition but also strengthens the learning process (Watson, J.B. 1925).</w:t>
      </w:r>
    </w:p>
    <w:p w14:paraId="0B9AB2D8" w14:textId="77777777" w:rsidR="0096042D" w:rsidRPr="0096042D" w:rsidRDefault="0096042D" w:rsidP="0096042D">
      <w:pPr>
        <w:spacing w:line="360" w:lineRule="auto"/>
        <w:rPr>
          <w:rFonts w:ascii="Arial" w:hAnsi="Arial" w:cs="Arial"/>
          <w:shd w:val="clear" w:color="auto" w:fill="FFFFFF"/>
          <w14:ligatures w14:val="none"/>
        </w:rPr>
      </w:pPr>
    </w:p>
    <w:p w14:paraId="48CBACE2" w14:textId="77777777" w:rsidR="0096042D" w:rsidRPr="0096042D" w:rsidRDefault="0096042D" w:rsidP="0096042D">
      <w:pPr>
        <w:spacing w:line="360" w:lineRule="auto"/>
        <w:rPr>
          <w:rFonts w:ascii="Arial" w:hAnsi="Arial" w:cs="Arial"/>
          <w:shd w:val="clear" w:color="auto" w:fill="FFFFFF"/>
          <w14:ligatures w14:val="none"/>
        </w:rPr>
      </w:pPr>
    </w:p>
    <w:p w14:paraId="48B43E95"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 xml:space="preserve">Useful Assessment for Learning Tools - </w:t>
      </w:r>
    </w:p>
    <w:p w14:paraId="45D1A3DC"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Traffic signals</w:t>
      </w:r>
    </w:p>
    <w:p w14:paraId="1687FE93"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lastRenderedPageBreak/>
        <w:t xml:space="preserve">This is a very useful tool for a learner self assessment of their understanding, as shown in The classroom experiment videos (D Wiliam) The teacher distributed red, yellow, and green plastic cups to the students. At various intervals throughout the instructional period, request that they select and place a cup on their desk to indicate their level of comprehension (red signifies lack of understanding, yellow indicates partial understanding, and green denotes complete understanding). This could also be achieved by using coloured cards. </w:t>
      </w:r>
    </w:p>
    <w:p w14:paraId="7A3E0419" w14:textId="77777777" w:rsidR="0096042D" w:rsidRPr="0096042D" w:rsidRDefault="0096042D" w:rsidP="0096042D">
      <w:pPr>
        <w:spacing w:line="360" w:lineRule="auto"/>
        <w:rPr>
          <w:rFonts w:ascii="Arial" w:hAnsi="Arial" w:cs="Arial"/>
          <w:color w:val="00B050"/>
          <w:shd w:val="clear" w:color="auto" w:fill="FFFFFF"/>
          <w14:ligatures w14:val="none"/>
        </w:rPr>
      </w:pPr>
    </w:p>
    <w:p w14:paraId="383023DA" w14:textId="77777777" w:rsidR="0096042D" w:rsidRPr="0096042D" w:rsidRDefault="0096042D" w:rsidP="0096042D">
      <w:pPr>
        <w:spacing w:line="360" w:lineRule="auto"/>
        <w:rPr>
          <w:rFonts w:ascii="Arial" w:hAnsi="Arial" w:cs="Arial"/>
          <w:color w:val="00B050"/>
          <w:u w:val="single"/>
          <w:shd w:val="clear" w:color="auto" w:fill="FFFFFF"/>
          <w14:ligatures w14:val="none"/>
        </w:rPr>
      </w:pPr>
      <w:r w:rsidRPr="0096042D">
        <w:rPr>
          <w:rFonts w:ascii="Arial" w:hAnsi="Arial" w:cs="Arial"/>
          <w:color w:val="00B050"/>
          <w:u w:val="single"/>
          <w:shd w:val="clear" w:color="auto" w:fill="FFFFFF"/>
          <w14:ligatures w14:val="none"/>
        </w:rPr>
        <w:t>Thumbs up</w:t>
      </w:r>
    </w:p>
    <w:p w14:paraId="29DC23E9" w14:textId="77777777" w:rsidR="0096042D" w:rsidRPr="0096042D" w:rsidRDefault="0096042D" w:rsidP="0096042D">
      <w:pPr>
        <w:spacing w:line="360" w:lineRule="auto"/>
        <w:rPr>
          <w:rFonts w:ascii="Arial" w:hAnsi="Arial" w:cs="Arial"/>
          <w:color w:val="00B050"/>
          <w:shd w:val="clear" w:color="auto" w:fill="FFFFFF"/>
          <w14:ligatures w14:val="none"/>
        </w:rPr>
      </w:pPr>
      <w:r w:rsidRPr="0096042D">
        <w:rPr>
          <w:rFonts w:ascii="Arial" w:hAnsi="Arial" w:cs="Arial"/>
          <w:color w:val="00B050"/>
          <w:shd w:val="clear" w:color="auto" w:fill="FFFFFF"/>
          <w14:ligatures w14:val="none"/>
        </w:rPr>
        <w:t>Check the comprehension of the students in the class by requesting them to indicate their understanding using their thumbs. A thumbs up signifies complete understanding, a thumbs halfway indicates partial understanding, and a thumbs down signifies a lack of understanding. (Dylan Wiliam The classroom experiment videos)</w:t>
      </w:r>
    </w:p>
    <w:p w14:paraId="7D5A6095" w14:textId="77777777" w:rsidR="0096042D" w:rsidRPr="0096042D" w:rsidRDefault="0096042D" w:rsidP="0096042D">
      <w:pPr>
        <w:spacing w:line="360" w:lineRule="auto"/>
        <w:rPr>
          <w:rFonts w:ascii="Arial" w:hAnsi="Arial" w:cs="Arial"/>
          <w:shd w:val="clear" w:color="auto" w:fill="FFFFFF"/>
          <w14:ligatures w14:val="none"/>
        </w:rPr>
      </w:pPr>
    </w:p>
    <w:p w14:paraId="0F382426" w14:textId="77777777" w:rsidR="0096042D" w:rsidRPr="0096042D" w:rsidRDefault="0096042D" w:rsidP="0096042D">
      <w:pPr>
        <w:spacing w:line="360" w:lineRule="auto"/>
        <w:rPr>
          <w:rFonts w:ascii="Arial" w:hAnsi="Arial" w:cs="Arial"/>
          <w:shd w:val="clear" w:color="auto" w:fill="FFFFFF"/>
          <w14:ligatures w14:val="none"/>
        </w:rPr>
      </w:pPr>
    </w:p>
    <w:p w14:paraId="77CF8E8F" w14:textId="77777777" w:rsidR="0096042D" w:rsidRPr="0096042D" w:rsidRDefault="0096042D" w:rsidP="0096042D">
      <w:pPr>
        <w:spacing w:line="360" w:lineRule="auto"/>
        <w:rPr>
          <w:rFonts w:ascii="Arial" w:hAnsi="Arial" w:cs="Arial"/>
          <w:shd w:val="clear" w:color="auto" w:fill="FFFFFF"/>
          <w14:ligatures w14:val="none"/>
        </w:rPr>
      </w:pPr>
    </w:p>
    <w:p w14:paraId="709CEC19" w14:textId="77777777" w:rsidR="0096042D" w:rsidRPr="0096042D" w:rsidRDefault="0096042D" w:rsidP="0096042D">
      <w:pPr>
        <w:spacing w:line="360" w:lineRule="auto"/>
        <w:rPr>
          <w:rFonts w:ascii="Arial" w:hAnsi="Arial" w:cs="Arial"/>
          <w:shd w:val="clear" w:color="auto" w:fill="FFFFFF"/>
          <w14:ligatures w14:val="none"/>
        </w:rPr>
      </w:pPr>
    </w:p>
    <w:p w14:paraId="4F1A6781" w14:textId="77777777" w:rsidR="0096042D" w:rsidRPr="0096042D" w:rsidRDefault="0096042D" w:rsidP="0096042D">
      <w:pPr>
        <w:spacing w:line="360" w:lineRule="auto"/>
        <w:rPr>
          <w:rFonts w:ascii="Arial" w:hAnsi="Arial" w:cs="Arial"/>
          <w:shd w:val="clear" w:color="auto" w:fill="FFFFFF"/>
          <w14:ligatures w14:val="none"/>
        </w:rPr>
      </w:pPr>
    </w:p>
    <w:p w14:paraId="43019369" w14:textId="77777777" w:rsidR="0096042D" w:rsidRPr="0096042D" w:rsidRDefault="0096042D" w:rsidP="0096042D">
      <w:pPr>
        <w:spacing w:line="360" w:lineRule="auto"/>
        <w:rPr>
          <w:rFonts w:ascii="Arial" w:hAnsi="Arial" w:cs="Arial"/>
          <w:shd w:val="clear" w:color="auto" w:fill="FFFFFF"/>
          <w14:ligatures w14:val="none"/>
        </w:rPr>
      </w:pPr>
    </w:p>
    <w:p w14:paraId="2E80EAED" w14:textId="77777777" w:rsidR="0096042D" w:rsidRPr="0096042D" w:rsidRDefault="0096042D" w:rsidP="0096042D">
      <w:pPr>
        <w:spacing w:line="360" w:lineRule="auto"/>
        <w:rPr>
          <w:rFonts w:ascii="Arial" w:hAnsi="Arial" w:cs="Arial"/>
          <w:shd w:val="clear" w:color="auto" w:fill="FFFFFF"/>
          <w14:ligatures w14:val="none"/>
        </w:rPr>
      </w:pPr>
    </w:p>
    <w:p w14:paraId="22C16063" w14:textId="77777777" w:rsidR="0096042D" w:rsidRPr="0096042D" w:rsidRDefault="0096042D" w:rsidP="0096042D">
      <w:pPr>
        <w:spacing w:line="360" w:lineRule="auto"/>
        <w:rPr>
          <w:rFonts w:ascii="Arial" w:hAnsi="Arial" w:cs="Arial"/>
          <w:shd w:val="clear" w:color="auto" w:fill="FFFFFF"/>
          <w14:ligatures w14:val="none"/>
        </w:rPr>
      </w:pPr>
    </w:p>
    <w:p w14:paraId="6F9B8B15" w14:textId="77777777" w:rsidR="0096042D" w:rsidRPr="0096042D" w:rsidRDefault="0096042D" w:rsidP="0096042D">
      <w:pPr>
        <w:spacing w:line="360" w:lineRule="auto"/>
        <w:rPr>
          <w:rFonts w:ascii="Arial" w:hAnsi="Arial" w:cs="Arial"/>
          <w:shd w:val="clear" w:color="auto" w:fill="FFFFFF"/>
          <w14:ligatures w14:val="none"/>
        </w:rPr>
      </w:pPr>
    </w:p>
    <w:p w14:paraId="3D338BA8" w14:textId="77777777" w:rsidR="0096042D" w:rsidRPr="0096042D" w:rsidRDefault="0096042D" w:rsidP="0096042D">
      <w:pPr>
        <w:spacing w:line="360" w:lineRule="auto"/>
        <w:rPr>
          <w:rFonts w:ascii="Arial" w:hAnsi="Arial" w:cs="Arial"/>
          <w:shd w:val="clear" w:color="auto" w:fill="FFFFFF"/>
          <w14:ligatures w14:val="none"/>
        </w:rPr>
      </w:pPr>
    </w:p>
    <w:p w14:paraId="7D817C93" w14:textId="77777777" w:rsidR="0096042D" w:rsidRPr="0096042D" w:rsidRDefault="0096042D" w:rsidP="0096042D">
      <w:pPr>
        <w:spacing w:line="360" w:lineRule="auto"/>
        <w:rPr>
          <w:rFonts w:ascii="Arial" w:hAnsi="Arial" w:cs="Arial"/>
          <w:shd w:val="clear" w:color="auto" w:fill="FFFFFF"/>
          <w14:ligatures w14:val="none"/>
        </w:rPr>
      </w:pPr>
    </w:p>
    <w:p w14:paraId="6B951DB8" w14:textId="77777777" w:rsidR="0096042D" w:rsidRPr="0096042D" w:rsidRDefault="0096042D" w:rsidP="0096042D">
      <w:pPr>
        <w:spacing w:line="360" w:lineRule="auto"/>
        <w:rPr>
          <w:rFonts w:ascii="Arial" w:hAnsi="Arial" w:cs="Arial"/>
          <w:shd w:val="clear" w:color="auto" w:fill="FFFFFF"/>
          <w14:ligatures w14:val="none"/>
        </w:rPr>
      </w:pPr>
    </w:p>
    <w:p w14:paraId="52A201AC" w14:textId="77777777" w:rsidR="0096042D" w:rsidRPr="0096042D" w:rsidRDefault="0096042D" w:rsidP="0096042D">
      <w:pPr>
        <w:spacing w:line="360" w:lineRule="auto"/>
        <w:rPr>
          <w:rFonts w:ascii="Arial" w:hAnsi="Arial" w:cs="Arial"/>
          <w:shd w:val="clear" w:color="auto" w:fill="FFFFFF"/>
          <w14:ligatures w14:val="none"/>
        </w:rPr>
      </w:pPr>
    </w:p>
    <w:p w14:paraId="2C26F7A1" w14:textId="77777777" w:rsidR="0096042D" w:rsidRPr="0096042D" w:rsidRDefault="0096042D" w:rsidP="0096042D">
      <w:pPr>
        <w:shd w:val="clear" w:color="auto" w:fill="FFFFFF"/>
        <w:spacing w:before="240" w:after="240" w:line="360" w:lineRule="auto"/>
        <w:ind w:right="1500"/>
        <w:rPr>
          <w:rFonts w:ascii="Arial" w:hAnsi="Arial" w:cs="Arial"/>
          <w:color w:val="00B050"/>
          <w14:ligatures w14:val="none"/>
        </w:rPr>
      </w:pPr>
      <w:r w:rsidRPr="0096042D">
        <w:rPr>
          <w:rFonts w:ascii="Arial" w:hAnsi="Arial" w:cs="Arial"/>
          <w:color w:val="00B050"/>
          <w14:ligatures w14:val="none"/>
        </w:rPr>
        <w:t xml:space="preserve">Conclusion </w:t>
      </w:r>
    </w:p>
    <w:p w14:paraId="6DF6B4A7" w14:textId="77777777" w:rsidR="0096042D" w:rsidRPr="0096042D" w:rsidRDefault="0096042D" w:rsidP="0096042D">
      <w:pPr>
        <w:spacing w:before="100" w:beforeAutospacing="1" w:after="100" w:afterAutospacing="1" w:line="360" w:lineRule="auto"/>
        <w:rPr>
          <w:rFonts w:ascii="Arial" w:hAnsi="Arial" w:cs="Arial"/>
          <w:color w:val="00B050"/>
          <w14:ligatures w14:val="none"/>
        </w:rPr>
      </w:pPr>
      <w:r w:rsidRPr="0096042D">
        <w:rPr>
          <w:rFonts w:ascii="Arial" w:hAnsi="Arial" w:cs="Arial"/>
          <w:color w:val="00B050"/>
          <w14:ligatures w14:val="none"/>
        </w:rPr>
        <w:t>Teachers have a crucial role in promoting progress for students. They must be responsible for students' achievements and progress. To do this, teachers should plan their teaching methods based on students' abilities and previous knowledge. They should also help students reflect on their progress and identify their needs.</w:t>
      </w:r>
    </w:p>
    <w:p w14:paraId="2C7D4A5A" w14:textId="77777777" w:rsidR="0096042D" w:rsidRPr="0096042D" w:rsidRDefault="0096042D" w:rsidP="0096042D">
      <w:pPr>
        <w:shd w:val="clear" w:color="auto" w:fill="FFFFFF"/>
        <w:spacing w:before="240" w:after="240" w:line="360" w:lineRule="auto"/>
        <w:rPr>
          <w:rFonts w:ascii="Arial" w:hAnsi="Arial" w:cs="Arial"/>
          <w:color w:val="00B050"/>
          <w14:ligatures w14:val="none"/>
        </w:rPr>
      </w:pPr>
      <w:r w:rsidRPr="0096042D">
        <w:rPr>
          <w:rFonts w:ascii="Arial" w:hAnsi="Arial" w:cs="Arial"/>
          <w:color w:val="00B050"/>
          <w14:ligatures w14:val="none"/>
        </w:rPr>
        <w:lastRenderedPageBreak/>
        <w:t>In my opinion, the initial step is to start considering the questions carefully and the questioning techniques that you use during a lesson to check if the students are still engaged, hinge questions are very beneficial and should be incorporated into your daily lesson plans. </w:t>
      </w:r>
    </w:p>
    <w:p w14:paraId="5D9A36E2" w14:textId="77777777" w:rsidR="0096042D" w:rsidRPr="0096042D" w:rsidRDefault="0096042D" w:rsidP="0096042D">
      <w:pPr>
        <w:shd w:val="clear" w:color="auto" w:fill="FFFFFF"/>
        <w:spacing w:before="240" w:after="240" w:line="360" w:lineRule="auto"/>
        <w:rPr>
          <w:rFonts w:ascii="Arial" w:hAnsi="Arial" w:cs="Arial"/>
          <w:color w:val="00B050"/>
          <w14:ligatures w14:val="none"/>
        </w:rPr>
      </w:pPr>
      <w:r w:rsidRPr="0096042D">
        <w:rPr>
          <w:rFonts w:ascii="Arial" w:hAnsi="Arial" w:cs="Arial"/>
          <w:color w:val="00B050"/>
          <w14:ligatures w14:val="none"/>
        </w:rPr>
        <w:t>Using a range of questioning techniques as a formative assessment tool encourages teachers to reflect on two things: first, what actions did I take as a teacher? And second, what did my students learn? As long as teachers are constantly reflecting on this fundamental relationship between their actions and their students' learning, they will always be able to improve their teaching practice. Constantly exploring the link between your actions and your student's learning is the key to effective professional development.</w:t>
      </w:r>
    </w:p>
    <w:p w14:paraId="0038744A" w14:textId="77777777" w:rsidR="0096042D" w:rsidRPr="0096042D" w:rsidRDefault="0096042D" w:rsidP="0096042D">
      <w:pPr>
        <w:shd w:val="clear" w:color="auto" w:fill="FFFFFF"/>
        <w:spacing w:before="240" w:after="240" w:line="360" w:lineRule="auto"/>
        <w:rPr>
          <w:rFonts w:ascii="Arial" w:hAnsi="Arial" w:cs="Arial"/>
          <w:color w:val="00B050"/>
          <w14:ligatures w14:val="none"/>
        </w:rPr>
      </w:pPr>
      <w:r w:rsidRPr="0096042D">
        <w:rPr>
          <w:rFonts w:ascii="Arial" w:hAnsi="Arial" w:cs="Arial"/>
          <w:color w:val="00B050"/>
          <w14:ligatures w14:val="none"/>
        </w:rPr>
        <w:t>After carefully observing this lesson, I believe that it will have a significant influence on my future teaching. The utilization of seating plans will undoubtedly enhance the overall performance of my students during lessons. It will provide me with the ability to effectively manage their seating arrangements and closely monitor their activities, ultimately facilitating a more productive learning environment.</w:t>
      </w:r>
    </w:p>
    <w:p w14:paraId="10D1FBD9" w14:textId="77777777" w:rsidR="0096042D" w:rsidRPr="0096042D" w:rsidRDefault="0096042D" w:rsidP="0096042D">
      <w:pPr>
        <w:spacing w:before="100" w:beforeAutospacing="1" w:after="100" w:afterAutospacing="1" w:line="360" w:lineRule="auto"/>
        <w:rPr>
          <w:rFonts w:ascii="Arial" w:hAnsi="Arial" w:cs="Arial"/>
          <w:color w:val="00B050"/>
          <w14:ligatures w14:val="none"/>
        </w:rPr>
      </w:pPr>
      <w:r w:rsidRPr="0096042D">
        <w:rPr>
          <w:rFonts w:ascii="Arial" w:hAnsi="Arial" w:cs="Arial"/>
          <w:color w:val="00B050"/>
          <w14:ligatures w14:val="none"/>
        </w:rPr>
        <w:t>In the past decade, there have been important changes in education that affect the curriculum. These changes include a focus on global issues, multicultural societies, and advancements in technology. As educators, we need to address key questions about society's demands, necessary skills, and adapting to technology. It is a teacher's duty to continue professional development to stay updated on education advancements. This allows for better teaching practices.</w:t>
      </w:r>
    </w:p>
    <w:p w14:paraId="62B779D1" w14:textId="77777777" w:rsidR="0096042D" w:rsidRPr="0096042D" w:rsidRDefault="0096042D" w:rsidP="0096042D">
      <w:pPr>
        <w:spacing w:before="100" w:beforeAutospacing="1" w:after="100" w:afterAutospacing="1" w:line="360" w:lineRule="auto"/>
        <w:rPr>
          <w:rFonts w:ascii="Arial" w:hAnsi="Arial" w:cs="Arial"/>
          <w:color w:val="00B050"/>
          <w14:ligatures w14:val="none"/>
        </w:rPr>
      </w:pPr>
      <w:r w:rsidRPr="0096042D">
        <w:rPr>
          <w:rFonts w:ascii="Arial" w:hAnsi="Arial" w:cs="Arial"/>
          <w:color w:val="00B050"/>
          <w14:ligatures w14:val="none"/>
        </w:rPr>
        <w:t>Teachers use critical incidents to reflect on their teaching and improve for the future. Analyzing critical incidents helps teachers identify their teaching beliefs and potentially change them. Critical incidents provide opportunities for teachers to conduct action research and resolve specific issues in their classes. Sharing critical incidents with colleagues fosters collaboration and encourages critical analysis of teaching. Keeping a record of critical incidents is a valuable resource for both new and experienced teachers for professional growth.</w:t>
      </w:r>
    </w:p>
    <w:p w14:paraId="33C921CC" w14:textId="77777777" w:rsidR="0096042D" w:rsidRPr="0096042D" w:rsidRDefault="0096042D" w:rsidP="0096042D">
      <w:pPr>
        <w:spacing w:before="100" w:beforeAutospacing="1" w:after="100" w:afterAutospacing="1" w:line="360" w:lineRule="auto"/>
        <w:rPr>
          <w:rFonts w:ascii="Arial" w:hAnsi="Arial" w:cs="Arial"/>
          <w14:ligatures w14:val="none"/>
        </w:rPr>
      </w:pPr>
    </w:p>
    <w:p w14:paraId="789AA0EB" w14:textId="77777777" w:rsidR="00346EC0" w:rsidRPr="0096042D" w:rsidRDefault="00346EC0" w:rsidP="0096042D"/>
    <w:sectPr w:rsidR="00346EC0" w:rsidRPr="009604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8DF"/>
    <w:rsid w:val="00346EC0"/>
    <w:rsid w:val="0096042D"/>
    <w:rsid w:val="00EF3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BFC3E8"/>
  <w15:chartTrackingRefBased/>
  <w15:docId w15:val="{68764295-2C41-41DB-BF14-FBFA37A98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8DF"/>
    <w:pPr>
      <w:spacing w:after="0" w:line="240" w:lineRule="auto"/>
    </w:pPr>
    <w:rPr>
      <w:rFonts w:ascii="Times New Roman" w:eastAsia="Times New Roman" w:hAnsi="Times New Roman" w:cs="Times New Roman"/>
      <w:kern w:val="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38D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4438</Words>
  <Characters>26495</Characters>
  <Application>Microsoft Office Word</Application>
  <DocSecurity>0</DocSecurity>
  <Lines>575</Lines>
  <Paragraphs>105</Paragraphs>
  <ScaleCrop>false</ScaleCrop>
  <Company/>
  <LinksUpToDate>false</LinksUpToDate>
  <CharactersWithSpaces>30828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Libby</dc:creator>
  <cp:keywords/>
  <dc:description/>
  <cp:lastModifiedBy>Jayne Libby</cp:lastModifiedBy>
  <cp:revision>2</cp:revision>
  <dcterms:created xsi:type="dcterms:W3CDTF">2023-10-13T12:54:00Z</dcterms:created>
  <dcterms:modified xsi:type="dcterms:W3CDTF">2023-10-13T12:54:00Z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eabbcdff-1df4-4c92-a496-25654ba73e39</vt:lpwstr>
  </property>
</Properties>
</file>