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CC295ED" w:rsidR="7908378C" w:rsidRDefault="7908378C" w:rsidP="33572C6E">
            <w:pPr>
              <w:ind w:right="237"/>
              <w:rPr>
                <w:b/>
                <w:bCs/>
                <w:color w:val="auto"/>
                <w:sz w:val="32"/>
                <w:szCs w:val="32"/>
              </w:rPr>
            </w:pPr>
            <w:r w:rsidRPr="33572C6E">
              <w:rPr>
                <w:b/>
                <w:bCs/>
                <w:color w:val="auto"/>
                <w:sz w:val="32"/>
                <w:szCs w:val="32"/>
              </w:rPr>
              <w:t xml:space="preserve">Learner name: </w:t>
            </w:r>
            <w:r w:rsidR="00FE7801">
              <w:rPr>
                <w:b/>
                <w:bCs/>
                <w:color w:val="auto"/>
                <w:sz w:val="32"/>
                <w:szCs w:val="32"/>
              </w:rPr>
              <w:t>Benjamin Edmunds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256C9F6E" w:rsidR="33572C6E" w:rsidRDefault="00FE7801" w:rsidP="33572C6E">
            <w:pPr>
              <w:ind w:right="237"/>
              <w:rPr>
                <w:b/>
                <w:bCs/>
                <w:color w:val="auto"/>
                <w:sz w:val="32"/>
                <w:szCs w:val="32"/>
              </w:rPr>
            </w:pPr>
            <w:r w:rsidRPr="00FE7801">
              <w:rPr>
                <w:b/>
                <w:bCs/>
                <w:color w:val="auto"/>
                <w:sz w:val="32"/>
                <w:szCs w:val="32"/>
              </w:rPr>
              <w:t>2131911</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w:t>
        </w:r>
        <w:r w:rsidRPr="00E676F7">
          <w:rPr>
            <w:rStyle w:val="Hyperlink"/>
            <w:rFonts w:eastAsia="Arial"/>
            <w:sz w:val="24"/>
            <w:szCs w:val="24"/>
          </w:rPr>
          <w:t>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B7ADE56" w14:textId="77777777" w:rsidR="00FE7801" w:rsidRDefault="00FE7801" w:rsidP="5B843AF0">
      <w:pPr>
        <w:ind w:right="237"/>
        <w:jc w:val="both"/>
        <w:rPr>
          <w:rFonts w:eastAsia="Arial"/>
          <w:b/>
          <w:bCs/>
          <w:color w:val="000000" w:themeColor="text1"/>
          <w:sz w:val="24"/>
          <w:szCs w:val="24"/>
        </w:rPr>
      </w:pPr>
    </w:p>
    <w:p w14:paraId="0CCC564C"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I attended an incident that involved a vulnerable elderly gentleman who had learning difficulties. On this occasion, he had answered his door to some local youths who proceeded to punch him to the face causing bleeding. The youths then entered his property and stole some cash that he had stored in his kitchen. I arrived on scene to help the gentleman and take information about the incident whilst my colleagues did an area search for the youths.</w:t>
      </w:r>
    </w:p>
    <w:p w14:paraId="4E86A7EE" w14:textId="77777777" w:rsidR="00FE7801" w:rsidRPr="00FE7801" w:rsidRDefault="00FE7801" w:rsidP="00FE7801">
      <w:pPr>
        <w:ind w:right="237"/>
        <w:jc w:val="both"/>
        <w:rPr>
          <w:rFonts w:eastAsia="Arial"/>
          <w:color w:val="000000" w:themeColor="text1"/>
          <w:sz w:val="24"/>
          <w:szCs w:val="24"/>
        </w:rPr>
      </w:pPr>
    </w:p>
    <w:p w14:paraId="16176652" w14:textId="77777777" w:rsidR="00FE7801" w:rsidRP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There are no ethnicity or language issues associated with this incident. The victim was white and British and English was his first language. Also, there were no culturally sensitive practices or language preferences I needed to consider.</w:t>
      </w:r>
    </w:p>
    <w:p w14:paraId="1ABD20EC" w14:textId="1EE541BC"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This was not the first time this had happened to the gentleman. He, like many others were targeted because they were vulnerable being an elderly person (Crown Prosecution Service, 2020) He had no friends or family to help or care for him. This particular incident highlighted to me how vulnerable at </w:t>
      </w:r>
      <w:proofErr w:type="gramStart"/>
      <w:r w:rsidRPr="00FE7801">
        <w:rPr>
          <w:rFonts w:eastAsia="Arial"/>
          <w:color w:val="000000" w:themeColor="text1"/>
          <w:sz w:val="24"/>
          <w:szCs w:val="24"/>
        </w:rPr>
        <w:t>high risk</w:t>
      </w:r>
      <w:proofErr w:type="gramEnd"/>
      <w:r w:rsidRPr="00FE7801">
        <w:rPr>
          <w:rFonts w:eastAsia="Arial"/>
          <w:color w:val="000000" w:themeColor="text1"/>
          <w:sz w:val="24"/>
          <w:szCs w:val="24"/>
        </w:rPr>
        <w:t xml:space="preserve"> people require more care and attention when helping them with police matters</w:t>
      </w:r>
      <w:r>
        <w:rPr>
          <w:rFonts w:eastAsia="Arial"/>
          <w:color w:val="000000" w:themeColor="text1"/>
          <w:sz w:val="24"/>
          <w:szCs w:val="24"/>
        </w:rPr>
        <w:t>.</w:t>
      </w:r>
    </w:p>
    <w:p w14:paraId="0ECF4A70" w14:textId="77777777" w:rsidR="00FE7801" w:rsidRPr="00FE7801" w:rsidRDefault="00FE7801" w:rsidP="00FE7801">
      <w:pPr>
        <w:ind w:right="237"/>
        <w:jc w:val="both"/>
        <w:rPr>
          <w:rFonts w:eastAsia="Arial"/>
          <w:color w:val="000000" w:themeColor="text1"/>
          <w:sz w:val="24"/>
          <w:szCs w:val="24"/>
        </w:rPr>
      </w:pPr>
    </w:p>
    <w:p w14:paraId="64A4BBFF" w14:textId="416761FC"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Crimes against the elderly have risen in the past fifteen years. Figures show that 26 police forces in England and Wales recorded 7,379 violent assaults on over-65s in 2007. By 2017 the number of assaults had risen to 26,474, an increase of 258 per cent on the figures recorded 10 years earlier (Smart Home Protection, 2018).</w:t>
      </w:r>
    </w:p>
    <w:p w14:paraId="0BDF9647" w14:textId="77777777" w:rsidR="00FE7801" w:rsidRPr="00FE7801" w:rsidRDefault="00FE7801" w:rsidP="00FE7801">
      <w:pPr>
        <w:ind w:right="237"/>
        <w:jc w:val="both"/>
        <w:rPr>
          <w:rFonts w:eastAsia="Arial"/>
          <w:color w:val="000000" w:themeColor="text1"/>
          <w:sz w:val="24"/>
          <w:szCs w:val="24"/>
        </w:rPr>
      </w:pPr>
    </w:p>
    <w:p w14:paraId="1ECD23AB"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The police and other professionals have worked together to support and manage people at risk like this gentleman and have created various approaches to identify and support them. One such approach came in the form of The Care Act 2014; </w:t>
      </w:r>
      <w:r w:rsidRPr="00FE7801">
        <w:rPr>
          <w:rFonts w:eastAsia="Arial"/>
          <w:color w:val="000000" w:themeColor="text1"/>
          <w:sz w:val="24"/>
          <w:szCs w:val="24"/>
        </w:rPr>
        <w:lastRenderedPageBreak/>
        <w:t xml:space="preserve">which defines an adult at risk as a person who has needs for care and support; is experiencing, or is at risk of, abuse or neglect, and </w:t>
      </w:r>
      <w:proofErr w:type="gramStart"/>
      <w:r w:rsidRPr="00FE7801">
        <w:rPr>
          <w:rFonts w:eastAsia="Arial"/>
          <w:color w:val="000000" w:themeColor="text1"/>
          <w:sz w:val="24"/>
          <w:szCs w:val="24"/>
        </w:rPr>
        <w:t>as a result of</w:t>
      </w:r>
      <w:proofErr w:type="gramEnd"/>
      <w:r w:rsidRPr="00FE7801">
        <w:rPr>
          <w:rFonts w:eastAsia="Arial"/>
          <w:color w:val="000000" w:themeColor="text1"/>
          <w:sz w:val="24"/>
          <w:szCs w:val="24"/>
        </w:rPr>
        <w:t xml:space="preserve"> those needs is unable to protect himself or herself against the abuse or neglect or the risk of it (Gov.uk, 2014). The act helps the police conclude what care and support a vulnerable person requires and sets guidelines on safeguarding, which is the process of working with adults with care and support needs to keep them safe from neglect or abuse.</w:t>
      </w:r>
    </w:p>
    <w:p w14:paraId="38E5FCCE" w14:textId="77777777" w:rsidR="00FE7801" w:rsidRPr="00FE7801" w:rsidRDefault="00FE7801" w:rsidP="00FE7801">
      <w:pPr>
        <w:ind w:right="237"/>
        <w:jc w:val="both"/>
        <w:rPr>
          <w:rFonts w:eastAsia="Arial"/>
          <w:color w:val="000000" w:themeColor="text1"/>
          <w:sz w:val="24"/>
          <w:szCs w:val="24"/>
        </w:rPr>
      </w:pPr>
    </w:p>
    <w:p w14:paraId="3EDE1E87"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Care and support needs include practical, financial and emotional support to help victims manage their lives and be independent. Not all adults at risk of harm identified by police will require referral to the local authority. However, policing will still need to safeguard vulnerable people in relevant </w:t>
      </w:r>
      <w:proofErr w:type="gramStart"/>
      <w:r w:rsidRPr="00FE7801">
        <w:rPr>
          <w:rFonts w:eastAsia="Arial"/>
          <w:color w:val="000000" w:themeColor="text1"/>
          <w:sz w:val="24"/>
          <w:szCs w:val="24"/>
        </w:rPr>
        <w:t>cases ,</w:t>
      </w:r>
      <w:proofErr w:type="gramEnd"/>
      <w:r w:rsidRPr="00FE7801">
        <w:rPr>
          <w:rFonts w:eastAsia="Arial"/>
          <w:color w:val="000000" w:themeColor="text1"/>
          <w:sz w:val="24"/>
          <w:szCs w:val="24"/>
        </w:rPr>
        <w:t xml:space="preserve"> which may require a multi-agency response (College of Policing, 2021)</w:t>
      </w:r>
    </w:p>
    <w:p w14:paraId="7461A239" w14:textId="77777777" w:rsidR="00FE7801" w:rsidRPr="00FE7801" w:rsidRDefault="00FE7801" w:rsidP="00FE7801">
      <w:pPr>
        <w:ind w:right="237"/>
        <w:jc w:val="both"/>
        <w:rPr>
          <w:rFonts w:eastAsia="Arial"/>
          <w:color w:val="000000" w:themeColor="text1"/>
          <w:sz w:val="24"/>
          <w:szCs w:val="24"/>
        </w:rPr>
      </w:pPr>
    </w:p>
    <w:p w14:paraId="6A45FEDA"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Procedures introduced in The Care Act 2014 to help vulnerable and </w:t>
      </w:r>
      <w:proofErr w:type="gramStart"/>
      <w:r w:rsidRPr="00FE7801">
        <w:rPr>
          <w:rFonts w:eastAsia="Arial"/>
          <w:color w:val="000000" w:themeColor="text1"/>
          <w:sz w:val="24"/>
          <w:szCs w:val="24"/>
        </w:rPr>
        <w:t>at risk</w:t>
      </w:r>
      <w:proofErr w:type="gramEnd"/>
      <w:r w:rsidRPr="00FE7801">
        <w:rPr>
          <w:rFonts w:eastAsia="Arial"/>
          <w:color w:val="000000" w:themeColor="text1"/>
          <w:sz w:val="24"/>
          <w:szCs w:val="24"/>
        </w:rPr>
        <w:t xml:space="preserve"> person include safeguarding adult boards; safeguarding enquiries by local authorities; independent advocacy and supply of information (Care Act factsheets, 2016).</w:t>
      </w:r>
    </w:p>
    <w:p w14:paraId="749C349A" w14:textId="77777777" w:rsidR="00FE7801" w:rsidRPr="00FE7801" w:rsidRDefault="00FE7801" w:rsidP="00FE7801">
      <w:pPr>
        <w:ind w:right="237"/>
        <w:jc w:val="both"/>
        <w:rPr>
          <w:rFonts w:eastAsia="Arial"/>
          <w:color w:val="000000" w:themeColor="text1"/>
          <w:sz w:val="24"/>
          <w:szCs w:val="24"/>
        </w:rPr>
      </w:pPr>
    </w:p>
    <w:p w14:paraId="1A4EDAEC"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There </w:t>
      </w:r>
      <w:proofErr w:type="gramStart"/>
      <w:r w:rsidRPr="00FE7801">
        <w:rPr>
          <w:rFonts w:eastAsia="Arial"/>
          <w:color w:val="000000" w:themeColor="text1"/>
          <w:sz w:val="24"/>
          <w:szCs w:val="24"/>
        </w:rPr>
        <w:t>has</w:t>
      </w:r>
      <w:proofErr w:type="gramEnd"/>
      <w:r w:rsidRPr="00FE7801">
        <w:rPr>
          <w:rFonts w:eastAsia="Arial"/>
          <w:color w:val="000000" w:themeColor="text1"/>
          <w:sz w:val="24"/>
          <w:szCs w:val="24"/>
        </w:rPr>
        <w:t xml:space="preserve"> been some good results stemming from The Care Act 2014, such as some opinions resulting from a survey that was commissioned by Think Local Act Personal, a survey to find out how people who have care and support needs have experienced some of the changes brought about by the Act. The survey was open to all people with care and support needs during September 2016, and was completed by 1,181 people aged 18 and over. Some positive points came from the survey including that more than two thirds said their care and support made a positive difference to their health. (Think Local Act Personal, 2017).</w:t>
      </w:r>
    </w:p>
    <w:p w14:paraId="7ADBED6A" w14:textId="77777777" w:rsidR="00FE7801" w:rsidRPr="00FE7801" w:rsidRDefault="00FE7801" w:rsidP="00FE7801">
      <w:pPr>
        <w:ind w:right="237"/>
        <w:jc w:val="both"/>
        <w:rPr>
          <w:rFonts w:eastAsia="Arial"/>
          <w:color w:val="000000" w:themeColor="text1"/>
          <w:sz w:val="24"/>
          <w:szCs w:val="24"/>
        </w:rPr>
      </w:pPr>
    </w:p>
    <w:p w14:paraId="5E314E86" w14:textId="77777777" w:rsidR="00FE7801" w:rsidRP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However, The Care Act 2014 has also been heavily criticised for not meeting expectations. In the same survey over half of people said support made little to no difference in helping them feel safe. Furthermore, </w:t>
      </w:r>
      <w:proofErr w:type="gramStart"/>
      <w:r w:rsidRPr="00FE7801">
        <w:rPr>
          <w:rFonts w:eastAsia="Arial"/>
          <w:color w:val="000000" w:themeColor="text1"/>
          <w:sz w:val="24"/>
          <w:szCs w:val="24"/>
        </w:rPr>
        <w:t>a number of</w:t>
      </w:r>
      <w:proofErr w:type="gramEnd"/>
      <w:r w:rsidRPr="00FE7801">
        <w:rPr>
          <w:rFonts w:eastAsia="Arial"/>
          <w:color w:val="000000" w:themeColor="text1"/>
          <w:sz w:val="24"/>
          <w:szCs w:val="24"/>
        </w:rPr>
        <w:t xml:space="preserve"> problems exist with The Care Act 2014 as Nicola Gunn points out. She states in her article that the duty under the Care Act is to meet an individual’s needs, rather than to specify what set of services could resolve those needs, and there is no list defining what the local authority should offer to meet these needs (Gunn, 2019</w:t>
      </w:r>
      <w:proofErr w:type="gramStart"/>
      <w:r w:rsidRPr="00FE7801">
        <w:rPr>
          <w:rFonts w:eastAsia="Arial"/>
          <w:color w:val="000000" w:themeColor="text1"/>
          <w:sz w:val="24"/>
          <w:szCs w:val="24"/>
        </w:rPr>
        <w:t>) .</w:t>
      </w:r>
      <w:proofErr w:type="gramEnd"/>
      <w:r w:rsidRPr="00FE7801">
        <w:rPr>
          <w:rFonts w:eastAsia="Arial"/>
          <w:color w:val="000000" w:themeColor="text1"/>
          <w:sz w:val="24"/>
          <w:szCs w:val="24"/>
        </w:rPr>
        <w:t xml:space="preserve"> She goes on to say that the local authorities can exercise their discretion when deciding how needs can be met, so there is no certainty over what local authorities can or can’t provide the vulnerable </w:t>
      </w:r>
      <w:proofErr w:type="gramStart"/>
      <w:r w:rsidRPr="00FE7801">
        <w:rPr>
          <w:rFonts w:eastAsia="Arial"/>
          <w:color w:val="000000" w:themeColor="text1"/>
          <w:sz w:val="24"/>
          <w:szCs w:val="24"/>
        </w:rPr>
        <w:t>in order to</w:t>
      </w:r>
      <w:proofErr w:type="gramEnd"/>
      <w:r w:rsidRPr="00FE7801">
        <w:rPr>
          <w:rFonts w:eastAsia="Arial"/>
          <w:color w:val="000000" w:themeColor="text1"/>
          <w:sz w:val="24"/>
          <w:szCs w:val="24"/>
        </w:rPr>
        <w:t xml:space="preserve"> help them. Local authorities could just provide information/signposting to other charitable organisations, so it will not necessarily result in assistance being provided where care and support needs are identified.</w:t>
      </w:r>
    </w:p>
    <w:p w14:paraId="249E4CC3"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Therefore, as seen the Care Act 2014 has been beneficial in some ways but has more to do to improve support to vulnerable people in others.</w:t>
      </w:r>
    </w:p>
    <w:p w14:paraId="642BFA35" w14:textId="77777777" w:rsidR="00FE7801" w:rsidRPr="00FE7801" w:rsidRDefault="00FE7801" w:rsidP="00FE7801">
      <w:pPr>
        <w:ind w:right="237"/>
        <w:jc w:val="both"/>
        <w:rPr>
          <w:rFonts w:eastAsia="Arial"/>
          <w:color w:val="000000" w:themeColor="text1"/>
          <w:sz w:val="24"/>
          <w:szCs w:val="24"/>
        </w:rPr>
      </w:pPr>
    </w:p>
    <w:p w14:paraId="67F3A5C3"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Another approach that is used by Police forces in the UK is to refer victims of crime and vulnerable people to Victim support charities. South Wales police completes this process by submitting a ‘Victim Focus Referral’. This is a document that is completed by officers and is sent to the charity ‘South Wales Victim Focus’ </w:t>
      </w:r>
      <w:proofErr w:type="gramStart"/>
      <w:r w:rsidRPr="00FE7801">
        <w:rPr>
          <w:rFonts w:eastAsia="Arial"/>
          <w:color w:val="000000" w:themeColor="text1"/>
          <w:sz w:val="24"/>
          <w:szCs w:val="24"/>
        </w:rPr>
        <w:t>in order to</w:t>
      </w:r>
      <w:proofErr w:type="gramEnd"/>
      <w:r w:rsidRPr="00FE7801">
        <w:rPr>
          <w:rFonts w:eastAsia="Arial"/>
          <w:color w:val="000000" w:themeColor="text1"/>
          <w:sz w:val="24"/>
          <w:szCs w:val="24"/>
        </w:rPr>
        <w:t xml:space="preserve"> establish whether they can provide any assistance to victims of crime or vulnerable people who are at high risk of repeat crime.</w:t>
      </w:r>
    </w:p>
    <w:p w14:paraId="2DE77BBA" w14:textId="77777777" w:rsidR="00FE7801" w:rsidRPr="00FE7801" w:rsidRDefault="00FE7801" w:rsidP="00FE7801">
      <w:pPr>
        <w:ind w:right="237"/>
        <w:jc w:val="both"/>
        <w:rPr>
          <w:rFonts w:eastAsia="Arial"/>
          <w:color w:val="000000" w:themeColor="text1"/>
          <w:sz w:val="24"/>
          <w:szCs w:val="24"/>
        </w:rPr>
      </w:pPr>
    </w:p>
    <w:p w14:paraId="092B0A47" w14:textId="24824EB6"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lastRenderedPageBreak/>
        <w:t xml:space="preserve">A similar charity is ‘Victim Support’. As a charity they can help victims to complete a safety </w:t>
      </w:r>
      <w:proofErr w:type="gramStart"/>
      <w:r w:rsidRPr="00FE7801">
        <w:rPr>
          <w:rFonts w:eastAsia="Arial"/>
          <w:color w:val="000000" w:themeColor="text1"/>
          <w:sz w:val="24"/>
          <w:szCs w:val="24"/>
        </w:rPr>
        <w:t>plan, and</w:t>
      </w:r>
      <w:proofErr w:type="gramEnd"/>
      <w:r w:rsidRPr="00FE7801">
        <w:rPr>
          <w:rFonts w:eastAsia="Arial"/>
          <w:color w:val="000000" w:themeColor="text1"/>
          <w:sz w:val="24"/>
          <w:szCs w:val="24"/>
        </w:rPr>
        <w:t xml:space="preserve"> give them advice and information to feel more secure. They will also work with other organisations for victims if they think immediate safety needs to be improved. They can offer emotional support to help victims understand what they have been through and come to terms with the trauma they have experienced. They also detail options to help victims regain feelings of control. They describe they can provide a safe, neutral place for victims to voice their fears, worries and emotions (Victim Support, 2023).</w:t>
      </w:r>
    </w:p>
    <w:p w14:paraId="7A4D2BD1" w14:textId="77777777" w:rsidR="00FE7801" w:rsidRPr="00FE7801" w:rsidRDefault="00FE7801" w:rsidP="00FE7801">
      <w:pPr>
        <w:ind w:right="237"/>
        <w:jc w:val="both"/>
        <w:rPr>
          <w:rFonts w:eastAsia="Arial"/>
          <w:color w:val="000000" w:themeColor="text1"/>
          <w:sz w:val="24"/>
          <w:szCs w:val="24"/>
        </w:rPr>
      </w:pPr>
    </w:p>
    <w:p w14:paraId="5335F080"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Engagement with victim support charities has increased over the past few years. Victim Support </w:t>
      </w:r>
      <w:proofErr w:type="gramStart"/>
      <w:r w:rsidRPr="00FE7801">
        <w:rPr>
          <w:rFonts w:eastAsia="Arial"/>
          <w:color w:val="000000" w:themeColor="text1"/>
          <w:sz w:val="24"/>
          <w:szCs w:val="24"/>
        </w:rPr>
        <w:t>in particular has</w:t>
      </w:r>
      <w:proofErr w:type="gramEnd"/>
      <w:r w:rsidRPr="00FE7801">
        <w:rPr>
          <w:rFonts w:eastAsia="Arial"/>
          <w:color w:val="000000" w:themeColor="text1"/>
          <w:sz w:val="24"/>
          <w:szCs w:val="24"/>
        </w:rPr>
        <w:t xml:space="preserve"> stated in their annual report 2020-2021 that the numbers of people who contacted them directly for support had increased. The number of people they supported overall had increased by 36% since the previous year and the number of people they had supported who had experienced the most harmful of crimes had also increased (Victim Support, 2021)</w:t>
      </w:r>
    </w:p>
    <w:p w14:paraId="1EED3BEF" w14:textId="77777777" w:rsidR="00FE7801" w:rsidRPr="00FE7801" w:rsidRDefault="00FE7801" w:rsidP="00FE7801">
      <w:pPr>
        <w:ind w:right="237"/>
        <w:jc w:val="both"/>
        <w:rPr>
          <w:rFonts w:eastAsia="Arial"/>
          <w:color w:val="000000" w:themeColor="text1"/>
          <w:sz w:val="24"/>
          <w:szCs w:val="24"/>
        </w:rPr>
      </w:pPr>
    </w:p>
    <w:p w14:paraId="57584CDE"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However, victim support charities do have issues that need facing as acknowledged by ‘Victim Support’ themselves. In 2021, they published a report discussing the issues facing vulnerable people with mental health issues in receiving support from services. The findings of the report highlighted several areas that could be improved upon such as increasing visibility of support services by promoting the service in places where victims may see them accompanied by messaging to highlight accessibility such as its confidential nature and availability. It also recommended that support services should provide a more enhanced and detailed service to victims with mental health problems, including substantive efforts to gain initial contact and maintain engagement. It also noted that further research is needed with victims and practitioners to better understand the complexity of supporting ASB victims with mental health problems and to inform the development of an intervention that will improve their experience and tackle ASB in residential settings more effectively (</w:t>
      </w:r>
      <w:proofErr w:type="spellStart"/>
      <w:r w:rsidRPr="00FE7801">
        <w:rPr>
          <w:rFonts w:eastAsia="Arial"/>
          <w:color w:val="000000" w:themeColor="text1"/>
          <w:sz w:val="24"/>
          <w:szCs w:val="24"/>
        </w:rPr>
        <w:t>Dinisman</w:t>
      </w:r>
      <w:proofErr w:type="spellEnd"/>
      <w:r w:rsidRPr="00FE7801">
        <w:rPr>
          <w:rFonts w:eastAsia="Arial"/>
          <w:color w:val="000000" w:themeColor="text1"/>
          <w:sz w:val="24"/>
          <w:szCs w:val="24"/>
        </w:rPr>
        <w:t xml:space="preserve"> and Moroz, 2019)</w:t>
      </w:r>
    </w:p>
    <w:p w14:paraId="216D5F49" w14:textId="77777777" w:rsidR="00FE7801" w:rsidRPr="00FE7801" w:rsidRDefault="00FE7801" w:rsidP="00FE7801">
      <w:pPr>
        <w:ind w:right="237"/>
        <w:jc w:val="both"/>
        <w:rPr>
          <w:rFonts w:eastAsia="Arial"/>
          <w:color w:val="000000" w:themeColor="text1"/>
          <w:sz w:val="24"/>
          <w:szCs w:val="24"/>
        </w:rPr>
      </w:pPr>
    </w:p>
    <w:p w14:paraId="7189CFD7"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Moving on to discussing repeat victimisation, small percentages of the population, and of victims, suffer large percentages of all criminal victimisations. Of these, re-victimisation constitutes a large proportion of all </w:t>
      </w:r>
      <w:proofErr w:type="gramStart"/>
      <w:r w:rsidRPr="00FE7801">
        <w:rPr>
          <w:rFonts w:eastAsia="Arial"/>
          <w:color w:val="000000" w:themeColor="text1"/>
          <w:sz w:val="24"/>
          <w:szCs w:val="24"/>
        </w:rPr>
        <w:t>victimisation</w:t>
      </w:r>
      <w:proofErr w:type="gramEnd"/>
      <w:r w:rsidRPr="00FE7801">
        <w:rPr>
          <w:rFonts w:eastAsia="Arial"/>
          <w:color w:val="000000" w:themeColor="text1"/>
          <w:sz w:val="24"/>
          <w:szCs w:val="24"/>
        </w:rPr>
        <w:t>, and therefore preventing re-victimisation will prevent a large proportion of all offences (Farrell, 1995).</w:t>
      </w:r>
    </w:p>
    <w:p w14:paraId="551D4960" w14:textId="77777777" w:rsidR="00FE7801" w:rsidRPr="00FE7801" w:rsidRDefault="00FE7801" w:rsidP="00FE7801">
      <w:pPr>
        <w:ind w:right="237"/>
        <w:jc w:val="both"/>
        <w:rPr>
          <w:rFonts w:eastAsia="Arial"/>
          <w:color w:val="000000" w:themeColor="text1"/>
          <w:sz w:val="24"/>
          <w:szCs w:val="24"/>
        </w:rPr>
      </w:pPr>
    </w:p>
    <w:p w14:paraId="4EF75A39"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I will first discuss ‘Evidence Based’ policing and its role in prevent repeat victimisation. Evidence Based policing has been defined as ‘a law-enforcement perspective and philosophy that implicates the use of research, evaluation, analysis, and scientific processes in law-enforcement decision making’ (Lum and Koper, 2003)</w:t>
      </w:r>
    </w:p>
    <w:p w14:paraId="6A484A99" w14:textId="77777777" w:rsidR="00FE7801" w:rsidRPr="00FE7801" w:rsidRDefault="00FE7801" w:rsidP="00FE7801">
      <w:pPr>
        <w:ind w:right="237"/>
        <w:jc w:val="both"/>
        <w:rPr>
          <w:rFonts w:eastAsia="Arial"/>
          <w:color w:val="000000" w:themeColor="text1"/>
          <w:sz w:val="24"/>
          <w:szCs w:val="24"/>
        </w:rPr>
      </w:pPr>
    </w:p>
    <w:p w14:paraId="024D24F0"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Some of the following </w:t>
      </w:r>
      <w:proofErr w:type="gramStart"/>
      <w:r w:rsidRPr="00FE7801">
        <w:rPr>
          <w:rFonts w:eastAsia="Arial"/>
          <w:color w:val="000000" w:themeColor="text1"/>
          <w:sz w:val="24"/>
          <w:szCs w:val="24"/>
        </w:rPr>
        <w:t>evidence based</w:t>
      </w:r>
      <w:proofErr w:type="gramEnd"/>
      <w:r w:rsidRPr="00FE7801">
        <w:rPr>
          <w:rFonts w:eastAsia="Arial"/>
          <w:color w:val="000000" w:themeColor="text1"/>
          <w:sz w:val="24"/>
          <w:szCs w:val="24"/>
        </w:rPr>
        <w:t xml:space="preserve"> policing operations have shown positive results in relation to reducing repeat offending: Hot spot policing, focused deterrence, problem oriented policing, direct patrols, using DNA for property crime cases and focusing efforts on improving police legitimacy (Telep and Weisburd, 2012)</w:t>
      </w:r>
    </w:p>
    <w:p w14:paraId="4F691621" w14:textId="77777777" w:rsidR="00FE7801" w:rsidRPr="00FE7801" w:rsidRDefault="00FE7801" w:rsidP="00FE7801">
      <w:pPr>
        <w:ind w:right="237"/>
        <w:jc w:val="both"/>
        <w:rPr>
          <w:rFonts w:eastAsia="Arial"/>
          <w:color w:val="000000" w:themeColor="text1"/>
          <w:sz w:val="24"/>
          <w:szCs w:val="24"/>
        </w:rPr>
      </w:pPr>
    </w:p>
    <w:p w14:paraId="648EB1B3"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lastRenderedPageBreak/>
        <w:t>Focusing further on the prevention of repeat victimisation and reoffending, in their article ‘Prevent Repeat Victimisation: A Systematic review, Grove, Farrell, Farrington &amp; Johnson studied the potential to achieve substantial benefits by focusing crime prevention measures on individuals, institutions or objects that have previously been exposed to crime. The report discusses the conclusions following of a systematic review of 31 studies that evaluate efforts to prevent repeat victimisation. They concluded that whilst efforts to prevent repeat victimisation have been successful, for it to reach its full potential the evidence suggests that there needs to be significant further investment in research and development, and far greater attention to implementation of strategies (Grove et al., 2012)</w:t>
      </w:r>
    </w:p>
    <w:p w14:paraId="6CD92372" w14:textId="77777777" w:rsidR="00FE7801" w:rsidRPr="00FE7801" w:rsidRDefault="00FE7801" w:rsidP="00FE7801">
      <w:pPr>
        <w:ind w:right="237"/>
        <w:jc w:val="both"/>
        <w:rPr>
          <w:rFonts w:eastAsia="Arial"/>
          <w:color w:val="000000" w:themeColor="text1"/>
          <w:sz w:val="24"/>
          <w:szCs w:val="24"/>
        </w:rPr>
      </w:pPr>
    </w:p>
    <w:p w14:paraId="514407CE"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In terms of </w:t>
      </w:r>
      <w:proofErr w:type="gramStart"/>
      <w:r w:rsidRPr="00FE7801">
        <w:rPr>
          <w:rFonts w:eastAsia="Arial"/>
          <w:color w:val="000000" w:themeColor="text1"/>
          <w:sz w:val="24"/>
          <w:szCs w:val="24"/>
        </w:rPr>
        <w:t>day to day</w:t>
      </w:r>
      <w:proofErr w:type="gramEnd"/>
      <w:r w:rsidRPr="00FE7801">
        <w:rPr>
          <w:rFonts w:eastAsia="Arial"/>
          <w:color w:val="000000" w:themeColor="text1"/>
          <w:sz w:val="24"/>
          <w:szCs w:val="24"/>
        </w:rPr>
        <w:t xml:space="preserve"> decisions and actions that police officers take, ideas have been suggested that should be integrated into officer’s decision making that help prevent repeat victimisation and prevent reoffending. Such ideas include keeping measures as simple as possible </w:t>
      </w:r>
      <w:proofErr w:type="gramStart"/>
      <w:r w:rsidRPr="00FE7801">
        <w:rPr>
          <w:rFonts w:eastAsia="Arial"/>
          <w:color w:val="000000" w:themeColor="text1"/>
          <w:sz w:val="24"/>
          <w:szCs w:val="24"/>
        </w:rPr>
        <w:t>as  they</w:t>
      </w:r>
      <w:proofErr w:type="gramEnd"/>
      <w:r w:rsidRPr="00FE7801">
        <w:rPr>
          <w:rFonts w:eastAsia="Arial"/>
          <w:color w:val="000000" w:themeColor="text1"/>
          <w:sz w:val="24"/>
          <w:szCs w:val="24"/>
        </w:rPr>
        <w:t xml:space="preserve"> are more likely to work; and any action you take has to happen quickly because of the high risk period. They go on to say that preventing repeat victimisation is not just about target hardening but discovering the likely cause of the problem and design appropriate interventions (Bridgeman and Hobbs, 1997</w:t>
      </w:r>
      <w:proofErr w:type="gramStart"/>
      <w:r w:rsidRPr="00FE7801">
        <w:rPr>
          <w:rFonts w:eastAsia="Arial"/>
          <w:color w:val="000000" w:themeColor="text1"/>
          <w:sz w:val="24"/>
          <w:szCs w:val="24"/>
        </w:rPr>
        <w:t>) .</w:t>
      </w:r>
      <w:proofErr w:type="gramEnd"/>
      <w:r w:rsidRPr="00FE7801">
        <w:rPr>
          <w:rFonts w:eastAsia="Arial"/>
          <w:color w:val="000000" w:themeColor="text1"/>
          <w:sz w:val="24"/>
          <w:szCs w:val="24"/>
        </w:rPr>
        <w:t xml:space="preserve"> Using this advice and these strategies officers can adapt their approach to repeat victims and reoffenders.</w:t>
      </w:r>
    </w:p>
    <w:p w14:paraId="4B4200A6" w14:textId="77777777" w:rsidR="00FE7801" w:rsidRPr="00FE7801" w:rsidRDefault="00FE7801" w:rsidP="00FE7801">
      <w:pPr>
        <w:ind w:right="237"/>
        <w:jc w:val="both"/>
        <w:rPr>
          <w:rFonts w:eastAsia="Arial"/>
          <w:color w:val="000000" w:themeColor="text1"/>
          <w:sz w:val="24"/>
          <w:szCs w:val="24"/>
        </w:rPr>
      </w:pPr>
    </w:p>
    <w:p w14:paraId="39EC4A45"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Specific approaches highlighted by Dr Terence Love include ‘Target Hardening’. Target Hardening involves increasing actual security and make offending against that target more 'costly' for the offender than other targets. (Love, 2020).  An example of target hardening would be placing more secure device on a property to prevent offenders breaking and entering like locks or dead </w:t>
      </w:r>
      <w:proofErr w:type="gramStart"/>
      <w:r w:rsidRPr="00FE7801">
        <w:rPr>
          <w:rFonts w:eastAsia="Arial"/>
          <w:color w:val="000000" w:themeColor="text1"/>
          <w:sz w:val="24"/>
          <w:szCs w:val="24"/>
        </w:rPr>
        <w:t>bolts ,</w:t>
      </w:r>
      <w:proofErr w:type="gramEnd"/>
      <w:r w:rsidRPr="00FE7801">
        <w:rPr>
          <w:rFonts w:eastAsia="Arial"/>
          <w:color w:val="000000" w:themeColor="text1"/>
          <w:sz w:val="24"/>
          <w:szCs w:val="24"/>
        </w:rPr>
        <w:t xml:space="preserve"> or moving a repeat victim from their location to another. Love goes on to explain that target hardening is important for two reasons. Firstly, the offender has already shown to themselves that they can commit a crime by bypassing what barriers faced them in the first place and secondly by doing this they have gained knowledge of the situation </w:t>
      </w:r>
      <w:proofErr w:type="gramStart"/>
      <w:r w:rsidRPr="00FE7801">
        <w:rPr>
          <w:rFonts w:eastAsia="Arial"/>
          <w:color w:val="000000" w:themeColor="text1"/>
          <w:sz w:val="24"/>
          <w:szCs w:val="24"/>
        </w:rPr>
        <w:t>in order to</w:t>
      </w:r>
      <w:proofErr w:type="gramEnd"/>
      <w:r w:rsidRPr="00FE7801">
        <w:rPr>
          <w:rFonts w:eastAsia="Arial"/>
          <w:color w:val="000000" w:themeColor="text1"/>
          <w:sz w:val="24"/>
          <w:szCs w:val="24"/>
        </w:rPr>
        <w:t xml:space="preserve"> be able to reoffend in that situation. Target hardening resets this train of thought and provides new barriers for them to overcome </w:t>
      </w:r>
      <w:proofErr w:type="gramStart"/>
      <w:r w:rsidRPr="00FE7801">
        <w:rPr>
          <w:rFonts w:eastAsia="Arial"/>
          <w:color w:val="000000" w:themeColor="text1"/>
          <w:sz w:val="24"/>
          <w:szCs w:val="24"/>
        </w:rPr>
        <w:t>in order to</w:t>
      </w:r>
      <w:proofErr w:type="gramEnd"/>
      <w:r w:rsidRPr="00FE7801">
        <w:rPr>
          <w:rFonts w:eastAsia="Arial"/>
          <w:color w:val="000000" w:themeColor="text1"/>
          <w:sz w:val="24"/>
          <w:szCs w:val="24"/>
        </w:rPr>
        <w:t xml:space="preserve"> commit a crime. </w:t>
      </w:r>
    </w:p>
    <w:p w14:paraId="640F39C6" w14:textId="77777777" w:rsidR="00FE7801" w:rsidRPr="00FE7801" w:rsidRDefault="00FE7801" w:rsidP="00FE7801">
      <w:pPr>
        <w:ind w:right="237"/>
        <w:jc w:val="both"/>
        <w:rPr>
          <w:rFonts w:eastAsia="Arial"/>
          <w:color w:val="000000" w:themeColor="text1"/>
          <w:sz w:val="24"/>
          <w:szCs w:val="24"/>
        </w:rPr>
      </w:pPr>
    </w:p>
    <w:p w14:paraId="38EA0A24" w14:textId="7777777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Another approach concerns the portraying of a property or premises.  If a property looks occupied and well taken care of, it is less likely to be targets by criminal and vandalism can occur anywhere where social standards have been lowered as it gives the impression of ‘no one </w:t>
      </w:r>
      <w:proofErr w:type="gramStart"/>
      <w:r w:rsidRPr="00FE7801">
        <w:rPr>
          <w:rFonts w:eastAsia="Arial"/>
          <w:color w:val="000000" w:themeColor="text1"/>
          <w:sz w:val="24"/>
          <w:szCs w:val="24"/>
        </w:rPr>
        <w:t>cares’</w:t>
      </w:r>
      <w:proofErr w:type="gramEnd"/>
      <w:r w:rsidRPr="00FE7801">
        <w:rPr>
          <w:rFonts w:eastAsia="Arial"/>
          <w:color w:val="000000" w:themeColor="text1"/>
          <w:sz w:val="24"/>
          <w:szCs w:val="24"/>
        </w:rPr>
        <w:t>. If a property is well presented it indicates the location is not un-owned; it indicates the managers of the location have a reserve of resources, and energy that can be used to protect the location and defend against crimes; and sudden visual changes to a location result in it being seen differently, giving the impression it is no longer the same target as it was before (Kelling and Wilson, 1982)</w:t>
      </w:r>
    </w:p>
    <w:p w14:paraId="1EE777C8" w14:textId="77777777" w:rsidR="00FE7801" w:rsidRPr="00FE7801" w:rsidRDefault="00FE7801" w:rsidP="00FE7801">
      <w:pPr>
        <w:ind w:right="237"/>
        <w:jc w:val="both"/>
        <w:rPr>
          <w:rFonts w:eastAsia="Arial"/>
          <w:color w:val="000000" w:themeColor="text1"/>
          <w:sz w:val="24"/>
          <w:szCs w:val="24"/>
        </w:rPr>
      </w:pPr>
    </w:p>
    <w:p w14:paraId="0593CF17" w14:textId="2F607AA7" w:rsidR="00FE7801"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CCTV is also very prevalent in today’s society concerning the prevention or reduction in </w:t>
      </w:r>
      <w:proofErr w:type="gramStart"/>
      <w:r w:rsidRPr="00FE7801">
        <w:rPr>
          <w:rFonts w:eastAsia="Arial"/>
          <w:color w:val="000000" w:themeColor="text1"/>
          <w:sz w:val="24"/>
          <w:szCs w:val="24"/>
        </w:rPr>
        <w:t>crime.(</w:t>
      </w:r>
      <w:proofErr w:type="gramEnd"/>
      <w:r w:rsidRPr="00FE7801">
        <w:rPr>
          <w:rFonts w:eastAsia="Arial"/>
          <w:color w:val="000000" w:themeColor="text1"/>
          <w:sz w:val="24"/>
          <w:szCs w:val="24"/>
        </w:rPr>
        <w:t xml:space="preserve">Brown 1995) </w:t>
      </w:r>
      <w:r>
        <w:rPr>
          <w:rFonts w:eastAsia="Arial"/>
          <w:color w:val="000000" w:themeColor="text1"/>
          <w:sz w:val="24"/>
          <w:szCs w:val="24"/>
        </w:rPr>
        <w:t xml:space="preserve">In his paper, he </w:t>
      </w:r>
      <w:r w:rsidRPr="00FE7801">
        <w:rPr>
          <w:rFonts w:eastAsia="Arial"/>
          <w:color w:val="000000" w:themeColor="text1"/>
          <w:sz w:val="24"/>
          <w:szCs w:val="24"/>
        </w:rPr>
        <w:t xml:space="preserve">examined how CCTV can affect overall crime rates for different types of offence within town centres and what situations CCTV can have the biggest impact on crime reduction.  From his studies he noted that when cameras are first installed within an area, they can have strong deterrent effect on a wide range of crimes. He concluded that from the case studies indicate that CCTV camera systems can help reduce the incidence of property crime </w:t>
      </w:r>
      <w:r w:rsidRPr="00FE7801">
        <w:rPr>
          <w:rFonts w:eastAsia="Arial"/>
          <w:color w:val="000000" w:themeColor="text1"/>
          <w:sz w:val="24"/>
          <w:szCs w:val="24"/>
        </w:rPr>
        <w:lastRenderedPageBreak/>
        <w:t xml:space="preserve">within town centres and property crime has reduced in those areas covered by cameras. This refers mainly to the burglary of shops, but also to theft of and from vehicles.  This suggests that the presence of cameras within area may initially deter criminal behaviour. His studies were carried out in three different cities and the use of CCTV helped reduced different crimes in different areas in different cities and the reduction is </w:t>
      </w:r>
      <w:proofErr w:type="spellStart"/>
      <w:r w:rsidRPr="00FE7801">
        <w:rPr>
          <w:rFonts w:eastAsia="Arial"/>
          <w:color w:val="000000" w:themeColor="text1"/>
          <w:sz w:val="24"/>
          <w:szCs w:val="24"/>
        </w:rPr>
        <w:t>dependant</w:t>
      </w:r>
      <w:proofErr w:type="spellEnd"/>
      <w:r w:rsidRPr="00FE7801">
        <w:rPr>
          <w:rFonts w:eastAsia="Arial"/>
          <w:color w:val="000000" w:themeColor="text1"/>
          <w:sz w:val="24"/>
          <w:szCs w:val="24"/>
        </w:rPr>
        <w:t xml:space="preserve"> on the criminal dynamics of each location.</w:t>
      </w:r>
    </w:p>
    <w:p w14:paraId="08060D25" w14:textId="77777777" w:rsidR="00FE7801" w:rsidRPr="00FE7801" w:rsidRDefault="00FE7801" w:rsidP="00FE7801">
      <w:pPr>
        <w:ind w:right="237"/>
        <w:jc w:val="both"/>
        <w:rPr>
          <w:rFonts w:eastAsia="Arial"/>
          <w:color w:val="000000" w:themeColor="text1"/>
          <w:sz w:val="24"/>
          <w:szCs w:val="24"/>
        </w:rPr>
      </w:pPr>
    </w:p>
    <w:p w14:paraId="40EA0D65" w14:textId="127C47D3" w:rsidR="00FE7801" w:rsidRPr="00E676F7" w:rsidRDefault="00FE7801" w:rsidP="00FE7801">
      <w:pPr>
        <w:ind w:right="237"/>
        <w:jc w:val="both"/>
        <w:rPr>
          <w:rFonts w:eastAsia="Arial"/>
          <w:color w:val="000000" w:themeColor="text1"/>
          <w:sz w:val="24"/>
          <w:szCs w:val="24"/>
        </w:rPr>
      </w:pPr>
      <w:r w:rsidRPr="00FE7801">
        <w:rPr>
          <w:rFonts w:eastAsia="Arial"/>
          <w:color w:val="000000" w:themeColor="text1"/>
          <w:sz w:val="24"/>
          <w:szCs w:val="24"/>
        </w:rPr>
        <w:t xml:space="preserve">To conclude this essay, </w:t>
      </w:r>
      <w:proofErr w:type="gramStart"/>
      <w:r w:rsidRPr="00FE7801">
        <w:rPr>
          <w:rFonts w:eastAsia="Arial"/>
          <w:color w:val="000000" w:themeColor="text1"/>
          <w:sz w:val="24"/>
          <w:szCs w:val="24"/>
        </w:rPr>
        <w:t>It</w:t>
      </w:r>
      <w:proofErr w:type="gramEnd"/>
      <w:r w:rsidRPr="00FE7801">
        <w:rPr>
          <w:rFonts w:eastAsia="Arial"/>
          <w:color w:val="000000" w:themeColor="text1"/>
          <w:sz w:val="24"/>
          <w:szCs w:val="24"/>
        </w:rPr>
        <w:t xml:space="preserve"> has been detailed that there are various ways that repeat victims and vulnerable people can be supported and ways to prevent victimisations. However, not one solution is </w:t>
      </w:r>
      <w:proofErr w:type="gramStart"/>
      <w:r w:rsidRPr="00FE7801">
        <w:rPr>
          <w:rFonts w:eastAsia="Arial"/>
          <w:color w:val="000000" w:themeColor="text1"/>
          <w:sz w:val="24"/>
          <w:szCs w:val="24"/>
        </w:rPr>
        <w:t>perfect</w:t>
      </w:r>
      <w:proofErr w:type="gramEnd"/>
      <w:r w:rsidRPr="00FE7801">
        <w:rPr>
          <w:rFonts w:eastAsia="Arial"/>
          <w:color w:val="000000" w:themeColor="text1"/>
          <w:sz w:val="24"/>
          <w:szCs w:val="24"/>
        </w:rPr>
        <w:t xml:space="preserve"> and each has </w:t>
      </w:r>
      <w:proofErr w:type="spellStart"/>
      <w:r w:rsidRPr="00FE7801">
        <w:rPr>
          <w:rFonts w:eastAsia="Arial"/>
          <w:color w:val="000000" w:themeColor="text1"/>
          <w:sz w:val="24"/>
          <w:szCs w:val="24"/>
        </w:rPr>
        <w:t>it’s</w:t>
      </w:r>
      <w:proofErr w:type="spellEnd"/>
      <w:r w:rsidRPr="00FE7801">
        <w:rPr>
          <w:rFonts w:eastAsia="Arial"/>
          <w:color w:val="000000" w:themeColor="text1"/>
          <w:sz w:val="24"/>
          <w:szCs w:val="24"/>
        </w:rPr>
        <w:t xml:space="preserve"> flaws that require further research in order to improve.</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7FBDDBD3" w14:textId="77777777" w:rsidR="00FE7801" w:rsidRDefault="00FE7801" w:rsidP="5CE196A1">
      <w:pPr>
        <w:ind w:right="237"/>
        <w:jc w:val="both"/>
        <w:rPr>
          <w:b/>
          <w:bCs/>
          <w:sz w:val="24"/>
          <w:szCs w:val="24"/>
        </w:rPr>
      </w:pPr>
    </w:p>
    <w:p w14:paraId="2F4C5F1D" w14:textId="77777777" w:rsidR="00FE7801" w:rsidRDefault="00FE7801" w:rsidP="00FE7801">
      <w:pPr>
        <w:ind w:right="237"/>
        <w:jc w:val="both"/>
        <w:rPr>
          <w:sz w:val="24"/>
          <w:szCs w:val="24"/>
        </w:rPr>
      </w:pPr>
      <w:r w:rsidRPr="00FE7801">
        <w:rPr>
          <w:sz w:val="24"/>
          <w:szCs w:val="24"/>
        </w:rPr>
        <w:t>South Wales Police received a call from a neighbour of an elderly lady who lived next door to the caller. The call explained the elderly lady lived with her adult son and that they could frequently hear the son shouting at the mother and sometimes here her cry out in pain. The night of the call, the neighbour had heard arguments and the elderly lady shout “STOP, PLEASE STOP!”. The caller also disclosed that they were aware that the elderly neighbour relied on her son for physical and financial support and there were no other family members involved. It later transpired that he also had power of attorney for her affairs.</w:t>
      </w:r>
    </w:p>
    <w:p w14:paraId="2595A501" w14:textId="77777777" w:rsidR="00FE7801" w:rsidRPr="00FE7801" w:rsidRDefault="00FE7801" w:rsidP="00FE7801">
      <w:pPr>
        <w:ind w:right="237"/>
        <w:jc w:val="both"/>
        <w:rPr>
          <w:sz w:val="24"/>
          <w:szCs w:val="24"/>
        </w:rPr>
      </w:pPr>
    </w:p>
    <w:p w14:paraId="1FE9AE7C" w14:textId="77777777" w:rsidR="00FE7801" w:rsidRDefault="00FE7801" w:rsidP="00FE7801">
      <w:pPr>
        <w:ind w:right="237"/>
        <w:jc w:val="both"/>
        <w:rPr>
          <w:sz w:val="24"/>
          <w:szCs w:val="24"/>
        </w:rPr>
      </w:pPr>
      <w:r w:rsidRPr="00FE7801">
        <w:rPr>
          <w:sz w:val="24"/>
          <w:szCs w:val="24"/>
        </w:rPr>
        <w:t xml:space="preserve">On attendance at the address, the elderly lady and the son stated they had not had an argument, but a friend had come round </w:t>
      </w:r>
      <w:proofErr w:type="gramStart"/>
      <w:r w:rsidRPr="00FE7801">
        <w:rPr>
          <w:sz w:val="24"/>
          <w:szCs w:val="24"/>
        </w:rPr>
        <w:t>earlier</w:t>
      </w:r>
      <w:proofErr w:type="gramEnd"/>
      <w:r w:rsidRPr="00FE7801">
        <w:rPr>
          <w:sz w:val="24"/>
          <w:szCs w:val="24"/>
        </w:rPr>
        <w:t xml:space="preserve"> and a verbal argument had ensued. The friend had then left. However, the lady had a red mark to her face and when asked what this was, she said she had fallen over earlier in the day. When asked directly if her son had harmed her, she denied it.</w:t>
      </w:r>
    </w:p>
    <w:p w14:paraId="7046414D" w14:textId="77777777" w:rsidR="00FE7801" w:rsidRPr="00FE7801" w:rsidRDefault="00FE7801" w:rsidP="00FE7801">
      <w:pPr>
        <w:ind w:right="237"/>
        <w:jc w:val="both"/>
        <w:rPr>
          <w:sz w:val="24"/>
          <w:szCs w:val="24"/>
        </w:rPr>
      </w:pPr>
    </w:p>
    <w:p w14:paraId="62D78171" w14:textId="77777777" w:rsidR="00FE7801" w:rsidRPr="00FE7801" w:rsidRDefault="00FE7801" w:rsidP="00FE7801">
      <w:pPr>
        <w:ind w:right="237"/>
        <w:jc w:val="both"/>
        <w:rPr>
          <w:sz w:val="24"/>
          <w:szCs w:val="24"/>
        </w:rPr>
      </w:pPr>
      <w:r w:rsidRPr="00FE7801">
        <w:rPr>
          <w:sz w:val="24"/>
          <w:szCs w:val="24"/>
        </w:rPr>
        <w:t xml:space="preserve">This type of incident highlights </w:t>
      </w:r>
      <w:proofErr w:type="gramStart"/>
      <w:r w:rsidRPr="00FE7801">
        <w:rPr>
          <w:sz w:val="24"/>
          <w:szCs w:val="24"/>
        </w:rPr>
        <w:t>a number of</w:t>
      </w:r>
      <w:proofErr w:type="gramEnd"/>
      <w:r w:rsidRPr="00FE7801">
        <w:rPr>
          <w:sz w:val="24"/>
          <w:szCs w:val="24"/>
        </w:rPr>
        <w:t xml:space="preserve"> challenges for police officers, and they will be discussed in turn. The main challenge officers were presented with here was obtaining a positive statement from the elderly lady that her son had assaulted her. This challenge </w:t>
      </w:r>
      <w:proofErr w:type="gramStart"/>
      <w:r w:rsidRPr="00FE7801">
        <w:rPr>
          <w:sz w:val="24"/>
          <w:szCs w:val="24"/>
        </w:rPr>
        <w:t>in itself can</w:t>
      </w:r>
      <w:proofErr w:type="gramEnd"/>
      <w:r w:rsidRPr="00FE7801">
        <w:rPr>
          <w:sz w:val="24"/>
          <w:szCs w:val="24"/>
        </w:rPr>
        <w:t xml:space="preserve"> be broken down into many smaller challenges of why a victim of domestic abuse would not want to take positive action against the offender.</w:t>
      </w:r>
    </w:p>
    <w:p w14:paraId="008DC750" w14:textId="77777777" w:rsidR="00FE7801" w:rsidRDefault="00FE7801" w:rsidP="00FE7801">
      <w:pPr>
        <w:ind w:right="237"/>
        <w:jc w:val="both"/>
        <w:rPr>
          <w:sz w:val="24"/>
          <w:szCs w:val="24"/>
        </w:rPr>
      </w:pPr>
      <w:r w:rsidRPr="00FE7801">
        <w:rPr>
          <w:sz w:val="24"/>
          <w:szCs w:val="24"/>
        </w:rPr>
        <w:t xml:space="preserve">The first reason is that this victim could </w:t>
      </w:r>
      <w:proofErr w:type="gramStart"/>
      <w:r w:rsidRPr="00FE7801">
        <w:rPr>
          <w:sz w:val="24"/>
          <w:szCs w:val="24"/>
        </w:rPr>
        <w:t>be scared of</w:t>
      </w:r>
      <w:proofErr w:type="gramEnd"/>
      <w:r w:rsidRPr="00FE7801">
        <w:rPr>
          <w:sz w:val="24"/>
          <w:szCs w:val="24"/>
        </w:rPr>
        <w:t xml:space="preserve"> physical repercussions. In their research, </w:t>
      </w:r>
      <w:proofErr w:type="spellStart"/>
      <w:r w:rsidRPr="00FE7801">
        <w:rPr>
          <w:sz w:val="24"/>
          <w:szCs w:val="24"/>
        </w:rPr>
        <w:t>Dinisman</w:t>
      </w:r>
      <w:proofErr w:type="spellEnd"/>
      <w:r w:rsidRPr="00FE7801">
        <w:rPr>
          <w:sz w:val="24"/>
          <w:szCs w:val="24"/>
        </w:rPr>
        <w:t xml:space="preserve"> &amp; Moroz (2019) highlighted that almost all the survivors who took part in the research cited fear of physical repercussions as a reason for not seeking help. They also discuss how victim’s fear of repercussions is intensified due to the actions the abuser has already committed or thoughts of what they could be capable of doing. </w:t>
      </w:r>
    </w:p>
    <w:p w14:paraId="17896A2C" w14:textId="77777777" w:rsidR="00FE7801" w:rsidRPr="00FE7801" w:rsidRDefault="00FE7801" w:rsidP="00FE7801">
      <w:pPr>
        <w:ind w:right="237"/>
        <w:jc w:val="both"/>
        <w:rPr>
          <w:sz w:val="24"/>
          <w:szCs w:val="24"/>
        </w:rPr>
      </w:pPr>
    </w:p>
    <w:p w14:paraId="5A23F3D2" w14:textId="77777777" w:rsidR="00FE7801" w:rsidRDefault="00FE7801" w:rsidP="00FE7801">
      <w:pPr>
        <w:ind w:right="237"/>
        <w:jc w:val="both"/>
        <w:rPr>
          <w:sz w:val="24"/>
          <w:szCs w:val="24"/>
        </w:rPr>
      </w:pPr>
      <w:r w:rsidRPr="00FE7801">
        <w:rPr>
          <w:sz w:val="24"/>
          <w:szCs w:val="24"/>
        </w:rPr>
        <w:t xml:space="preserve">As the abuser in this scenario is the victim’s son, problems arise that focus on the relationship between the victim and the abuser, namely a mother and the love for their child. There is stigma and shame around the concept that a child might choose to hurt a parent, and parents often attempt to ignore the abuse or just give in to the behaviour surrender to the behaviour, rather than seek help (Guha, 2021).  Guha goes on to point out that a reason that a parent would not report their child to the police following an incident of abuse would be that they often feel torn about reporting and addressing these behaviours as they worry such actions would make their child hate them and would lose them forever. This conflicts with their desires to support their child and ensure their child’s safety. </w:t>
      </w:r>
    </w:p>
    <w:p w14:paraId="53F88790" w14:textId="77777777" w:rsidR="00FE7801" w:rsidRPr="00FE7801" w:rsidRDefault="00FE7801" w:rsidP="00FE7801">
      <w:pPr>
        <w:ind w:right="237"/>
        <w:jc w:val="both"/>
        <w:rPr>
          <w:sz w:val="24"/>
          <w:szCs w:val="24"/>
        </w:rPr>
      </w:pPr>
    </w:p>
    <w:p w14:paraId="304D9C21" w14:textId="77777777" w:rsidR="00FE7801" w:rsidRDefault="00FE7801" w:rsidP="00FE7801">
      <w:pPr>
        <w:ind w:right="237"/>
        <w:jc w:val="both"/>
        <w:rPr>
          <w:sz w:val="24"/>
          <w:szCs w:val="24"/>
        </w:rPr>
      </w:pPr>
      <w:r w:rsidRPr="00FE7801">
        <w:rPr>
          <w:sz w:val="24"/>
          <w:szCs w:val="24"/>
        </w:rPr>
        <w:t xml:space="preserve">As with the scenario I attended, there are instances where the victim of domestic abuse may rely on the perpetrator, whether this be financially or physically which creates a hurdle for them reporting abuse to the police. In my scenario, the elderly victim relied on his son to help her with </w:t>
      </w:r>
      <w:proofErr w:type="gramStart"/>
      <w:r w:rsidRPr="00FE7801">
        <w:rPr>
          <w:sz w:val="24"/>
          <w:szCs w:val="24"/>
        </w:rPr>
        <w:t>day to day</w:t>
      </w:r>
      <w:proofErr w:type="gramEnd"/>
      <w:r w:rsidRPr="00FE7801">
        <w:rPr>
          <w:sz w:val="24"/>
          <w:szCs w:val="24"/>
        </w:rPr>
        <w:t xml:space="preserve"> tasks and also relied on the money he brought it to feed them and keep the property they lived in. An option of escape for a victim of abuse is to live in a safe haven such as a women’s refuge however amongst older victims this is either not considered or is ruled out as many women’s refuges and other services that offer accommodation, may not be appropriate for due to a lack of facilities for those with mobility issues, specific care </w:t>
      </w:r>
      <w:r w:rsidRPr="00FE7801">
        <w:rPr>
          <w:sz w:val="24"/>
          <w:szCs w:val="24"/>
        </w:rPr>
        <w:lastRenderedPageBreak/>
        <w:t>needs or and mobility issues, and an absence of the specific help that an elderly woman may need (McGarry, 2008)</w:t>
      </w:r>
    </w:p>
    <w:p w14:paraId="3608FB17" w14:textId="77777777" w:rsidR="00FE7801" w:rsidRPr="00FE7801" w:rsidRDefault="00FE7801" w:rsidP="00FE7801">
      <w:pPr>
        <w:ind w:right="237"/>
        <w:jc w:val="both"/>
        <w:rPr>
          <w:sz w:val="24"/>
          <w:szCs w:val="24"/>
        </w:rPr>
      </w:pPr>
    </w:p>
    <w:p w14:paraId="2C6B5EF4" w14:textId="77777777" w:rsidR="00FE7801" w:rsidRDefault="00FE7801" w:rsidP="00FE7801">
      <w:pPr>
        <w:ind w:right="237"/>
        <w:jc w:val="both"/>
        <w:rPr>
          <w:sz w:val="24"/>
          <w:szCs w:val="24"/>
        </w:rPr>
      </w:pPr>
      <w:r w:rsidRPr="00FE7801">
        <w:rPr>
          <w:sz w:val="24"/>
          <w:szCs w:val="24"/>
        </w:rPr>
        <w:t xml:space="preserve">Financially, my victim was completely reliant on her son. He worked and earned money, </w:t>
      </w:r>
      <w:proofErr w:type="gramStart"/>
      <w:r w:rsidRPr="00FE7801">
        <w:rPr>
          <w:sz w:val="24"/>
          <w:szCs w:val="24"/>
        </w:rPr>
        <w:t>and also</w:t>
      </w:r>
      <w:proofErr w:type="gramEnd"/>
      <w:r w:rsidRPr="00FE7801">
        <w:rPr>
          <w:sz w:val="24"/>
          <w:szCs w:val="24"/>
        </w:rPr>
        <w:t xml:space="preserve"> had control of her affairs. Financial abuse is a form of domestic abuse and is one that is used to keep a victim trapped in a relationship or situation. Research shows that victims often are concerned that they would be unable to provide for themselves without their abuser and this prevents them from severing ties. Financial insecurity is also one of the top reasons people return to abusive situations. (Adams, 2011)</w:t>
      </w:r>
    </w:p>
    <w:p w14:paraId="2DE932B5" w14:textId="77777777" w:rsidR="00FE7801" w:rsidRPr="00FE7801" w:rsidRDefault="00FE7801" w:rsidP="00FE7801">
      <w:pPr>
        <w:ind w:right="237"/>
        <w:jc w:val="both"/>
        <w:rPr>
          <w:sz w:val="24"/>
          <w:szCs w:val="24"/>
        </w:rPr>
      </w:pPr>
    </w:p>
    <w:p w14:paraId="2E267CA0" w14:textId="77777777" w:rsidR="00FE7801" w:rsidRDefault="00FE7801" w:rsidP="00FE7801">
      <w:pPr>
        <w:ind w:right="237"/>
        <w:jc w:val="both"/>
        <w:rPr>
          <w:sz w:val="24"/>
          <w:szCs w:val="24"/>
        </w:rPr>
      </w:pPr>
      <w:r w:rsidRPr="00FE7801">
        <w:rPr>
          <w:sz w:val="24"/>
          <w:szCs w:val="24"/>
        </w:rPr>
        <w:t xml:space="preserve">Another challenge in this scenario as well as many others is giving the victim the confidence to attend court. They may not want to attend court for </w:t>
      </w:r>
      <w:proofErr w:type="gramStart"/>
      <w:r w:rsidRPr="00FE7801">
        <w:rPr>
          <w:sz w:val="24"/>
          <w:szCs w:val="24"/>
        </w:rPr>
        <w:t>a number of</w:t>
      </w:r>
      <w:proofErr w:type="gramEnd"/>
      <w:r w:rsidRPr="00FE7801">
        <w:rPr>
          <w:sz w:val="24"/>
          <w:szCs w:val="24"/>
        </w:rPr>
        <w:t xml:space="preserve"> reasons, one being facing their abuser. Domestic abuse victims are being re-traumatised by the justice system as three quarters of survivors are left without the support promised to them when their case goes to court. (Lynch, 2023)</w:t>
      </w:r>
    </w:p>
    <w:p w14:paraId="6A429FAB" w14:textId="77777777" w:rsidR="00FE7801" w:rsidRPr="00FE7801" w:rsidRDefault="00FE7801" w:rsidP="00FE7801">
      <w:pPr>
        <w:ind w:right="237"/>
        <w:jc w:val="both"/>
        <w:rPr>
          <w:sz w:val="24"/>
          <w:szCs w:val="24"/>
        </w:rPr>
      </w:pPr>
    </w:p>
    <w:p w14:paraId="1587D2A1" w14:textId="77777777" w:rsidR="00FE7801" w:rsidRDefault="00FE7801" w:rsidP="00FE7801">
      <w:pPr>
        <w:ind w:right="237"/>
        <w:jc w:val="both"/>
        <w:rPr>
          <w:sz w:val="24"/>
          <w:szCs w:val="24"/>
        </w:rPr>
      </w:pPr>
      <w:r w:rsidRPr="00FE7801">
        <w:rPr>
          <w:sz w:val="24"/>
          <w:szCs w:val="24"/>
        </w:rPr>
        <w:t xml:space="preserve">Developing strategies to effectively tackle domestic abuse is </w:t>
      </w:r>
      <w:proofErr w:type="gramStart"/>
      <w:r w:rsidRPr="00FE7801">
        <w:rPr>
          <w:sz w:val="24"/>
          <w:szCs w:val="24"/>
        </w:rPr>
        <w:t>a  very</w:t>
      </w:r>
      <w:proofErr w:type="gramEnd"/>
      <w:r w:rsidRPr="00FE7801">
        <w:rPr>
          <w:sz w:val="24"/>
          <w:szCs w:val="24"/>
        </w:rPr>
        <w:t xml:space="preserve">  complicated  and detailed process as the often many essential needs of the victim may be beyond what a typical response officer can provide at scene (Corcoran et al, 2001)</w:t>
      </w:r>
    </w:p>
    <w:p w14:paraId="6D5D74D4" w14:textId="77777777" w:rsidR="00FE7801" w:rsidRPr="00FE7801" w:rsidRDefault="00FE7801" w:rsidP="00FE7801">
      <w:pPr>
        <w:ind w:right="237"/>
        <w:jc w:val="both"/>
        <w:rPr>
          <w:sz w:val="24"/>
          <w:szCs w:val="24"/>
        </w:rPr>
      </w:pPr>
    </w:p>
    <w:p w14:paraId="16A82F6D" w14:textId="77777777" w:rsidR="00FE7801" w:rsidRDefault="00FE7801" w:rsidP="00FE7801">
      <w:pPr>
        <w:ind w:right="237"/>
        <w:jc w:val="both"/>
        <w:rPr>
          <w:sz w:val="24"/>
          <w:szCs w:val="24"/>
        </w:rPr>
      </w:pPr>
      <w:r w:rsidRPr="00FE7801">
        <w:rPr>
          <w:sz w:val="24"/>
          <w:szCs w:val="24"/>
        </w:rPr>
        <w:t>One strategy that is used by officers at scene to overcome barriers is the THRIVE model. The model focuses on spotting signs of vulnerability, as well as creating a safe environment to identify risk, encouraging the disclosure of harm and obtaining the information required to take appropriate actions to keep people safe. THRIVE enables officers to spot the signs of vulnerability-related risk; establish a relationship that provides individuals with the confidence to disclose relevant information; and obtain the full set of circumstances associated with an incident and this will help responders to deliver an appropriate response (College Of Policing, 2021)  Using the THRIVE model, I was able to identify the elderly lady as the potential victim in the scenario.</w:t>
      </w:r>
    </w:p>
    <w:p w14:paraId="07A3A637" w14:textId="77777777" w:rsidR="00FE7801" w:rsidRPr="00FE7801" w:rsidRDefault="00FE7801" w:rsidP="00FE7801">
      <w:pPr>
        <w:ind w:right="237"/>
        <w:jc w:val="both"/>
        <w:rPr>
          <w:sz w:val="24"/>
          <w:szCs w:val="24"/>
        </w:rPr>
      </w:pPr>
    </w:p>
    <w:p w14:paraId="4D302045" w14:textId="77777777" w:rsidR="00FE7801" w:rsidRPr="00FE7801" w:rsidRDefault="00FE7801" w:rsidP="00FE7801">
      <w:pPr>
        <w:ind w:right="237"/>
        <w:jc w:val="both"/>
        <w:rPr>
          <w:sz w:val="24"/>
          <w:szCs w:val="24"/>
        </w:rPr>
      </w:pPr>
      <w:r w:rsidRPr="00FE7801">
        <w:rPr>
          <w:sz w:val="24"/>
          <w:szCs w:val="24"/>
        </w:rPr>
        <w:t xml:space="preserve">Given that domestic abuse constitutes a significant portion of a response officers’ work, it is vital that officers understand how to identify risk and assess scenarios for clues of domestic abuse. They must then record that information accurately </w:t>
      </w:r>
      <w:proofErr w:type="gramStart"/>
      <w:r w:rsidRPr="00FE7801">
        <w:rPr>
          <w:sz w:val="24"/>
          <w:szCs w:val="24"/>
        </w:rPr>
        <w:t>in order for</w:t>
      </w:r>
      <w:proofErr w:type="gramEnd"/>
      <w:r w:rsidRPr="00FE7801">
        <w:rPr>
          <w:sz w:val="24"/>
          <w:szCs w:val="24"/>
        </w:rPr>
        <w:t xml:space="preserve"> the information to be beneficial. In 2009, National Policing leads endorsed a risk model to support and improve the police response to cases of domestic abuse: the Domestic Abuse, Stalking and Harassment and Honour-based violence risk identification, assessment and management model (DASH). (Robinson et al, 2016)</w:t>
      </w:r>
    </w:p>
    <w:p w14:paraId="4A52CF55" w14:textId="77777777" w:rsidR="00FE7801" w:rsidRDefault="00FE7801" w:rsidP="00FE7801">
      <w:pPr>
        <w:ind w:right="237"/>
        <w:jc w:val="both"/>
        <w:rPr>
          <w:sz w:val="24"/>
          <w:szCs w:val="24"/>
        </w:rPr>
      </w:pPr>
      <w:r w:rsidRPr="00FE7801">
        <w:rPr>
          <w:sz w:val="24"/>
          <w:szCs w:val="24"/>
        </w:rPr>
        <w:t>The purpose of the Dash risk checklist is to provide a consistent and simple tool for practitioners who work with adult victims of domestic abuse in order to help them identify those who are at high risk of harm and whose cases should be referred to services in order to manage their risk (</w:t>
      </w:r>
      <w:proofErr w:type="spellStart"/>
      <w:r w:rsidRPr="00FE7801">
        <w:rPr>
          <w:sz w:val="24"/>
          <w:szCs w:val="24"/>
        </w:rPr>
        <w:t>Safelives</w:t>
      </w:r>
      <w:proofErr w:type="spellEnd"/>
      <w:r w:rsidRPr="00FE7801">
        <w:rPr>
          <w:sz w:val="24"/>
          <w:szCs w:val="24"/>
        </w:rPr>
        <w:t>, 2014) Dash has been described as pioneering and innovative, turning a reactive ‘it’s just a domestic’ into a proactive ‘you must ask’ questions approach with half the questions focusing on coercive control, stalking and honour based abuse because these are the cases where women and children are more likely to be harmed and killed by abusers. (DASH risk checklist, 2023)</w:t>
      </w:r>
    </w:p>
    <w:p w14:paraId="3AE40226" w14:textId="77777777" w:rsidR="00FE7801" w:rsidRPr="00FE7801" w:rsidRDefault="00FE7801" w:rsidP="00FE7801">
      <w:pPr>
        <w:ind w:right="237"/>
        <w:jc w:val="both"/>
        <w:rPr>
          <w:sz w:val="24"/>
          <w:szCs w:val="24"/>
        </w:rPr>
      </w:pPr>
    </w:p>
    <w:p w14:paraId="65E8C8AB" w14:textId="3F5A5B44" w:rsidR="00FE7801" w:rsidRDefault="00FE7801" w:rsidP="00FE7801">
      <w:pPr>
        <w:ind w:right="237"/>
        <w:jc w:val="both"/>
        <w:rPr>
          <w:sz w:val="24"/>
          <w:szCs w:val="24"/>
        </w:rPr>
      </w:pPr>
      <w:r w:rsidRPr="00FE7801">
        <w:rPr>
          <w:sz w:val="24"/>
          <w:szCs w:val="24"/>
        </w:rPr>
        <w:lastRenderedPageBreak/>
        <w:t>Upon attendance a</w:t>
      </w:r>
      <w:r>
        <w:rPr>
          <w:sz w:val="24"/>
          <w:szCs w:val="24"/>
        </w:rPr>
        <w:t>t</w:t>
      </w:r>
      <w:r w:rsidRPr="00FE7801">
        <w:rPr>
          <w:sz w:val="24"/>
          <w:szCs w:val="24"/>
        </w:rPr>
        <w:t xml:space="preserve"> any suspected domestic abuse scene, the </w:t>
      </w:r>
      <w:proofErr w:type="gramStart"/>
      <w:r w:rsidRPr="00FE7801">
        <w:rPr>
          <w:sz w:val="24"/>
          <w:szCs w:val="24"/>
        </w:rPr>
        <w:t>first priority</w:t>
      </w:r>
      <w:proofErr w:type="gramEnd"/>
      <w:r w:rsidRPr="00FE7801">
        <w:rPr>
          <w:sz w:val="24"/>
          <w:szCs w:val="24"/>
        </w:rPr>
        <w:t xml:space="preserve"> of the police is to make people safe. Officers should take positive action to make the victim and any children safe and positive action should be taken. This would take the form of an arrest where there is reasonable suspicion that the suspect had assaulted a victim (College of Policing, 2015)</w:t>
      </w:r>
    </w:p>
    <w:p w14:paraId="32EF3FC5" w14:textId="77777777" w:rsidR="00FE7801" w:rsidRPr="00FE7801" w:rsidRDefault="00FE7801" w:rsidP="00FE7801">
      <w:pPr>
        <w:ind w:right="237"/>
        <w:jc w:val="both"/>
        <w:rPr>
          <w:sz w:val="24"/>
          <w:szCs w:val="24"/>
        </w:rPr>
      </w:pPr>
    </w:p>
    <w:p w14:paraId="2E672B54" w14:textId="77777777" w:rsidR="00FE7801" w:rsidRDefault="00FE7801" w:rsidP="00FE7801">
      <w:pPr>
        <w:ind w:right="237"/>
        <w:jc w:val="both"/>
        <w:rPr>
          <w:sz w:val="24"/>
          <w:szCs w:val="24"/>
        </w:rPr>
      </w:pPr>
      <w:r w:rsidRPr="00FE7801">
        <w:rPr>
          <w:sz w:val="24"/>
          <w:szCs w:val="24"/>
        </w:rPr>
        <w:t>One study (Ameral et al, 2023), into the policy of arresting at scene where domestic abuse victim occurs has shown positive results to this strategy. They examined how this strategy could break the cycle of abuse in an area of England.  They concluded that arrested at scene reduced repeat victimisation over the following year by around 50%. Data suggest that an immediate arrest facilitates a cooling down period in the short run and deters further abuse in the long run.</w:t>
      </w:r>
    </w:p>
    <w:p w14:paraId="6072A9EE" w14:textId="77777777" w:rsidR="00FE7801" w:rsidRPr="00FE7801" w:rsidRDefault="00FE7801" w:rsidP="00FE7801">
      <w:pPr>
        <w:ind w:right="237"/>
        <w:jc w:val="both"/>
        <w:rPr>
          <w:sz w:val="24"/>
          <w:szCs w:val="24"/>
        </w:rPr>
      </w:pPr>
    </w:p>
    <w:p w14:paraId="46F5FBE0" w14:textId="77777777" w:rsidR="00FE7801" w:rsidRPr="00FE7801" w:rsidRDefault="00FE7801" w:rsidP="00FE7801">
      <w:pPr>
        <w:ind w:right="237"/>
        <w:jc w:val="both"/>
        <w:rPr>
          <w:sz w:val="24"/>
          <w:szCs w:val="24"/>
        </w:rPr>
      </w:pPr>
      <w:r w:rsidRPr="00FE7801">
        <w:rPr>
          <w:sz w:val="24"/>
          <w:szCs w:val="24"/>
        </w:rPr>
        <w:t xml:space="preserve">Another strategy adopted by police when dealing with </w:t>
      </w:r>
      <w:proofErr w:type="spellStart"/>
      <w:proofErr w:type="gramStart"/>
      <w:r w:rsidRPr="00FE7801">
        <w:rPr>
          <w:sz w:val="24"/>
          <w:szCs w:val="24"/>
        </w:rPr>
        <w:t>victim’s</w:t>
      </w:r>
      <w:proofErr w:type="spellEnd"/>
      <w:proofErr w:type="gramEnd"/>
      <w:r w:rsidRPr="00FE7801">
        <w:rPr>
          <w:sz w:val="24"/>
          <w:szCs w:val="24"/>
        </w:rPr>
        <w:t xml:space="preserve"> of domestic abuse is to explain clearly about what support victims can receive through the court process. We have already heard how some victims chose not to proceed to court as they do not feel they would be supported or fear seeing their </w:t>
      </w:r>
      <w:proofErr w:type="gramStart"/>
      <w:r w:rsidRPr="00FE7801">
        <w:rPr>
          <w:sz w:val="24"/>
          <w:szCs w:val="24"/>
        </w:rPr>
        <w:t>abusers</w:t>
      </w:r>
      <w:proofErr w:type="gramEnd"/>
    </w:p>
    <w:p w14:paraId="65CC895A" w14:textId="77777777" w:rsidR="00FE7801" w:rsidRDefault="00FE7801" w:rsidP="00FE7801">
      <w:pPr>
        <w:ind w:right="237"/>
        <w:jc w:val="both"/>
        <w:rPr>
          <w:sz w:val="24"/>
          <w:szCs w:val="24"/>
        </w:rPr>
      </w:pPr>
      <w:r w:rsidRPr="00FE7801">
        <w:rPr>
          <w:sz w:val="24"/>
          <w:szCs w:val="24"/>
        </w:rPr>
        <w:t>Domestic violence victims can already be eligible for special measures if criminal proceedings have been opened against the alleged perpetrator, but the court must be satisfied that the quality of the victim’s evidence will be diminished because of their fear or distress about testifying (Waldron, 2023)</w:t>
      </w:r>
    </w:p>
    <w:p w14:paraId="2A9FB82B" w14:textId="77777777" w:rsidR="00FE7801" w:rsidRPr="00FE7801" w:rsidRDefault="00FE7801" w:rsidP="00FE7801">
      <w:pPr>
        <w:ind w:right="237"/>
        <w:jc w:val="both"/>
        <w:rPr>
          <w:sz w:val="24"/>
          <w:szCs w:val="24"/>
        </w:rPr>
      </w:pPr>
    </w:p>
    <w:p w14:paraId="72BE3EBF" w14:textId="77777777" w:rsidR="00FE7801" w:rsidRDefault="00FE7801" w:rsidP="00FE7801">
      <w:pPr>
        <w:ind w:right="237"/>
        <w:jc w:val="both"/>
        <w:rPr>
          <w:sz w:val="24"/>
          <w:szCs w:val="24"/>
        </w:rPr>
      </w:pPr>
      <w:r w:rsidRPr="00FE7801">
        <w:rPr>
          <w:sz w:val="24"/>
          <w:szCs w:val="24"/>
        </w:rPr>
        <w:t xml:space="preserve">During my incident, when explaining about giving a statement to the elderly lady, it was my duty to explain that there were measures that could help her if she wished to make a statement and go to court. These included giving evidence by video </w:t>
      </w:r>
      <w:proofErr w:type="gramStart"/>
      <w:r w:rsidRPr="00FE7801">
        <w:rPr>
          <w:sz w:val="24"/>
          <w:szCs w:val="24"/>
        </w:rPr>
        <w:t>link, and</w:t>
      </w:r>
      <w:proofErr w:type="gramEnd"/>
      <w:r w:rsidRPr="00FE7801">
        <w:rPr>
          <w:sz w:val="24"/>
          <w:szCs w:val="24"/>
        </w:rPr>
        <w:t xml:space="preserve"> having a barrier between her and the suspect. Other measures include having intermediaries and priority listing.</w:t>
      </w:r>
    </w:p>
    <w:p w14:paraId="74DC0191" w14:textId="77777777" w:rsidR="00FE7801" w:rsidRPr="00FE7801" w:rsidRDefault="00FE7801" w:rsidP="00FE7801">
      <w:pPr>
        <w:ind w:right="237"/>
        <w:jc w:val="both"/>
        <w:rPr>
          <w:sz w:val="24"/>
          <w:szCs w:val="24"/>
        </w:rPr>
      </w:pPr>
    </w:p>
    <w:p w14:paraId="077A2BA9" w14:textId="77777777" w:rsidR="00FE7801" w:rsidRDefault="00FE7801" w:rsidP="00FE7801">
      <w:pPr>
        <w:ind w:right="237"/>
        <w:jc w:val="both"/>
        <w:rPr>
          <w:sz w:val="24"/>
          <w:szCs w:val="24"/>
        </w:rPr>
      </w:pPr>
      <w:r w:rsidRPr="00FE7801">
        <w:rPr>
          <w:sz w:val="24"/>
          <w:szCs w:val="24"/>
        </w:rPr>
        <w:t xml:space="preserve">Having Independent Domestic Violence Advocates work alongside the police are also an effective method of helping with domestic violence situations. They sometimes work in force control rooms and </w:t>
      </w:r>
      <w:proofErr w:type="gramStart"/>
      <w:r w:rsidRPr="00FE7801">
        <w:rPr>
          <w:sz w:val="24"/>
          <w:szCs w:val="24"/>
        </w:rPr>
        <w:t>are able to</w:t>
      </w:r>
      <w:proofErr w:type="gramEnd"/>
      <w:r w:rsidRPr="00FE7801">
        <w:rPr>
          <w:sz w:val="24"/>
          <w:szCs w:val="24"/>
        </w:rPr>
        <w:t xml:space="preserve"> advise officers with any queries relating to the situation the officer is presented with. The role of IDVA is to provide support and advocacy to victims of domestic abuse.  IDVAs are trained professionals who work with victims to ensure their safety, help them understand their legal rights, and connect them with appropriate resources and services (Lincolnshire Domestic Abuse Specialist Services, 2023). The introduction of IDVAs have provided positive outcomes for domestic abuse cases. Following support from an </w:t>
      </w:r>
      <w:proofErr w:type="spellStart"/>
      <w:r w:rsidRPr="00FE7801">
        <w:rPr>
          <w:sz w:val="24"/>
          <w:szCs w:val="24"/>
        </w:rPr>
        <w:t>Idva</w:t>
      </w:r>
      <w:proofErr w:type="spellEnd"/>
      <w:r w:rsidRPr="00FE7801">
        <w:rPr>
          <w:sz w:val="24"/>
          <w:szCs w:val="24"/>
        </w:rPr>
        <w:t xml:space="preserve"> service, at the closure of their cases 79% of physical abuse survivors reported cessation of the abuse. (Safe Lives, 2023)</w:t>
      </w:r>
    </w:p>
    <w:p w14:paraId="0A4F4B02" w14:textId="77777777" w:rsidR="00FE7801" w:rsidRPr="00FE7801" w:rsidRDefault="00FE7801" w:rsidP="00FE7801">
      <w:pPr>
        <w:ind w:right="237"/>
        <w:jc w:val="both"/>
        <w:rPr>
          <w:sz w:val="24"/>
          <w:szCs w:val="24"/>
        </w:rPr>
      </w:pPr>
    </w:p>
    <w:p w14:paraId="74E9B90D" w14:textId="77777777" w:rsidR="00FE7801" w:rsidRPr="00FE7801" w:rsidRDefault="00FE7801" w:rsidP="00FE7801">
      <w:pPr>
        <w:ind w:right="237"/>
        <w:jc w:val="both"/>
        <w:rPr>
          <w:sz w:val="24"/>
          <w:szCs w:val="24"/>
        </w:rPr>
      </w:pPr>
      <w:r w:rsidRPr="00FE7801">
        <w:rPr>
          <w:sz w:val="24"/>
          <w:szCs w:val="24"/>
        </w:rPr>
        <w:t xml:space="preserve">Another strategy that has been developed in helping officers provide effective policing concerning domestic abuse is the implementation of ‘Domestic Abuse Champions’. A Champion the known expert of domestic abuse issues within their force or unit and acts as the primary advisor to that force or unit. Their role is to advise their colleagues on management of individual cases, provide on the spot </w:t>
      </w:r>
      <w:proofErr w:type="gramStart"/>
      <w:r w:rsidRPr="00FE7801">
        <w:rPr>
          <w:sz w:val="24"/>
          <w:szCs w:val="24"/>
        </w:rPr>
        <w:t>advice  and</w:t>
      </w:r>
      <w:proofErr w:type="gramEnd"/>
      <w:r w:rsidRPr="00FE7801">
        <w:rPr>
          <w:sz w:val="24"/>
          <w:szCs w:val="24"/>
        </w:rPr>
        <w:t xml:space="preserve"> ensure that colleagues are aware of and have access to guidance and support if needed. </w:t>
      </w:r>
      <w:proofErr w:type="gramStart"/>
      <w:r w:rsidRPr="00FE7801">
        <w:rPr>
          <w:sz w:val="24"/>
          <w:szCs w:val="24"/>
        </w:rPr>
        <w:t>They  assist</w:t>
      </w:r>
      <w:proofErr w:type="gramEnd"/>
      <w:r w:rsidRPr="00FE7801">
        <w:rPr>
          <w:sz w:val="24"/>
          <w:szCs w:val="24"/>
        </w:rPr>
        <w:t xml:space="preserve"> in supporting, helping and advising both victims and police officers involved in cases and have access to a database of other champions' details so that they can contact them directly (TDASG, 2023)</w:t>
      </w:r>
    </w:p>
    <w:p w14:paraId="456D0C93" w14:textId="77777777" w:rsidR="00FE7801" w:rsidRPr="00FE7801" w:rsidRDefault="00FE7801" w:rsidP="00FE7801">
      <w:pPr>
        <w:ind w:right="237"/>
        <w:jc w:val="both"/>
        <w:rPr>
          <w:sz w:val="24"/>
          <w:szCs w:val="24"/>
        </w:rPr>
      </w:pPr>
    </w:p>
    <w:p w14:paraId="758E73B2" w14:textId="03885021" w:rsidR="00FE7801" w:rsidRPr="00FE7801" w:rsidRDefault="00FE7801" w:rsidP="00FE7801">
      <w:pPr>
        <w:ind w:right="237"/>
        <w:jc w:val="both"/>
        <w:rPr>
          <w:sz w:val="24"/>
          <w:szCs w:val="24"/>
        </w:rPr>
      </w:pPr>
      <w:r w:rsidRPr="00FE7801">
        <w:rPr>
          <w:sz w:val="24"/>
          <w:szCs w:val="24"/>
        </w:rPr>
        <w:lastRenderedPageBreak/>
        <w:t xml:space="preserve">Each year, nearly 2 million people in the UK suffer some form of domestic abuse. 1.3 million victims are </w:t>
      </w:r>
      <w:proofErr w:type="gramStart"/>
      <w:r w:rsidRPr="00FE7801">
        <w:rPr>
          <w:sz w:val="24"/>
          <w:szCs w:val="24"/>
        </w:rPr>
        <w:t>female</w:t>
      </w:r>
      <w:proofErr w:type="gramEnd"/>
      <w:r w:rsidRPr="00FE7801">
        <w:rPr>
          <w:sz w:val="24"/>
          <w:szCs w:val="24"/>
        </w:rPr>
        <w:t xml:space="preserve"> and 600,000 victims are male (</w:t>
      </w:r>
      <w:proofErr w:type="spellStart"/>
      <w:r w:rsidRPr="00FE7801">
        <w:rPr>
          <w:sz w:val="24"/>
          <w:szCs w:val="24"/>
        </w:rPr>
        <w:t>Whag</w:t>
      </w:r>
      <w:proofErr w:type="spellEnd"/>
      <w:r w:rsidRPr="00FE7801">
        <w:rPr>
          <w:sz w:val="24"/>
          <w:szCs w:val="24"/>
        </w:rPr>
        <w:t xml:space="preserve">, 2023). Many challenges are presented to a police force when dealing with these cases as highlighted in </w:t>
      </w:r>
      <w:proofErr w:type="gramStart"/>
      <w:r w:rsidRPr="00FE7801">
        <w:rPr>
          <w:sz w:val="24"/>
          <w:szCs w:val="24"/>
        </w:rPr>
        <w:t>this essays and various strategies</w:t>
      </w:r>
      <w:proofErr w:type="gramEnd"/>
      <w:r w:rsidRPr="00FE7801">
        <w:rPr>
          <w:sz w:val="24"/>
          <w:szCs w:val="24"/>
        </w:rPr>
        <w:t xml:space="preserve"> have been implemented. Many of these strategies rely on help and support from other agencies. The domestic abuse sector is significantly propped up by a large proportion of services running outside those commissioned by local authorities. These services are vital to the provision of support services and show that </w:t>
      </w:r>
      <w:proofErr w:type="gramStart"/>
      <w:r w:rsidRPr="00FE7801">
        <w:rPr>
          <w:sz w:val="24"/>
          <w:szCs w:val="24"/>
        </w:rPr>
        <w:t>in order to</w:t>
      </w:r>
      <w:proofErr w:type="gramEnd"/>
      <w:r w:rsidRPr="00FE7801">
        <w:rPr>
          <w:sz w:val="24"/>
          <w:szCs w:val="24"/>
        </w:rPr>
        <w:t xml:space="preserve"> continue to develop strategy to combat domestic abuse, more funding is needed. (Women’s Aid, 2021)</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33F2863" w:rsidR="0FF883D4" w:rsidRDefault="5CE196A1" w:rsidP="5CE196A1">
      <w:r w:rsidRPr="5CE196A1">
        <w:rPr>
          <w:rFonts w:eastAsia="Arial"/>
          <w:b/>
          <w:bCs/>
          <w:color w:val="000000" w:themeColor="text1"/>
          <w:sz w:val="24"/>
          <w:szCs w:val="24"/>
        </w:rPr>
        <w:t xml:space="preserve">Signed: </w:t>
      </w:r>
      <w:r w:rsidR="00BB30D4">
        <w:rPr>
          <w:rFonts w:eastAsia="Arial"/>
          <w:b/>
          <w:bCs/>
          <w:color w:val="000000" w:themeColor="text1"/>
          <w:sz w:val="24"/>
          <w:szCs w:val="24"/>
        </w:rPr>
        <w:t>B. Edmunds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1EBBA837" w:rsidR="0FF883D4" w:rsidRDefault="00BB30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29/10/2023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w:t>
      </w:r>
      <w:r w:rsidR="00147DE3" w:rsidRPr="00E676F7">
        <w:rPr>
          <w:sz w:val="24"/>
          <w:szCs w:val="24"/>
        </w:rPr>
        <w:lastRenderedPageBreak/>
        <w:t>that you are aware of the importance of ensuring that the work submitted is your original work</w:t>
      </w:r>
      <w:r w:rsidR="00EA28F1">
        <w:rPr>
          <w:sz w:val="24"/>
          <w:szCs w:val="24"/>
        </w:rPr>
        <w:t xml:space="preserve">. </w:t>
      </w:r>
    </w:p>
    <w:p w14:paraId="1B3A038F" w14:textId="77777777" w:rsidR="00BB30D4" w:rsidRDefault="00BB30D4" w:rsidP="00EA28F1">
      <w:pPr>
        <w:keepNext/>
        <w:spacing w:before="240" w:after="60"/>
        <w:ind w:right="237"/>
        <w:jc w:val="both"/>
        <w:rPr>
          <w:sz w:val="24"/>
          <w:szCs w:val="24"/>
        </w:rPr>
      </w:pPr>
    </w:p>
    <w:p w14:paraId="7C2EEFB3" w14:textId="77777777" w:rsidR="00BB30D4" w:rsidRDefault="00BB30D4" w:rsidP="00BB30D4">
      <w:pPr>
        <w:keepNext/>
        <w:spacing w:before="240" w:after="60"/>
        <w:ind w:right="237"/>
        <w:jc w:val="both"/>
      </w:pPr>
      <w:r>
        <w:t xml:space="preserve">Adams, A (2011) Measuring the Effects of Domestic Violence on Women’s Financial Well- Being. University of Wisconsin-Madison </w:t>
      </w:r>
      <w:proofErr w:type="spellStart"/>
      <w:r>
        <w:t>Center</w:t>
      </w:r>
      <w:proofErr w:type="spellEnd"/>
      <w:r>
        <w:t xml:space="preserve"> for Financial Security. [Online] https://cfs.wisc.edu/2011/05/01/adams2011/.</w:t>
      </w:r>
    </w:p>
    <w:p w14:paraId="2FAEACAD" w14:textId="77777777" w:rsidR="00BB30D4" w:rsidRDefault="00BB30D4" w:rsidP="00BB30D4">
      <w:pPr>
        <w:keepNext/>
        <w:spacing w:before="240" w:after="60"/>
        <w:ind w:right="237"/>
        <w:jc w:val="both"/>
      </w:pPr>
    </w:p>
    <w:p w14:paraId="5B232C0F" w14:textId="77777777" w:rsidR="00BB30D4" w:rsidRDefault="00BB30D4" w:rsidP="00BB30D4">
      <w:pPr>
        <w:keepNext/>
        <w:spacing w:before="240" w:after="60"/>
        <w:ind w:right="237"/>
        <w:jc w:val="both"/>
      </w:pPr>
      <w:r>
        <w:t>Bridgeman, C. and Hobbs, L. (1997) Preventing Repeat Victimisation: the police officers’ guide., Crown copyright.</w:t>
      </w:r>
    </w:p>
    <w:p w14:paraId="6F5E12AA" w14:textId="77777777" w:rsidR="00BB30D4" w:rsidRDefault="00BB30D4" w:rsidP="00BB30D4">
      <w:pPr>
        <w:keepNext/>
        <w:spacing w:before="240" w:after="60"/>
        <w:ind w:right="237"/>
        <w:jc w:val="both"/>
      </w:pPr>
    </w:p>
    <w:p w14:paraId="06FEEE16" w14:textId="77777777" w:rsidR="00BB30D4" w:rsidRDefault="00BB30D4" w:rsidP="00BB30D4">
      <w:pPr>
        <w:keepNext/>
        <w:spacing w:before="240" w:after="60"/>
        <w:ind w:right="237"/>
        <w:jc w:val="both"/>
      </w:pPr>
      <w:r>
        <w:t>Care Act factsheets (2016) GOV.UK. [Online] https://www.gov.uk/government/publications/care-act-2014-part-1-factsheets/care-act-factsheets#factsheet-7-protecting-adults-from-abuse-or-neglect.</w:t>
      </w:r>
    </w:p>
    <w:p w14:paraId="7D006BE0" w14:textId="77777777" w:rsidR="00BB30D4" w:rsidRDefault="00BB30D4" w:rsidP="00BB30D4">
      <w:pPr>
        <w:keepNext/>
        <w:spacing w:before="240" w:after="60"/>
        <w:ind w:right="237"/>
        <w:jc w:val="both"/>
      </w:pPr>
    </w:p>
    <w:p w14:paraId="14375ED3" w14:textId="77777777" w:rsidR="00BB30D4" w:rsidRDefault="00BB30D4" w:rsidP="00BB30D4">
      <w:pPr>
        <w:keepNext/>
        <w:spacing w:before="240" w:after="60"/>
        <w:ind w:right="237"/>
        <w:jc w:val="both"/>
      </w:pPr>
      <w:r>
        <w:t>College of Policing (2015) Arrest and other positive approaches. College of Policing. [Online] https://www.college.police.uk/app/major-investigation-and-public-protection/domestic-abuse/arrest-and-other-positive-approaches.</w:t>
      </w:r>
    </w:p>
    <w:p w14:paraId="2B3D6E3D" w14:textId="77777777" w:rsidR="00BB30D4" w:rsidRDefault="00BB30D4" w:rsidP="00BB30D4">
      <w:pPr>
        <w:keepNext/>
        <w:spacing w:before="240" w:after="60"/>
        <w:ind w:right="237"/>
        <w:jc w:val="both"/>
      </w:pPr>
    </w:p>
    <w:p w14:paraId="6EBAECBB" w14:textId="77777777" w:rsidR="00BB30D4" w:rsidRDefault="00BB30D4" w:rsidP="00BB30D4">
      <w:pPr>
        <w:keepNext/>
        <w:spacing w:before="240" w:after="60"/>
        <w:ind w:right="237"/>
        <w:jc w:val="both"/>
      </w:pPr>
      <w:r>
        <w:t xml:space="preserve">College Of Policing (2021). Briefing note: adults at risk initial response, The College </w:t>
      </w:r>
      <w:proofErr w:type="gramStart"/>
      <w:r>
        <w:t>Of</w:t>
      </w:r>
      <w:proofErr w:type="gramEnd"/>
      <w:r>
        <w:t xml:space="preserve"> Policing. [Online] https://library.college.police.uk/docs/college-of-policing/Briefing-note-adults-at-risk-initial-response-2021.pdf</w:t>
      </w:r>
    </w:p>
    <w:p w14:paraId="1418A238" w14:textId="77777777" w:rsidR="00BB30D4" w:rsidRDefault="00BB30D4" w:rsidP="00BB30D4">
      <w:pPr>
        <w:keepNext/>
        <w:spacing w:before="240" w:after="60"/>
        <w:ind w:right="237"/>
        <w:jc w:val="both"/>
      </w:pPr>
    </w:p>
    <w:p w14:paraId="1014018F" w14:textId="77777777" w:rsidR="00BB30D4" w:rsidRDefault="00BB30D4" w:rsidP="00BB30D4">
      <w:pPr>
        <w:keepNext/>
        <w:spacing w:before="240" w:after="60"/>
        <w:ind w:right="237"/>
        <w:jc w:val="both"/>
      </w:pPr>
      <w:r>
        <w:t>College of Policing (2021) Introduction to vulnerability-related risk. College of Policing. [Online] https://www.college.police.uk/guidance/vulnerability-related-risks/introduction-vulnerability-related-risk.</w:t>
      </w:r>
    </w:p>
    <w:p w14:paraId="6A8C7BCD" w14:textId="77777777" w:rsidR="00BB30D4" w:rsidRDefault="00BB30D4" w:rsidP="00BB30D4">
      <w:pPr>
        <w:keepNext/>
        <w:spacing w:before="240" w:after="60"/>
        <w:ind w:right="237"/>
        <w:jc w:val="both"/>
      </w:pPr>
    </w:p>
    <w:p w14:paraId="2A7651CC" w14:textId="77777777" w:rsidR="00BB30D4" w:rsidRDefault="00BB30D4" w:rsidP="00BB30D4">
      <w:pPr>
        <w:keepNext/>
        <w:spacing w:before="240" w:after="60"/>
        <w:ind w:right="237"/>
        <w:jc w:val="both"/>
      </w:pPr>
    </w:p>
    <w:p w14:paraId="182CCF49" w14:textId="77777777" w:rsidR="00BB30D4" w:rsidRDefault="00BB30D4" w:rsidP="00BB30D4">
      <w:pPr>
        <w:keepNext/>
        <w:spacing w:before="240" w:after="60"/>
        <w:ind w:right="237"/>
        <w:jc w:val="both"/>
      </w:pPr>
    </w:p>
    <w:p w14:paraId="0A18E4A3" w14:textId="77777777" w:rsidR="00BB30D4" w:rsidRDefault="00BB30D4" w:rsidP="00BB30D4">
      <w:pPr>
        <w:keepNext/>
        <w:spacing w:before="240" w:after="60"/>
        <w:ind w:right="237"/>
        <w:jc w:val="both"/>
      </w:pPr>
      <w:r>
        <w:t xml:space="preserve">Corcoran, </w:t>
      </w:r>
      <w:proofErr w:type="gramStart"/>
      <w:r>
        <w:t>K. ,</w:t>
      </w:r>
      <w:proofErr w:type="gramEnd"/>
      <w:r>
        <w:t xml:space="preserve">  Stephenson, M.,  Perryman,  D.  </w:t>
      </w:r>
      <w:proofErr w:type="gramStart"/>
      <w:r>
        <w:t>&amp;  Allen</w:t>
      </w:r>
      <w:proofErr w:type="gramEnd"/>
      <w:r>
        <w:t xml:space="preserve">,  S.  2001. Perceptions and </w:t>
      </w:r>
      <w:proofErr w:type="gramStart"/>
      <w:r>
        <w:t>utilization  of</w:t>
      </w:r>
      <w:proofErr w:type="gramEnd"/>
      <w:r>
        <w:t xml:space="preserve">  a  police  –  Social Work crisis  intervention approach to domestic violence. Families in Society, 82(4):393-398</w:t>
      </w:r>
    </w:p>
    <w:p w14:paraId="7807EEC5" w14:textId="77777777" w:rsidR="00BB30D4" w:rsidRDefault="00BB30D4" w:rsidP="00BB30D4">
      <w:pPr>
        <w:keepNext/>
        <w:spacing w:before="240" w:after="60"/>
        <w:ind w:right="237"/>
        <w:jc w:val="both"/>
      </w:pPr>
    </w:p>
    <w:p w14:paraId="635FE630" w14:textId="77777777" w:rsidR="00BB30D4" w:rsidRDefault="00BB30D4" w:rsidP="00BB30D4">
      <w:pPr>
        <w:keepNext/>
        <w:spacing w:before="240" w:after="60"/>
        <w:ind w:right="237"/>
        <w:jc w:val="both"/>
      </w:pPr>
      <w:r>
        <w:t>Crown Prosecution Service (2020) Older People: Prosecuting Crimes against, The Crown Prosecution Service. www.cps.gov.uk. [Online] https://www.cps.gov.uk/legal-guidance/older-people-prosecuting-crimes-against.</w:t>
      </w:r>
    </w:p>
    <w:p w14:paraId="710EAB8E" w14:textId="77777777" w:rsidR="00BB30D4" w:rsidRDefault="00BB30D4" w:rsidP="00BB30D4">
      <w:pPr>
        <w:keepNext/>
        <w:spacing w:before="240" w:after="60"/>
        <w:ind w:right="237"/>
        <w:jc w:val="both"/>
      </w:pPr>
    </w:p>
    <w:p w14:paraId="5AD86AE8" w14:textId="77777777" w:rsidR="00BB30D4" w:rsidRDefault="00BB30D4" w:rsidP="00BB30D4">
      <w:pPr>
        <w:keepNext/>
        <w:spacing w:before="240" w:after="60"/>
        <w:ind w:right="237"/>
        <w:jc w:val="both"/>
      </w:pPr>
      <w:r>
        <w:lastRenderedPageBreak/>
        <w:t>DASH Risk Checklist (20230 [Online] https://www.dashriskchecklist.com/about.</w:t>
      </w:r>
    </w:p>
    <w:p w14:paraId="3B8A3E18" w14:textId="77777777" w:rsidR="00BB30D4" w:rsidRDefault="00BB30D4" w:rsidP="00BB30D4">
      <w:pPr>
        <w:keepNext/>
        <w:spacing w:before="240" w:after="60"/>
        <w:ind w:right="237"/>
        <w:jc w:val="both"/>
      </w:pPr>
    </w:p>
    <w:p w14:paraId="417CE334" w14:textId="77777777" w:rsidR="00BB30D4" w:rsidRDefault="00BB30D4" w:rsidP="00BB30D4">
      <w:pPr>
        <w:keepNext/>
        <w:spacing w:before="240" w:after="60"/>
        <w:ind w:right="237"/>
        <w:jc w:val="both"/>
      </w:pPr>
      <w:proofErr w:type="spellStart"/>
      <w:r>
        <w:t>Dinisman</w:t>
      </w:r>
      <w:proofErr w:type="spellEnd"/>
      <w:r>
        <w:t>, T. and Moroz, A. (2019) Doing better for victims and witnesses with mental health problems in Kent. [Online] https://www.victimsupport.org.uk/wp-content/uploads/2021/04/P2468-Doing-Better-for-Victims-and-Witnesses-with-Mental-Health-Problems-in-Kent_Report.pdf</w:t>
      </w:r>
    </w:p>
    <w:p w14:paraId="6F251C7A" w14:textId="77777777" w:rsidR="00BB30D4" w:rsidRDefault="00BB30D4" w:rsidP="00BB30D4">
      <w:pPr>
        <w:keepNext/>
        <w:spacing w:before="240" w:after="60"/>
        <w:ind w:right="237"/>
        <w:jc w:val="both"/>
      </w:pPr>
    </w:p>
    <w:p w14:paraId="7DC2654F" w14:textId="77777777" w:rsidR="00BB30D4" w:rsidRDefault="00BB30D4" w:rsidP="00BB30D4">
      <w:pPr>
        <w:keepNext/>
        <w:spacing w:before="240" w:after="60"/>
        <w:ind w:right="237"/>
        <w:jc w:val="both"/>
      </w:pPr>
      <w:proofErr w:type="spellStart"/>
      <w:r>
        <w:t>Dinisman</w:t>
      </w:r>
      <w:proofErr w:type="spellEnd"/>
      <w:r>
        <w:t xml:space="preserve">, T. and Moroz, A. (2019) Trapped. Tamar </w:t>
      </w:r>
      <w:proofErr w:type="spellStart"/>
      <w:r>
        <w:t>Dinisman</w:t>
      </w:r>
      <w:proofErr w:type="spellEnd"/>
      <w:r>
        <w:t xml:space="preserve"> and Ania Moroz [Online] https://www.victimsupport.org.uk/wp-content/uploads/2021/03/Victim Support_Trapped_Domestic-Abuse-Report_Web_Final.pdf</w:t>
      </w:r>
    </w:p>
    <w:p w14:paraId="25B5849B" w14:textId="77777777" w:rsidR="00BB30D4" w:rsidRDefault="00BB30D4" w:rsidP="00BB30D4">
      <w:pPr>
        <w:keepNext/>
        <w:spacing w:before="240" w:after="60"/>
        <w:ind w:right="237"/>
        <w:jc w:val="both"/>
      </w:pPr>
    </w:p>
    <w:p w14:paraId="3FAD005B" w14:textId="77777777" w:rsidR="00BB30D4" w:rsidRDefault="00BB30D4" w:rsidP="00BB30D4">
      <w:pPr>
        <w:keepNext/>
        <w:spacing w:before="240" w:after="60"/>
        <w:ind w:right="237"/>
        <w:jc w:val="both"/>
      </w:pPr>
      <w:r>
        <w:t>Farrell, G. (1995) ‘Preventing Repeat Victimization.’ Crime and Justice, 19, January, pp. 469–534.</w:t>
      </w:r>
    </w:p>
    <w:p w14:paraId="6AF378ED" w14:textId="77777777" w:rsidR="00BB30D4" w:rsidRDefault="00BB30D4" w:rsidP="00BB30D4">
      <w:pPr>
        <w:keepNext/>
        <w:spacing w:before="240" w:after="60"/>
        <w:ind w:right="237"/>
        <w:jc w:val="both"/>
      </w:pPr>
    </w:p>
    <w:p w14:paraId="1972FC15" w14:textId="77777777" w:rsidR="00BB30D4" w:rsidRDefault="00BB30D4" w:rsidP="00BB30D4">
      <w:pPr>
        <w:keepNext/>
        <w:spacing w:before="240" w:after="60"/>
        <w:ind w:right="237"/>
        <w:jc w:val="both"/>
      </w:pPr>
      <w:r>
        <w:t xml:space="preserve">Grove et al (2012) ‘Preventing repeat victimization: a systematic review.’. Louise Grove, Graham Farrel, David Farrington and Shane Johnson, </w:t>
      </w:r>
      <w:proofErr w:type="spellStart"/>
      <w:r>
        <w:t>figshare</w:t>
      </w:r>
      <w:proofErr w:type="spellEnd"/>
      <w:r>
        <w:t>, January.</w:t>
      </w:r>
    </w:p>
    <w:p w14:paraId="6B3D7F54" w14:textId="77777777" w:rsidR="00BB30D4" w:rsidRDefault="00BB30D4" w:rsidP="00BB30D4">
      <w:pPr>
        <w:keepNext/>
        <w:spacing w:before="240" w:after="60"/>
        <w:ind w:right="237"/>
        <w:jc w:val="both"/>
      </w:pPr>
    </w:p>
    <w:p w14:paraId="314AA138" w14:textId="77777777" w:rsidR="00BB30D4" w:rsidRDefault="00BB30D4" w:rsidP="00BB30D4">
      <w:pPr>
        <w:keepNext/>
        <w:spacing w:before="240" w:after="60"/>
        <w:ind w:right="237"/>
        <w:jc w:val="both"/>
      </w:pPr>
      <w:r>
        <w:t>Gov.uk (2014) Care Act 2014. Legislation.gov.uk. UK Government. [Online] https://www.legislation.gov.uk/ukpga/2014/23/contents/enacted.</w:t>
      </w:r>
    </w:p>
    <w:p w14:paraId="1717A3CF" w14:textId="77777777" w:rsidR="00BB30D4" w:rsidRDefault="00BB30D4" w:rsidP="00BB30D4">
      <w:pPr>
        <w:keepNext/>
        <w:spacing w:before="240" w:after="60"/>
        <w:ind w:right="237"/>
        <w:jc w:val="both"/>
      </w:pPr>
    </w:p>
    <w:p w14:paraId="00F3F41A" w14:textId="77777777" w:rsidR="00BB30D4" w:rsidRDefault="00BB30D4" w:rsidP="00BB30D4">
      <w:pPr>
        <w:keepNext/>
        <w:spacing w:before="240" w:after="60"/>
        <w:ind w:right="237"/>
        <w:jc w:val="both"/>
      </w:pPr>
      <w:r>
        <w:t>Guha, A (2021) What Happens When a Child Abuses a Parent. Psychology Today United Kingdom (n.d.) www.psychologytoday.com. [Online] https://www.psychologytoday.com/gb/blog/prisons-and-pathos/202107/what-happens-when-child-abuses-parent</w:t>
      </w:r>
    </w:p>
    <w:p w14:paraId="29E829E4" w14:textId="77777777" w:rsidR="00BB30D4" w:rsidRDefault="00BB30D4" w:rsidP="00BB30D4">
      <w:pPr>
        <w:keepNext/>
        <w:spacing w:before="240" w:after="60"/>
        <w:ind w:right="237"/>
        <w:jc w:val="both"/>
      </w:pPr>
    </w:p>
    <w:p w14:paraId="4A9BDC41" w14:textId="77777777" w:rsidR="00BB30D4" w:rsidRDefault="00BB30D4" w:rsidP="00BB30D4">
      <w:pPr>
        <w:keepNext/>
        <w:spacing w:before="240" w:after="60"/>
        <w:ind w:right="237"/>
        <w:jc w:val="both"/>
      </w:pPr>
      <w:r>
        <w:t>Gunn (2019). An overview of the Care Act 2014, Nicola Gunn. [online] https://anthonygold.co.uk/latest/blog/an-overview-of-the-care-act-2014</w:t>
      </w:r>
    </w:p>
    <w:p w14:paraId="585D9971" w14:textId="77777777" w:rsidR="00BB30D4" w:rsidRDefault="00BB30D4" w:rsidP="00BB30D4">
      <w:pPr>
        <w:keepNext/>
        <w:spacing w:before="240" w:after="60"/>
        <w:ind w:right="237"/>
        <w:jc w:val="both"/>
      </w:pPr>
    </w:p>
    <w:p w14:paraId="19D474E5" w14:textId="77777777" w:rsidR="00BB30D4" w:rsidRDefault="00BB30D4" w:rsidP="00BB30D4">
      <w:pPr>
        <w:keepNext/>
        <w:spacing w:before="240" w:after="60"/>
        <w:ind w:right="237"/>
        <w:jc w:val="both"/>
      </w:pPr>
      <w:r>
        <w:t xml:space="preserve">Kelling, G. L. and Wilson, J. Q. (1982) Broken Windows: The police and </w:t>
      </w:r>
      <w:proofErr w:type="spellStart"/>
      <w:r>
        <w:t>neighborhood</w:t>
      </w:r>
      <w:proofErr w:type="spellEnd"/>
      <w:r>
        <w:t xml:space="preserve"> safety. The Atlantic. The Atlantic. [Online] https://www.theatlantic.com/magazine/archive/1982/03/broken-windows/304465/.</w:t>
      </w:r>
    </w:p>
    <w:p w14:paraId="06953DCD" w14:textId="77777777" w:rsidR="00BB30D4" w:rsidRDefault="00BB30D4" w:rsidP="00BB30D4">
      <w:pPr>
        <w:keepNext/>
        <w:spacing w:before="240" w:after="60"/>
        <w:ind w:right="237"/>
        <w:jc w:val="both"/>
      </w:pPr>
    </w:p>
    <w:p w14:paraId="26709553" w14:textId="77777777" w:rsidR="00BB30D4" w:rsidRDefault="00BB30D4" w:rsidP="00BB30D4">
      <w:pPr>
        <w:keepNext/>
        <w:spacing w:before="240" w:after="60"/>
        <w:ind w:right="237"/>
        <w:jc w:val="both"/>
      </w:pPr>
      <w:r>
        <w:t>Lincolnshire Domestic Abuse Specialist Service (n.d.) Lincolnshire Domestic Abuse Specialist Service. [Online] https://ldass.org.uk/idva-service.</w:t>
      </w:r>
    </w:p>
    <w:p w14:paraId="481D5F4D" w14:textId="77777777" w:rsidR="00BB30D4" w:rsidRDefault="00BB30D4" w:rsidP="00BB30D4">
      <w:pPr>
        <w:keepNext/>
        <w:spacing w:before="240" w:after="60"/>
        <w:ind w:right="237"/>
        <w:jc w:val="both"/>
      </w:pPr>
    </w:p>
    <w:p w14:paraId="29DDF81F" w14:textId="77777777" w:rsidR="00BB30D4" w:rsidRDefault="00BB30D4" w:rsidP="00BB30D4">
      <w:pPr>
        <w:keepNext/>
        <w:spacing w:before="240" w:after="60"/>
        <w:ind w:right="237"/>
        <w:jc w:val="both"/>
      </w:pPr>
      <w:r>
        <w:t>Love, T (2020). Use CPTED to reduce Repeat Victimisation, Terrence Love. [online] https://www.linkedin.com/pulse/use-cpted-reduce-repeat-victimisation-dr-terence-love</w:t>
      </w:r>
    </w:p>
    <w:p w14:paraId="43848D5C" w14:textId="77777777" w:rsidR="00BB30D4" w:rsidRDefault="00BB30D4" w:rsidP="00BB30D4">
      <w:pPr>
        <w:keepNext/>
        <w:spacing w:before="240" w:after="60"/>
        <w:ind w:right="237"/>
        <w:jc w:val="both"/>
      </w:pPr>
    </w:p>
    <w:p w14:paraId="4F2FE2EE" w14:textId="77777777" w:rsidR="00BB30D4" w:rsidRDefault="00BB30D4" w:rsidP="00BB30D4">
      <w:pPr>
        <w:keepNext/>
        <w:spacing w:before="240" w:after="60"/>
        <w:ind w:right="237"/>
        <w:jc w:val="both"/>
      </w:pPr>
      <w:r>
        <w:t xml:space="preserve">Lum, C. and Koper, C. (2003) Evidence-Based Policing </w:t>
      </w:r>
      <w:r>
        <w:t> What Is Evidence-Based Policing? Chalmers. Springer-Verlag, pp. 1426–1437.</w:t>
      </w:r>
    </w:p>
    <w:p w14:paraId="7B219C80" w14:textId="77777777" w:rsidR="00BB30D4" w:rsidRDefault="00BB30D4" w:rsidP="00BB30D4">
      <w:pPr>
        <w:keepNext/>
        <w:spacing w:before="240" w:after="60"/>
        <w:ind w:right="237"/>
        <w:jc w:val="both"/>
      </w:pPr>
    </w:p>
    <w:p w14:paraId="537DC4BF" w14:textId="77777777" w:rsidR="00BB30D4" w:rsidRDefault="00BB30D4" w:rsidP="00BB30D4">
      <w:pPr>
        <w:keepNext/>
        <w:spacing w:before="240" w:after="60"/>
        <w:ind w:right="237"/>
        <w:jc w:val="both"/>
      </w:pPr>
      <w:r>
        <w:t>Lynch, C (2023) Women are scared stiff of going to court’: Three quarters of domestic abuse survivors left without support in court (n.d.) LBC. [Online] https://www.lbc.co.uk/news/domestic-abuse-survivors-court-retraumatised-support</w:t>
      </w:r>
    </w:p>
    <w:p w14:paraId="1AF1C31B" w14:textId="77777777" w:rsidR="00BB30D4" w:rsidRDefault="00BB30D4" w:rsidP="00BB30D4">
      <w:pPr>
        <w:keepNext/>
        <w:spacing w:before="240" w:after="60"/>
        <w:ind w:right="237"/>
        <w:jc w:val="both"/>
      </w:pPr>
    </w:p>
    <w:p w14:paraId="47D6B5FB" w14:textId="77777777" w:rsidR="00BB30D4" w:rsidRDefault="00BB30D4" w:rsidP="00BB30D4">
      <w:pPr>
        <w:keepNext/>
        <w:spacing w:before="240" w:after="60"/>
        <w:ind w:right="237"/>
        <w:jc w:val="both"/>
      </w:pPr>
      <w:r>
        <w:t>McGarry, J. (2008) ‘Older women and domestic violence.’ Nursing Older People, 20(6) pp. 10–11</w:t>
      </w:r>
    </w:p>
    <w:p w14:paraId="1310297D" w14:textId="77777777" w:rsidR="00BB30D4" w:rsidRDefault="00BB30D4" w:rsidP="00BB30D4">
      <w:pPr>
        <w:keepNext/>
        <w:spacing w:before="240" w:after="60"/>
        <w:ind w:right="237"/>
        <w:jc w:val="both"/>
      </w:pPr>
    </w:p>
    <w:p w14:paraId="6E1468F0" w14:textId="77777777" w:rsidR="00BB30D4" w:rsidRDefault="00BB30D4" w:rsidP="00BB30D4">
      <w:pPr>
        <w:keepNext/>
        <w:spacing w:before="240" w:after="60"/>
        <w:ind w:right="237"/>
        <w:jc w:val="both"/>
      </w:pPr>
      <w:r>
        <w:t>Robinson, A., Myhill, A., Wire, J., Roberts, J. and Tilley, N. (2016) Risk-led policing of domestic abuse and the DASH risk model. College of Policing.</w:t>
      </w:r>
    </w:p>
    <w:p w14:paraId="200AB8CC" w14:textId="77777777" w:rsidR="00BB30D4" w:rsidRDefault="00BB30D4" w:rsidP="00BB30D4">
      <w:pPr>
        <w:keepNext/>
        <w:spacing w:before="240" w:after="60"/>
        <w:ind w:right="237"/>
        <w:jc w:val="both"/>
      </w:pPr>
    </w:p>
    <w:p w14:paraId="56603C74" w14:textId="77777777" w:rsidR="00BB30D4" w:rsidRDefault="00BB30D4" w:rsidP="00BB30D4">
      <w:pPr>
        <w:keepNext/>
        <w:spacing w:before="240" w:after="60"/>
        <w:ind w:right="237"/>
        <w:jc w:val="both"/>
      </w:pPr>
      <w:proofErr w:type="spellStart"/>
      <w:r>
        <w:t>Safelives</w:t>
      </w:r>
      <w:proofErr w:type="spellEnd"/>
      <w:r>
        <w:t xml:space="preserve"> (2014) </w:t>
      </w:r>
      <w:proofErr w:type="spellStart"/>
      <w:r>
        <w:t>SafeLives</w:t>
      </w:r>
      <w:proofErr w:type="spellEnd"/>
      <w:r>
        <w:t xml:space="preserve"> Dash risk checklist Quick start guidance. [Online] https://safelives.org.uk/sites/default/files/resources/Dash%20risk%20checklist%20quick%20start%20guidance%20FINAL.pdf</w:t>
      </w:r>
    </w:p>
    <w:p w14:paraId="44FC1FE2" w14:textId="77777777" w:rsidR="00BB30D4" w:rsidRDefault="00BB30D4" w:rsidP="00BB30D4">
      <w:pPr>
        <w:keepNext/>
        <w:spacing w:before="240" w:after="60"/>
        <w:ind w:right="237"/>
        <w:jc w:val="both"/>
      </w:pPr>
    </w:p>
    <w:p w14:paraId="175FF09A" w14:textId="77777777" w:rsidR="00BB30D4" w:rsidRDefault="00BB30D4" w:rsidP="00BB30D4">
      <w:pPr>
        <w:keepNext/>
        <w:spacing w:before="240" w:after="60"/>
        <w:ind w:right="237"/>
        <w:jc w:val="both"/>
      </w:pPr>
      <w:r>
        <w:t xml:space="preserve">Safe Lives (2023) What is an </w:t>
      </w:r>
      <w:proofErr w:type="spellStart"/>
      <w:r>
        <w:t>Idva</w:t>
      </w:r>
      <w:proofErr w:type="spellEnd"/>
      <w:r>
        <w:t xml:space="preserve">?  </w:t>
      </w:r>
      <w:proofErr w:type="spellStart"/>
      <w:r>
        <w:t>Safelives</w:t>
      </w:r>
      <w:proofErr w:type="spellEnd"/>
      <w:r>
        <w:t>. [Online] https://safelives.org.uk/what-is-an-idva.</w:t>
      </w:r>
    </w:p>
    <w:p w14:paraId="569E1312" w14:textId="77777777" w:rsidR="00BB30D4" w:rsidRDefault="00BB30D4" w:rsidP="00BB30D4">
      <w:pPr>
        <w:keepNext/>
        <w:spacing w:before="240" w:after="60"/>
        <w:ind w:right="237"/>
        <w:jc w:val="both"/>
      </w:pPr>
    </w:p>
    <w:p w14:paraId="094E6C30" w14:textId="77777777" w:rsidR="00BB30D4" w:rsidRDefault="00BB30D4" w:rsidP="00BB30D4">
      <w:pPr>
        <w:keepNext/>
        <w:spacing w:before="240" w:after="60"/>
        <w:ind w:right="237"/>
        <w:jc w:val="both"/>
      </w:pPr>
      <w:r>
        <w:t xml:space="preserve">Smart Home Protection (2018) Violence against elderly </w:t>
      </w:r>
      <w:proofErr w:type="gramStart"/>
      <w:r>
        <w:t>peaks,  Smart</w:t>
      </w:r>
      <w:proofErr w:type="gramEnd"/>
      <w:r>
        <w:t xml:space="preserve"> Home Protection. [Online] https://smarthomeprotection.co.uk/violence-against-elderly-peaks/.</w:t>
      </w:r>
    </w:p>
    <w:p w14:paraId="20992E54" w14:textId="77777777" w:rsidR="00BB30D4" w:rsidRDefault="00BB30D4" w:rsidP="00BB30D4">
      <w:pPr>
        <w:keepNext/>
        <w:spacing w:before="240" w:after="60"/>
        <w:ind w:right="237"/>
        <w:jc w:val="both"/>
      </w:pPr>
    </w:p>
    <w:p w14:paraId="2F930B88" w14:textId="77777777" w:rsidR="00BB30D4" w:rsidRDefault="00BB30D4" w:rsidP="00BB30D4">
      <w:pPr>
        <w:keepNext/>
        <w:spacing w:before="240" w:after="60"/>
        <w:ind w:right="237"/>
        <w:jc w:val="both"/>
      </w:pPr>
      <w:r>
        <w:t>TDASG, (2023) Domestic Abuse Champions - Are you OK? [Online] https://www.areyouok.co.uk/im-a-professional/domestic-abuse-champions/#:~:text=The%20Champion%20is%20seen%20as.</w:t>
      </w:r>
    </w:p>
    <w:p w14:paraId="372E3108" w14:textId="77777777" w:rsidR="00BB30D4" w:rsidRDefault="00BB30D4" w:rsidP="00BB30D4">
      <w:pPr>
        <w:keepNext/>
        <w:spacing w:before="240" w:after="60"/>
        <w:ind w:right="237"/>
        <w:jc w:val="both"/>
      </w:pPr>
    </w:p>
    <w:p w14:paraId="021BC478" w14:textId="77777777" w:rsidR="00BB30D4" w:rsidRDefault="00BB30D4" w:rsidP="00BB30D4">
      <w:pPr>
        <w:keepNext/>
        <w:spacing w:before="240" w:after="60"/>
        <w:ind w:right="237"/>
        <w:jc w:val="both"/>
      </w:pPr>
      <w:r>
        <w:t>Telep, C. W. and Weisburd, D. (2012) ‘What is Known About the Effectiveness of Police Practices in Reducing Crime and Disorder?’ Police Quarterly, 15(4) pp. 331–357</w:t>
      </w:r>
    </w:p>
    <w:p w14:paraId="7E4CEAC9" w14:textId="77777777" w:rsidR="00BB30D4" w:rsidRDefault="00BB30D4" w:rsidP="00BB30D4">
      <w:pPr>
        <w:keepNext/>
        <w:spacing w:before="240" w:after="60"/>
        <w:ind w:right="237"/>
        <w:jc w:val="both"/>
      </w:pPr>
    </w:p>
    <w:p w14:paraId="67D80DE4" w14:textId="77777777" w:rsidR="00BB30D4" w:rsidRDefault="00BB30D4" w:rsidP="00BB30D4">
      <w:pPr>
        <w:keepNext/>
        <w:spacing w:before="240" w:after="60"/>
        <w:ind w:right="237"/>
        <w:jc w:val="both"/>
      </w:pPr>
      <w:r>
        <w:t>Think Local Act Personal (2017) Exploring the impact of the Care Act on the lives of people with care and support needs., Think Local Act Personal [Online] https://www.thinklocalactpersonal.org.uk/_assets/Resources/TLAP/CareActSurveyResults-002.pdf</w:t>
      </w:r>
    </w:p>
    <w:p w14:paraId="6699D1BF" w14:textId="77777777" w:rsidR="00BB30D4" w:rsidRDefault="00BB30D4" w:rsidP="00BB30D4">
      <w:pPr>
        <w:keepNext/>
        <w:spacing w:before="240" w:after="60"/>
        <w:ind w:right="237"/>
        <w:jc w:val="both"/>
      </w:pPr>
    </w:p>
    <w:p w14:paraId="36107822" w14:textId="77777777" w:rsidR="00BB30D4" w:rsidRDefault="00BB30D4" w:rsidP="00BB30D4">
      <w:pPr>
        <w:keepNext/>
        <w:spacing w:before="240" w:after="60"/>
        <w:ind w:right="237"/>
        <w:jc w:val="both"/>
      </w:pPr>
      <w:r>
        <w:lastRenderedPageBreak/>
        <w:t>Victim Support (2021) Annual Report and accounts 2020-2021. Victim Support. [Online] www.victimsupport.org.uk/wp-content/uploads/2021/11/Annual_Report_and_Accounts_2020-21.pdf</w:t>
      </w:r>
    </w:p>
    <w:p w14:paraId="30DD91D6" w14:textId="77777777" w:rsidR="00BB30D4" w:rsidRDefault="00BB30D4" w:rsidP="00BB30D4">
      <w:pPr>
        <w:keepNext/>
        <w:spacing w:before="240" w:after="60"/>
        <w:ind w:right="237"/>
        <w:jc w:val="both"/>
      </w:pPr>
    </w:p>
    <w:p w14:paraId="3F307E48" w14:textId="77777777" w:rsidR="00BB30D4" w:rsidRDefault="00BB30D4" w:rsidP="00BB30D4">
      <w:pPr>
        <w:keepNext/>
        <w:spacing w:before="240" w:after="60"/>
        <w:ind w:right="237"/>
        <w:jc w:val="both"/>
      </w:pPr>
      <w:r>
        <w:t>Victim Support (2023) How we can help. Victim Support. [Online] https://www.victimsupport.org.uk/help-and-support/how-we-can-help/.</w:t>
      </w:r>
    </w:p>
    <w:p w14:paraId="42696B32" w14:textId="77777777" w:rsidR="00BB30D4" w:rsidRDefault="00BB30D4" w:rsidP="00BB30D4">
      <w:pPr>
        <w:keepNext/>
        <w:spacing w:before="240" w:after="60"/>
        <w:ind w:right="237"/>
        <w:jc w:val="both"/>
      </w:pPr>
    </w:p>
    <w:p w14:paraId="61422B3D" w14:textId="77777777" w:rsidR="00BB30D4" w:rsidRDefault="00BB30D4" w:rsidP="00BB30D4">
      <w:pPr>
        <w:keepNext/>
        <w:spacing w:before="240" w:after="60"/>
        <w:ind w:right="237"/>
        <w:jc w:val="both"/>
      </w:pPr>
      <w:r>
        <w:t xml:space="preserve">Waldron, D. (2023) Special Measures </w:t>
      </w:r>
      <w:proofErr w:type="gramStart"/>
      <w:r>
        <w:t>In</w:t>
      </w:r>
      <w:proofErr w:type="gramEnd"/>
      <w:r>
        <w:t xml:space="preserve"> UK Family Courts For Domestic Violence Victims. Holland Family Law. [Online] [Accessed on 29th October 2023] https://hollandfamilylaw.co.uk/special-measures-in-uk-family-courts-for-domestic-violence-victims/.</w:t>
      </w:r>
    </w:p>
    <w:p w14:paraId="4281A757" w14:textId="77777777" w:rsidR="00BB30D4" w:rsidRDefault="00BB30D4" w:rsidP="00BB30D4">
      <w:pPr>
        <w:keepNext/>
        <w:spacing w:before="240" w:after="60"/>
        <w:ind w:right="237"/>
        <w:jc w:val="both"/>
      </w:pPr>
    </w:p>
    <w:p w14:paraId="02FD88D4" w14:textId="77777777" w:rsidR="00BB30D4" w:rsidRDefault="00BB30D4" w:rsidP="00BB30D4">
      <w:pPr>
        <w:keepNext/>
        <w:spacing w:before="240" w:after="60"/>
        <w:ind w:right="237"/>
        <w:jc w:val="both"/>
      </w:pPr>
      <w:r>
        <w:t>WHAG (2023) Domestic abuse facts and statistics [online] https://whag.info/about-our-work/about-domestic-abuse/domestic-abuse-facts-and-statistics/.</w:t>
      </w:r>
    </w:p>
    <w:p w14:paraId="5376E6C9" w14:textId="77777777" w:rsidR="00BB30D4" w:rsidRDefault="00BB30D4" w:rsidP="00BB30D4">
      <w:pPr>
        <w:keepNext/>
        <w:spacing w:before="240" w:after="60"/>
        <w:ind w:right="237"/>
        <w:jc w:val="both"/>
      </w:pPr>
    </w:p>
    <w:p w14:paraId="7D26117C" w14:textId="13808896" w:rsidR="00BB30D4" w:rsidRDefault="00BB30D4" w:rsidP="00BB30D4">
      <w:pPr>
        <w:keepNext/>
        <w:spacing w:before="240" w:after="60"/>
        <w:ind w:right="237"/>
        <w:jc w:val="both"/>
      </w:pPr>
      <w:r>
        <w:t>Women’s aid, 2021 Domestic abuse support services face funding challenges [Online] https://www.womensaid.org.uk/half-of-domestic-abuse-support-services-running-areas-of-work-without-dedicated-funding/.</w:t>
      </w:r>
    </w:p>
    <w:sectPr w:rsidR="00BB30D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B8AA0" w14:textId="77777777" w:rsidR="00991820" w:rsidRDefault="00991820">
      <w:r>
        <w:separator/>
      </w:r>
    </w:p>
  </w:endnote>
  <w:endnote w:type="continuationSeparator" w:id="0">
    <w:p w14:paraId="1FC2147B" w14:textId="77777777" w:rsidR="00991820" w:rsidRDefault="00991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A0C15" w14:textId="77777777" w:rsidR="00991820" w:rsidRDefault="00991820">
      <w:r>
        <w:separator/>
      </w:r>
    </w:p>
  </w:footnote>
  <w:footnote w:type="continuationSeparator" w:id="0">
    <w:p w14:paraId="265858A5" w14:textId="77777777" w:rsidR="00991820" w:rsidRDefault="0099182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29B8FBB6"/>
    <w:lvl w:ilvl="0" w:tplc="2BB63176">
      <w:start w:val="1"/>
      <w:numFmt w:val="decimal"/>
      <w:lvlText w:val="%1."/>
      <w:lvlJc w:val="left"/>
      <w:pPr>
        <w:ind w:left="720" w:hanging="360"/>
      </w:pPr>
    </w:lvl>
    <w:lvl w:ilvl="1" w:tplc="F85EF3BC">
      <w:start w:val="1"/>
      <w:numFmt w:val="lowerLetter"/>
      <w:lvlText w:val="%2."/>
      <w:lvlJc w:val="left"/>
      <w:pPr>
        <w:ind w:left="1440" w:hanging="360"/>
      </w:pPr>
    </w:lvl>
    <w:lvl w:ilvl="2" w:tplc="34BC6126">
      <w:start w:val="1"/>
      <w:numFmt w:val="lowerRoman"/>
      <w:lvlText w:val="%3."/>
      <w:lvlJc w:val="right"/>
      <w:pPr>
        <w:ind w:left="2160" w:hanging="180"/>
      </w:pPr>
    </w:lvl>
    <w:lvl w:ilvl="3" w:tplc="68CA7F26">
      <w:start w:val="1"/>
      <w:numFmt w:val="decimal"/>
      <w:lvlText w:val="%4."/>
      <w:lvlJc w:val="left"/>
      <w:pPr>
        <w:ind w:left="2880" w:hanging="360"/>
      </w:pPr>
    </w:lvl>
    <w:lvl w:ilvl="4" w:tplc="68AC2A68">
      <w:start w:val="1"/>
      <w:numFmt w:val="lowerLetter"/>
      <w:lvlText w:val="%5."/>
      <w:lvlJc w:val="left"/>
      <w:pPr>
        <w:ind w:left="3600" w:hanging="360"/>
      </w:pPr>
    </w:lvl>
    <w:lvl w:ilvl="5" w:tplc="4B60F17C">
      <w:start w:val="1"/>
      <w:numFmt w:val="lowerRoman"/>
      <w:lvlText w:val="%6."/>
      <w:lvlJc w:val="right"/>
      <w:pPr>
        <w:ind w:left="4320" w:hanging="180"/>
      </w:pPr>
    </w:lvl>
    <w:lvl w:ilvl="6" w:tplc="C01473F4">
      <w:start w:val="1"/>
      <w:numFmt w:val="decimal"/>
      <w:lvlText w:val="%7."/>
      <w:lvlJc w:val="left"/>
      <w:pPr>
        <w:ind w:left="5040" w:hanging="360"/>
      </w:pPr>
    </w:lvl>
    <w:lvl w:ilvl="7" w:tplc="EBACDDD2">
      <w:start w:val="1"/>
      <w:numFmt w:val="lowerLetter"/>
      <w:lvlText w:val="%8."/>
      <w:lvlJc w:val="left"/>
      <w:pPr>
        <w:ind w:left="5760" w:hanging="360"/>
      </w:pPr>
    </w:lvl>
    <w:lvl w:ilvl="8" w:tplc="50E0FE7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42CE643E"/>
    <w:lvl w:ilvl="0" w:tplc="1F148F00">
      <w:start w:val="1"/>
      <w:numFmt w:val="decimal"/>
      <w:lvlText w:val="%1."/>
      <w:lvlJc w:val="left"/>
      <w:pPr>
        <w:ind w:left="720" w:hanging="360"/>
      </w:pPr>
    </w:lvl>
    <w:lvl w:ilvl="1" w:tplc="9BA804CA">
      <w:start w:val="1"/>
      <w:numFmt w:val="decimal"/>
      <w:lvlText w:val="%2."/>
      <w:lvlJc w:val="left"/>
      <w:pPr>
        <w:ind w:left="1440" w:hanging="360"/>
      </w:pPr>
    </w:lvl>
    <w:lvl w:ilvl="2" w:tplc="0B08B1DC">
      <w:start w:val="1"/>
      <w:numFmt w:val="lowerRoman"/>
      <w:lvlText w:val="%3."/>
      <w:lvlJc w:val="right"/>
      <w:pPr>
        <w:ind w:left="2160" w:hanging="180"/>
      </w:pPr>
    </w:lvl>
    <w:lvl w:ilvl="3" w:tplc="B2063046">
      <w:start w:val="1"/>
      <w:numFmt w:val="decimal"/>
      <w:lvlText w:val="%4."/>
      <w:lvlJc w:val="left"/>
      <w:pPr>
        <w:ind w:left="2880" w:hanging="360"/>
      </w:pPr>
    </w:lvl>
    <w:lvl w:ilvl="4" w:tplc="65A847AC">
      <w:start w:val="1"/>
      <w:numFmt w:val="lowerLetter"/>
      <w:lvlText w:val="%5."/>
      <w:lvlJc w:val="left"/>
      <w:pPr>
        <w:ind w:left="3600" w:hanging="360"/>
      </w:pPr>
    </w:lvl>
    <w:lvl w:ilvl="5" w:tplc="0B0647C0">
      <w:start w:val="1"/>
      <w:numFmt w:val="lowerRoman"/>
      <w:lvlText w:val="%6."/>
      <w:lvlJc w:val="right"/>
      <w:pPr>
        <w:ind w:left="4320" w:hanging="180"/>
      </w:pPr>
    </w:lvl>
    <w:lvl w:ilvl="6" w:tplc="05D4EF14">
      <w:start w:val="1"/>
      <w:numFmt w:val="decimal"/>
      <w:lvlText w:val="%7."/>
      <w:lvlJc w:val="left"/>
      <w:pPr>
        <w:ind w:left="5040" w:hanging="360"/>
      </w:pPr>
    </w:lvl>
    <w:lvl w:ilvl="7" w:tplc="6E4005DA">
      <w:start w:val="1"/>
      <w:numFmt w:val="lowerLetter"/>
      <w:lvlText w:val="%8."/>
      <w:lvlJc w:val="left"/>
      <w:pPr>
        <w:ind w:left="5760" w:hanging="360"/>
      </w:pPr>
    </w:lvl>
    <w:lvl w:ilvl="8" w:tplc="FF24D4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2008117">
    <w:abstractNumId w:val="47"/>
  </w:num>
  <w:num w:numId="2" w16cid:durableId="917667657">
    <w:abstractNumId w:val="10"/>
  </w:num>
  <w:num w:numId="3" w16cid:durableId="431978415">
    <w:abstractNumId w:val="1"/>
    <w:lvlOverride w:ilvl="0">
      <w:lvl w:ilvl="0">
        <w:start w:val="1"/>
        <w:numFmt w:val="bullet"/>
        <w:lvlText w:val=""/>
        <w:lvlJc w:val="left"/>
        <w:pPr>
          <w:ind w:left="720" w:hanging="360"/>
        </w:pPr>
        <w:rPr>
          <w:rFonts w:ascii="Symbol" w:hAnsi="Symbol" w:hint="default"/>
        </w:rPr>
      </w:lvl>
    </w:lvlOverride>
  </w:num>
  <w:num w:numId="4" w16cid:durableId="1713652770">
    <w:abstractNumId w:val="22"/>
  </w:num>
  <w:num w:numId="5" w16cid:durableId="1672102811">
    <w:abstractNumId w:val="44"/>
  </w:num>
  <w:num w:numId="6" w16cid:durableId="1298493262">
    <w:abstractNumId w:val="46"/>
  </w:num>
  <w:num w:numId="7" w16cid:durableId="1501921278">
    <w:abstractNumId w:val="34"/>
  </w:num>
  <w:num w:numId="8" w16cid:durableId="1830170754">
    <w:abstractNumId w:val="32"/>
  </w:num>
  <w:num w:numId="9" w16cid:durableId="147597793">
    <w:abstractNumId w:val="29"/>
  </w:num>
  <w:num w:numId="10" w16cid:durableId="59645144">
    <w:abstractNumId w:val="30"/>
  </w:num>
  <w:num w:numId="11" w16cid:durableId="1200161899">
    <w:abstractNumId w:val="9"/>
  </w:num>
  <w:num w:numId="12" w16cid:durableId="2146122268">
    <w:abstractNumId w:val="33"/>
  </w:num>
  <w:num w:numId="13" w16cid:durableId="256401346">
    <w:abstractNumId w:val="17"/>
  </w:num>
  <w:num w:numId="14" w16cid:durableId="1068458372">
    <w:abstractNumId w:val="16"/>
  </w:num>
  <w:num w:numId="15" w16cid:durableId="1035737529">
    <w:abstractNumId w:val="26"/>
  </w:num>
  <w:num w:numId="16" w16cid:durableId="1938096772">
    <w:abstractNumId w:val="7"/>
  </w:num>
  <w:num w:numId="17" w16cid:durableId="1723360283">
    <w:abstractNumId w:val="25"/>
  </w:num>
  <w:num w:numId="18" w16cid:durableId="2899697">
    <w:abstractNumId w:val="15"/>
  </w:num>
  <w:num w:numId="19" w16cid:durableId="724111111">
    <w:abstractNumId w:val="13"/>
  </w:num>
  <w:num w:numId="20" w16cid:durableId="206058878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8796493">
    <w:abstractNumId w:val="23"/>
  </w:num>
  <w:num w:numId="22" w16cid:durableId="1667434263">
    <w:abstractNumId w:val="18"/>
  </w:num>
  <w:num w:numId="23" w16cid:durableId="248007407">
    <w:abstractNumId w:val="14"/>
  </w:num>
  <w:num w:numId="24" w16cid:durableId="930435324">
    <w:abstractNumId w:val="11"/>
  </w:num>
  <w:num w:numId="25" w16cid:durableId="2118212522">
    <w:abstractNumId w:val="27"/>
  </w:num>
  <w:num w:numId="26" w16cid:durableId="753236235">
    <w:abstractNumId w:val="19"/>
  </w:num>
  <w:num w:numId="27" w16cid:durableId="1505588516">
    <w:abstractNumId w:val="40"/>
  </w:num>
  <w:num w:numId="28" w16cid:durableId="1525706047">
    <w:abstractNumId w:val="35"/>
  </w:num>
  <w:num w:numId="29" w16cid:durableId="973410830">
    <w:abstractNumId w:val="39"/>
  </w:num>
  <w:num w:numId="30" w16cid:durableId="1088697381">
    <w:abstractNumId w:val="20"/>
  </w:num>
  <w:num w:numId="31" w16cid:durableId="1526409509">
    <w:abstractNumId w:val="42"/>
  </w:num>
  <w:num w:numId="32" w16cid:durableId="1575436342">
    <w:abstractNumId w:val="31"/>
  </w:num>
  <w:num w:numId="33" w16cid:durableId="130366605">
    <w:abstractNumId w:val="12"/>
  </w:num>
  <w:num w:numId="34" w16cid:durableId="723722188">
    <w:abstractNumId w:val="43"/>
  </w:num>
  <w:num w:numId="35" w16cid:durableId="1872037861">
    <w:abstractNumId w:val="38"/>
  </w:num>
  <w:num w:numId="36" w16cid:durableId="1025716765">
    <w:abstractNumId w:val="4"/>
  </w:num>
  <w:num w:numId="37" w16cid:durableId="1401902441">
    <w:abstractNumId w:val="45"/>
  </w:num>
  <w:num w:numId="38" w16cid:durableId="1418476212">
    <w:abstractNumId w:val="41"/>
  </w:num>
  <w:num w:numId="39" w16cid:durableId="1112238203">
    <w:abstractNumId w:val="36"/>
  </w:num>
  <w:num w:numId="40" w16cid:durableId="1896550096">
    <w:abstractNumId w:val="37"/>
  </w:num>
  <w:num w:numId="41" w16cid:durableId="466432216">
    <w:abstractNumId w:val="3"/>
  </w:num>
  <w:num w:numId="42" w16cid:durableId="2144687008">
    <w:abstractNumId w:val="5"/>
  </w:num>
  <w:num w:numId="43" w16cid:durableId="1327974178">
    <w:abstractNumId w:val="24"/>
  </w:num>
  <w:num w:numId="44" w16cid:durableId="803818386">
    <w:abstractNumId w:val="6"/>
  </w:num>
  <w:num w:numId="45" w16cid:durableId="759452871">
    <w:abstractNumId w:val="2"/>
  </w:num>
  <w:num w:numId="46" w16cid:durableId="311178360">
    <w:abstractNumId w:val="0"/>
  </w:num>
  <w:num w:numId="47" w16cid:durableId="826743638">
    <w:abstractNumId w:val="21"/>
  </w:num>
  <w:num w:numId="48" w16cid:durableId="89475175">
    <w:abstractNumId w:val="28"/>
  </w:num>
  <w:num w:numId="49" w16cid:durableId="30848363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820"/>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30D4"/>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7801"/>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FE78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6142</Words>
  <Characters>35011</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Ben Edmunds</cp:lastModifiedBy>
  <cp:revision>2</cp:revision>
  <cp:lastPrinted>2014-08-26T08:55:00Z</cp:lastPrinted>
  <dcterms:created xsi:type="dcterms:W3CDTF">2023-10-29T12:13:00Z</dcterms:created>
  <dcterms:modified xsi:type="dcterms:W3CDTF">2023-10-29T12:13:00Z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