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868E1" w14:textId="000DBECF" w:rsidR="00EC44A4" w:rsidRDefault="00834F60" w:rsidP="00DA118B">
      <w:r>
        <w:rPr>
          <w:noProof/>
        </w:rPr>
        <w:drawing>
          <wp:anchor distT="0" distB="0" distL="114300" distR="114300" simplePos="0" relativeHeight="251659264" behindDoc="0" locked="0" layoutInCell="1" allowOverlap="1" wp14:anchorId="2A5DC605" wp14:editId="6A8277D8">
            <wp:simplePos x="0" y="0"/>
            <wp:positionH relativeFrom="margin">
              <wp:posOffset>0</wp:posOffset>
            </wp:positionH>
            <wp:positionV relativeFrom="paragraph">
              <wp:posOffset>316230</wp:posOffset>
            </wp:positionV>
            <wp:extent cx="2600325" cy="914400"/>
            <wp:effectExtent l="0" t="0" r="9525" b="0"/>
            <wp:wrapSquare wrapText="bothSides"/>
            <wp:docPr id="183840308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600325" cy="914400"/>
                    </a:xfrm>
                    <a:prstGeom prst="rect">
                      <a:avLst/>
                    </a:prstGeom>
                    <a:noFill/>
                    <a:ln>
                      <a:noFill/>
                      <a:prstDash/>
                    </a:ln>
                  </pic:spPr>
                </pic:pic>
              </a:graphicData>
            </a:graphic>
          </wp:anchor>
        </w:drawing>
      </w:r>
    </w:p>
    <w:p w14:paraId="70D1F94F" w14:textId="77777777" w:rsidR="00834F60" w:rsidRPr="002D733B" w:rsidRDefault="00834F60" w:rsidP="008F7FE4">
      <w:pPr>
        <w:spacing w:line="360" w:lineRule="auto"/>
        <w:rPr>
          <w:rFonts w:ascii="Arial" w:hAnsi="Arial" w:cs="Arial"/>
          <w:sz w:val="22"/>
          <w:szCs w:val="22"/>
        </w:rPr>
      </w:pPr>
    </w:p>
    <w:p w14:paraId="042928FA" w14:textId="77777777" w:rsidR="00834F60" w:rsidRPr="002D733B" w:rsidRDefault="00834F60" w:rsidP="008F7FE4">
      <w:pPr>
        <w:spacing w:line="360" w:lineRule="auto"/>
        <w:rPr>
          <w:rFonts w:ascii="Arial" w:hAnsi="Arial" w:cs="Arial"/>
          <w:sz w:val="22"/>
          <w:szCs w:val="22"/>
        </w:rPr>
      </w:pPr>
    </w:p>
    <w:p w14:paraId="6FF261EC" w14:textId="77777777" w:rsidR="00834F60" w:rsidRPr="002D733B" w:rsidRDefault="00834F60" w:rsidP="008F7FE4">
      <w:pPr>
        <w:spacing w:line="360" w:lineRule="auto"/>
        <w:rPr>
          <w:rFonts w:ascii="Arial" w:hAnsi="Arial" w:cs="Arial"/>
          <w:sz w:val="22"/>
          <w:szCs w:val="22"/>
        </w:rPr>
      </w:pPr>
    </w:p>
    <w:p w14:paraId="5EB319AE" w14:textId="77777777" w:rsidR="007F52A5" w:rsidRPr="002D733B" w:rsidRDefault="007F52A5" w:rsidP="008F7FE4">
      <w:pPr>
        <w:spacing w:line="360" w:lineRule="auto"/>
        <w:rPr>
          <w:rFonts w:ascii="Arial" w:hAnsi="Arial" w:cs="Arial"/>
          <w:sz w:val="22"/>
          <w:szCs w:val="22"/>
        </w:rPr>
      </w:pPr>
    </w:p>
    <w:p w14:paraId="7B93F175" w14:textId="77777777" w:rsidR="007F52A5" w:rsidRPr="002D733B" w:rsidRDefault="007F52A5" w:rsidP="008F7FE4">
      <w:pPr>
        <w:spacing w:line="360" w:lineRule="auto"/>
        <w:rPr>
          <w:rFonts w:ascii="Arial" w:hAnsi="Arial" w:cs="Arial"/>
          <w:sz w:val="22"/>
          <w:szCs w:val="22"/>
        </w:rPr>
      </w:pPr>
    </w:p>
    <w:p w14:paraId="6B2F5ADE" w14:textId="17ED098C" w:rsidR="00DA118B" w:rsidRPr="002D733B" w:rsidRDefault="00DA118B" w:rsidP="008F7FE4">
      <w:pPr>
        <w:spacing w:line="360" w:lineRule="auto"/>
        <w:rPr>
          <w:rFonts w:ascii="Arial" w:hAnsi="Arial" w:cs="Arial"/>
          <w:sz w:val="22"/>
          <w:szCs w:val="22"/>
        </w:rPr>
      </w:pPr>
      <w:r w:rsidRPr="002D733B">
        <w:rPr>
          <w:rFonts w:ascii="Arial" w:hAnsi="Arial" w:cs="Arial"/>
          <w:sz w:val="22"/>
          <w:szCs w:val="22"/>
        </w:rPr>
        <w:t>Programme: BSc (Hons) Health and Social Care</w:t>
      </w:r>
    </w:p>
    <w:p w14:paraId="12BDE399" w14:textId="77777777" w:rsidR="00DA118B" w:rsidRPr="002D733B" w:rsidRDefault="00DA118B" w:rsidP="008F7FE4">
      <w:pPr>
        <w:spacing w:line="360" w:lineRule="auto"/>
        <w:rPr>
          <w:rFonts w:ascii="Arial" w:hAnsi="Arial" w:cs="Arial"/>
          <w:sz w:val="22"/>
          <w:szCs w:val="22"/>
        </w:rPr>
      </w:pPr>
      <w:r w:rsidRPr="002D733B">
        <w:rPr>
          <w:rFonts w:ascii="Arial" w:hAnsi="Arial" w:cs="Arial"/>
          <w:sz w:val="22"/>
          <w:szCs w:val="22"/>
        </w:rPr>
        <w:t>Module: BMHP6030 Health, Wellbeing and Sustainable Development</w:t>
      </w:r>
    </w:p>
    <w:p w14:paraId="0CCB8A71" w14:textId="77777777" w:rsidR="00765059" w:rsidRPr="002D733B" w:rsidRDefault="00DA118B" w:rsidP="008F7FE4">
      <w:pPr>
        <w:spacing w:line="360" w:lineRule="auto"/>
        <w:rPr>
          <w:rFonts w:ascii="Arial" w:hAnsi="Arial" w:cs="Arial"/>
          <w:sz w:val="22"/>
          <w:szCs w:val="22"/>
        </w:rPr>
      </w:pPr>
      <w:r w:rsidRPr="002D733B">
        <w:rPr>
          <w:rFonts w:ascii="Arial" w:hAnsi="Arial" w:cs="Arial"/>
          <w:sz w:val="22"/>
          <w:szCs w:val="22"/>
        </w:rPr>
        <w:t>Lecturer: Dr Itse Olaoye</w:t>
      </w:r>
      <w:r w:rsidR="00765059" w:rsidRPr="002D733B">
        <w:rPr>
          <w:rFonts w:ascii="Arial" w:hAnsi="Arial" w:cs="Arial"/>
          <w:sz w:val="22"/>
          <w:szCs w:val="22"/>
        </w:rPr>
        <w:br/>
      </w:r>
      <w:r w:rsidR="00765059" w:rsidRPr="002D733B">
        <w:rPr>
          <w:rFonts w:ascii="Arial" w:hAnsi="Arial" w:cs="Arial"/>
          <w:sz w:val="22"/>
          <w:szCs w:val="22"/>
        </w:rPr>
        <w:t>Student Name: Binta Drammeh</w:t>
      </w:r>
    </w:p>
    <w:p w14:paraId="5611249D" w14:textId="15145E25" w:rsidR="007F52A5" w:rsidRPr="002D733B" w:rsidRDefault="00765059" w:rsidP="008F7FE4">
      <w:pPr>
        <w:spacing w:line="360" w:lineRule="auto"/>
        <w:rPr>
          <w:rFonts w:ascii="Arial" w:hAnsi="Arial" w:cs="Arial"/>
          <w:sz w:val="22"/>
          <w:szCs w:val="22"/>
        </w:rPr>
      </w:pPr>
      <w:r w:rsidRPr="002D733B">
        <w:rPr>
          <w:rFonts w:ascii="Arial" w:hAnsi="Arial" w:cs="Arial"/>
          <w:sz w:val="22"/>
          <w:szCs w:val="22"/>
        </w:rPr>
        <w:t>Student ID: 2317261</w:t>
      </w:r>
    </w:p>
    <w:p w14:paraId="06300224" w14:textId="77777777" w:rsidR="00DA118B" w:rsidRPr="002D733B" w:rsidRDefault="00DA118B" w:rsidP="008F7FE4">
      <w:pPr>
        <w:spacing w:line="360" w:lineRule="auto"/>
        <w:rPr>
          <w:rFonts w:ascii="Arial" w:hAnsi="Arial" w:cs="Arial"/>
          <w:sz w:val="22"/>
          <w:szCs w:val="22"/>
        </w:rPr>
      </w:pPr>
      <w:r w:rsidRPr="002D733B">
        <w:rPr>
          <w:rFonts w:ascii="Arial" w:hAnsi="Arial" w:cs="Arial"/>
          <w:sz w:val="22"/>
          <w:szCs w:val="22"/>
        </w:rPr>
        <w:t>Assignment: Component 2 – Written Assignment (Report)</w:t>
      </w:r>
    </w:p>
    <w:p w14:paraId="521CC836" w14:textId="77777777" w:rsidR="0046703B" w:rsidRPr="002D733B" w:rsidRDefault="0046703B" w:rsidP="008F7FE4">
      <w:pPr>
        <w:spacing w:line="360" w:lineRule="auto"/>
        <w:rPr>
          <w:rFonts w:ascii="Arial" w:hAnsi="Arial" w:cs="Arial"/>
          <w:sz w:val="22"/>
          <w:szCs w:val="22"/>
        </w:rPr>
      </w:pPr>
    </w:p>
    <w:p w14:paraId="01672526" w14:textId="77777777" w:rsidR="0046703B" w:rsidRPr="002D733B" w:rsidRDefault="0046703B" w:rsidP="008F7FE4">
      <w:pPr>
        <w:spacing w:line="360" w:lineRule="auto"/>
        <w:rPr>
          <w:rFonts w:ascii="Arial" w:hAnsi="Arial" w:cs="Arial"/>
          <w:sz w:val="22"/>
          <w:szCs w:val="22"/>
        </w:rPr>
      </w:pPr>
    </w:p>
    <w:p w14:paraId="078174CA" w14:textId="77777777" w:rsidR="0046703B" w:rsidRPr="002D733B" w:rsidRDefault="0046703B" w:rsidP="008F7FE4">
      <w:pPr>
        <w:spacing w:line="360" w:lineRule="auto"/>
        <w:rPr>
          <w:rFonts w:ascii="Arial" w:hAnsi="Arial" w:cs="Arial"/>
          <w:sz w:val="22"/>
          <w:szCs w:val="22"/>
        </w:rPr>
      </w:pPr>
    </w:p>
    <w:p w14:paraId="5E71AF20" w14:textId="77777777" w:rsidR="0046703B" w:rsidRPr="002D733B" w:rsidRDefault="0046703B" w:rsidP="008F7FE4">
      <w:pPr>
        <w:spacing w:line="360" w:lineRule="auto"/>
        <w:rPr>
          <w:rFonts w:ascii="Arial" w:hAnsi="Arial" w:cs="Arial"/>
          <w:sz w:val="22"/>
          <w:szCs w:val="22"/>
        </w:rPr>
      </w:pPr>
    </w:p>
    <w:p w14:paraId="39075609" w14:textId="77777777" w:rsidR="0046703B" w:rsidRPr="002D733B" w:rsidRDefault="0046703B" w:rsidP="008F7FE4">
      <w:pPr>
        <w:spacing w:line="360" w:lineRule="auto"/>
        <w:rPr>
          <w:rFonts w:ascii="Arial" w:hAnsi="Arial" w:cs="Arial"/>
          <w:sz w:val="22"/>
          <w:szCs w:val="22"/>
        </w:rPr>
      </w:pPr>
    </w:p>
    <w:p w14:paraId="664B4DFF" w14:textId="77777777" w:rsidR="0046703B" w:rsidRPr="002D733B" w:rsidRDefault="0046703B" w:rsidP="008F7FE4">
      <w:pPr>
        <w:spacing w:line="360" w:lineRule="auto"/>
        <w:rPr>
          <w:rFonts w:ascii="Arial" w:hAnsi="Arial" w:cs="Arial"/>
          <w:sz w:val="22"/>
          <w:szCs w:val="22"/>
        </w:rPr>
      </w:pPr>
    </w:p>
    <w:p w14:paraId="709C359B" w14:textId="77777777" w:rsidR="0046703B" w:rsidRPr="002D733B" w:rsidRDefault="0046703B" w:rsidP="008F7FE4">
      <w:pPr>
        <w:spacing w:line="360" w:lineRule="auto"/>
        <w:rPr>
          <w:rFonts w:ascii="Arial" w:hAnsi="Arial" w:cs="Arial"/>
          <w:sz w:val="22"/>
          <w:szCs w:val="22"/>
        </w:rPr>
      </w:pPr>
    </w:p>
    <w:p w14:paraId="1E72FBF2" w14:textId="77777777" w:rsidR="0046703B" w:rsidRPr="002D733B" w:rsidRDefault="0046703B" w:rsidP="008F7FE4">
      <w:pPr>
        <w:spacing w:line="360" w:lineRule="auto"/>
        <w:rPr>
          <w:rFonts w:ascii="Arial" w:hAnsi="Arial" w:cs="Arial"/>
          <w:sz w:val="22"/>
          <w:szCs w:val="22"/>
        </w:rPr>
      </w:pPr>
    </w:p>
    <w:p w14:paraId="53AC5EE7" w14:textId="77777777" w:rsidR="0046703B" w:rsidRPr="002D733B" w:rsidRDefault="0046703B" w:rsidP="008F7FE4">
      <w:pPr>
        <w:spacing w:line="360" w:lineRule="auto"/>
        <w:rPr>
          <w:rFonts w:ascii="Arial" w:hAnsi="Arial" w:cs="Arial"/>
          <w:sz w:val="22"/>
          <w:szCs w:val="22"/>
        </w:rPr>
      </w:pPr>
    </w:p>
    <w:p w14:paraId="1BC2992E" w14:textId="77777777" w:rsidR="0046703B" w:rsidRPr="002D733B" w:rsidRDefault="0046703B" w:rsidP="008F7FE4">
      <w:pPr>
        <w:spacing w:line="360" w:lineRule="auto"/>
        <w:rPr>
          <w:rFonts w:ascii="Arial" w:hAnsi="Arial" w:cs="Arial"/>
          <w:sz w:val="22"/>
          <w:szCs w:val="22"/>
        </w:rPr>
      </w:pPr>
    </w:p>
    <w:p w14:paraId="7761BD87" w14:textId="77777777" w:rsidR="0046703B" w:rsidRPr="002D733B" w:rsidRDefault="0046703B" w:rsidP="008F7FE4">
      <w:pPr>
        <w:spacing w:line="360" w:lineRule="auto"/>
        <w:rPr>
          <w:rFonts w:ascii="Arial" w:hAnsi="Arial" w:cs="Arial"/>
          <w:sz w:val="22"/>
          <w:szCs w:val="22"/>
        </w:rPr>
      </w:pPr>
    </w:p>
    <w:p w14:paraId="1ABA59B9" w14:textId="77777777" w:rsidR="0046703B" w:rsidRPr="002D733B" w:rsidRDefault="0046703B" w:rsidP="008F7FE4">
      <w:pPr>
        <w:spacing w:line="360" w:lineRule="auto"/>
        <w:rPr>
          <w:rFonts w:ascii="Arial" w:hAnsi="Arial" w:cs="Arial"/>
          <w:sz w:val="22"/>
          <w:szCs w:val="22"/>
        </w:rPr>
      </w:pPr>
    </w:p>
    <w:p w14:paraId="73AEBC88" w14:textId="77777777" w:rsidR="0046703B" w:rsidRPr="002D733B" w:rsidRDefault="0046703B" w:rsidP="008F7FE4">
      <w:pPr>
        <w:spacing w:line="360" w:lineRule="auto"/>
        <w:rPr>
          <w:rFonts w:ascii="Arial" w:hAnsi="Arial" w:cs="Arial"/>
          <w:sz w:val="22"/>
          <w:szCs w:val="22"/>
        </w:rPr>
      </w:pPr>
    </w:p>
    <w:p w14:paraId="46588849" w14:textId="77777777" w:rsidR="0046703B" w:rsidRPr="002D733B" w:rsidRDefault="0046703B" w:rsidP="008F7FE4">
      <w:pPr>
        <w:spacing w:line="360" w:lineRule="auto"/>
        <w:rPr>
          <w:rFonts w:ascii="Arial" w:hAnsi="Arial" w:cs="Arial"/>
          <w:sz w:val="22"/>
          <w:szCs w:val="22"/>
        </w:rPr>
      </w:pPr>
    </w:p>
    <w:p w14:paraId="0C5AB171" w14:textId="77777777" w:rsidR="0046703B" w:rsidRPr="002D733B" w:rsidRDefault="0046703B" w:rsidP="008F7FE4">
      <w:pPr>
        <w:spacing w:line="360" w:lineRule="auto"/>
        <w:rPr>
          <w:rFonts w:ascii="Arial" w:hAnsi="Arial" w:cs="Arial"/>
          <w:sz w:val="22"/>
          <w:szCs w:val="22"/>
        </w:rPr>
      </w:pPr>
    </w:p>
    <w:p w14:paraId="64812F23" w14:textId="77777777" w:rsidR="00DC69BF" w:rsidRPr="002D733B" w:rsidRDefault="00DC69BF" w:rsidP="008F7FE4">
      <w:pPr>
        <w:spacing w:line="360" w:lineRule="auto"/>
        <w:rPr>
          <w:rFonts w:ascii="Arial" w:hAnsi="Arial" w:cs="Arial"/>
          <w:sz w:val="22"/>
          <w:szCs w:val="22"/>
        </w:rPr>
      </w:pPr>
      <w:r w:rsidRPr="002D733B">
        <w:rPr>
          <w:rFonts w:ascii="Arial" w:hAnsi="Arial" w:cs="Arial"/>
          <w:sz w:val="22"/>
          <w:szCs w:val="22"/>
        </w:rPr>
        <w:t>Health, Wellbeing and Sustainable Development: A Critical Examination of SDG 3 and SDG 10</w:t>
      </w:r>
    </w:p>
    <w:p w14:paraId="53F476DF" w14:textId="77777777" w:rsidR="00DC69BF" w:rsidRPr="002D733B" w:rsidRDefault="00DC69BF" w:rsidP="008F7FE4">
      <w:pPr>
        <w:spacing w:line="360" w:lineRule="auto"/>
        <w:rPr>
          <w:rFonts w:ascii="Arial" w:hAnsi="Arial" w:cs="Arial"/>
          <w:sz w:val="22"/>
          <w:szCs w:val="22"/>
        </w:rPr>
      </w:pPr>
    </w:p>
    <w:p w14:paraId="7ACED9BE" w14:textId="03FB1F82" w:rsidR="00DA118B" w:rsidRPr="002D733B" w:rsidRDefault="00DA118B" w:rsidP="008F7FE4">
      <w:pPr>
        <w:spacing w:line="360" w:lineRule="auto"/>
        <w:rPr>
          <w:rFonts w:ascii="Arial" w:hAnsi="Arial" w:cs="Arial"/>
          <w:sz w:val="22"/>
          <w:szCs w:val="22"/>
        </w:rPr>
      </w:pPr>
      <w:r w:rsidRPr="002D733B">
        <w:rPr>
          <w:rFonts w:ascii="Arial" w:hAnsi="Arial" w:cs="Arial"/>
          <w:sz w:val="22"/>
          <w:szCs w:val="22"/>
        </w:rPr>
        <w:t>Table of Contents</w:t>
      </w:r>
    </w:p>
    <w:p w14:paraId="6C8456D7" w14:textId="77640550" w:rsidR="00DA118B" w:rsidRPr="002D733B" w:rsidRDefault="0093406D" w:rsidP="008F7FE4">
      <w:pPr>
        <w:spacing w:line="360" w:lineRule="auto"/>
        <w:rPr>
          <w:rFonts w:ascii="Arial" w:hAnsi="Arial" w:cs="Arial"/>
          <w:sz w:val="22"/>
          <w:szCs w:val="22"/>
        </w:rPr>
      </w:pPr>
      <w:r w:rsidRPr="002D733B">
        <w:rPr>
          <w:rFonts w:ascii="Arial" w:hAnsi="Arial" w:cs="Arial"/>
          <w:sz w:val="22"/>
          <w:szCs w:val="22"/>
        </w:rPr>
        <w:t>1.</w:t>
      </w:r>
      <w:r w:rsidR="00DA118B" w:rsidRPr="002D733B">
        <w:rPr>
          <w:rFonts w:ascii="Arial" w:hAnsi="Arial" w:cs="Arial"/>
          <w:sz w:val="22"/>
          <w:szCs w:val="22"/>
        </w:rPr>
        <w:t>Introduction ........................................................................ 1</w:t>
      </w:r>
    </w:p>
    <w:p w14:paraId="2C0469DF" w14:textId="79EBED1F" w:rsidR="00DA118B" w:rsidRPr="002D733B" w:rsidRDefault="0093406D" w:rsidP="008F7FE4">
      <w:pPr>
        <w:spacing w:line="360" w:lineRule="auto"/>
        <w:rPr>
          <w:rFonts w:ascii="Arial" w:hAnsi="Arial" w:cs="Arial"/>
          <w:sz w:val="22"/>
          <w:szCs w:val="22"/>
        </w:rPr>
      </w:pPr>
      <w:r w:rsidRPr="002D733B">
        <w:rPr>
          <w:rFonts w:ascii="Arial" w:hAnsi="Arial" w:cs="Arial"/>
          <w:sz w:val="22"/>
          <w:szCs w:val="22"/>
        </w:rPr>
        <w:t>2.</w:t>
      </w:r>
      <w:r w:rsidR="00DA118B" w:rsidRPr="002D733B">
        <w:rPr>
          <w:rFonts w:ascii="Arial" w:hAnsi="Arial" w:cs="Arial"/>
          <w:sz w:val="22"/>
          <w:szCs w:val="22"/>
        </w:rPr>
        <w:t>Sustainable Development Goal 3: Good Health and Wellbeing ........ 2</w:t>
      </w:r>
    </w:p>
    <w:p w14:paraId="405E5BEA" w14:textId="482DA492" w:rsidR="00DA118B" w:rsidRPr="002D733B" w:rsidRDefault="0093406D" w:rsidP="008F7FE4">
      <w:pPr>
        <w:spacing w:line="360" w:lineRule="auto"/>
        <w:rPr>
          <w:rFonts w:ascii="Arial" w:hAnsi="Arial" w:cs="Arial"/>
          <w:sz w:val="22"/>
          <w:szCs w:val="22"/>
        </w:rPr>
      </w:pPr>
      <w:r w:rsidRPr="002D733B">
        <w:rPr>
          <w:rFonts w:ascii="Arial" w:hAnsi="Arial" w:cs="Arial"/>
          <w:sz w:val="22"/>
          <w:szCs w:val="22"/>
        </w:rPr>
        <w:t>3.</w:t>
      </w:r>
      <w:r w:rsidR="00DA118B" w:rsidRPr="002D733B">
        <w:rPr>
          <w:rFonts w:ascii="Arial" w:hAnsi="Arial" w:cs="Arial"/>
          <w:sz w:val="22"/>
          <w:szCs w:val="22"/>
        </w:rPr>
        <w:t>Sustainable Development Goal 10: Reduced Inequalities ............. 4</w:t>
      </w:r>
    </w:p>
    <w:p w14:paraId="7EF8F9EB" w14:textId="6D4CAAF6" w:rsidR="00DA118B" w:rsidRPr="002D733B" w:rsidRDefault="00B56902" w:rsidP="008F7FE4">
      <w:pPr>
        <w:spacing w:line="360" w:lineRule="auto"/>
        <w:rPr>
          <w:rFonts w:ascii="Arial" w:hAnsi="Arial" w:cs="Arial"/>
          <w:sz w:val="22"/>
          <w:szCs w:val="22"/>
        </w:rPr>
      </w:pPr>
      <w:r w:rsidRPr="002D733B">
        <w:rPr>
          <w:rFonts w:ascii="Arial" w:hAnsi="Arial" w:cs="Arial"/>
          <w:sz w:val="22"/>
          <w:szCs w:val="22"/>
        </w:rPr>
        <w:t>4.</w:t>
      </w:r>
      <w:r w:rsidR="00DA118B" w:rsidRPr="002D733B">
        <w:rPr>
          <w:rFonts w:ascii="Arial" w:hAnsi="Arial" w:cs="Arial"/>
          <w:sz w:val="22"/>
          <w:szCs w:val="22"/>
        </w:rPr>
        <w:t>National Wellbeing Initiatives ............................................. 6</w:t>
      </w:r>
    </w:p>
    <w:p w14:paraId="3098AB60" w14:textId="77777777" w:rsidR="00DA118B" w:rsidRPr="002D733B" w:rsidRDefault="00DA118B" w:rsidP="008F7FE4">
      <w:pPr>
        <w:spacing w:line="360" w:lineRule="auto"/>
        <w:rPr>
          <w:rFonts w:ascii="Arial" w:hAnsi="Arial" w:cs="Arial"/>
          <w:sz w:val="22"/>
          <w:szCs w:val="22"/>
        </w:rPr>
      </w:pPr>
      <w:r w:rsidRPr="002D733B">
        <w:rPr>
          <w:rFonts w:ascii="Arial" w:hAnsi="Arial" w:cs="Arial"/>
          <w:sz w:val="22"/>
          <w:szCs w:val="22"/>
        </w:rPr>
        <w:t>4.1 NHS Long Term Plan</w:t>
      </w:r>
    </w:p>
    <w:p w14:paraId="6BF35737" w14:textId="77777777" w:rsidR="00DA118B" w:rsidRPr="002D733B" w:rsidRDefault="00DA118B" w:rsidP="008F7FE4">
      <w:pPr>
        <w:spacing w:line="360" w:lineRule="auto"/>
        <w:rPr>
          <w:rFonts w:ascii="Arial" w:hAnsi="Arial" w:cs="Arial"/>
          <w:sz w:val="22"/>
          <w:szCs w:val="22"/>
        </w:rPr>
      </w:pPr>
      <w:r w:rsidRPr="002D733B">
        <w:rPr>
          <w:rFonts w:ascii="Arial" w:hAnsi="Arial" w:cs="Arial"/>
          <w:sz w:val="22"/>
          <w:szCs w:val="22"/>
        </w:rPr>
        <w:t>4.2 Core20PLUS5</w:t>
      </w:r>
    </w:p>
    <w:p w14:paraId="7165D4E9" w14:textId="77777777" w:rsidR="00DA118B" w:rsidRPr="002D733B" w:rsidRDefault="00DA118B" w:rsidP="008F7FE4">
      <w:pPr>
        <w:spacing w:line="360" w:lineRule="auto"/>
        <w:rPr>
          <w:rFonts w:ascii="Arial" w:hAnsi="Arial" w:cs="Arial"/>
          <w:sz w:val="22"/>
          <w:szCs w:val="22"/>
        </w:rPr>
      </w:pPr>
      <w:r w:rsidRPr="002D733B">
        <w:rPr>
          <w:rFonts w:ascii="Arial" w:hAnsi="Arial" w:cs="Arial"/>
          <w:sz w:val="22"/>
          <w:szCs w:val="22"/>
        </w:rPr>
        <w:t>Local Wellbeing Initiatives ................................................ 8</w:t>
      </w:r>
    </w:p>
    <w:p w14:paraId="6AA5D91E" w14:textId="77777777" w:rsidR="00DA118B" w:rsidRPr="002D733B" w:rsidRDefault="00DA118B" w:rsidP="008F7FE4">
      <w:pPr>
        <w:spacing w:line="360" w:lineRule="auto"/>
        <w:rPr>
          <w:rFonts w:ascii="Arial" w:hAnsi="Arial" w:cs="Arial"/>
          <w:sz w:val="22"/>
          <w:szCs w:val="22"/>
        </w:rPr>
      </w:pPr>
      <w:r w:rsidRPr="002D733B">
        <w:rPr>
          <w:rFonts w:ascii="Arial" w:hAnsi="Arial" w:cs="Arial"/>
          <w:sz w:val="22"/>
          <w:szCs w:val="22"/>
        </w:rPr>
        <w:t>5.1 London Health Inequalities Strategy</w:t>
      </w:r>
    </w:p>
    <w:p w14:paraId="77873215" w14:textId="77777777" w:rsidR="00DA118B" w:rsidRPr="002D733B" w:rsidRDefault="00DA118B" w:rsidP="008F7FE4">
      <w:pPr>
        <w:spacing w:line="360" w:lineRule="auto"/>
        <w:rPr>
          <w:rFonts w:ascii="Arial" w:hAnsi="Arial" w:cs="Arial"/>
          <w:sz w:val="22"/>
          <w:szCs w:val="22"/>
        </w:rPr>
      </w:pPr>
      <w:r w:rsidRPr="002D733B">
        <w:rPr>
          <w:rFonts w:ascii="Arial" w:hAnsi="Arial" w:cs="Arial"/>
          <w:sz w:val="22"/>
          <w:szCs w:val="22"/>
        </w:rPr>
        <w:t>5.2 Healthy Schools London</w:t>
      </w:r>
    </w:p>
    <w:p w14:paraId="189935D5" w14:textId="2445AFD7" w:rsidR="00DA118B" w:rsidRPr="002D733B" w:rsidRDefault="00B56902" w:rsidP="008F7FE4">
      <w:pPr>
        <w:spacing w:line="360" w:lineRule="auto"/>
        <w:rPr>
          <w:rFonts w:ascii="Arial" w:hAnsi="Arial" w:cs="Arial"/>
          <w:sz w:val="22"/>
          <w:szCs w:val="22"/>
        </w:rPr>
      </w:pPr>
      <w:r w:rsidRPr="002D733B">
        <w:rPr>
          <w:rFonts w:ascii="Arial" w:hAnsi="Arial" w:cs="Arial"/>
          <w:sz w:val="22"/>
          <w:szCs w:val="22"/>
        </w:rPr>
        <w:t>6.</w:t>
      </w:r>
      <w:r w:rsidR="00DA118B" w:rsidRPr="002D733B">
        <w:rPr>
          <w:rFonts w:ascii="Arial" w:hAnsi="Arial" w:cs="Arial"/>
          <w:sz w:val="22"/>
          <w:szCs w:val="22"/>
        </w:rPr>
        <w:t>Conclusion .......................................................................... 10</w:t>
      </w:r>
    </w:p>
    <w:p w14:paraId="48B2FCED" w14:textId="24903CAC" w:rsidR="00DA118B" w:rsidRPr="002D733B" w:rsidRDefault="00B56902" w:rsidP="008F7FE4">
      <w:pPr>
        <w:spacing w:line="360" w:lineRule="auto"/>
        <w:rPr>
          <w:rFonts w:ascii="Arial" w:hAnsi="Arial" w:cs="Arial"/>
          <w:sz w:val="22"/>
          <w:szCs w:val="22"/>
        </w:rPr>
      </w:pPr>
      <w:r w:rsidRPr="002D733B">
        <w:rPr>
          <w:rFonts w:ascii="Arial" w:hAnsi="Arial" w:cs="Arial"/>
          <w:sz w:val="22"/>
          <w:szCs w:val="22"/>
        </w:rPr>
        <w:t>7.</w:t>
      </w:r>
      <w:r w:rsidR="00DA118B" w:rsidRPr="002D733B">
        <w:rPr>
          <w:rFonts w:ascii="Arial" w:hAnsi="Arial" w:cs="Arial"/>
          <w:sz w:val="22"/>
          <w:szCs w:val="22"/>
        </w:rPr>
        <w:t>References ........................................................................... 11</w:t>
      </w:r>
    </w:p>
    <w:p w14:paraId="159DF40E" w14:textId="070C2EF8" w:rsidR="00DA118B" w:rsidRPr="002D733B" w:rsidRDefault="00DA118B" w:rsidP="008F7FE4">
      <w:pPr>
        <w:spacing w:line="360" w:lineRule="auto"/>
        <w:rPr>
          <w:rFonts w:ascii="Arial" w:hAnsi="Arial" w:cs="Arial"/>
          <w:sz w:val="22"/>
          <w:szCs w:val="22"/>
        </w:rPr>
      </w:pPr>
    </w:p>
    <w:p w14:paraId="47492759" w14:textId="77777777" w:rsidR="00576A6A" w:rsidRPr="002D733B" w:rsidRDefault="00576A6A" w:rsidP="008F7FE4">
      <w:pPr>
        <w:spacing w:line="360" w:lineRule="auto"/>
        <w:rPr>
          <w:rFonts w:ascii="Arial" w:hAnsi="Arial" w:cs="Arial"/>
          <w:sz w:val="22"/>
          <w:szCs w:val="22"/>
        </w:rPr>
      </w:pPr>
    </w:p>
    <w:p w14:paraId="68CC45D8" w14:textId="77777777" w:rsidR="00576A6A" w:rsidRPr="002D733B" w:rsidRDefault="00576A6A" w:rsidP="008F7FE4">
      <w:pPr>
        <w:spacing w:line="360" w:lineRule="auto"/>
        <w:rPr>
          <w:rFonts w:ascii="Arial" w:hAnsi="Arial" w:cs="Arial"/>
          <w:sz w:val="22"/>
          <w:szCs w:val="22"/>
        </w:rPr>
      </w:pPr>
    </w:p>
    <w:p w14:paraId="48986EC7" w14:textId="77777777" w:rsidR="00576A6A" w:rsidRPr="002D733B" w:rsidRDefault="00576A6A" w:rsidP="008F7FE4">
      <w:pPr>
        <w:spacing w:line="360" w:lineRule="auto"/>
        <w:rPr>
          <w:rFonts w:ascii="Arial" w:hAnsi="Arial" w:cs="Arial"/>
          <w:sz w:val="22"/>
          <w:szCs w:val="22"/>
        </w:rPr>
      </w:pPr>
    </w:p>
    <w:p w14:paraId="69F90448" w14:textId="77777777" w:rsidR="00576A6A" w:rsidRPr="002D733B" w:rsidRDefault="00576A6A" w:rsidP="008F7FE4">
      <w:pPr>
        <w:spacing w:line="360" w:lineRule="auto"/>
        <w:rPr>
          <w:rFonts w:ascii="Arial" w:hAnsi="Arial" w:cs="Arial"/>
          <w:sz w:val="22"/>
          <w:szCs w:val="22"/>
        </w:rPr>
      </w:pPr>
    </w:p>
    <w:p w14:paraId="7E9E55DB" w14:textId="77777777" w:rsidR="00576A6A" w:rsidRPr="002D733B" w:rsidRDefault="00576A6A" w:rsidP="008F7FE4">
      <w:pPr>
        <w:spacing w:line="360" w:lineRule="auto"/>
        <w:rPr>
          <w:rFonts w:ascii="Arial" w:hAnsi="Arial" w:cs="Arial"/>
          <w:sz w:val="22"/>
          <w:szCs w:val="22"/>
        </w:rPr>
      </w:pPr>
    </w:p>
    <w:p w14:paraId="00D880BF" w14:textId="77777777" w:rsidR="00576A6A" w:rsidRPr="002D733B" w:rsidRDefault="00576A6A" w:rsidP="008F7FE4">
      <w:pPr>
        <w:spacing w:line="360" w:lineRule="auto"/>
        <w:rPr>
          <w:rFonts w:ascii="Arial" w:hAnsi="Arial" w:cs="Arial"/>
          <w:sz w:val="22"/>
          <w:szCs w:val="22"/>
        </w:rPr>
      </w:pPr>
    </w:p>
    <w:p w14:paraId="1D63083E" w14:textId="77777777" w:rsidR="00576A6A" w:rsidRPr="002D733B" w:rsidRDefault="00576A6A" w:rsidP="008F7FE4">
      <w:pPr>
        <w:spacing w:line="360" w:lineRule="auto"/>
        <w:rPr>
          <w:rFonts w:ascii="Arial" w:hAnsi="Arial" w:cs="Arial"/>
          <w:sz w:val="22"/>
          <w:szCs w:val="22"/>
        </w:rPr>
      </w:pPr>
    </w:p>
    <w:p w14:paraId="60B029D8" w14:textId="77777777" w:rsidR="00576A6A" w:rsidRPr="002D733B" w:rsidRDefault="00576A6A" w:rsidP="008F7FE4">
      <w:pPr>
        <w:spacing w:line="360" w:lineRule="auto"/>
        <w:rPr>
          <w:rFonts w:ascii="Arial" w:hAnsi="Arial" w:cs="Arial"/>
          <w:sz w:val="22"/>
          <w:szCs w:val="22"/>
        </w:rPr>
      </w:pPr>
    </w:p>
    <w:p w14:paraId="40CCECF9" w14:textId="77777777" w:rsidR="00576A6A" w:rsidRPr="002D733B" w:rsidRDefault="00576A6A" w:rsidP="008F7FE4">
      <w:pPr>
        <w:spacing w:line="360" w:lineRule="auto"/>
        <w:rPr>
          <w:rFonts w:ascii="Arial" w:hAnsi="Arial" w:cs="Arial"/>
          <w:sz w:val="22"/>
          <w:szCs w:val="22"/>
        </w:rPr>
      </w:pPr>
    </w:p>
    <w:p w14:paraId="2F9D2D0A" w14:textId="77777777" w:rsidR="00576A6A" w:rsidRPr="002D733B" w:rsidRDefault="00576A6A" w:rsidP="008F7FE4">
      <w:pPr>
        <w:spacing w:line="360" w:lineRule="auto"/>
        <w:rPr>
          <w:rFonts w:ascii="Arial" w:hAnsi="Arial" w:cs="Arial"/>
          <w:sz w:val="22"/>
          <w:szCs w:val="22"/>
        </w:rPr>
      </w:pPr>
    </w:p>
    <w:p w14:paraId="3F41B159" w14:textId="5C843D44" w:rsidR="00B759D5" w:rsidRPr="002D733B" w:rsidRDefault="00DA118B" w:rsidP="008F7FE4">
      <w:pPr>
        <w:spacing w:line="360" w:lineRule="auto"/>
        <w:rPr>
          <w:rFonts w:ascii="Arial" w:hAnsi="Arial" w:cs="Arial"/>
          <w:sz w:val="22"/>
          <w:szCs w:val="22"/>
        </w:rPr>
      </w:pPr>
      <w:r w:rsidRPr="002D733B">
        <w:rPr>
          <w:rFonts w:ascii="Arial" w:hAnsi="Arial" w:cs="Arial"/>
          <w:sz w:val="22"/>
          <w:szCs w:val="22"/>
        </w:rPr>
        <w:t>1. Introduction</w:t>
      </w:r>
    </w:p>
    <w:p w14:paraId="563D78AD"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Health, wellbeing and sustainable development are closely connected. People's health is influenced not only by healthcare but also by income, housing, education, employment and the environment. The Sustainable Development Goals (SDGs) provide a global framework for improving people's lives. This report critically examines SDG 3, Good Health and Wellbeing, and SDG 10, Reduced Inequalities. It considers how these goals affect citizens' health and wellbeing. The report also evaluates two national initiatives, the NHS Long Term Plan and Core20PLUS5, and two local London initiatives, the London Health Inequalities Strategy and Healthy Schools London. Recommendations are provided to improve their effectiveness.</w:t>
      </w:r>
    </w:p>
    <w:p w14:paraId="0F4B5A6B"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2. Sustainable Development Goal 3: Good Health and Wellbeing</w:t>
      </w:r>
    </w:p>
    <w:p w14:paraId="58D87EFB"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Sustainable Development Goal 3 (SDG 3) aims to ensure healthy lives and promote wellbeing for all people at all ages. It is one of the 17 Sustainable Development Goals agreed by the United Nations as part of the 2030 Agenda. SDG 3 includes targets relating to maternal health, child health, infectious diseases, non-communicable diseases, mental health, substance misuse, road injuries, sexual and reproductive health, universal health coverage, vaccination and environmental health (United Nations, 2025a). The goal therefore covers both prevention and treatment and recognises that health is important throughout a person's life.</w:t>
      </w:r>
    </w:p>
    <w:p w14:paraId="048C414C"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One important part of SDG 3 is universal health coverage. This means that people should be able to receive the health services they need without suffering financial difficulties. Universal health coverage can improve wellbeing because people are more likely to seek help early when services are accessible and affordable. However, access to healthcare is not equal everywhere. The World Health Organization (WHO, 2025a) explains that social and economic conditions have a major effect on health and that health inequalities continue to exist within and between countries.</w:t>
      </w:r>
    </w:p>
    <w:p w14:paraId="13B1B97C"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 xml:space="preserve">SDG 3 has had some positive effects. Global health programmes have contributed to improvements in areas such as vaccination, maternal health and the control of infectious </w:t>
      </w:r>
      <w:r w:rsidRPr="002D733B">
        <w:rPr>
          <w:rFonts w:ascii="Arial" w:hAnsi="Arial" w:cs="Arial"/>
          <w:sz w:val="22"/>
          <w:szCs w:val="22"/>
        </w:rPr>
        <w:lastRenderedPageBreak/>
        <w:t>diseases. The WHO (2024) reports that health indicators are used to monitor progress towards the SDGs and to identify areas where further action is required. This is important because governments can use evidence to identify health problems and plan services.</w:t>
      </w:r>
    </w:p>
    <w:p w14:paraId="2425785B"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However, progress towards SDG 3 remains unequal. Low-income countries may have fewer healthcare workers, weaker health systems and fewer financial resources. The COVID-19 pandemic also placed considerable pressure on health services and interrupted some essential services. This demonstrates that having international health targets does not automatically produce equal outcomes. Countries need sufficient resources, trained staff and strong health systems to achieve the targets.</w:t>
      </w:r>
    </w:p>
    <w:p w14:paraId="4C86F846"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SDG 3 is also affected by the wider determinants of health. WHO (2025a) explains that conditions such as income, education, housing and employment influence health. Therefore, governments cannot improve health simply by building hospitals or providing medical treatment. Prevention and health promotion are also necessary. For example, supporting people to stop smoking, eat healthily and become physically active can prevent some long-term illnesses.</w:t>
      </w:r>
    </w:p>
    <w:p w14:paraId="70EF7EA0"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Climate change is another important issue for SDG 3. Extreme heat, flooding, air pollution, food insecurity and other environmental changes can increase risks to physical and mental health (WHO, 2023). People living in disadvantaged communities may be more vulnerable because they may have fewer resources to protect themselves.</w:t>
      </w:r>
    </w:p>
    <w:p w14:paraId="2ED9C13A"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Overall, SDG 3 provides an important global framework for improving health and wellbeing. However, its effectiveness depends on strong health systems and action on the wider social and environmental causes of poor health. Greater attention to prevention, universal access and health inequalities is therefore necessary to achieve the goal.</w:t>
      </w:r>
    </w:p>
    <w:p w14:paraId="72D6A6B5"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3. Sustainable Development Goal 10: Reduced Inequalities</w:t>
      </w:r>
    </w:p>
    <w:p w14:paraId="2FC66963"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Sustainable Development Goal 10 (SDG 10) aims to reduce inequality within and between countries. Its targets include reducing income inequality, promoting social, economic and political inclusion, improving equality of opportunity and reducing discrimination (United Nations, 2025b). SDG 10 is strongly connected to health because social and economic inequalities can lead to differences in health outcomes and life expectancy.</w:t>
      </w:r>
    </w:p>
    <w:p w14:paraId="69C5C990"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 xml:space="preserve">The social determinants of health help explain this relationship. These are the conditions in which people are born, grow, live, work and age. WHO (2025a) explains that these conditions can have a major influence on health. For example, a person with a low income may have </w:t>
      </w:r>
      <w:r w:rsidRPr="002D733B">
        <w:rPr>
          <w:rFonts w:ascii="Arial" w:hAnsi="Arial" w:cs="Arial"/>
          <w:sz w:val="22"/>
          <w:szCs w:val="22"/>
        </w:rPr>
        <w:lastRenderedPageBreak/>
        <w:t>difficulty paying for healthy food, heating, transport or suitable housing. These problems can increase the risk of physical and mental health difficulties.</w:t>
      </w:r>
    </w:p>
    <w:p w14:paraId="63D287E8"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Inequality can also affect access to healthcare. Some people may experience difficulties because of transport costs, disability, language barriers, lack of information or previous negative experiences of healthcare. NHS England (2026a) explains that healthcare inequalities include unfair and avoidable differences in health, access to services, experiences of care and health outcomes. This shows that providing the same service to everyone does not always produce equal outcomes.</w:t>
      </w:r>
    </w:p>
    <w:p w14:paraId="1EB4AD05"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SDG 10 is also important for mental wellbeing. Poverty, unemployment, discrimination and social exclusion can increase stress and reduce a person's sense of security. People who experience social exclusion may also have less access to support networks and services. Therefore, reducing inequality can contribute to better mental and physical wellbeing.</w:t>
      </w:r>
    </w:p>
    <w:p w14:paraId="145E5536"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There is clear evidence that deprivation affects health in England. The Office for National Statistics (ONS, 2026) continues to report significant differences in life expectancy and healthy life expectancy between more deprived and less deprived areas. This means that people living in disadvantaged communities are more likely to experience poor health and fewer years of healthy life.</w:t>
      </w:r>
    </w:p>
    <w:p w14:paraId="01F7BB88"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However, reducing inequality is difficult because many factors are connected. For example, low income can contribute to poor housing, poor diet and stress. These conditions can increase the risk of obesity, respiratory illness, cardiovascular disease and mental health problems. Therefore, health services cannot solve health inequalities alone. Action is also required in housing, education, employment and social protection.</w:t>
      </w:r>
    </w:p>
    <w:p w14:paraId="17E20BC1"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The strength of SDG 10 is that it encourages governments to look beyond individual behaviour and consider the wider social conditions that influence people's opportunities and health. However, the goal is broad, and progress can be difficult to measure because inequality has many different causes.</w:t>
      </w:r>
    </w:p>
    <w:p w14:paraId="55E99932"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To improve progress towards SDG 10, governments should invest more in disadvantaged communities and improve access to education, employment, housing and public services. Communities should also be involved in decisions that affect them. These actions can support SDG 10 while also helping countries make progress towards SDG 3.</w:t>
      </w:r>
    </w:p>
    <w:p w14:paraId="7DA6F8D7"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4. National Wellbeing Initiatives</w:t>
      </w:r>
    </w:p>
    <w:p w14:paraId="09A53C9B"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lastRenderedPageBreak/>
        <w:t>National health and wellbeing initiatives are important because they provide a common direction for improving health across England. Two important examples are the NHS Long Term Plan and Core20PLUS5. Both initiatives aim to improve health outcomes, prevent illness and reduce inequalities, although they use different approaches.</w:t>
      </w:r>
    </w:p>
    <w:p w14:paraId="2312BA63" w14:textId="08442012"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4</w:t>
      </w:r>
      <w:r w:rsidR="006C47EB" w:rsidRPr="002D733B">
        <w:rPr>
          <w:rFonts w:ascii="Arial" w:hAnsi="Arial" w:cs="Arial"/>
          <w:sz w:val="22"/>
          <w:szCs w:val="22"/>
        </w:rPr>
        <w:t>.1</w:t>
      </w:r>
      <w:r w:rsidRPr="002D733B">
        <w:rPr>
          <w:rFonts w:ascii="Arial" w:hAnsi="Arial" w:cs="Arial"/>
          <w:sz w:val="22"/>
          <w:szCs w:val="22"/>
        </w:rPr>
        <w:t>NHS Long Term Plan</w:t>
      </w:r>
    </w:p>
    <w:p w14:paraId="208524A9"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The NHS Long Term Plan was published in 2019 and set out priorities for improving health and healthcare in England. It placed emphasis on prevention, mental health, major long-term conditions, personalised care and reducing health inequalities (NHS England, 2019).</w:t>
      </w:r>
    </w:p>
    <w:p w14:paraId="2EDC1FD1"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One strength of the plan is its focus on prevention. Preventing illness can improve quality of life and reduce pressure on hospitals. The plan included action on areas such as smoking, obesity, diabetes, cancer and cardiovascular disease. It also aimed to improve mental health services and provide more personalised support.</w:t>
      </w:r>
    </w:p>
    <w:p w14:paraId="4DBD6626"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The plan is also relevant to sustainable development because prevention can reduce the long-term demand for health services. However, its effectiveness can be limited by workforce shortages, increasing demand and financial pressures within the NHS. In addition, the NHS cannot solve wider causes of poor health such as poverty, poor housing and unemployment.</w:t>
      </w:r>
    </w:p>
    <w:p w14:paraId="760495BF"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Recommendation: The NHS should continue to focus on prevention but should give additional support to communities experiencing the greatest disadvantage. The effectiveness of the plan should be measured through improvements in health outcomes and reductions in health inequalities rather than only the number of services provided.</w:t>
      </w:r>
    </w:p>
    <w:p w14:paraId="28F1A757"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4.2 Core20PLUS5</w:t>
      </w:r>
    </w:p>
    <w:p w14:paraId="59AD7E1C"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Core20PLUS5 is an NHS England approach designed to reduce healthcare inequalities at national and local system levels. “Core20” refers to the most deprived 20% of the population. “PLUS” refers to locally identified groups experiencing poorer health outcomes or poorer access to healthcare. The five clinical areas are maternity, severe mental illness, chronic respiratory disease, early cancer diagnosis, and hypertension and lipid management (NHS England, 2026b).</w:t>
      </w:r>
    </w:p>
    <w:p w14:paraId="6FCBD947"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The strength of Core20PLUS5 is that it directs attention towards people who experience the greatest health inequalities. It also allows local NHS systems to identify their own PLUS groups. This is useful because different communities have different needs. The approach can also use data to identify gaps in access and outcomes.</w:t>
      </w:r>
    </w:p>
    <w:p w14:paraId="7A5B6237"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lastRenderedPageBreak/>
        <w:t>There are some limitations. Core20PLUS5 mainly operates through health and care services, while many causes of inequality are outside the NHS. The approach also depends on sufficient staff, funding, accurate data and effective local implementation.</w:t>
      </w:r>
    </w:p>
    <w:p w14:paraId="1ED3C7B3"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Recommendation: Core20PLUS5 should be strengthened through closer partnership between the NHS, local authorities and voluntary and community organisations. People with lived experience should also be involved in planning services so that barriers to access can be identified and addressed.</w:t>
      </w:r>
    </w:p>
    <w:p w14:paraId="3DA0F146"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5. Local Wellbeing Initiatives</w:t>
      </w:r>
    </w:p>
    <w:p w14:paraId="6254DCB3"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Local wellbeing initiatives are important because health inequalities can vary between communities. Local authorities, NHS organisations, schools and community organisations can work together to respond to the needs of local populations. In London, the London Health Inequalities Strategy and Healthy Schools London provide examples of local action to improve health and wellbeing. These initiatives are particularly important because they focus on prevention and the wider conditions that influence health.</w:t>
      </w:r>
    </w:p>
    <w:p w14:paraId="6CA3A9CC"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5.1 London Health Inequalities Strategy</w:t>
      </w:r>
    </w:p>
    <w:p w14:paraId="5DB5F117"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The London Health Inequalities Strategy aims to reduce unfair and avoidable differences in health across London. The strategy recognises that health is affected by factors such as housing, employment, income, education, the environment and access to services (Greater London Authority, 2018).</w:t>
      </w:r>
    </w:p>
    <w:p w14:paraId="27EEF478"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The current implementation plan for 2025–2028 focuses on five areas: healthy children, healthy minds, healthy places, healthy communities and healthy living (Greater London Authority, 2025). This is a strength because it recognises that health is wider than medical treatment. For example, improving housing and employment opportunities can help create healthier communities.</w:t>
      </w:r>
    </w:p>
    <w:p w14:paraId="152575C4"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The strategy also encourages partnership working between the Mayor of London, boroughs, NHS organisations and other partners. This whole-system approach is important because no single organisation can remove health inequalities.</w:t>
      </w:r>
    </w:p>
    <w:p w14:paraId="59238F55"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However, London is a large and diverse city, and health needs differ between boroughs. Poverty, high housing costs and unequal employment opportunities can continue to affect health. Therefore, the strategy cannot depend only on healthcare services.</w:t>
      </w:r>
    </w:p>
    <w:p w14:paraId="443E9362"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lastRenderedPageBreak/>
        <w:t>Recommendation: The strategy should continue to target communities with the greatest levels of deprivation. More investment should be made in housing, employment, healthy food, green spaces and community services. Local residents should also be involved in decisions about services.</w:t>
      </w:r>
    </w:p>
    <w:p w14:paraId="2FA8F8D5"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5.2 Healthy Schools London</w:t>
      </w:r>
    </w:p>
    <w:p w14:paraId="005EE23E"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Healthy Schools London is a programme that supports schools to improve the health and wellbeing of children and young people. It covers areas including healthy eating, physical activity, oral health and mental wellbeing (Greater London Authority, 2026).</w:t>
      </w:r>
    </w:p>
    <w:p w14:paraId="531A165A"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The programme has an important role because schools can reach children at an early age. Developing healthy habits during childhood can reduce the risk of health problems later in life. It can also support mental wellbeing by creating healthier and more supportive school environments.</w:t>
      </w:r>
    </w:p>
    <w:p w14:paraId="2AD84C85"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Another strength is that the programme can help schools identify their health priorities and work towards recognised awards. This can encourage schools to take a structured approach to health improvement.</w:t>
      </w:r>
    </w:p>
    <w:p w14:paraId="46FC59AA"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However, schools do not all have the same resources or levels of need. Schools in disadvantaged areas may face greater challenges, including poverty, poor housing and additional pressures on families. An awards system alone does not prove that long-term health inequalities have been removed.</w:t>
      </w:r>
    </w:p>
    <w:p w14:paraId="7752D88F" w14:textId="77777777" w:rsidR="00C95CBA" w:rsidRPr="002D733B" w:rsidRDefault="00B759D5" w:rsidP="008F7FE4">
      <w:pPr>
        <w:spacing w:line="360" w:lineRule="auto"/>
        <w:rPr>
          <w:rFonts w:ascii="Arial" w:hAnsi="Arial" w:cs="Arial"/>
          <w:sz w:val="22"/>
          <w:szCs w:val="22"/>
        </w:rPr>
      </w:pPr>
      <w:r w:rsidRPr="002D733B">
        <w:rPr>
          <w:rFonts w:ascii="Arial" w:hAnsi="Arial" w:cs="Arial"/>
          <w:sz w:val="22"/>
          <w:szCs w:val="22"/>
        </w:rPr>
        <w:t xml:space="preserve">Recommendation: </w:t>
      </w:r>
    </w:p>
    <w:p w14:paraId="5A08B64F" w14:textId="06654D4B"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More financial and practical support should be provided to schools in disadvantaged communities. The programme should also be evaluated using long-term outcomes such as children's physical activity, healthy eating, mental wellbeing and differences in health between communities.</w:t>
      </w:r>
    </w:p>
    <w:p w14:paraId="1B46CF97" w14:textId="77777777" w:rsidR="00B759D5" w:rsidRPr="002D733B" w:rsidRDefault="00B759D5" w:rsidP="008F7FE4">
      <w:pPr>
        <w:spacing w:line="360" w:lineRule="auto"/>
        <w:rPr>
          <w:rFonts w:ascii="Arial" w:hAnsi="Arial" w:cs="Arial"/>
          <w:sz w:val="22"/>
          <w:szCs w:val="22"/>
        </w:rPr>
      </w:pPr>
      <w:r w:rsidRPr="002D733B">
        <w:rPr>
          <w:rFonts w:ascii="Arial" w:hAnsi="Arial" w:cs="Arial"/>
          <w:sz w:val="22"/>
          <w:szCs w:val="22"/>
        </w:rPr>
        <w:t>6. Conclusion</w:t>
      </w:r>
    </w:p>
    <w:p w14:paraId="73B35041" w14:textId="069693FF" w:rsidR="00DA118B" w:rsidRPr="002D733B" w:rsidRDefault="00B759D5" w:rsidP="008F7FE4">
      <w:pPr>
        <w:spacing w:line="360" w:lineRule="auto"/>
        <w:rPr>
          <w:rFonts w:ascii="Arial" w:hAnsi="Arial" w:cs="Arial"/>
          <w:sz w:val="22"/>
          <w:szCs w:val="22"/>
        </w:rPr>
      </w:pPr>
      <w:r w:rsidRPr="002D733B">
        <w:rPr>
          <w:rFonts w:ascii="Arial" w:hAnsi="Arial" w:cs="Arial"/>
          <w:sz w:val="22"/>
          <w:szCs w:val="22"/>
        </w:rPr>
        <w:t xml:space="preserve">SDG 3 and SDG 10 are closely connected because good health cannot be achieved without reducing inequality. SDG 3 provides a global framework for improving health and wellbeing, while SDG 10 focuses on reducing social and economic inequalities. The NHS Long Term Plan and Core20PLUS5 provide important national approaches, while the London Health Inequalities Strategy and Healthy Schools London demonstrate local action. However, these initiatives </w:t>
      </w:r>
      <w:r w:rsidRPr="002D733B">
        <w:rPr>
          <w:rFonts w:ascii="Arial" w:hAnsi="Arial" w:cs="Arial"/>
          <w:sz w:val="22"/>
          <w:szCs w:val="22"/>
        </w:rPr>
        <w:lastRenderedPageBreak/>
        <w:t>cannot remove health inequalities alone. Greater investment in prevention, disadvantaged communities, housing, education, employment and community participation is needed. A whole-system approach is therefore essential for improving health, wellbeing and sustainable development.</w:t>
      </w:r>
    </w:p>
    <w:p w14:paraId="50C5A63D" w14:textId="77777777" w:rsidR="00E46900" w:rsidRPr="002D733B" w:rsidRDefault="00E46900" w:rsidP="008F7FE4">
      <w:pPr>
        <w:spacing w:line="360" w:lineRule="auto"/>
        <w:rPr>
          <w:rFonts w:ascii="Arial" w:hAnsi="Arial" w:cs="Arial"/>
          <w:sz w:val="22"/>
          <w:szCs w:val="22"/>
        </w:rPr>
      </w:pPr>
    </w:p>
    <w:p w14:paraId="7E5ED9BB" w14:textId="77777777" w:rsidR="00E46900" w:rsidRPr="002D733B" w:rsidRDefault="00E46900" w:rsidP="008F7FE4">
      <w:pPr>
        <w:spacing w:line="360" w:lineRule="auto"/>
        <w:rPr>
          <w:rFonts w:ascii="Arial" w:hAnsi="Arial" w:cs="Arial"/>
          <w:sz w:val="22"/>
          <w:szCs w:val="22"/>
        </w:rPr>
      </w:pPr>
    </w:p>
    <w:p w14:paraId="335738D0" w14:textId="77777777" w:rsidR="00E46900" w:rsidRPr="002D733B" w:rsidRDefault="00E46900" w:rsidP="008F7FE4">
      <w:pPr>
        <w:spacing w:line="360" w:lineRule="auto"/>
        <w:rPr>
          <w:rFonts w:ascii="Arial" w:hAnsi="Arial" w:cs="Arial"/>
          <w:sz w:val="22"/>
          <w:szCs w:val="22"/>
        </w:rPr>
      </w:pPr>
    </w:p>
    <w:p w14:paraId="7A35DD6E" w14:textId="77777777" w:rsidR="00E46900" w:rsidRPr="002D733B" w:rsidRDefault="00E46900" w:rsidP="008F7FE4">
      <w:pPr>
        <w:spacing w:line="360" w:lineRule="auto"/>
        <w:rPr>
          <w:rFonts w:ascii="Arial" w:hAnsi="Arial" w:cs="Arial"/>
          <w:sz w:val="22"/>
          <w:szCs w:val="22"/>
        </w:rPr>
      </w:pPr>
    </w:p>
    <w:p w14:paraId="6E8B261C" w14:textId="77777777" w:rsidR="00E46900" w:rsidRPr="002D733B" w:rsidRDefault="00E46900" w:rsidP="008F7FE4">
      <w:pPr>
        <w:spacing w:line="360" w:lineRule="auto"/>
        <w:rPr>
          <w:rFonts w:ascii="Arial" w:hAnsi="Arial" w:cs="Arial"/>
          <w:sz w:val="22"/>
          <w:szCs w:val="22"/>
        </w:rPr>
      </w:pPr>
    </w:p>
    <w:p w14:paraId="5E882F72" w14:textId="77777777" w:rsidR="00E46900" w:rsidRPr="002D733B" w:rsidRDefault="00E46900" w:rsidP="008F7FE4">
      <w:pPr>
        <w:spacing w:line="360" w:lineRule="auto"/>
        <w:rPr>
          <w:rFonts w:ascii="Arial" w:hAnsi="Arial" w:cs="Arial"/>
          <w:sz w:val="22"/>
          <w:szCs w:val="22"/>
        </w:rPr>
      </w:pPr>
    </w:p>
    <w:p w14:paraId="40180F59" w14:textId="77777777" w:rsidR="00E46900" w:rsidRPr="002D733B" w:rsidRDefault="00E46900" w:rsidP="008F7FE4">
      <w:pPr>
        <w:spacing w:line="360" w:lineRule="auto"/>
        <w:rPr>
          <w:rFonts w:ascii="Arial" w:hAnsi="Arial" w:cs="Arial"/>
          <w:sz w:val="22"/>
          <w:szCs w:val="22"/>
        </w:rPr>
      </w:pPr>
    </w:p>
    <w:p w14:paraId="1CE469B6" w14:textId="77777777" w:rsidR="00E46900" w:rsidRPr="002D733B" w:rsidRDefault="00E46900" w:rsidP="008F7FE4">
      <w:pPr>
        <w:spacing w:line="360" w:lineRule="auto"/>
        <w:rPr>
          <w:rFonts w:ascii="Arial" w:hAnsi="Arial" w:cs="Arial"/>
          <w:sz w:val="22"/>
          <w:szCs w:val="22"/>
        </w:rPr>
      </w:pPr>
    </w:p>
    <w:p w14:paraId="1265DD45" w14:textId="77777777" w:rsidR="00E46900" w:rsidRPr="002D733B" w:rsidRDefault="00E46900" w:rsidP="008F7FE4">
      <w:pPr>
        <w:spacing w:line="360" w:lineRule="auto"/>
        <w:rPr>
          <w:rFonts w:ascii="Arial" w:hAnsi="Arial" w:cs="Arial"/>
          <w:sz w:val="22"/>
          <w:szCs w:val="22"/>
        </w:rPr>
      </w:pPr>
    </w:p>
    <w:p w14:paraId="6776204A" w14:textId="77777777" w:rsidR="00E46900" w:rsidRPr="002D733B" w:rsidRDefault="00E46900" w:rsidP="008F7FE4">
      <w:pPr>
        <w:spacing w:line="360" w:lineRule="auto"/>
        <w:rPr>
          <w:rFonts w:ascii="Arial" w:hAnsi="Arial" w:cs="Arial"/>
          <w:sz w:val="22"/>
          <w:szCs w:val="22"/>
        </w:rPr>
      </w:pPr>
    </w:p>
    <w:p w14:paraId="54E4D7D5" w14:textId="77777777" w:rsidR="00E46900" w:rsidRPr="002D733B" w:rsidRDefault="00E46900" w:rsidP="008F7FE4">
      <w:pPr>
        <w:spacing w:line="360" w:lineRule="auto"/>
        <w:rPr>
          <w:rFonts w:ascii="Arial" w:hAnsi="Arial" w:cs="Arial"/>
          <w:sz w:val="22"/>
          <w:szCs w:val="22"/>
        </w:rPr>
      </w:pPr>
    </w:p>
    <w:p w14:paraId="22497E2A" w14:textId="77777777" w:rsidR="00E46900" w:rsidRPr="002D733B" w:rsidRDefault="00E46900" w:rsidP="008F7FE4">
      <w:pPr>
        <w:spacing w:line="360" w:lineRule="auto"/>
        <w:rPr>
          <w:rFonts w:ascii="Arial" w:hAnsi="Arial" w:cs="Arial"/>
          <w:sz w:val="22"/>
          <w:szCs w:val="22"/>
        </w:rPr>
      </w:pPr>
    </w:p>
    <w:p w14:paraId="76D59FEB" w14:textId="77777777" w:rsidR="00E46900" w:rsidRPr="002D733B" w:rsidRDefault="00E46900" w:rsidP="008F7FE4">
      <w:pPr>
        <w:spacing w:line="360" w:lineRule="auto"/>
        <w:rPr>
          <w:rFonts w:ascii="Arial" w:hAnsi="Arial" w:cs="Arial"/>
          <w:sz w:val="22"/>
          <w:szCs w:val="22"/>
        </w:rPr>
      </w:pPr>
    </w:p>
    <w:p w14:paraId="459511B0" w14:textId="77777777" w:rsidR="00E46900" w:rsidRPr="002D733B" w:rsidRDefault="00E46900" w:rsidP="008F7FE4">
      <w:pPr>
        <w:spacing w:line="360" w:lineRule="auto"/>
        <w:rPr>
          <w:rFonts w:ascii="Arial" w:hAnsi="Arial" w:cs="Arial"/>
          <w:sz w:val="22"/>
          <w:szCs w:val="22"/>
        </w:rPr>
      </w:pPr>
    </w:p>
    <w:p w14:paraId="2A85E5CF" w14:textId="77777777" w:rsidR="00E46900" w:rsidRPr="002D733B" w:rsidRDefault="00E46900" w:rsidP="008F7FE4">
      <w:pPr>
        <w:spacing w:line="360" w:lineRule="auto"/>
        <w:rPr>
          <w:rFonts w:ascii="Arial" w:hAnsi="Arial" w:cs="Arial"/>
          <w:sz w:val="22"/>
          <w:szCs w:val="22"/>
        </w:rPr>
      </w:pPr>
    </w:p>
    <w:p w14:paraId="14A93F8E" w14:textId="77777777" w:rsidR="00E46900" w:rsidRPr="002D733B" w:rsidRDefault="00E46900" w:rsidP="008F7FE4">
      <w:pPr>
        <w:spacing w:line="360" w:lineRule="auto"/>
        <w:rPr>
          <w:rFonts w:ascii="Arial" w:hAnsi="Arial" w:cs="Arial"/>
          <w:sz w:val="22"/>
          <w:szCs w:val="22"/>
        </w:rPr>
      </w:pPr>
    </w:p>
    <w:p w14:paraId="2DBBACBF" w14:textId="77777777" w:rsidR="00E46900" w:rsidRPr="002D733B" w:rsidRDefault="00E46900" w:rsidP="008F7FE4">
      <w:pPr>
        <w:spacing w:line="360" w:lineRule="auto"/>
        <w:rPr>
          <w:rFonts w:ascii="Arial" w:hAnsi="Arial" w:cs="Arial"/>
          <w:sz w:val="22"/>
          <w:szCs w:val="22"/>
        </w:rPr>
      </w:pPr>
    </w:p>
    <w:p w14:paraId="698419FC" w14:textId="77777777" w:rsidR="00E46900" w:rsidRPr="002D733B" w:rsidRDefault="00E46900" w:rsidP="008F7FE4">
      <w:pPr>
        <w:spacing w:line="360" w:lineRule="auto"/>
        <w:rPr>
          <w:rFonts w:ascii="Arial" w:hAnsi="Arial" w:cs="Arial"/>
          <w:sz w:val="22"/>
          <w:szCs w:val="22"/>
        </w:rPr>
      </w:pPr>
    </w:p>
    <w:p w14:paraId="08A572DC" w14:textId="77777777" w:rsidR="00E46900" w:rsidRPr="002D733B" w:rsidRDefault="00E46900" w:rsidP="008F7FE4">
      <w:pPr>
        <w:spacing w:line="360" w:lineRule="auto"/>
        <w:rPr>
          <w:rFonts w:ascii="Arial" w:hAnsi="Arial" w:cs="Arial"/>
          <w:sz w:val="22"/>
          <w:szCs w:val="22"/>
        </w:rPr>
      </w:pPr>
    </w:p>
    <w:p w14:paraId="41929FCB" w14:textId="77777777" w:rsidR="00E46900" w:rsidRPr="002D733B" w:rsidRDefault="00E46900" w:rsidP="008F7FE4">
      <w:pPr>
        <w:spacing w:line="360" w:lineRule="auto"/>
        <w:rPr>
          <w:rFonts w:ascii="Arial" w:hAnsi="Arial" w:cs="Arial"/>
          <w:sz w:val="22"/>
          <w:szCs w:val="22"/>
        </w:rPr>
      </w:pPr>
    </w:p>
    <w:p w14:paraId="415F0264" w14:textId="77777777" w:rsidR="00E46900" w:rsidRPr="002D733B" w:rsidRDefault="00E46900" w:rsidP="008F7FE4">
      <w:pPr>
        <w:spacing w:line="360" w:lineRule="auto"/>
        <w:rPr>
          <w:rFonts w:ascii="Arial" w:hAnsi="Arial" w:cs="Arial"/>
          <w:sz w:val="22"/>
          <w:szCs w:val="22"/>
        </w:rPr>
      </w:pPr>
    </w:p>
    <w:p w14:paraId="0F633651" w14:textId="31090058"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lastRenderedPageBreak/>
        <w:t>7. References</w:t>
      </w:r>
    </w:p>
    <w:p w14:paraId="6C276B75"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Bambra, C. (2021) ‘Levelling up: Global examples of reducing health inequalities’, Scandinavian Journal of Public Health, 50(7), pp. 908–913.</w:t>
      </w:r>
    </w:p>
    <w:p w14:paraId="3F5263E3"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Department of Health and Social Care (2022) Health disparities and health inequalities: applying All Our Health. London: Department of Health and Social Care.</w:t>
      </w:r>
    </w:p>
    <w:p w14:paraId="56CEC305"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Greater London Authority (2018) The London Health Inequalities Strategy. London: Greater London Authority.</w:t>
      </w:r>
    </w:p>
    <w:p w14:paraId="551C8290"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Greater London Authority (2022) Health Inequalities Strategy: Progress Report 2022. London: Greater London Authority.</w:t>
      </w:r>
    </w:p>
    <w:p w14:paraId="41C9AFCB"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Greater London Authority (2025) Health Inequalities Strategy Implementation Plan 2025–2028. London: Greater London Authority.</w:t>
      </w:r>
    </w:p>
    <w:p w14:paraId="7169E4A5"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Greater London Authority (2026) Healthy Schools London. London: Greater London Authority.</w:t>
      </w:r>
    </w:p>
    <w:p w14:paraId="06758F59"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Institute of Health Equity (2020) Health Equity in England: The Marmot Review 10 Years On. London: Institute of Health Equity.</w:t>
      </w:r>
    </w:p>
    <w:p w14:paraId="6708F11E"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Mackenbach, J.P. (2019) Health Inequalities: Persistence and Change in European Welfare States. Oxford: Oxford University Press.</w:t>
      </w:r>
    </w:p>
    <w:p w14:paraId="5D16F70B"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NHS England (2019) The NHS Long Term Plan. London: NHS England.</w:t>
      </w:r>
    </w:p>
    <w:p w14:paraId="55105775"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NHS England (2021) Core20PLUS5: An approach to reducing health inequalities. London: NHS England.</w:t>
      </w:r>
    </w:p>
    <w:p w14:paraId="6EF80402"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NHS England (2023) National Healthcare Inequalities Improvement Programme. London: NHS England.</w:t>
      </w:r>
    </w:p>
    <w:p w14:paraId="3BBEBF22"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NHS England (2025) Patient Safety Healthcare Inequalities Reduction Framework. London: NHS England.</w:t>
      </w:r>
    </w:p>
    <w:p w14:paraId="1FB73F50"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NHS England (2026a) What are healthcare inequalities? London: NHS England.</w:t>
      </w:r>
    </w:p>
    <w:p w14:paraId="5404B03C"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NHS England (2026b) NHS Prevention Programme. London: NHS England.</w:t>
      </w:r>
    </w:p>
    <w:p w14:paraId="52E9D546"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NHS England (2026c) Core20PLUS5 (Adults): An approach to reducing healthcare inequalities. London: NHS England.</w:t>
      </w:r>
    </w:p>
    <w:p w14:paraId="6FA7B259"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lastRenderedPageBreak/>
        <w:t>Office for National Statistics (2026) Healthy life expectancy by national area deprivation, England and Wales: between 2013 to 2015 and 2022 to 2024. Newport: Office for National Statistics.</w:t>
      </w:r>
    </w:p>
    <w:p w14:paraId="0F71EAF5"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United Nations (2025a) Goal 3: Good Health and Well-being. New York: United Nations.</w:t>
      </w:r>
    </w:p>
    <w:p w14:paraId="24BEDCCD" w14:textId="478FA306"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United Nations (2025b) Goal 10: Reduced Inequalities. New York: United Nations.</w:t>
      </w:r>
    </w:p>
    <w:p w14:paraId="492975C5"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World Health Organization (2023) Climate Change and Health. Geneva: World Health Organization.</w:t>
      </w:r>
    </w:p>
    <w:p w14:paraId="5697E37A"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World Health Organization (2024) World Health Statistics 2024: Monitoring Health for the SDGs. Geneva: World Health Organization.</w:t>
      </w:r>
    </w:p>
    <w:p w14:paraId="1BFEA227" w14:textId="77777777" w:rsidR="00E46900" w:rsidRPr="002D733B" w:rsidRDefault="00E46900" w:rsidP="008F7FE4">
      <w:pPr>
        <w:spacing w:line="360" w:lineRule="auto"/>
        <w:rPr>
          <w:rFonts w:ascii="Arial" w:hAnsi="Arial" w:cs="Arial"/>
          <w:sz w:val="22"/>
          <w:szCs w:val="22"/>
        </w:rPr>
      </w:pPr>
      <w:r w:rsidRPr="002D733B">
        <w:rPr>
          <w:rFonts w:ascii="Arial" w:hAnsi="Arial" w:cs="Arial"/>
          <w:sz w:val="22"/>
          <w:szCs w:val="22"/>
        </w:rPr>
        <w:t>World Health Organization (2025a) Social Determinants of Health. Geneva: World Health Organization.</w:t>
      </w:r>
    </w:p>
    <w:p w14:paraId="6589F889" w14:textId="389A3A8C" w:rsidR="00E46900" w:rsidRPr="004A7C0D" w:rsidRDefault="00E46900" w:rsidP="004A7C0D">
      <w:pPr>
        <w:spacing w:line="360" w:lineRule="auto"/>
        <w:rPr>
          <w:rFonts w:ascii="Arial" w:hAnsi="Arial" w:cs="Arial"/>
          <w:sz w:val="22"/>
          <w:szCs w:val="22"/>
        </w:rPr>
      </w:pPr>
    </w:p>
    <w:sectPr w:rsidR="00E46900" w:rsidRPr="004A7C0D">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677311" w14:textId="77777777" w:rsidR="00406C3A" w:rsidRDefault="00406C3A" w:rsidP="00406C3A">
      <w:pPr>
        <w:spacing w:after="0" w:line="240" w:lineRule="auto"/>
      </w:pPr>
      <w:r>
        <w:separator/>
      </w:r>
    </w:p>
  </w:endnote>
  <w:endnote w:type="continuationSeparator" w:id="0">
    <w:p w14:paraId="3C429219" w14:textId="77777777" w:rsidR="00406C3A" w:rsidRDefault="00406C3A" w:rsidP="00406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BDD1F" w14:textId="77777777" w:rsidR="00406C3A" w:rsidRDefault="00406C3A" w:rsidP="00406C3A">
      <w:pPr>
        <w:spacing w:after="0" w:line="240" w:lineRule="auto"/>
      </w:pPr>
      <w:r>
        <w:separator/>
      </w:r>
    </w:p>
  </w:footnote>
  <w:footnote w:type="continuationSeparator" w:id="0">
    <w:p w14:paraId="5CB1139C" w14:textId="77777777" w:rsidR="00406C3A" w:rsidRDefault="00406C3A" w:rsidP="00406C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18B"/>
    <w:rsid w:val="00025A66"/>
    <w:rsid w:val="00071497"/>
    <w:rsid w:val="001936B6"/>
    <w:rsid w:val="002D733B"/>
    <w:rsid w:val="00324920"/>
    <w:rsid w:val="003D6772"/>
    <w:rsid w:val="00406C3A"/>
    <w:rsid w:val="00432066"/>
    <w:rsid w:val="00453BAF"/>
    <w:rsid w:val="0046703B"/>
    <w:rsid w:val="004A7C0D"/>
    <w:rsid w:val="004D082E"/>
    <w:rsid w:val="005337F6"/>
    <w:rsid w:val="00537D03"/>
    <w:rsid w:val="00555DF4"/>
    <w:rsid w:val="00576A6A"/>
    <w:rsid w:val="005D7C03"/>
    <w:rsid w:val="005E29D6"/>
    <w:rsid w:val="006C47EB"/>
    <w:rsid w:val="006C7AC0"/>
    <w:rsid w:val="00706C8A"/>
    <w:rsid w:val="00765059"/>
    <w:rsid w:val="007C5DC5"/>
    <w:rsid w:val="007F52A5"/>
    <w:rsid w:val="00834F60"/>
    <w:rsid w:val="008F7FE4"/>
    <w:rsid w:val="00923D21"/>
    <w:rsid w:val="0093406D"/>
    <w:rsid w:val="009A0202"/>
    <w:rsid w:val="00A71E68"/>
    <w:rsid w:val="00B56902"/>
    <w:rsid w:val="00B72127"/>
    <w:rsid w:val="00B759D5"/>
    <w:rsid w:val="00BD46AF"/>
    <w:rsid w:val="00C03803"/>
    <w:rsid w:val="00C95CBA"/>
    <w:rsid w:val="00D06D12"/>
    <w:rsid w:val="00D423D7"/>
    <w:rsid w:val="00DA118B"/>
    <w:rsid w:val="00DC69BF"/>
    <w:rsid w:val="00E13F7D"/>
    <w:rsid w:val="00E20A0F"/>
    <w:rsid w:val="00E22640"/>
    <w:rsid w:val="00E46900"/>
    <w:rsid w:val="00E8700B"/>
    <w:rsid w:val="00EB06BD"/>
    <w:rsid w:val="00EB42F6"/>
    <w:rsid w:val="00EC44A4"/>
    <w:rsid w:val="00F0237E"/>
    <w:rsid w:val="00F44308"/>
    <w:rsid w:val="00FD6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9296A5"/>
  <w15:chartTrackingRefBased/>
  <w15:docId w15:val="{80223085-3537-EF4E-9E1C-FDAA9DF79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1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11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11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11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11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11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11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11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11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1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11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11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11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11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1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1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1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118B"/>
    <w:rPr>
      <w:rFonts w:eastAsiaTheme="majorEastAsia" w:cstheme="majorBidi"/>
      <w:color w:val="272727" w:themeColor="text1" w:themeTint="D8"/>
    </w:rPr>
  </w:style>
  <w:style w:type="paragraph" w:styleId="Title">
    <w:name w:val="Title"/>
    <w:basedOn w:val="Normal"/>
    <w:next w:val="Normal"/>
    <w:link w:val="TitleChar"/>
    <w:uiPriority w:val="10"/>
    <w:qFormat/>
    <w:rsid w:val="00DA1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11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1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118B"/>
    <w:pPr>
      <w:spacing w:before="160"/>
      <w:jc w:val="center"/>
    </w:pPr>
    <w:rPr>
      <w:i/>
      <w:iCs/>
      <w:color w:val="404040" w:themeColor="text1" w:themeTint="BF"/>
    </w:rPr>
  </w:style>
  <w:style w:type="character" w:customStyle="1" w:styleId="QuoteChar">
    <w:name w:val="Quote Char"/>
    <w:basedOn w:val="DefaultParagraphFont"/>
    <w:link w:val="Quote"/>
    <w:uiPriority w:val="29"/>
    <w:rsid w:val="00DA118B"/>
    <w:rPr>
      <w:i/>
      <w:iCs/>
      <w:color w:val="404040" w:themeColor="text1" w:themeTint="BF"/>
    </w:rPr>
  </w:style>
  <w:style w:type="paragraph" w:styleId="ListParagraph">
    <w:name w:val="List Paragraph"/>
    <w:basedOn w:val="Normal"/>
    <w:uiPriority w:val="34"/>
    <w:qFormat/>
    <w:rsid w:val="00DA118B"/>
    <w:pPr>
      <w:ind w:left="720"/>
      <w:contextualSpacing/>
    </w:pPr>
  </w:style>
  <w:style w:type="character" w:styleId="IntenseEmphasis">
    <w:name w:val="Intense Emphasis"/>
    <w:basedOn w:val="DefaultParagraphFont"/>
    <w:uiPriority w:val="21"/>
    <w:qFormat/>
    <w:rsid w:val="00DA118B"/>
    <w:rPr>
      <w:i/>
      <w:iCs/>
      <w:color w:val="0F4761" w:themeColor="accent1" w:themeShade="BF"/>
    </w:rPr>
  </w:style>
  <w:style w:type="paragraph" w:styleId="IntenseQuote">
    <w:name w:val="Intense Quote"/>
    <w:basedOn w:val="Normal"/>
    <w:next w:val="Normal"/>
    <w:link w:val="IntenseQuoteChar"/>
    <w:uiPriority w:val="30"/>
    <w:qFormat/>
    <w:rsid w:val="00DA11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118B"/>
    <w:rPr>
      <w:i/>
      <w:iCs/>
      <w:color w:val="0F4761" w:themeColor="accent1" w:themeShade="BF"/>
    </w:rPr>
  </w:style>
  <w:style w:type="character" w:styleId="IntenseReference">
    <w:name w:val="Intense Reference"/>
    <w:basedOn w:val="DefaultParagraphFont"/>
    <w:uiPriority w:val="32"/>
    <w:qFormat/>
    <w:rsid w:val="00DA118B"/>
    <w:rPr>
      <w:b/>
      <w:bCs/>
      <w:smallCaps/>
      <w:color w:val="0F4761" w:themeColor="accent1" w:themeShade="BF"/>
      <w:spacing w:val="5"/>
    </w:rPr>
  </w:style>
  <w:style w:type="paragraph" w:styleId="Header">
    <w:name w:val="header"/>
    <w:basedOn w:val="Normal"/>
    <w:link w:val="HeaderChar"/>
    <w:uiPriority w:val="99"/>
    <w:unhideWhenUsed/>
    <w:rsid w:val="00406C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6C3A"/>
  </w:style>
  <w:style w:type="paragraph" w:styleId="Footer">
    <w:name w:val="footer"/>
    <w:basedOn w:val="Normal"/>
    <w:link w:val="FooterChar"/>
    <w:uiPriority w:val="99"/>
    <w:unhideWhenUsed/>
    <w:rsid w:val="00406C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6C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2646</Words>
  <Characters>15086</Characters>
  <Application>Microsoft Office Word</Application>
  <DocSecurity>0</DocSecurity>
  <Lines>125</Lines>
  <Paragraphs>35</Paragraphs>
  <ScaleCrop>false</ScaleCrop>
  <Company/>
  <LinksUpToDate>false</LinksUpToDate>
  <CharactersWithSpaces>17697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Binta Drammeh</dc:creator>
  <cp:keywords/>
  <dc:description/>
  <cp:lastModifiedBy>Binta Drammeh</cp:lastModifiedBy>
  <cp:revision>2</cp:revision>
  <dcterms:created xsi:type="dcterms:W3CDTF">2026-08-14T05:15:00Z</dcterms:created>
  <dcterms:modified xsi:type="dcterms:W3CDTF">2026-08-14T05:15:00Z</dcterms:modified>
</cp:coreProperties>
</file>