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44728522"/>
        <w:docPartObj>
          <w:docPartGallery w:val="Cover Pages"/>
          <w:docPartUnique/>
        </w:docPartObj>
      </w:sdtPr>
      <w:sdtEndPr>
        <w:rPr>
          <w:rFonts w:ascii="Arial" w:hAnsi="Arial"/>
          <w:color w:val="auto"/>
        </w:rPr>
      </w:sdtEndPr>
      <w:sdtContent>
        <w:p w14:paraId="7CAF5276" w14:textId="53DEE0F1" w:rsidR="00E05BB5" w:rsidRDefault="008403C0" w:rsidP="00E05BB5">
          <w:pPr>
            <w:pStyle w:val="NoSpacing"/>
            <w:spacing w:before="1540" w:after="240"/>
            <w:jc w:val="center"/>
            <w:rPr>
              <w:color w:val="4472C4" w:themeColor="accent1"/>
            </w:rPr>
          </w:pPr>
          <w:r>
            <w:rPr>
              <w:noProof/>
              <w:color w:val="4472C4" w:themeColor="accent1"/>
            </w:rPr>
            <w:drawing>
              <wp:inline distT="0" distB="0" distL="0" distR="0" wp14:anchorId="3DE90649" wp14:editId="2FA2EAD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8990882A17F49448F2379D0D067560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6F5137" w14:textId="269C7493" w:rsidR="008403C0" w:rsidRDefault="008403C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International financial management</w:t>
              </w:r>
            </w:p>
          </w:sdtContent>
        </w:sdt>
        <w:p w14:paraId="30D91D4D" w14:textId="77777777" w:rsidR="008403C0" w:rsidRPr="00D42C11" w:rsidRDefault="008403C0" w:rsidP="008403C0">
          <w:pPr>
            <w:jc w:val="center"/>
            <w:rPr>
              <w:rStyle w:val="BookTitle"/>
              <w:sz w:val="24"/>
              <w:szCs w:val="24"/>
            </w:rPr>
          </w:pPr>
          <w:r w:rsidRPr="00D42C11">
            <w:rPr>
              <w:rStyle w:val="BookTitle"/>
              <w:sz w:val="24"/>
              <w:szCs w:val="24"/>
            </w:rPr>
            <w:t>Programme: BA Business Management</w:t>
          </w:r>
        </w:p>
        <w:p w14:paraId="1445DD88" w14:textId="77777777" w:rsidR="008403C0" w:rsidRPr="00D42C11" w:rsidRDefault="008403C0" w:rsidP="008403C0">
          <w:pPr>
            <w:jc w:val="center"/>
            <w:rPr>
              <w:rStyle w:val="BookTitle"/>
              <w:sz w:val="24"/>
              <w:szCs w:val="24"/>
            </w:rPr>
          </w:pPr>
          <w:r w:rsidRPr="00D42C11">
            <w:rPr>
              <w:rStyle w:val="BookTitle"/>
              <w:sz w:val="24"/>
              <w:szCs w:val="24"/>
            </w:rPr>
            <w:t>Module: International Financial Management</w:t>
          </w:r>
        </w:p>
        <w:p w14:paraId="5750539E" w14:textId="77777777" w:rsidR="008403C0" w:rsidRPr="00D42C11" w:rsidRDefault="008403C0" w:rsidP="008403C0">
          <w:pPr>
            <w:jc w:val="center"/>
            <w:rPr>
              <w:rStyle w:val="BookTitle"/>
              <w:sz w:val="24"/>
              <w:szCs w:val="24"/>
            </w:rPr>
          </w:pPr>
          <w:r w:rsidRPr="00D42C11">
            <w:rPr>
              <w:rStyle w:val="BookTitle"/>
              <w:sz w:val="24"/>
              <w:szCs w:val="24"/>
            </w:rPr>
            <w:t>Module Code: LCBB6002</w:t>
          </w:r>
        </w:p>
        <w:p w14:paraId="3FA4AA7E" w14:textId="77777777" w:rsidR="008403C0" w:rsidRPr="00D42C11" w:rsidRDefault="008403C0" w:rsidP="008403C0">
          <w:pPr>
            <w:jc w:val="center"/>
            <w:rPr>
              <w:rStyle w:val="BookTitle"/>
              <w:sz w:val="24"/>
              <w:szCs w:val="24"/>
            </w:rPr>
          </w:pPr>
          <w:r w:rsidRPr="00D42C11">
            <w:rPr>
              <w:rStyle w:val="BookTitle"/>
              <w:sz w:val="24"/>
              <w:szCs w:val="24"/>
            </w:rPr>
            <w:t xml:space="preserve">Lecturer: Taye </w:t>
          </w:r>
          <w:proofErr w:type="spellStart"/>
          <w:r w:rsidRPr="00D42C11">
            <w:rPr>
              <w:rStyle w:val="BookTitle"/>
              <w:sz w:val="24"/>
              <w:szCs w:val="24"/>
            </w:rPr>
            <w:t>Osadia</w:t>
          </w:r>
          <w:proofErr w:type="spellEnd"/>
        </w:p>
        <w:p w14:paraId="2B2D724D" w14:textId="77777777" w:rsidR="008403C0" w:rsidRPr="00D42C11" w:rsidRDefault="008403C0" w:rsidP="008403C0">
          <w:pPr>
            <w:jc w:val="center"/>
            <w:rPr>
              <w:rStyle w:val="BookTitle"/>
              <w:sz w:val="24"/>
              <w:szCs w:val="24"/>
            </w:rPr>
          </w:pPr>
          <w:r w:rsidRPr="00D42C11">
            <w:rPr>
              <w:rStyle w:val="BookTitle"/>
              <w:sz w:val="24"/>
              <w:szCs w:val="24"/>
            </w:rPr>
            <w:t>Assignment Title: Assessment 1</w:t>
          </w:r>
        </w:p>
        <w:p w14:paraId="0986B53D" w14:textId="77777777" w:rsidR="008403C0" w:rsidRPr="00D42C11" w:rsidRDefault="008403C0" w:rsidP="008403C0">
          <w:pPr>
            <w:jc w:val="center"/>
            <w:rPr>
              <w:rStyle w:val="BookTitle"/>
              <w:sz w:val="24"/>
              <w:szCs w:val="24"/>
            </w:rPr>
          </w:pPr>
          <w:r w:rsidRPr="00D42C11">
            <w:rPr>
              <w:rStyle w:val="BookTitle"/>
              <w:sz w:val="24"/>
              <w:szCs w:val="24"/>
            </w:rPr>
            <w:t>Student ID: 2008117</w:t>
          </w:r>
        </w:p>
        <w:p w14:paraId="0FE3A0A8" w14:textId="77777777" w:rsidR="008403C0" w:rsidRPr="00D42C11" w:rsidRDefault="008403C0" w:rsidP="008403C0">
          <w:pPr>
            <w:jc w:val="center"/>
            <w:rPr>
              <w:rStyle w:val="BookTitle"/>
              <w:sz w:val="24"/>
              <w:szCs w:val="24"/>
            </w:rPr>
          </w:pPr>
          <w:r w:rsidRPr="00D42C11">
            <w:rPr>
              <w:rStyle w:val="BookTitle"/>
              <w:sz w:val="24"/>
              <w:szCs w:val="24"/>
            </w:rPr>
            <w:t>Student name: Corina Iorga</w:t>
          </w:r>
        </w:p>
        <w:p w14:paraId="34A520D3" w14:textId="7F2003BF" w:rsidR="008403C0" w:rsidRDefault="008403C0">
          <w:pPr>
            <w:pStyle w:val="NoSpacing"/>
            <w:spacing w:before="480"/>
            <w:jc w:val="center"/>
            <w:rPr>
              <w:color w:val="4472C4" w:themeColor="accent1"/>
            </w:rPr>
          </w:pPr>
          <w:r>
            <w:rPr>
              <w:noProof/>
              <w:color w:val="4472C4" w:themeColor="accent1"/>
            </w:rPr>
            <w:drawing>
              <wp:inline distT="0" distB="0" distL="0" distR="0" wp14:anchorId="488F90E6" wp14:editId="0E68AC9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85620C" w14:textId="77777777" w:rsidR="00D42C11" w:rsidRDefault="008403C0">
          <w:pPr>
            <w:rPr>
              <w:rFonts w:ascii="Arial" w:hAnsi="Arial"/>
            </w:rPr>
          </w:pPr>
          <w:r>
            <w:rPr>
              <w:rFonts w:ascii="Arial" w:hAnsi="Arial"/>
            </w:rPr>
            <w:br w:type="page"/>
          </w:r>
        </w:p>
        <w:p w14:paraId="0559FC83" w14:textId="0FBC77F7" w:rsidR="00E05BB5" w:rsidRDefault="00D42C11" w:rsidP="00E05BB5">
          <w:pPr>
            <w:rPr>
              <w:rFonts w:ascii="Arial" w:hAnsi="Arial"/>
              <w:b/>
              <w:bCs/>
              <w:sz w:val="24"/>
              <w:szCs w:val="24"/>
            </w:rPr>
          </w:pPr>
          <w:r w:rsidRPr="00E05BB5">
            <w:rPr>
              <w:rFonts w:ascii="Arial" w:hAnsi="Arial"/>
              <w:b/>
              <w:bCs/>
              <w:sz w:val="24"/>
              <w:szCs w:val="24"/>
            </w:rPr>
            <w:lastRenderedPageBreak/>
            <w:t>Table of Content</w:t>
          </w:r>
        </w:p>
        <w:p w14:paraId="4C52F9A0" w14:textId="3C3709DF" w:rsidR="003F5C5D" w:rsidRDefault="003F5C5D" w:rsidP="00E05BB5">
          <w:pPr>
            <w:rPr>
              <w:rFonts w:ascii="Arial" w:hAnsi="Arial"/>
              <w:sz w:val="24"/>
              <w:szCs w:val="24"/>
            </w:rPr>
          </w:pPr>
          <w:r>
            <w:rPr>
              <w:rFonts w:ascii="Arial" w:hAnsi="Arial"/>
              <w:sz w:val="24"/>
              <w:szCs w:val="24"/>
            </w:rPr>
            <w:t>Introduction………………………………………………………………………………2</w:t>
          </w:r>
        </w:p>
        <w:p w14:paraId="26828FC6" w14:textId="2508CD18" w:rsidR="003F5C5D" w:rsidRDefault="00380BEF" w:rsidP="00E05BB5">
          <w:pPr>
            <w:rPr>
              <w:rFonts w:ascii="Arial" w:hAnsi="Arial"/>
              <w:sz w:val="24"/>
              <w:szCs w:val="24"/>
            </w:rPr>
          </w:pPr>
          <w:r>
            <w:rPr>
              <w:rFonts w:ascii="Arial" w:hAnsi="Arial"/>
              <w:sz w:val="24"/>
              <w:szCs w:val="24"/>
            </w:rPr>
            <w:t>Inditex dividend distribution policy…………………………………………………….2</w:t>
          </w:r>
        </w:p>
        <w:p w14:paraId="5DB0DF7E" w14:textId="43B60B24" w:rsidR="00380BEF" w:rsidRDefault="00380BEF" w:rsidP="00E05BB5">
          <w:pPr>
            <w:rPr>
              <w:rFonts w:ascii="Arial" w:hAnsi="Arial"/>
              <w:sz w:val="24"/>
              <w:szCs w:val="24"/>
            </w:rPr>
          </w:pPr>
          <w:r>
            <w:rPr>
              <w:rFonts w:ascii="Arial" w:hAnsi="Arial"/>
              <w:sz w:val="24"/>
              <w:szCs w:val="24"/>
            </w:rPr>
            <w:t>Inditex Market Efficiency Theory………………………………………………………3</w:t>
          </w:r>
        </w:p>
        <w:p w14:paraId="39D635AD" w14:textId="6A7DF66D" w:rsidR="00380BEF" w:rsidRDefault="00380BEF" w:rsidP="00E05BB5">
          <w:pPr>
            <w:rPr>
              <w:rFonts w:ascii="Arial" w:hAnsi="Arial"/>
              <w:sz w:val="24"/>
              <w:szCs w:val="24"/>
            </w:rPr>
          </w:pPr>
          <w:r>
            <w:rPr>
              <w:rFonts w:ascii="Arial" w:hAnsi="Arial"/>
              <w:sz w:val="24"/>
              <w:szCs w:val="24"/>
            </w:rPr>
            <w:t>Inditex methods of appraising projects……………………………………………</w:t>
          </w:r>
          <w:proofErr w:type="gramStart"/>
          <w:r>
            <w:rPr>
              <w:rFonts w:ascii="Arial" w:hAnsi="Arial"/>
              <w:sz w:val="24"/>
              <w:szCs w:val="24"/>
            </w:rPr>
            <w:t>…..</w:t>
          </w:r>
          <w:proofErr w:type="gramEnd"/>
          <w:r>
            <w:rPr>
              <w:rFonts w:ascii="Arial" w:hAnsi="Arial"/>
              <w:sz w:val="24"/>
              <w:szCs w:val="24"/>
            </w:rPr>
            <w:t>4</w:t>
          </w:r>
        </w:p>
        <w:p w14:paraId="7D63AA95" w14:textId="5AB8B2C2" w:rsidR="00380BEF" w:rsidRDefault="00380BEF" w:rsidP="00E05BB5">
          <w:pPr>
            <w:rPr>
              <w:rFonts w:ascii="Arial" w:hAnsi="Arial"/>
              <w:sz w:val="24"/>
              <w:szCs w:val="24"/>
            </w:rPr>
          </w:pPr>
          <w:r>
            <w:rPr>
              <w:rFonts w:ascii="Arial" w:hAnsi="Arial"/>
              <w:sz w:val="24"/>
              <w:szCs w:val="24"/>
            </w:rPr>
            <w:t>Conclusion……………………………………………………………………………….5</w:t>
          </w:r>
        </w:p>
        <w:p w14:paraId="7AAEA4A0" w14:textId="57940035" w:rsidR="004C2672" w:rsidRDefault="004C2672" w:rsidP="00E05BB5">
          <w:pPr>
            <w:rPr>
              <w:rFonts w:ascii="Arial" w:hAnsi="Arial"/>
              <w:sz w:val="24"/>
              <w:szCs w:val="24"/>
            </w:rPr>
          </w:pPr>
          <w:r w:rsidRPr="004C2672">
            <w:rPr>
              <w:rFonts w:ascii="Arial" w:hAnsi="Arial"/>
              <w:sz w:val="24"/>
              <w:szCs w:val="24"/>
            </w:rPr>
            <w:t>Reference:</w:t>
          </w:r>
          <w:r>
            <w:rPr>
              <w:rFonts w:ascii="Arial" w:hAnsi="Arial"/>
              <w:sz w:val="24"/>
              <w:szCs w:val="24"/>
            </w:rPr>
            <w:t>……………………………………………………………………………….6</w:t>
          </w:r>
        </w:p>
        <w:p w14:paraId="21FEB6C3" w14:textId="77777777" w:rsidR="00380BEF" w:rsidRDefault="00380BEF" w:rsidP="00E05BB5">
          <w:pPr>
            <w:rPr>
              <w:rFonts w:ascii="Arial" w:hAnsi="Arial"/>
              <w:sz w:val="24"/>
              <w:szCs w:val="24"/>
            </w:rPr>
          </w:pPr>
        </w:p>
        <w:p w14:paraId="49BAF9AA" w14:textId="77777777" w:rsidR="00380BEF" w:rsidRPr="003F5C5D" w:rsidRDefault="00380BEF" w:rsidP="00E05BB5">
          <w:pPr>
            <w:rPr>
              <w:rFonts w:ascii="Arial" w:hAnsi="Arial"/>
              <w:sz w:val="24"/>
              <w:szCs w:val="24"/>
            </w:rPr>
          </w:pPr>
        </w:p>
        <w:p w14:paraId="6719B220" w14:textId="77777777" w:rsidR="00E05BB5" w:rsidRDefault="00E05BB5" w:rsidP="00D42C11">
          <w:pPr>
            <w:jc w:val="center"/>
            <w:rPr>
              <w:rFonts w:ascii="Arial" w:hAnsi="Arial"/>
              <w:sz w:val="24"/>
              <w:szCs w:val="24"/>
            </w:rPr>
          </w:pPr>
        </w:p>
        <w:p w14:paraId="4A79846F" w14:textId="77777777" w:rsidR="00E05BB5" w:rsidRDefault="00E05BB5" w:rsidP="00D42C11">
          <w:pPr>
            <w:jc w:val="center"/>
            <w:rPr>
              <w:rFonts w:ascii="Arial" w:hAnsi="Arial"/>
              <w:sz w:val="24"/>
              <w:szCs w:val="24"/>
            </w:rPr>
          </w:pPr>
        </w:p>
        <w:p w14:paraId="01F3C296" w14:textId="000AEB13" w:rsidR="00E05BB5" w:rsidRDefault="00E05BB5" w:rsidP="00D42C11">
          <w:pPr>
            <w:jc w:val="center"/>
            <w:rPr>
              <w:rFonts w:ascii="Arial" w:hAnsi="Arial"/>
              <w:sz w:val="24"/>
              <w:szCs w:val="24"/>
            </w:rPr>
          </w:pPr>
        </w:p>
        <w:p w14:paraId="3DE8E3D0" w14:textId="4580207A" w:rsidR="00E05BB5" w:rsidRDefault="00E05BB5" w:rsidP="00D42C11">
          <w:pPr>
            <w:jc w:val="center"/>
            <w:rPr>
              <w:rFonts w:ascii="Arial" w:hAnsi="Arial"/>
              <w:sz w:val="24"/>
              <w:szCs w:val="24"/>
            </w:rPr>
          </w:pPr>
        </w:p>
        <w:p w14:paraId="5F6ACFB8" w14:textId="1FAFB929" w:rsidR="00E05BB5" w:rsidRDefault="00E05BB5" w:rsidP="00D42C11">
          <w:pPr>
            <w:jc w:val="center"/>
            <w:rPr>
              <w:rFonts w:ascii="Arial" w:hAnsi="Arial"/>
              <w:sz w:val="24"/>
              <w:szCs w:val="24"/>
            </w:rPr>
          </w:pPr>
        </w:p>
        <w:p w14:paraId="335F2247" w14:textId="63B2C31A" w:rsidR="00E05BB5" w:rsidRDefault="00E05BB5" w:rsidP="00D42C11">
          <w:pPr>
            <w:jc w:val="center"/>
            <w:rPr>
              <w:rFonts w:ascii="Arial" w:hAnsi="Arial"/>
              <w:sz w:val="24"/>
              <w:szCs w:val="24"/>
            </w:rPr>
          </w:pPr>
        </w:p>
        <w:p w14:paraId="5BF396F5" w14:textId="2AF31F07" w:rsidR="00E05BB5" w:rsidRDefault="00E05BB5" w:rsidP="00D42C11">
          <w:pPr>
            <w:jc w:val="center"/>
            <w:rPr>
              <w:rFonts w:ascii="Arial" w:hAnsi="Arial"/>
              <w:sz w:val="24"/>
              <w:szCs w:val="24"/>
            </w:rPr>
          </w:pPr>
        </w:p>
        <w:p w14:paraId="4BFA2A35" w14:textId="573204DA" w:rsidR="00E05BB5" w:rsidRDefault="00E05BB5" w:rsidP="00D42C11">
          <w:pPr>
            <w:jc w:val="center"/>
            <w:rPr>
              <w:rFonts w:ascii="Arial" w:hAnsi="Arial"/>
              <w:sz w:val="24"/>
              <w:szCs w:val="24"/>
            </w:rPr>
          </w:pPr>
        </w:p>
        <w:p w14:paraId="34F0F19E" w14:textId="1A720CBF" w:rsidR="00E05BB5" w:rsidRDefault="00E05BB5" w:rsidP="00D42C11">
          <w:pPr>
            <w:jc w:val="center"/>
            <w:rPr>
              <w:rFonts w:ascii="Arial" w:hAnsi="Arial"/>
              <w:sz w:val="24"/>
              <w:szCs w:val="24"/>
            </w:rPr>
          </w:pPr>
        </w:p>
        <w:p w14:paraId="245FC6C4" w14:textId="09591CB5" w:rsidR="00E05BB5" w:rsidRDefault="00E05BB5" w:rsidP="00D42C11">
          <w:pPr>
            <w:jc w:val="center"/>
            <w:rPr>
              <w:rFonts w:ascii="Arial" w:hAnsi="Arial"/>
              <w:sz w:val="24"/>
              <w:szCs w:val="24"/>
            </w:rPr>
          </w:pPr>
        </w:p>
        <w:p w14:paraId="3AAEF484" w14:textId="64E73E99" w:rsidR="00E05BB5" w:rsidRDefault="00E05BB5" w:rsidP="00D42C11">
          <w:pPr>
            <w:jc w:val="center"/>
            <w:rPr>
              <w:rFonts w:ascii="Arial" w:hAnsi="Arial"/>
              <w:sz w:val="24"/>
              <w:szCs w:val="24"/>
            </w:rPr>
          </w:pPr>
        </w:p>
        <w:p w14:paraId="16595AD6" w14:textId="7CFE82C1" w:rsidR="00E05BB5" w:rsidRDefault="00E05BB5" w:rsidP="00D42C11">
          <w:pPr>
            <w:jc w:val="center"/>
            <w:rPr>
              <w:rFonts w:ascii="Arial" w:hAnsi="Arial"/>
              <w:sz w:val="24"/>
              <w:szCs w:val="24"/>
            </w:rPr>
          </w:pPr>
        </w:p>
        <w:p w14:paraId="4AEB1D19" w14:textId="38C83301" w:rsidR="00E05BB5" w:rsidRDefault="00E05BB5" w:rsidP="00D42C11">
          <w:pPr>
            <w:jc w:val="center"/>
            <w:rPr>
              <w:rFonts w:ascii="Arial" w:hAnsi="Arial"/>
              <w:sz w:val="24"/>
              <w:szCs w:val="24"/>
            </w:rPr>
          </w:pPr>
        </w:p>
        <w:p w14:paraId="73598EEB" w14:textId="4DCCBA3E" w:rsidR="00E05BB5" w:rsidRDefault="00E05BB5" w:rsidP="00D42C11">
          <w:pPr>
            <w:jc w:val="center"/>
            <w:rPr>
              <w:rFonts w:ascii="Arial" w:hAnsi="Arial"/>
              <w:sz w:val="24"/>
              <w:szCs w:val="24"/>
            </w:rPr>
          </w:pPr>
        </w:p>
        <w:p w14:paraId="4211B384" w14:textId="3C20A45F" w:rsidR="00E05BB5" w:rsidRDefault="00E05BB5" w:rsidP="00D42C11">
          <w:pPr>
            <w:jc w:val="center"/>
            <w:rPr>
              <w:rFonts w:ascii="Arial" w:hAnsi="Arial"/>
              <w:sz w:val="24"/>
              <w:szCs w:val="24"/>
            </w:rPr>
          </w:pPr>
        </w:p>
        <w:p w14:paraId="4B4EAD0C" w14:textId="24518BB7" w:rsidR="00E05BB5" w:rsidRDefault="00E05BB5" w:rsidP="00D42C11">
          <w:pPr>
            <w:jc w:val="center"/>
            <w:rPr>
              <w:rFonts w:ascii="Arial" w:hAnsi="Arial"/>
              <w:sz w:val="24"/>
              <w:szCs w:val="24"/>
            </w:rPr>
          </w:pPr>
        </w:p>
        <w:p w14:paraId="6769A39A" w14:textId="5AB626A8" w:rsidR="00E05BB5" w:rsidRDefault="00E05BB5" w:rsidP="00D42C11">
          <w:pPr>
            <w:jc w:val="center"/>
            <w:rPr>
              <w:rFonts w:ascii="Arial" w:hAnsi="Arial"/>
              <w:sz w:val="24"/>
              <w:szCs w:val="24"/>
            </w:rPr>
          </w:pPr>
        </w:p>
        <w:p w14:paraId="18F5E176" w14:textId="2BD72AF5" w:rsidR="00E05BB5" w:rsidRDefault="00E05BB5" w:rsidP="00D42C11">
          <w:pPr>
            <w:jc w:val="center"/>
            <w:rPr>
              <w:rFonts w:ascii="Arial" w:hAnsi="Arial"/>
              <w:sz w:val="24"/>
              <w:szCs w:val="24"/>
            </w:rPr>
          </w:pPr>
        </w:p>
        <w:p w14:paraId="7897D098" w14:textId="732A3E04" w:rsidR="00E05BB5" w:rsidRDefault="00E05BB5" w:rsidP="00D42C11">
          <w:pPr>
            <w:jc w:val="center"/>
            <w:rPr>
              <w:rFonts w:ascii="Arial" w:hAnsi="Arial"/>
              <w:sz w:val="24"/>
              <w:szCs w:val="24"/>
            </w:rPr>
          </w:pPr>
        </w:p>
        <w:p w14:paraId="369A27C0" w14:textId="52F3B3CF" w:rsidR="00E05BB5" w:rsidRDefault="00E05BB5" w:rsidP="00D42C11">
          <w:pPr>
            <w:jc w:val="center"/>
            <w:rPr>
              <w:rFonts w:ascii="Arial" w:hAnsi="Arial"/>
              <w:sz w:val="24"/>
              <w:szCs w:val="24"/>
            </w:rPr>
          </w:pPr>
        </w:p>
        <w:p w14:paraId="6A45FBD7" w14:textId="19DB59AC" w:rsidR="00E05BB5" w:rsidRDefault="00E05BB5" w:rsidP="00D42C11">
          <w:pPr>
            <w:jc w:val="center"/>
            <w:rPr>
              <w:rFonts w:ascii="Arial" w:hAnsi="Arial"/>
              <w:sz w:val="24"/>
              <w:szCs w:val="24"/>
            </w:rPr>
          </w:pPr>
        </w:p>
        <w:p w14:paraId="0F0BEAE9" w14:textId="573FB4CD" w:rsidR="00E05BB5" w:rsidRDefault="00E05BB5" w:rsidP="00D42C11">
          <w:pPr>
            <w:jc w:val="center"/>
            <w:rPr>
              <w:rFonts w:ascii="Arial" w:hAnsi="Arial"/>
              <w:sz w:val="24"/>
              <w:szCs w:val="24"/>
            </w:rPr>
          </w:pPr>
        </w:p>
        <w:p w14:paraId="4207F33D" w14:textId="460B5209" w:rsidR="00E05BB5" w:rsidRDefault="00E05BB5" w:rsidP="00D42C11">
          <w:pPr>
            <w:jc w:val="center"/>
            <w:rPr>
              <w:rFonts w:ascii="Arial" w:hAnsi="Arial"/>
              <w:sz w:val="24"/>
              <w:szCs w:val="24"/>
            </w:rPr>
          </w:pPr>
        </w:p>
        <w:p w14:paraId="3B570C2B" w14:textId="157AB2DA" w:rsidR="00E05BB5" w:rsidRDefault="00E05BB5" w:rsidP="00D42C11">
          <w:pPr>
            <w:jc w:val="center"/>
            <w:rPr>
              <w:rFonts w:ascii="Arial" w:hAnsi="Arial"/>
              <w:sz w:val="24"/>
              <w:szCs w:val="24"/>
            </w:rPr>
          </w:pPr>
        </w:p>
        <w:p w14:paraId="1F2C17E2" w14:textId="799D05E6" w:rsidR="00E05BB5" w:rsidRDefault="00E05BB5" w:rsidP="00D42C11">
          <w:pPr>
            <w:jc w:val="center"/>
            <w:rPr>
              <w:rFonts w:ascii="Arial" w:hAnsi="Arial"/>
              <w:sz w:val="24"/>
              <w:szCs w:val="24"/>
            </w:rPr>
          </w:pPr>
        </w:p>
        <w:p w14:paraId="17F84FBA" w14:textId="2C17601F" w:rsidR="00E05BB5" w:rsidRDefault="00E05BB5" w:rsidP="00D42C11">
          <w:pPr>
            <w:jc w:val="center"/>
            <w:rPr>
              <w:rFonts w:ascii="Arial" w:hAnsi="Arial"/>
              <w:sz w:val="24"/>
              <w:szCs w:val="24"/>
            </w:rPr>
          </w:pPr>
        </w:p>
        <w:p w14:paraId="17CF5F07" w14:textId="086183E4" w:rsidR="00E05BB5" w:rsidRDefault="00E05BB5" w:rsidP="00E05BB5">
          <w:pPr>
            <w:rPr>
              <w:rFonts w:ascii="Arial" w:hAnsi="Arial"/>
              <w:b/>
              <w:bCs/>
              <w:sz w:val="24"/>
              <w:szCs w:val="24"/>
            </w:rPr>
          </w:pPr>
          <w:r w:rsidRPr="00E05BB5">
            <w:rPr>
              <w:rFonts w:ascii="Arial" w:hAnsi="Arial"/>
              <w:b/>
              <w:bCs/>
              <w:sz w:val="24"/>
              <w:szCs w:val="24"/>
            </w:rPr>
            <w:t>Introduction</w:t>
          </w:r>
        </w:p>
        <w:p w14:paraId="3E4386E2" w14:textId="6967BD7C" w:rsidR="0014628D" w:rsidRDefault="007A7F84" w:rsidP="00E05BB5">
          <w:pPr>
            <w:rPr>
              <w:rFonts w:ascii="Arial" w:hAnsi="Arial"/>
              <w:sz w:val="24"/>
              <w:szCs w:val="24"/>
            </w:rPr>
          </w:pPr>
          <w:r>
            <w:rPr>
              <w:rFonts w:ascii="Arial" w:hAnsi="Arial"/>
              <w:sz w:val="24"/>
              <w:szCs w:val="24"/>
            </w:rPr>
            <w:t xml:space="preserve">International Financial management aims to connect financial departments of different countries that will let them transfer funds between the countries. The financial </w:t>
          </w:r>
          <w:r w:rsidR="0014628D">
            <w:rPr>
              <w:rFonts w:ascii="Arial" w:hAnsi="Arial"/>
              <w:sz w:val="24"/>
              <w:szCs w:val="24"/>
            </w:rPr>
            <w:t>unit that represents a country is known as central bank and it controls the currency and economic policy.</w:t>
          </w:r>
        </w:p>
        <w:p w14:paraId="4BDD381B" w14:textId="7601DE28" w:rsidR="0014628D" w:rsidRDefault="0014628D" w:rsidP="00E05BB5">
          <w:pPr>
            <w:rPr>
              <w:rFonts w:ascii="Arial" w:hAnsi="Arial"/>
              <w:sz w:val="24"/>
              <w:szCs w:val="24"/>
            </w:rPr>
          </w:pPr>
          <w:r>
            <w:rPr>
              <w:rFonts w:ascii="Arial" w:hAnsi="Arial"/>
              <w:sz w:val="24"/>
              <w:szCs w:val="24"/>
            </w:rPr>
            <w:t xml:space="preserve">This paper intends to investigate a multinational </w:t>
          </w:r>
          <w:r w:rsidR="006D583D">
            <w:rPr>
              <w:rFonts w:ascii="Arial" w:hAnsi="Arial"/>
              <w:sz w:val="24"/>
              <w:szCs w:val="24"/>
            </w:rPr>
            <w:t xml:space="preserve">company and to analyse the significance of IFM to the corporation which will be INDITEX </w:t>
          </w:r>
          <w:r w:rsidR="00664C76">
            <w:rPr>
              <w:rFonts w:ascii="Arial" w:hAnsi="Arial"/>
              <w:sz w:val="24"/>
              <w:szCs w:val="24"/>
            </w:rPr>
            <w:t xml:space="preserve">(ZARA) a Spanish clothing brand. This corporation includes 7 brands as ZARA, </w:t>
          </w:r>
          <w:proofErr w:type="spellStart"/>
          <w:r w:rsidR="00664C76">
            <w:rPr>
              <w:rFonts w:ascii="Arial" w:hAnsi="Arial"/>
              <w:sz w:val="24"/>
              <w:szCs w:val="24"/>
            </w:rPr>
            <w:t>Pull&amp;Bear</w:t>
          </w:r>
          <w:proofErr w:type="spellEnd"/>
          <w:r w:rsidR="00664C76">
            <w:rPr>
              <w:rFonts w:ascii="Arial" w:hAnsi="Arial"/>
              <w:sz w:val="24"/>
              <w:szCs w:val="24"/>
            </w:rPr>
            <w:t xml:space="preserve">, Massimo </w:t>
          </w:r>
          <w:proofErr w:type="spellStart"/>
          <w:r w:rsidR="00664C76">
            <w:rPr>
              <w:rFonts w:ascii="Arial" w:hAnsi="Arial"/>
              <w:sz w:val="24"/>
              <w:szCs w:val="24"/>
            </w:rPr>
            <w:t>Dutti</w:t>
          </w:r>
          <w:proofErr w:type="spellEnd"/>
          <w:r w:rsidR="00664C76">
            <w:rPr>
              <w:rFonts w:ascii="Arial" w:hAnsi="Arial"/>
              <w:sz w:val="24"/>
              <w:szCs w:val="24"/>
            </w:rPr>
            <w:t xml:space="preserve">, </w:t>
          </w:r>
          <w:proofErr w:type="spellStart"/>
          <w:r w:rsidR="00664C76">
            <w:rPr>
              <w:rFonts w:ascii="Arial" w:hAnsi="Arial"/>
              <w:sz w:val="24"/>
              <w:szCs w:val="24"/>
            </w:rPr>
            <w:t>Bershka</w:t>
          </w:r>
          <w:proofErr w:type="spellEnd"/>
          <w:r w:rsidR="00664C76">
            <w:rPr>
              <w:rFonts w:ascii="Arial" w:hAnsi="Arial"/>
              <w:sz w:val="24"/>
              <w:szCs w:val="24"/>
            </w:rPr>
            <w:t xml:space="preserve">, Stradivarius, </w:t>
          </w:r>
          <w:proofErr w:type="spellStart"/>
          <w:r w:rsidR="00664C76">
            <w:rPr>
              <w:rFonts w:ascii="Arial" w:hAnsi="Arial"/>
              <w:sz w:val="24"/>
              <w:szCs w:val="24"/>
            </w:rPr>
            <w:t>Oysho</w:t>
          </w:r>
          <w:proofErr w:type="spellEnd"/>
          <w:r w:rsidR="00664C76">
            <w:rPr>
              <w:rFonts w:ascii="Arial" w:hAnsi="Arial"/>
              <w:sz w:val="24"/>
              <w:szCs w:val="24"/>
            </w:rPr>
            <w:t xml:space="preserve"> and ZARA Home.</w:t>
          </w:r>
          <w:r w:rsidR="007F511B">
            <w:rPr>
              <w:rFonts w:ascii="Arial" w:hAnsi="Arial"/>
              <w:sz w:val="24"/>
              <w:szCs w:val="24"/>
            </w:rPr>
            <w:t xml:space="preserve"> This company belongs to </w:t>
          </w:r>
          <w:proofErr w:type="spellStart"/>
          <w:r w:rsidR="007F511B">
            <w:rPr>
              <w:rFonts w:ascii="Arial" w:hAnsi="Arial"/>
              <w:sz w:val="24"/>
              <w:szCs w:val="24"/>
            </w:rPr>
            <w:t>Amancio</w:t>
          </w:r>
          <w:proofErr w:type="spellEnd"/>
          <w:r w:rsidR="007F511B">
            <w:rPr>
              <w:rFonts w:ascii="Arial" w:hAnsi="Arial"/>
              <w:sz w:val="24"/>
              <w:szCs w:val="24"/>
            </w:rPr>
            <w:t xml:space="preserve"> Ortega and </w:t>
          </w:r>
          <w:proofErr w:type="spellStart"/>
          <w:proofErr w:type="gramStart"/>
          <w:r w:rsidR="007F511B">
            <w:rPr>
              <w:rFonts w:ascii="Arial" w:hAnsi="Arial"/>
              <w:sz w:val="24"/>
              <w:szCs w:val="24"/>
            </w:rPr>
            <w:t>its</w:t>
          </w:r>
          <w:proofErr w:type="spellEnd"/>
          <w:proofErr w:type="gramEnd"/>
          <w:r w:rsidR="007F511B">
            <w:rPr>
              <w:rFonts w:ascii="Arial" w:hAnsi="Arial"/>
              <w:sz w:val="24"/>
              <w:szCs w:val="24"/>
            </w:rPr>
            <w:t xml:space="preserve"> been opened in 1963 as a small dressmaking workshop.</w:t>
          </w:r>
        </w:p>
        <w:p w14:paraId="00F63C63" w14:textId="01776362" w:rsidR="00DF6672" w:rsidRDefault="00DF6672" w:rsidP="00E05BB5">
          <w:pPr>
            <w:rPr>
              <w:rFonts w:ascii="Arial" w:hAnsi="Arial"/>
              <w:sz w:val="24"/>
              <w:szCs w:val="24"/>
            </w:rPr>
          </w:pPr>
        </w:p>
        <w:p w14:paraId="5C2C49AB" w14:textId="2A130AC3" w:rsidR="00DF6672" w:rsidRDefault="00DF6672" w:rsidP="00E05BB5">
          <w:pPr>
            <w:rPr>
              <w:rFonts w:ascii="Arial" w:hAnsi="Arial"/>
              <w:sz w:val="24"/>
              <w:szCs w:val="24"/>
            </w:rPr>
          </w:pPr>
        </w:p>
        <w:p w14:paraId="379099B5" w14:textId="41657771" w:rsidR="00DF6672" w:rsidRDefault="00DF6672" w:rsidP="00E05BB5">
          <w:pPr>
            <w:rPr>
              <w:rFonts w:ascii="Arial" w:hAnsi="Arial"/>
              <w:sz w:val="24"/>
              <w:szCs w:val="24"/>
            </w:rPr>
          </w:pPr>
        </w:p>
        <w:p w14:paraId="6CA3F6DA" w14:textId="4696DF5F" w:rsidR="00DF6672" w:rsidRDefault="00DF6672" w:rsidP="00E05BB5">
          <w:pPr>
            <w:rPr>
              <w:rFonts w:ascii="Arial" w:hAnsi="Arial"/>
              <w:b/>
              <w:bCs/>
              <w:sz w:val="24"/>
              <w:szCs w:val="24"/>
            </w:rPr>
          </w:pPr>
          <w:r>
            <w:rPr>
              <w:rFonts w:ascii="Arial" w:hAnsi="Arial"/>
              <w:b/>
              <w:bCs/>
              <w:sz w:val="24"/>
              <w:szCs w:val="24"/>
            </w:rPr>
            <w:t xml:space="preserve">Inditex Dividend distribution policy </w:t>
          </w:r>
        </w:p>
        <w:p w14:paraId="5D4065F8" w14:textId="4920AA16" w:rsidR="00ED2DCE" w:rsidRPr="00DF6672" w:rsidRDefault="00DF6672" w:rsidP="00ED2DCE">
          <w:pPr>
            <w:spacing w:line="240" w:lineRule="auto"/>
            <w:jc w:val="both"/>
            <w:rPr>
              <w:rFonts w:ascii="Arial" w:hAnsi="Arial"/>
              <w:sz w:val="24"/>
              <w:szCs w:val="24"/>
            </w:rPr>
          </w:pPr>
          <w:r w:rsidRPr="00DF6672">
            <w:rPr>
              <w:rFonts w:ascii="Arial" w:hAnsi="Arial"/>
              <w:sz w:val="24"/>
              <w:szCs w:val="24"/>
            </w:rPr>
            <w:t xml:space="preserve">The Inditex Annual General Meeting approved a shareholder remuneration policy that </w:t>
          </w:r>
          <w:r w:rsidR="001C437D">
            <w:rPr>
              <w:rFonts w:ascii="Arial" w:hAnsi="Arial"/>
              <w:sz w:val="24"/>
              <w:szCs w:val="24"/>
            </w:rPr>
            <w:t>intends</w:t>
          </w:r>
          <w:r w:rsidRPr="00DF6672">
            <w:rPr>
              <w:rFonts w:ascii="Arial" w:hAnsi="Arial"/>
              <w:sz w:val="24"/>
              <w:szCs w:val="24"/>
            </w:rPr>
            <w:t xml:space="preserve"> to provide an a</w:t>
          </w:r>
          <w:r w:rsidR="001C437D">
            <w:rPr>
              <w:rFonts w:ascii="Arial" w:hAnsi="Arial"/>
              <w:sz w:val="24"/>
              <w:szCs w:val="24"/>
            </w:rPr>
            <w:t>ppealing</w:t>
          </w:r>
          <w:r w:rsidRPr="00DF6672">
            <w:rPr>
              <w:rFonts w:ascii="Arial" w:hAnsi="Arial"/>
              <w:sz w:val="24"/>
              <w:szCs w:val="24"/>
            </w:rPr>
            <w:t xml:space="preserve">, </w:t>
          </w:r>
          <w:r w:rsidR="001C437D">
            <w:rPr>
              <w:rFonts w:ascii="Arial" w:hAnsi="Arial"/>
              <w:sz w:val="24"/>
              <w:szCs w:val="24"/>
            </w:rPr>
            <w:t>sustainable and predictable</w:t>
          </w:r>
          <w:r w:rsidRPr="00DF6672">
            <w:rPr>
              <w:rFonts w:ascii="Arial" w:hAnsi="Arial"/>
              <w:sz w:val="24"/>
              <w:szCs w:val="24"/>
            </w:rPr>
            <w:t xml:space="preserve"> dividend </w:t>
          </w:r>
          <w:r w:rsidR="001C437D">
            <w:rPr>
              <w:rFonts w:ascii="Arial" w:hAnsi="Arial"/>
              <w:sz w:val="24"/>
              <w:szCs w:val="24"/>
            </w:rPr>
            <w:t>in</w:t>
          </w:r>
          <w:r w:rsidRPr="00DF6672">
            <w:rPr>
              <w:rFonts w:ascii="Arial" w:hAnsi="Arial"/>
              <w:sz w:val="24"/>
              <w:szCs w:val="24"/>
            </w:rPr>
            <w:t xml:space="preserve"> time, in line with the </w:t>
          </w:r>
          <w:r w:rsidR="001C437D">
            <w:rPr>
              <w:rFonts w:ascii="Arial" w:hAnsi="Arial"/>
              <w:sz w:val="24"/>
              <w:szCs w:val="24"/>
            </w:rPr>
            <w:t xml:space="preserve">growth of the </w:t>
          </w:r>
          <w:r w:rsidRPr="00DF6672">
            <w:rPr>
              <w:rFonts w:ascii="Arial" w:hAnsi="Arial"/>
              <w:sz w:val="24"/>
              <w:szCs w:val="24"/>
            </w:rPr>
            <w:t>Company</w:t>
          </w:r>
          <w:r w:rsidR="001C437D">
            <w:rPr>
              <w:rFonts w:ascii="Arial" w:hAnsi="Arial"/>
              <w:sz w:val="24"/>
              <w:szCs w:val="24"/>
            </w:rPr>
            <w:t>.</w:t>
          </w:r>
        </w:p>
        <w:p w14:paraId="509826B3" w14:textId="77777777" w:rsidR="000A47F1" w:rsidRPr="000A47F1" w:rsidRDefault="000A47F1" w:rsidP="000A47F1">
          <w:pPr>
            <w:spacing w:line="240" w:lineRule="auto"/>
            <w:jc w:val="both"/>
            <w:rPr>
              <w:rFonts w:ascii="Arial" w:hAnsi="Arial"/>
              <w:sz w:val="24"/>
              <w:szCs w:val="24"/>
            </w:rPr>
          </w:pPr>
          <w:r w:rsidRPr="000A47F1">
            <w:rPr>
              <w:rFonts w:ascii="Arial" w:hAnsi="Arial"/>
              <w:sz w:val="24"/>
              <w:szCs w:val="24"/>
            </w:rPr>
            <w:t>Such a policy prefers maintaining a high level of funds to ensure future growth and wealth generation for the firm.</w:t>
          </w:r>
        </w:p>
        <w:p w14:paraId="78118774" w14:textId="77777777" w:rsidR="000A47F1" w:rsidRPr="000A47F1" w:rsidRDefault="000A47F1" w:rsidP="000A47F1">
          <w:pPr>
            <w:spacing w:line="240" w:lineRule="auto"/>
            <w:jc w:val="both"/>
            <w:rPr>
              <w:rFonts w:ascii="Arial" w:hAnsi="Arial"/>
              <w:sz w:val="24"/>
              <w:szCs w:val="24"/>
            </w:rPr>
          </w:pPr>
          <w:r w:rsidRPr="000A47F1">
            <w:rPr>
              <w:rFonts w:ascii="Arial" w:hAnsi="Arial"/>
              <w:sz w:val="24"/>
              <w:szCs w:val="24"/>
            </w:rPr>
            <w:t>The dividend for the 2020 fiscal year of 0.70 euros per share was compensated in May and November 2021 in according to this policy.</w:t>
          </w:r>
        </w:p>
        <w:p w14:paraId="2D9673BE" w14:textId="77777777" w:rsidR="000A47F1" w:rsidRDefault="000A47F1" w:rsidP="000A47F1">
          <w:pPr>
            <w:spacing w:line="240" w:lineRule="auto"/>
            <w:jc w:val="both"/>
            <w:rPr>
              <w:rFonts w:ascii="Arial" w:hAnsi="Arial"/>
              <w:sz w:val="24"/>
              <w:szCs w:val="24"/>
            </w:rPr>
          </w:pPr>
          <w:r w:rsidRPr="000A47F1">
            <w:rPr>
              <w:rFonts w:ascii="Arial" w:hAnsi="Arial"/>
              <w:sz w:val="24"/>
              <w:szCs w:val="24"/>
            </w:rPr>
            <w:t>In fiscal year 2021, shareholders received a total dividend payment of 2,180 million euros.</w:t>
          </w:r>
        </w:p>
        <w:p w14:paraId="43AB9E85" w14:textId="29ED25B1" w:rsidR="000A47F1" w:rsidRDefault="000A47F1" w:rsidP="00ED2DCE">
          <w:pPr>
            <w:spacing w:line="240" w:lineRule="auto"/>
            <w:jc w:val="both"/>
            <w:rPr>
              <w:rFonts w:ascii="Arial" w:hAnsi="Arial"/>
              <w:sz w:val="24"/>
              <w:szCs w:val="24"/>
            </w:rPr>
          </w:pPr>
          <w:r w:rsidRPr="000A47F1">
            <w:rPr>
              <w:rFonts w:ascii="Arial" w:hAnsi="Arial"/>
              <w:sz w:val="24"/>
              <w:szCs w:val="24"/>
            </w:rPr>
            <w:t xml:space="preserve">The Inditex Executive board intends to recommend to the Annual Meeting of Shareholders a dividend of 0.93 euros per share for fiscal year 2021. The ordinary </w:t>
          </w:r>
          <w:r w:rsidRPr="000A47F1">
            <w:rPr>
              <w:rFonts w:ascii="Arial" w:hAnsi="Arial"/>
              <w:sz w:val="24"/>
              <w:szCs w:val="24"/>
            </w:rPr>
            <w:lastRenderedPageBreak/>
            <w:t xml:space="preserve">dividend will be 0.63 euro, and the incredible dividend will be 0.30 euro per share. The dividend will be paid in two instalments of 0.465 euros per share, the first on 2th of May ,2022, and the second </w:t>
          </w:r>
          <w:proofErr w:type="gramStart"/>
          <w:r w:rsidRPr="000A47F1">
            <w:rPr>
              <w:rFonts w:ascii="Arial" w:hAnsi="Arial"/>
              <w:sz w:val="24"/>
              <w:szCs w:val="24"/>
            </w:rPr>
            <w:t>in  November</w:t>
          </w:r>
          <w:proofErr w:type="gramEnd"/>
          <w:r w:rsidRPr="000A47F1">
            <w:rPr>
              <w:rFonts w:ascii="Arial" w:hAnsi="Arial"/>
              <w:sz w:val="24"/>
              <w:szCs w:val="24"/>
            </w:rPr>
            <w:t xml:space="preserve"> on  2th , 2022. Inditex's dividend policy remains intact, with a 60% regular cash bonus and a 40% special </w:t>
          </w:r>
          <w:proofErr w:type="spellStart"/>
          <w:r w:rsidRPr="000A47F1">
            <w:rPr>
              <w:rFonts w:ascii="Arial" w:hAnsi="Arial"/>
              <w:sz w:val="24"/>
              <w:szCs w:val="24"/>
            </w:rPr>
            <w:t>payout</w:t>
          </w:r>
          <w:proofErr w:type="spellEnd"/>
          <w:r w:rsidRPr="000A47F1">
            <w:rPr>
              <w:rFonts w:ascii="Arial" w:hAnsi="Arial"/>
              <w:sz w:val="24"/>
              <w:szCs w:val="24"/>
            </w:rPr>
            <w:t>. 2021 (INDITEX)</w:t>
          </w:r>
        </w:p>
        <w:p w14:paraId="12F4344C" w14:textId="2A02ACCB" w:rsidR="00ED2DCE" w:rsidRDefault="00ED2DCE" w:rsidP="00ED2DCE">
          <w:pPr>
            <w:spacing w:line="240" w:lineRule="auto"/>
            <w:jc w:val="both"/>
            <w:rPr>
              <w:rFonts w:ascii="Arial" w:hAnsi="Arial"/>
              <w:sz w:val="24"/>
              <w:szCs w:val="24"/>
            </w:rPr>
          </w:pPr>
          <w:r>
            <w:rPr>
              <w:rFonts w:ascii="Arial" w:hAnsi="Arial"/>
              <w:sz w:val="24"/>
              <w:szCs w:val="24"/>
            </w:rPr>
            <w:t xml:space="preserve">As we can see INDITEX seems to have a sustainable </w:t>
          </w:r>
          <w:r w:rsidR="0041226C">
            <w:rPr>
              <w:rFonts w:ascii="Arial" w:hAnsi="Arial"/>
              <w:sz w:val="24"/>
              <w:szCs w:val="24"/>
            </w:rPr>
            <w:t>dividend distribution policy they try to offer to their shareholders as much as possible to make sure they keep a high level of funds and high level of investments for company future grow.</w:t>
          </w:r>
        </w:p>
        <w:p w14:paraId="3C002388" w14:textId="77777777" w:rsidR="004C18EC" w:rsidRPr="004C18EC" w:rsidRDefault="004C18EC" w:rsidP="004C18EC">
          <w:pPr>
            <w:spacing w:line="240" w:lineRule="auto"/>
            <w:jc w:val="both"/>
            <w:rPr>
              <w:rFonts w:ascii="Arial" w:hAnsi="Arial"/>
              <w:sz w:val="24"/>
              <w:szCs w:val="24"/>
            </w:rPr>
          </w:pPr>
          <w:r w:rsidRPr="004C18EC">
            <w:rPr>
              <w:rFonts w:ascii="Arial" w:hAnsi="Arial"/>
              <w:sz w:val="24"/>
              <w:szCs w:val="24"/>
            </w:rPr>
            <w:t>In 2021, the Shareholders' Department handled approximately 800 requests for Company information from individual shareholders. Shareholders can use this stream to get detailed information about the business's progression, Inditex's strategy, or any other issue they presume is critical to the Group's long run.</w:t>
          </w:r>
        </w:p>
        <w:p w14:paraId="5BAB646A" w14:textId="6C5FE2F5" w:rsidR="004814B0" w:rsidRDefault="004C18EC" w:rsidP="004C18EC">
          <w:pPr>
            <w:spacing w:line="240" w:lineRule="auto"/>
            <w:jc w:val="both"/>
            <w:rPr>
              <w:rFonts w:ascii="Arial" w:hAnsi="Arial"/>
              <w:sz w:val="24"/>
              <w:szCs w:val="24"/>
            </w:rPr>
          </w:pPr>
          <w:r w:rsidRPr="004C18EC">
            <w:rPr>
              <w:rFonts w:ascii="Arial" w:hAnsi="Arial"/>
              <w:sz w:val="24"/>
              <w:szCs w:val="24"/>
            </w:rPr>
            <w:t>When the Annual General Meeting is named, which is usually in mid-July, the Individual Shareholders' Unit takes on added importance. Inditex gives an accurate data and documentation to shareholders in order supply them with adequate knowledge of the meeting's chat and suggested content, as well as to enable their participation in the decision-making process of the Group's highest government board.</w:t>
          </w:r>
        </w:p>
        <w:p w14:paraId="56090150" w14:textId="32844FA0" w:rsidR="004814B0" w:rsidRDefault="004814B0" w:rsidP="004814B0">
          <w:pPr>
            <w:spacing w:line="240" w:lineRule="auto"/>
            <w:jc w:val="both"/>
            <w:rPr>
              <w:rFonts w:ascii="Arial" w:hAnsi="Arial"/>
              <w:sz w:val="24"/>
              <w:szCs w:val="24"/>
            </w:rPr>
          </w:pPr>
        </w:p>
        <w:p w14:paraId="18EF86BE" w14:textId="3810E3CB" w:rsidR="004814B0" w:rsidRDefault="004814B0" w:rsidP="004814B0">
          <w:pPr>
            <w:spacing w:line="240" w:lineRule="auto"/>
            <w:jc w:val="both"/>
            <w:rPr>
              <w:rFonts w:ascii="Arial" w:hAnsi="Arial"/>
              <w:sz w:val="24"/>
              <w:szCs w:val="24"/>
            </w:rPr>
          </w:pPr>
        </w:p>
        <w:p w14:paraId="7AFFA222" w14:textId="1216DA9A" w:rsidR="004814B0" w:rsidRDefault="004814B0" w:rsidP="004814B0">
          <w:pPr>
            <w:spacing w:line="240" w:lineRule="auto"/>
            <w:jc w:val="both"/>
            <w:rPr>
              <w:rFonts w:ascii="Arial" w:hAnsi="Arial"/>
              <w:b/>
              <w:bCs/>
              <w:sz w:val="24"/>
              <w:szCs w:val="24"/>
            </w:rPr>
          </w:pPr>
          <w:r>
            <w:rPr>
              <w:rFonts w:ascii="Arial" w:hAnsi="Arial"/>
              <w:b/>
              <w:bCs/>
              <w:sz w:val="24"/>
              <w:szCs w:val="24"/>
            </w:rPr>
            <w:t>INDITEX Market Theory</w:t>
          </w:r>
        </w:p>
        <w:p w14:paraId="756BBF6C" w14:textId="77777777" w:rsidR="009A57AF" w:rsidRPr="009A57AF" w:rsidRDefault="009A57AF" w:rsidP="009A57AF">
          <w:pPr>
            <w:spacing w:line="240" w:lineRule="auto"/>
            <w:jc w:val="both"/>
            <w:rPr>
              <w:rFonts w:ascii="Arial" w:hAnsi="Arial"/>
              <w:sz w:val="24"/>
              <w:szCs w:val="24"/>
            </w:rPr>
          </w:pPr>
          <w:r w:rsidRPr="009A57AF">
            <w:rPr>
              <w:rFonts w:ascii="Arial" w:hAnsi="Arial"/>
              <w:sz w:val="24"/>
              <w:szCs w:val="24"/>
            </w:rPr>
            <w:t xml:space="preserve">International expansion theory focuses on multinational corporations and their interactions with the outer world. Internationalization theory is also focused on the internal environment of Multinational enterprises, with the objective of comprehending the processes and motivations that lead to a company's decision to expand its operations beyond its </w:t>
          </w:r>
          <w:proofErr w:type="gramStart"/>
          <w:r w:rsidRPr="009A57AF">
            <w:rPr>
              <w:rFonts w:ascii="Arial" w:hAnsi="Arial"/>
              <w:sz w:val="24"/>
              <w:szCs w:val="24"/>
            </w:rPr>
            <w:t>borders  defines</w:t>
          </w:r>
          <w:proofErr w:type="gramEnd"/>
          <w:r w:rsidRPr="009A57AF">
            <w:rPr>
              <w:rFonts w:ascii="Arial" w:hAnsi="Arial"/>
              <w:sz w:val="24"/>
              <w:szCs w:val="24"/>
            </w:rPr>
            <w:t xml:space="preserve"> it as a noticeable movement of the firm's activities.</w:t>
          </w:r>
        </w:p>
        <w:p w14:paraId="11CD088F" w14:textId="601FDA7A" w:rsidR="009A57AF" w:rsidRDefault="009A57AF" w:rsidP="009A57AF">
          <w:pPr>
            <w:spacing w:line="240" w:lineRule="auto"/>
            <w:jc w:val="both"/>
            <w:rPr>
              <w:rFonts w:ascii="Arial" w:hAnsi="Arial"/>
              <w:sz w:val="24"/>
              <w:szCs w:val="24"/>
            </w:rPr>
          </w:pPr>
          <w:r w:rsidRPr="009A57AF">
            <w:rPr>
              <w:rFonts w:ascii="Arial" w:hAnsi="Arial"/>
              <w:sz w:val="24"/>
              <w:szCs w:val="24"/>
            </w:rPr>
            <w:t xml:space="preserve">Because internationalisation theory examines both external environment interaction and internal organisation, the </w:t>
          </w:r>
          <w:proofErr w:type="gramStart"/>
          <w:r w:rsidRPr="009A57AF">
            <w:rPr>
              <w:rFonts w:ascii="Arial" w:hAnsi="Arial"/>
              <w:sz w:val="24"/>
              <w:szCs w:val="24"/>
            </w:rPr>
            <w:t>main focus</w:t>
          </w:r>
          <w:proofErr w:type="gramEnd"/>
          <w:r w:rsidRPr="009A57AF">
            <w:rPr>
              <w:rFonts w:ascii="Arial" w:hAnsi="Arial"/>
              <w:sz w:val="24"/>
              <w:szCs w:val="24"/>
            </w:rPr>
            <w:t xml:space="preserve"> here is on company inward and outward progress. the scope of internationalisation theory is Multinational enterprises behaviour. Multinational corporations are creating networks as they interact with their surroundings.</w:t>
          </w:r>
          <w:r w:rsidR="003224B7">
            <w:rPr>
              <w:rFonts w:ascii="Arial" w:hAnsi="Arial"/>
              <w:sz w:val="24"/>
              <w:szCs w:val="24"/>
            </w:rPr>
            <w:t xml:space="preserve"> </w:t>
          </w:r>
          <w:r w:rsidR="003224B7" w:rsidRPr="003224B7">
            <w:rPr>
              <w:rFonts w:ascii="Arial" w:hAnsi="Arial"/>
              <w:sz w:val="24"/>
              <w:szCs w:val="24"/>
            </w:rPr>
            <w:t>Those certain channels have varying degrees of power among affiliates. The efficiency and effectiveness of Multinational enterprises can be assessed using internationalisation theory, which analyses the benefits of established interdependencies in different countries. In other words, firm boundaries are defined by costs, as well as further market internalisation is characterised by benefits.</w:t>
          </w:r>
        </w:p>
        <w:p w14:paraId="39E90EB8" w14:textId="3C47A6EA" w:rsidR="00A748D2" w:rsidRDefault="003C74F8" w:rsidP="009A57AF">
          <w:pPr>
            <w:spacing w:line="240" w:lineRule="auto"/>
            <w:jc w:val="both"/>
            <w:rPr>
              <w:rFonts w:ascii="Arial" w:hAnsi="Arial"/>
              <w:sz w:val="24"/>
              <w:szCs w:val="24"/>
            </w:rPr>
          </w:pPr>
          <w:r w:rsidRPr="003C74F8">
            <w:rPr>
              <w:rFonts w:ascii="Arial" w:hAnsi="Arial"/>
              <w:sz w:val="24"/>
              <w:szCs w:val="24"/>
            </w:rPr>
            <w:t>Stocks, according to the E</w:t>
          </w:r>
          <w:r>
            <w:rPr>
              <w:rFonts w:ascii="Arial" w:hAnsi="Arial"/>
              <w:sz w:val="24"/>
              <w:szCs w:val="24"/>
            </w:rPr>
            <w:t xml:space="preserve">fficient </w:t>
          </w:r>
          <w:r w:rsidRPr="003C74F8">
            <w:rPr>
              <w:rFonts w:ascii="Arial" w:hAnsi="Arial"/>
              <w:sz w:val="24"/>
              <w:szCs w:val="24"/>
            </w:rPr>
            <w:t>M</w:t>
          </w:r>
          <w:r>
            <w:rPr>
              <w:rFonts w:ascii="Arial" w:hAnsi="Arial"/>
              <w:sz w:val="24"/>
              <w:szCs w:val="24"/>
            </w:rPr>
            <w:t xml:space="preserve">arket </w:t>
          </w:r>
          <w:r w:rsidRPr="003C74F8">
            <w:rPr>
              <w:rFonts w:ascii="Arial" w:hAnsi="Arial"/>
              <w:sz w:val="24"/>
              <w:szCs w:val="24"/>
            </w:rPr>
            <w:t>H</w:t>
          </w:r>
          <w:r>
            <w:rPr>
              <w:rFonts w:ascii="Arial" w:hAnsi="Arial"/>
              <w:sz w:val="24"/>
              <w:szCs w:val="24"/>
            </w:rPr>
            <w:t>ypothesis</w:t>
          </w:r>
          <w:r w:rsidRPr="003C74F8">
            <w:rPr>
              <w:rFonts w:ascii="Arial" w:hAnsi="Arial"/>
              <w:sz w:val="24"/>
              <w:szCs w:val="24"/>
            </w:rPr>
            <w:t xml:space="preserve">, always trade at their market value on exchanges, making it </w:t>
          </w:r>
          <w:r>
            <w:rPr>
              <w:rFonts w:ascii="Arial" w:hAnsi="Arial"/>
              <w:sz w:val="24"/>
              <w:szCs w:val="24"/>
            </w:rPr>
            <w:t>extremely difficult</w:t>
          </w:r>
          <w:r w:rsidRPr="003C74F8">
            <w:rPr>
              <w:rFonts w:ascii="Arial" w:hAnsi="Arial"/>
              <w:sz w:val="24"/>
              <w:szCs w:val="24"/>
            </w:rPr>
            <w:t xml:space="preserve"> for investors to buy </w:t>
          </w:r>
          <w:r>
            <w:rPr>
              <w:rFonts w:ascii="Arial" w:hAnsi="Arial"/>
              <w:sz w:val="24"/>
              <w:szCs w:val="24"/>
            </w:rPr>
            <w:t xml:space="preserve">underestimated </w:t>
          </w:r>
          <w:r w:rsidRPr="003C74F8">
            <w:rPr>
              <w:rFonts w:ascii="Arial" w:hAnsi="Arial"/>
              <w:sz w:val="24"/>
              <w:szCs w:val="24"/>
            </w:rPr>
            <w:t>stocks or sell for overpriced prices.</w:t>
          </w:r>
        </w:p>
        <w:p w14:paraId="1DF4F5B9" w14:textId="57C2AFAF" w:rsidR="008D3FD1" w:rsidRDefault="004E144B" w:rsidP="004E144B">
          <w:pPr>
            <w:rPr>
              <w:rFonts w:ascii="Arial" w:hAnsi="Arial"/>
              <w:sz w:val="24"/>
              <w:szCs w:val="24"/>
            </w:rPr>
          </w:pPr>
          <w:r>
            <w:rPr>
              <w:rFonts w:ascii="Arial" w:hAnsi="Arial"/>
              <w:sz w:val="24"/>
              <w:szCs w:val="24"/>
            </w:rPr>
            <w:t xml:space="preserve">As per today </w:t>
          </w:r>
          <w:r w:rsidR="003C74F8" w:rsidRPr="003C74F8">
            <w:rPr>
              <w:rFonts w:ascii="Arial" w:hAnsi="Arial"/>
              <w:sz w:val="24"/>
              <w:szCs w:val="24"/>
            </w:rPr>
            <w:t xml:space="preserve">Inditex closed at </w:t>
          </w:r>
          <w:r>
            <w:rPr>
              <w:rFonts w:ascii="Arial" w:hAnsi="Arial"/>
              <w:sz w:val="24"/>
              <w:szCs w:val="24"/>
              <w:lang w:val="ro-RO"/>
            </w:rPr>
            <w:t xml:space="preserve">  </w:t>
          </w:r>
          <w:r w:rsidRPr="004E144B">
            <w:rPr>
              <w:rFonts w:ascii="Arial" w:eastAsia="Times New Roman" w:hAnsi="Arial" w:cs="Arial"/>
              <w:color w:val="4D5156"/>
              <w:sz w:val="21"/>
              <w:szCs w:val="21"/>
              <w:shd w:val="clear" w:color="auto" w:fill="FFFFFF"/>
              <w:lang w:eastAsia="en-GB"/>
            </w:rPr>
            <w:t>€</w:t>
          </w:r>
          <w:r w:rsidR="003C74F8" w:rsidRPr="003C74F8">
            <w:rPr>
              <w:rFonts w:ascii="Arial" w:hAnsi="Arial"/>
              <w:sz w:val="24"/>
              <w:szCs w:val="24"/>
            </w:rPr>
            <w:t xml:space="preserve">26.76 on Friday, January 6th, </w:t>
          </w:r>
          <w:proofErr w:type="gramStart"/>
          <w:r w:rsidR="003C74F8" w:rsidRPr="003C74F8">
            <w:rPr>
              <w:rFonts w:ascii="Arial" w:hAnsi="Arial"/>
              <w:sz w:val="24"/>
              <w:szCs w:val="24"/>
            </w:rPr>
            <w:t xml:space="preserve">up </w:t>
          </w:r>
          <w:r w:rsidR="004C18EC">
            <w:rPr>
              <w:rFonts w:ascii="Arial" w:hAnsi="Arial"/>
              <w:sz w:val="24"/>
              <w:szCs w:val="24"/>
            </w:rPr>
            <w:t xml:space="preserve"> by</w:t>
          </w:r>
          <w:proofErr w:type="gramEnd"/>
          <w:r w:rsidR="004C18EC">
            <w:rPr>
              <w:rFonts w:ascii="Arial" w:hAnsi="Arial"/>
              <w:sz w:val="24"/>
              <w:szCs w:val="24"/>
            </w:rPr>
            <w:t xml:space="preserve"> </w:t>
          </w:r>
          <w:r w:rsidR="003C74F8" w:rsidRPr="003C74F8">
            <w:rPr>
              <w:rFonts w:ascii="Arial" w:hAnsi="Arial"/>
              <w:sz w:val="24"/>
              <w:szCs w:val="24"/>
            </w:rPr>
            <w:t xml:space="preserve">0.44 </w:t>
          </w:r>
          <w:r w:rsidR="004C18EC">
            <w:rPr>
              <w:rFonts w:ascii="Arial" w:hAnsi="Arial"/>
              <w:sz w:val="24"/>
              <w:szCs w:val="24"/>
            </w:rPr>
            <w:t xml:space="preserve">% comparing with </w:t>
          </w:r>
          <w:r w:rsidR="003C74F8" w:rsidRPr="003C74F8">
            <w:rPr>
              <w:rFonts w:ascii="Arial" w:hAnsi="Arial"/>
              <w:sz w:val="24"/>
              <w:szCs w:val="24"/>
            </w:rPr>
            <w:t xml:space="preserve">the </w:t>
          </w:r>
          <w:r w:rsidR="004C18EC">
            <w:rPr>
              <w:rFonts w:ascii="Arial" w:hAnsi="Arial"/>
              <w:sz w:val="24"/>
              <w:szCs w:val="24"/>
            </w:rPr>
            <w:t>last</w:t>
          </w:r>
          <w:r w:rsidR="003C74F8" w:rsidRPr="003C74F8">
            <w:rPr>
              <w:rFonts w:ascii="Arial" w:hAnsi="Arial"/>
              <w:sz w:val="24"/>
              <w:szCs w:val="24"/>
            </w:rPr>
            <w:t xml:space="preserve"> trading session. Inditex has gained 7.95 </w:t>
          </w:r>
          <w:r w:rsidR="004C18EC">
            <w:rPr>
              <w:rFonts w:ascii="Arial" w:hAnsi="Arial"/>
              <w:sz w:val="24"/>
              <w:szCs w:val="24"/>
            </w:rPr>
            <w:t>%</w:t>
          </w:r>
          <w:r w:rsidR="003C74F8" w:rsidRPr="003C74F8">
            <w:rPr>
              <w:rFonts w:ascii="Arial" w:hAnsi="Arial"/>
              <w:sz w:val="24"/>
              <w:szCs w:val="24"/>
            </w:rPr>
            <w:t xml:space="preserve"> in the last </w:t>
          </w:r>
          <w:r w:rsidR="004C18EC">
            <w:rPr>
              <w:rFonts w:ascii="Arial" w:hAnsi="Arial"/>
              <w:sz w:val="24"/>
              <w:szCs w:val="24"/>
            </w:rPr>
            <w:t>month</w:t>
          </w:r>
          <w:r w:rsidR="003C74F8" w:rsidRPr="003C74F8">
            <w:rPr>
              <w:rFonts w:ascii="Arial" w:hAnsi="Arial"/>
              <w:sz w:val="24"/>
              <w:szCs w:val="24"/>
            </w:rPr>
            <w:t xml:space="preserve">. </w:t>
          </w:r>
          <w:r w:rsidR="004C18EC">
            <w:rPr>
              <w:rFonts w:ascii="Arial" w:hAnsi="Arial"/>
              <w:sz w:val="24"/>
              <w:szCs w:val="24"/>
            </w:rPr>
            <w:t>The</w:t>
          </w:r>
          <w:r w:rsidR="003C74F8" w:rsidRPr="003C74F8">
            <w:rPr>
              <w:rFonts w:ascii="Arial" w:hAnsi="Arial"/>
              <w:sz w:val="24"/>
              <w:szCs w:val="24"/>
            </w:rPr>
            <w:t xml:space="preserve"> price has dropped by 3.25 percent in the </w:t>
          </w:r>
          <w:proofErr w:type="spellStart"/>
          <w:r w:rsidR="004C18EC">
            <w:rPr>
              <w:rFonts w:ascii="Arial" w:hAnsi="Arial"/>
              <w:sz w:val="24"/>
              <w:szCs w:val="24"/>
            </w:rPr>
            <w:t>prevoius</w:t>
          </w:r>
          <w:proofErr w:type="spellEnd"/>
          <w:r w:rsidR="003C74F8" w:rsidRPr="003C74F8">
            <w:rPr>
              <w:rFonts w:ascii="Arial" w:hAnsi="Arial"/>
              <w:sz w:val="24"/>
              <w:szCs w:val="24"/>
            </w:rPr>
            <w:t xml:space="preserve"> year. </w:t>
          </w:r>
          <w:r w:rsidR="00134A08">
            <w:rPr>
              <w:rFonts w:ascii="Arial" w:hAnsi="Arial"/>
              <w:sz w:val="24"/>
              <w:szCs w:val="24"/>
            </w:rPr>
            <w:t>As stated by</w:t>
          </w:r>
          <w:r w:rsidR="003C74F8" w:rsidRPr="003C74F8">
            <w:rPr>
              <w:rFonts w:ascii="Arial" w:hAnsi="Arial"/>
              <w:sz w:val="24"/>
              <w:szCs w:val="24"/>
            </w:rPr>
            <w:t xml:space="preserve"> Trading Economics global macro model projections and, </w:t>
          </w:r>
          <w:proofErr w:type="gramStart"/>
          <w:r w:rsidR="00D568C3">
            <w:rPr>
              <w:rFonts w:ascii="Arial" w:hAnsi="Arial"/>
              <w:sz w:val="24"/>
              <w:szCs w:val="24"/>
            </w:rPr>
            <w:t xml:space="preserve">INDITEX </w:t>
          </w:r>
          <w:r w:rsidR="008D3FD1">
            <w:rPr>
              <w:rFonts w:ascii="Arial" w:hAnsi="Arial"/>
              <w:sz w:val="24"/>
              <w:szCs w:val="24"/>
            </w:rPr>
            <w:t xml:space="preserve"> </w:t>
          </w:r>
          <w:r w:rsidR="00134A08">
            <w:rPr>
              <w:rFonts w:ascii="Arial" w:hAnsi="Arial"/>
              <w:sz w:val="24"/>
              <w:szCs w:val="24"/>
            </w:rPr>
            <w:t>tend</w:t>
          </w:r>
          <w:proofErr w:type="gramEnd"/>
          <w:r w:rsidR="00134A08">
            <w:rPr>
              <w:rFonts w:ascii="Arial" w:hAnsi="Arial"/>
              <w:sz w:val="24"/>
              <w:szCs w:val="24"/>
            </w:rPr>
            <w:t xml:space="preserve"> </w:t>
          </w:r>
          <w:r w:rsidR="003C74F8" w:rsidRPr="003C74F8">
            <w:rPr>
              <w:rFonts w:ascii="Arial" w:hAnsi="Arial"/>
              <w:sz w:val="24"/>
              <w:szCs w:val="24"/>
            </w:rPr>
            <w:t>to be priced at</w:t>
          </w:r>
          <w:r w:rsidR="00D568C3">
            <w:rPr>
              <w:rFonts w:ascii="Arial" w:hAnsi="Arial"/>
              <w:sz w:val="24"/>
              <w:szCs w:val="24"/>
            </w:rPr>
            <w:t xml:space="preserve">  </w:t>
          </w:r>
          <w:r w:rsidR="00D568C3" w:rsidRPr="00D568C3">
            <w:rPr>
              <w:rFonts w:ascii="Arial" w:eastAsia="Times New Roman" w:hAnsi="Arial" w:cs="Arial"/>
              <w:color w:val="4D5156"/>
              <w:sz w:val="21"/>
              <w:szCs w:val="21"/>
              <w:shd w:val="clear" w:color="auto" w:fill="FFFFFF"/>
              <w:lang w:eastAsia="en-GB"/>
            </w:rPr>
            <w:t>€</w:t>
          </w:r>
          <w:r w:rsidR="003C74F8" w:rsidRPr="003C74F8">
            <w:rPr>
              <w:rFonts w:ascii="Arial" w:hAnsi="Arial"/>
              <w:sz w:val="24"/>
              <w:szCs w:val="24"/>
            </w:rPr>
            <w:t xml:space="preserve">24.05 by the end of this quarter and at </w:t>
          </w:r>
          <w:r w:rsidR="008D3FD1" w:rsidRPr="00D568C3">
            <w:rPr>
              <w:rFonts w:ascii="Arial" w:eastAsia="Times New Roman" w:hAnsi="Arial" w:cs="Arial"/>
              <w:color w:val="4D5156"/>
              <w:sz w:val="21"/>
              <w:szCs w:val="21"/>
              <w:shd w:val="clear" w:color="auto" w:fill="FFFFFF"/>
              <w:lang w:eastAsia="en-GB"/>
            </w:rPr>
            <w:t>€</w:t>
          </w:r>
          <w:r w:rsidR="008D3FD1" w:rsidRPr="003C74F8">
            <w:rPr>
              <w:rFonts w:ascii="Arial" w:hAnsi="Arial"/>
              <w:sz w:val="24"/>
              <w:szCs w:val="24"/>
            </w:rPr>
            <w:t>21.79 in one year.</w:t>
          </w:r>
        </w:p>
        <w:p w14:paraId="22C5DC3B" w14:textId="1A920B66" w:rsidR="008D3FD1" w:rsidRDefault="008D3FD1" w:rsidP="004E144B">
          <w:pPr>
            <w:rPr>
              <w:rFonts w:ascii="Arial" w:hAnsi="Arial"/>
              <w:sz w:val="24"/>
              <w:szCs w:val="24"/>
            </w:rPr>
          </w:pPr>
          <w:r>
            <w:rPr>
              <w:rFonts w:ascii="Arial" w:hAnsi="Arial"/>
              <w:sz w:val="24"/>
              <w:szCs w:val="24"/>
            </w:rPr>
            <w:lastRenderedPageBreak/>
            <w:t>As we can see on the chart below</w:t>
          </w:r>
          <w:r w:rsidR="009B7D80">
            <w:rPr>
              <w:rFonts w:ascii="Arial" w:hAnsi="Arial"/>
              <w:sz w:val="24"/>
              <w:szCs w:val="24"/>
            </w:rPr>
            <w:t xml:space="preserve"> </w:t>
          </w:r>
          <w:r w:rsidR="00D623AE">
            <w:rPr>
              <w:rFonts w:ascii="Arial" w:hAnsi="Arial"/>
              <w:sz w:val="24"/>
              <w:szCs w:val="24"/>
            </w:rPr>
            <w:t xml:space="preserve">(fig., 1) </w:t>
          </w:r>
          <w:r w:rsidR="009B7D80">
            <w:rPr>
              <w:rFonts w:ascii="Arial" w:hAnsi="Arial"/>
              <w:sz w:val="24"/>
              <w:szCs w:val="24"/>
            </w:rPr>
            <w:t xml:space="preserve">the price per share is going up and </w:t>
          </w:r>
          <w:proofErr w:type="spellStart"/>
          <w:proofErr w:type="gramStart"/>
          <w:r w:rsidR="009B7D80">
            <w:rPr>
              <w:rFonts w:ascii="Arial" w:hAnsi="Arial"/>
              <w:sz w:val="24"/>
              <w:szCs w:val="24"/>
            </w:rPr>
            <w:t>down.The</w:t>
          </w:r>
          <w:proofErr w:type="spellEnd"/>
          <w:proofErr w:type="gramEnd"/>
          <w:r w:rsidR="009B7D80">
            <w:rPr>
              <w:rFonts w:ascii="Arial" w:hAnsi="Arial"/>
              <w:sz w:val="24"/>
              <w:szCs w:val="24"/>
            </w:rPr>
            <w:t xml:space="preserve"> highest price was registered in 2020 and 2021 </w:t>
          </w:r>
          <w:r w:rsidR="00D623AE">
            <w:rPr>
              <w:rFonts w:ascii="Arial" w:hAnsi="Arial"/>
              <w:sz w:val="24"/>
              <w:szCs w:val="24"/>
            </w:rPr>
            <w:t>which</w:t>
          </w:r>
          <w:r w:rsidR="009B7D80">
            <w:rPr>
              <w:rFonts w:ascii="Arial" w:hAnsi="Arial"/>
              <w:sz w:val="24"/>
              <w:szCs w:val="24"/>
            </w:rPr>
            <w:t xml:space="preserve"> was </w:t>
          </w:r>
          <w:r w:rsidR="009B7D80" w:rsidRPr="00D568C3">
            <w:rPr>
              <w:rFonts w:ascii="Arial" w:eastAsia="Times New Roman" w:hAnsi="Arial" w:cs="Arial"/>
              <w:color w:val="4D5156"/>
              <w:sz w:val="21"/>
              <w:szCs w:val="21"/>
              <w:shd w:val="clear" w:color="auto" w:fill="FFFFFF"/>
              <w:lang w:eastAsia="en-GB"/>
            </w:rPr>
            <w:t>€</w:t>
          </w:r>
          <w:r w:rsidR="009B7D80">
            <w:rPr>
              <w:rFonts w:ascii="Arial" w:hAnsi="Arial"/>
              <w:sz w:val="24"/>
              <w:szCs w:val="24"/>
            </w:rPr>
            <w:t xml:space="preserve">31 in 2020 and </w:t>
          </w:r>
          <w:r w:rsidR="009B7D80" w:rsidRPr="00D568C3">
            <w:rPr>
              <w:rFonts w:ascii="Arial" w:eastAsia="Times New Roman" w:hAnsi="Arial" w:cs="Arial"/>
              <w:color w:val="4D5156"/>
              <w:sz w:val="21"/>
              <w:szCs w:val="21"/>
              <w:shd w:val="clear" w:color="auto" w:fill="FFFFFF"/>
              <w:lang w:eastAsia="en-GB"/>
            </w:rPr>
            <w:t>€</w:t>
          </w:r>
          <w:r w:rsidR="009B7D80">
            <w:rPr>
              <w:rFonts w:ascii="Arial" w:hAnsi="Arial"/>
              <w:sz w:val="24"/>
              <w:szCs w:val="24"/>
            </w:rPr>
            <w:t xml:space="preserve">33 in </w:t>
          </w:r>
          <w:r w:rsidR="00D623AE">
            <w:rPr>
              <w:rFonts w:ascii="Arial" w:hAnsi="Arial"/>
              <w:sz w:val="24"/>
              <w:szCs w:val="24"/>
            </w:rPr>
            <w:t>2021 and a huge decline in price is registered  in May 2022 which means that the company was struggling.</w:t>
          </w:r>
        </w:p>
        <w:p w14:paraId="7EF92806" w14:textId="37816BAF" w:rsidR="00D623AE" w:rsidRPr="008D3FD1" w:rsidRDefault="008D3FD1" w:rsidP="004E144B">
          <w:pPr>
            <w:rPr>
              <w:rFonts w:ascii="Arial" w:hAnsi="Arial"/>
              <w:sz w:val="24"/>
              <w:szCs w:val="24"/>
            </w:rPr>
          </w:pPr>
          <w:r>
            <w:rPr>
              <w:rFonts w:ascii="Arial" w:hAnsi="Arial"/>
              <w:noProof/>
              <w:sz w:val="24"/>
              <w:szCs w:val="24"/>
            </w:rPr>
            <w:drawing>
              <wp:inline distT="0" distB="0" distL="0" distR="0" wp14:anchorId="5ACD3BDD" wp14:editId="191F4BA2">
                <wp:extent cx="5731510" cy="3954780"/>
                <wp:effectExtent l="0" t="0" r="0" b="0"/>
                <wp:docPr id="1" name="Picture 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954780"/>
                        </a:xfrm>
                        <a:prstGeom prst="rect">
                          <a:avLst/>
                        </a:prstGeom>
                      </pic:spPr>
                    </pic:pic>
                  </a:graphicData>
                </a:graphic>
              </wp:inline>
            </w:drawing>
          </w:r>
          <w:r w:rsidR="00D568C3">
            <w:rPr>
              <w:rFonts w:ascii="Arial" w:hAnsi="Arial"/>
              <w:sz w:val="24"/>
              <w:szCs w:val="24"/>
            </w:rPr>
            <w:t xml:space="preserve"> </w:t>
          </w:r>
        </w:p>
        <w:p w14:paraId="63877F6F" w14:textId="7B0CFC00" w:rsidR="00A748D2" w:rsidRDefault="00D623AE" w:rsidP="00D623AE">
          <w:pPr>
            <w:spacing w:line="240" w:lineRule="auto"/>
            <w:jc w:val="center"/>
            <w:rPr>
              <w:rFonts w:ascii="Arial" w:hAnsi="Arial"/>
              <w:sz w:val="24"/>
              <w:szCs w:val="24"/>
            </w:rPr>
          </w:pPr>
          <w:r>
            <w:rPr>
              <w:rFonts w:ascii="Arial" w:hAnsi="Arial"/>
              <w:sz w:val="24"/>
              <w:szCs w:val="24"/>
            </w:rPr>
            <w:t>(fig. 1)</w:t>
          </w:r>
        </w:p>
        <w:p w14:paraId="3C2C8DA0" w14:textId="14421642" w:rsidR="00D623AE" w:rsidRDefault="00D623AE" w:rsidP="00D623AE">
          <w:pPr>
            <w:spacing w:line="240" w:lineRule="auto"/>
            <w:jc w:val="center"/>
            <w:rPr>
              <w:rFonts w:ascii="Arial" w:hAnsi="Arial"/>
              <w:sz w:val="24"/>
              <w:szCs w:val="24"/>
            </w:rPr>
          </w:pPr>
        </w:p>
        <w:p w14:paraId="465CA15E" w14:textId="095C17F2" w:rsidR="00D623AE" w:rsidRDefault="00D623AE" w:rsidP="00D623AE">
          <w:pPr>
            <w:spacing w:line="240" w:lineRule="auto"/>
            <w:rPr>
              <w:rFonts w:ascii="Arial" w:hAnsi="Arial"/>
              <w:b/>
              <w:bCs/>
              <w:sz w:val="24"/>
              <w:szCs w:val="24"/>
            </w:rPr>
          </w:pPr>
          <w:r>
            <w:rPr>
              <w:rFonts w:ascii="Arial" w:hAnsi="Arial"/>
              <w:b/>
              <w:bCs/>
              <w:sz w:val="24"/>
              <w:szCs w:val="24"/>
            </w:rPr>
            <w:t>INDITEX Methods of appraising Projects</w:t>
          </w:r>
        </w:p>
        <w:p w14:paraId="02281A48" w14:textId="77777777" w:rsidR="00134A08" w:rsidRPr="00134A08" w:rsidRDefault="00134A08" w:rsidP="00134A08">
          <w:pPr>
            <w:spacing w:line="240" w:lineRule="auto"/>
            <w:rPr>
              <w:rFonts w:ascii="Arial" w:hAnsi="Arial"/>
              <w:sz w:val="24"/>
              <w:szCs w:val="24"/>
            </w:rPr>
          </w:pPr>
          <w:r w:rsidRPr="00134A08">
            <w:rPr>
              <w:rFonts w:ascii="Arial" w:hAnsi="Arial"/>
              <w:sz w:val="24"/>
              <w:szCs w:val="24"/>
            </w:rPr>
            <w:t>Shareholders, for example, would be unable to base their financing decisions and allocate their assets in a way that maximises their return if they did not know how much a company is worth.</w:t>
          </w:r>
        </w:p>
        <w:p w14:paraId="5784E896" w14:textId="77777777" w:rsidR="00134A08" w:rsidRPr="00134A08" w:rsidRDefault="00134A08" w:rsidP="00134A08">
          <w:pPr>
            <w:spacing w:line="240" w:lineRule="auto"/>
            <w:rPr>
              <w:rFonts w:ascii="Arial" w:hAnsi="Arial"/>
              <w:sz w:val="24"/>
              <w:szCs w:val="24"/>
            </w:rPr>
          </w:pPr>
          <w:r w:rsidRPr="00134A08">
            <w:rPr>
              <w:rFonts w:ascii="Arial" w:hAnsi="Arial"/>
              <w:sz w:val="24"/>
              <w:szCs w:val="24"/>
            </w:rPr>
            <w:t>As a result, project evaluation is a critical operation that firms perform every day that allows for future profit and growth.</w:t>
          </w:r>
        </w:p>
        <w:p w14:paraId="2D0F4DAC" w14:textId="2822825A" w:rsidR="00C44ED5" w:rsidRDefault="00134A08" w:rsidP="00134A08">
          <w:pPr>
            <w:spacing w:line="240" w:lineRule="auto"/>
            <w:rPr>
              <w:rFonts w:ascii="Arial" w:hAnsi="Arial"/>
              <w:sz w:val="24"/>
              <w:szCs w:val="24"/>
            </w:rPr>
          </w:pPr>
          <w:r w:rsidRPr="00134A08">
            <w:rPr>
              <w:rFonts w:ascii="Arial" w:hAnsi="Arial"/>
              <w:sz w:val="24"/>
              <w:szCs w:val="24"/>
            </w:rPr>
            <w:t>The significance of equity valuation today cannot be overstated. Even when relying on peer information or a diverse set of assets such as cash flows, options, or dividends, it is now possible to access worth and calculate a firm's stock price as a means of providing data to all market participants</w:t>
          </w:r>
          <w:r w:rsidR="00C44ED5" w:rsidRPr="00C44ED5">
            <w:rPr>
              <w:rFonts w:ascii="Arial" w:hAnsi="Arial"/>
              <w:sz w:val="24"/>
              <w:szCs w:val="24"/>
            </w:rPr>
            <w:t>.</w:t>
          </w:r>
        </w:p>
        <w:p w14:paraId="4E35BB1A" w14:textId="550B53B1" w:rsidR="00976B34" w:rsidRPr="00976B34" w:rsidRDefault="00976B34" w:rsidP="00976B34">
          <w:pPr>
            <w:spacing w:line="240" w:lineRule="auto"/>
            <w:rPr>
              <w:rFonts w:ascii="Arial" w:hAnsi="Arial"/>
              <w:sz w:val="24"/>
              <w:szCs w:val="24"/>
            </w:rPr>
          </w:pPr>
          <w:r w:rsidRPr="00976B34">
            <w:rPr>
              <w:rFonts w:ascii="Arial" w:hAnsi="Arial"/>
              <w:sz w:val="24"/>
              <w:szCs w:val="24"/>
            </w:rPr>
            <w:t xml:space="preserve">Inditex's stock price will be valued using a variety of valuation models varying from multiple valuation to discounted cash </w:t>
          </w:r>
          <w:r w:rsidRPr="00976B34">
            <w:rPr>
              <w:rFonts w:ascii="Arial" w:hAnsi="Arial"/>
              <w:sz w:val="24"/>
              <w:szCs w:val="24"/>
            </w:rPr>
            <w:t>flow method</w:t>
          </w:r>
          <w:r w:rsidRPr="00976B34">
            <w:rPr>
              <w:rFonts w:ascii="Arial" w:hAnsi="Arial"/>
              <w:sz w:val="24"/>
              <w:szCs w:val="24"/>
            </w:rPr>
            <w:t xml:space="preserve">. </w:t>
          </w:r>
          <w:proofErr w:type="gramStart"/>
          <w:r w:rsidRPr="00976B34">
            <w:rPr>
              <w:rFonts w:ascii="Arial" w:hAnsi="Arial"/>
              <w:sz w:val="24"/>
              <w:szCs w:val="24"/>
            </w:rPr>
            <w:t>Regardless of the fact that</w:t>
          </w:r>
          <w:proofErr w:type="gramEnd"/>
          <w:r w:rsidRPr="00976B34">
            <w:rPr>
              <w:rFonts w:ascii="Arial" w:hAnsi="Arial"/>
              <w:sz w:val="24"/>
              <w:szCs w:val="24"/>
            </w:rPr>
            <w:t xml:space="preserve"> there is no agreement in the literature as to which valuation methods are more effective, it was possible to arrive at a precise estimate for Inditex's stock price and value by attempting to integrate various valuation methods.</w:t>
          </w:r>
        </w:p>
        <w:p w14:paraId="6365F83C" w14:textId="77777777" w:rsidR="00976B34" w:rsidRDefault="00976B34" w:rsidP="00976B34">
          <w:pPr>
            <w:spacing w:line="240" w:lineRule="auto"/>
            <w:rPr>
              <w:rFonts w:ascii="Arial" w:hAnsi="Arial"/>
              <w:sz w:val="24"/>
              <w:szCs w:val="24"/>
            </w:rPr>
          </w:pPr>
          <w:r w:rsidRPr="00976B34">
            <w:rPr>
              <w:rFonts w:ascii="Arial" w:hAnsi="Arial"/>
              <w:sz w:val="24"/>
              <w:szCs w:val="24"/>
            </w:rPr>
            <w:lastRenderedPageBreak/>
            <w:t>An analysis will also be performed, in which the Weighted average cost of capital and growth rate will be changed to obtain different results.</w:t>
          </w:r>
        </w:p>
        <w:p w14:paraId="11BE1D9F" w14:textId="77777777" w:rsidR="00640D0E" w:rsidRPr="00640D0E" w:rsidRDefault="00640D0E" w:rsidP="00640D0E">
          <w:pPr>
            <w:spacing w:line="240" w:lineRule="auto"/>
            <w:rPr>
              <w:rFonts w:ascii="Arial" w:hAnsi="Arial"/>
              <w:sz w:val="24"/>
              <w:szCs w:val="24"/>
            </w:rPr>
          </w:pPr>
          <w:r w:rsidRPr="00640D0E">
            <w:rPr>
              <w:rFonts w:ascii="Arial" w:hAnsi="Arial"/>
              <w:sz w:val="24"/>
              <w:szCs w:val="24"/>
            </w:rPr>
            <w:t xml:space="preserve">One of the most common methods for determining the present value of a company, division, product, or project based on its cash flows is the Discounted Cash Flow methodology. </w:t>
          </w:r>
          <w:proofErr w:type="gramStart"/>
          <w:r w:rsidRPr="00640D0E">
            <w:rPr>
              <w:rFonts w:ascii="Arial" w:hAnsi="Arial"/>
              <w:sz w:val="24"/>
              <w:szCs w:val="24"/>
            </w:rPr>
            <w:t>One requirement,</w:t>
          </w:r>
          <w:proofErr w:type="gramEnd"/>
          <w:r w:rsidRPr="00640D0E">
            <w:rPr>
              <w:rFonts w:ascii="Arial" w:hAnsi="Arial"/>
              <w:sz w:val="24"/>
              <w:szCs w:val="24"/>
            </w:rPr>
            <w:t xml:space="preserve"> is that the analysts be specialists who understand the business, the firm's or cash flows' risk, and the cash flows' sustainability (2002).</w:t>
          </w:r>
        </w:p>
        <w:p w14:paraId="1C0DEF49" w14:textId="77777777" w:rsidR="00640D0E" w:rsidRDefault="00640D0E" w:rsidP="00640D0E">
          <w:pPr>
            <w:spacing w:line="240" w:lineRule="auto"/>
            <w:rPr>
              <w:rFonts w:ascii="Arial" w:hAnsi="Arial"/>
              <w:sz w:val="24"/>
              <w:szCs w:val="24"/>
            </w:rPr>
          </w:pPr>
          <w:r w:rsidRPr="00640D0E">
            <w:rPr>
              <w:rFonts w:ascii="Arial" w:hAnsi="Arial"/>
              <w:sz w:val="24"/>
              <w:szCs w:val="24"/>
            </w:rPr>
            <w:t>The company's valuation is described by the Discounted Cash Flow method as the current value of its assets discounted at a predefined discount rate. Experts must therefore confirm the company's essentials and market perceptions in order to more accurately forecast cash flows, but the choice of discount rate is also vital.</w:t>
          </w:r>
        </w:p>
        <w:p w14:paraId="5C462C9A" w14:textId="77777777" w:rsidR="006E11C5" w:rsidRPr="006E11C5" w:rsidRDefault="006E11C5" w:rsidP="006E11C5">
          <w:pPr>
            <w:spacing w:line="240" w:lineRule="auto"/>
            <w:rPr>
              <w:rFonts w:ascii="Arial" w:hAnsi="Arial"/>
              <w:sz w:val="24"/>
              <w:szCs w:val="24"/>
            </w:rPr>
          </w:pPr>
          <w:r w:rsidRPr="006E11C5">
            <w:rPr>
              <w:rFonts w:ascii="Arial" w:hAnsi="Arial"/>
              <w:sz w:val="24"/>
              <w:szCs w:val="24"/>
            </w:rPr>
            <w:t>Equity Valuation model involves the cash flows to equity becoming discounted at the indicated equity price. The cash flows to equity in this scenario are the funds flows that remain after all expenses, new investment needs, tax obligations, interest, and principal payments have been met. The discount rate, also known as the cost of equity, is the required rate of return on equity assets.</w:t>
          </w:r>
        </w:p>
        <w:p w14:paraId="0B2A0822" w14:textId="77777777" w:rsidR="006E11C5" w:rsidRPr="006E11C5" w:rsidRDefault="006E11C5" w:rsidP="006E11C5">
          <w:pPr>
            <w:spacing w:line="240" w:lineRule="auto"/>
            <w:rPr>
              <w:rFonts w:ascii="Arial" w:hAnsi="Arial"/>
              <w:sz w:val="24"/>
              <w:szCs w:val="24"/>
            </w:rPr>
          </w:pPr>
        </w:p>
        <w:p w14:paraId="2109B6A6" w14:textId="77777777" w:rsidR="006E11C5" w:rsidRDefault="006E11C5" w:rsidP="006E11C5">
          <w:pPr>
            <w:spacing w:line="240" w:lineRule="auto"/>
            <w:rPr>
              <w:rFonts w:ascii="Arial" w:hAnsi="Arial"/>
              <w:sz w:val="24"/>
              <w:szCs w:val="24"/>
            </w:rPr>
          </w:pPr>
          <w:r w:rsidRPr="006E11C5">
            <w:rPr>
              <w:rFonts w:ascii="Arial" w:hAnsi="Arial"/>
              <w:sz w:val="24"/>
              <w:szCs w:val="24"/>
            </w:rPr>
            <w:t>The Dividend Discount Approach is a variability on the Equity Pricing Model in which the reasonable price is determined by the present value of anticipated dividends. When investors purchase stocks, they anticipate receiving dividends during the waiting time as well as a final price for the stock.</w:t>
          </w:r>
        </w:p>
        <w:p w14:paraId="5CC6C11D" w14:textId="0CB0C33E" w:rsidR="00C62D8C" w:rsidRDefault="00C62D8C" w:rsidP="006E11C5">
          <w:pPr>
            <w:spacing w:line="240" w:lineRule="auto"/>
            <w:rPr>
              <w:rFonts w:ascii="Arial" w:hAnsi="Arial"/>
              <w:sz w:val="24"/>
              <w:szCs w:val="24"/>
            </w:rPr>
          </w:pPr>
          <w:r w:rsidRPr="00C62D8C">
            <w:rPr>
              <w:rFonts w:ascii="Arial" w:hAnsi="Arial"/>
              <w:sz w:val="24"/>
              <w:szCs w:val="24"/>
            </w:rPr>
            <w:t xml:space="preserve"> As a result, this model should be used to define the attractiveness of the stock as well as the stock exchange to which it </w:t>
          </w:r>
          <w:r w:rsidRPr="00C62D8C">
            <w:rPr>
              <w:rFonts w:ascii="Arial" w:hAnsi="Arial"/>
              <w:sz w:val="24"/>
              <w:szCs w:val="24"/>
            </w:rPr>
            <w:t>belongs.</w:t>
          </w:r>
          <w:r>
            <w:rPr>
              <w:rFonts w:ascii="Arial" w:hAnsi="Arial"/>
              <w:sz w:val="24"/>
              <w:szCs w:val="24"/>
            </w:rPr>
            <w:t xml:space="preserve"> </w:t>
          </w:r>
          <w:r w:rsidRPr="00C62D8C">
            <w:rPr>
              <w:rFonts w:ascii="Arial" w:hAnsi="Arial"/>
              <w:sz w:val="24"/>
              <w:szCs w:val="24"/>
            </w:rPr>
            <w:t>This</w:t>
          </w:r>
          <w:r w:rsidRPr="00C62D8C">
            <w:rPr>
              <w:rFonts w:ascii="Arial" w:hAnsi="Arial"/>
              <w:sz w:val="24"/>
              <w:szCs w:val="24"/>
            </w:rPr>
            <w:t xml:space="preserve"> method is likely to show how changes in inflation and interest rates affect stocks.</w:t>
          </w:r>
        </w:p>
        <w:p w14:paraId="3EC31707" w14:textId="5D574C65" w:rsidR="00BB7B57" w:rsidRDefault="00BB7B57" w:rsidP="00D079FD">
          <w:pPr>
            <w:spacing w:line="240" w:lineRule="auto"/>
            <w:rPr>
              <w:rFonts w:ascii="Arial" w:hAnsi="Arial"/>
              <w:sz w:val="24"/>
              <w:szCs w:val="24"/>
            </w:rPr>
          </w:pPr>
        </w:p>
        <w:p w14:paraId="791AB6B9" w14:textId="10E0D6F7" w:rsidR="00BB7B57" w:rsidRDefault="00BB7B57" w:rsidP="00D079FD">
          <w:pPr>
            <w:spacing w:line="240" w:lineRule="auto"/>
            <w:rPr>
              <w:rFonts w:ascii="Arial" w:hAnsi="Arial"/>
              <w:sz w:val="24"/>
              <w:szCs w:val="24"/>
            </w:rPr>
          </w:pPr>
        </w:p>
        <w:p w14:paraId="1CA369AB" w14:textId="441997D8" w:rsidR="00BB7B57" w:rsidRDefault="00BB7B57" w:rsidP="00D079FD">
          <w:pPr>
            <w:spacing w:line="240" w:lineRule="auto"/>
            <w:rPr>
              <w:rFonts w:ascii="Arial" w:hAnsi="Arial"/>
              <w:sz w:val="24"/>
              <w:szCs w:val="24"/>
            </w:rPr>
          </w:pPr>
        </w:p>
        <w:p w14:paraId="24E30154" w14:textId="328241D1" w:rsidR="00BB7B57" w:rsidRDefault="00BB7B57" w:rsidP="00D079FD">
          <w:pPr>
            <w:spacing w:line="240" w:lineRule="auto"/>
            <w:rPr>
              <w:rFonts w:ascii="Arial" w:hAnsi="Arial"/>
              <w:b/>
              <w:bCs/>
              <w:sz w:val="24"/>
              <w:szCs w:val="24"/>
            </w:rPr>
          </w:pPr>
          <w:r>
            <w:rPr>
              <w:rFonts w:ascii="Arial" w:hAnsi="Arial"/>
              <w:b/>
              <w:bCs/>
              <w:sz w:val="24"/>
              <w:szCs w:val="24"/>
            </w:rPr>
            <w:t>Conclusion</w:t>
          </w:r>
        </w:p>
        <w:p w14:paraId="4A23B642" w14:textId="52E6E34B" w:rsidR="00BB7B57" w:rsidRDefault="00BB7B57" w:rsidP="00D079FD">
          <w:pPr>
            <w:spacing w:line="240" w:lineRule="auto"/>
            <w:rPr>
              <w:rFonts w:ascii="Arial" w:hAnsi="Arial"/>
              <w:sz w:val="24"/>
              <w:szCs w:val="24"/>
            </w:rPr>
          </w:pPr>
          <w:r>
            <w:rPr>
              <w:rFonts w:ascii="Arial" w:hAnsi="Arial"/>
              <w:sz w:val="24"/>
              <w:szCs w:val="24"/>
            </w:rPr>
            <w:t xml:space="preserve">In </w:t>
          </w:r>
          <w:proofErr w:type="spellStart"/>
          <w:proofErr w:type="gramStart"/>
          <w:r>
            <w:rPr>
              <w:rFonts w:ascii="Arial" w:hAnsi="Arial"/>
              <w:sz w:val="24"/>
              <w:szCs w:val="24"/>
            </w:rPr>
            <w:t>conclusion,</w:t>
          </w:r>
          <w:r w:rsidRPr="00BB7B57">
            <w:rPr>
              <w:rFonts w:ascii="Arial" w:hAnsi="Arial"/>
              <w:sz w:val="24"/>
              <w:szCs w:val="24"/>
            </w:rPr>
            <w:t>Inditex</w:t>
          </w:r>
          <w:proofErr w:type="spellEnd"/>
          <w:proofErr w:type="gramEnd"/>
          <w:r w:rsidRPr="00BB7B57">
            <w:rPr>
              <w:rFonts w:ascii="Arial" w:hAnsi="Arial"/>
              <w:sz w:val="24"/>
              <w:szCs w:val="24"/>
            </w:rPr>
            <w:t xml:space="preserve"> brands are targeted at all target markets. The Group is constantly expanding with new stores and brands.</w:t>
          </w:r>
          <w:r w:rsidR="004C28ED">
            <w:rPr>
              <w:rFonts w:ascii="Arial" w:hAnsi="Arial"/>
              <w:sz w:val="24"/>
              <w:szCs w:val="24"/>
            </w:rPr>
            <w:t xml:space="preserve"> </w:t>
          </w:r>
          <w:r w:rsidR="004C28ED" w:rsidRPr="004C28ED">
            <w:rPr>
              <w:rFonts w:ascii="Arial" w:hAnsi="Arial"/>
              <w:sz w:val="24"/>
              <w:szCs w:val="24"/>
            </w:rPr>
            <w:t>Inditex is a major co</w:t>
          </w:r>
          <w:r w:rsidR="004C28ED">
            <w:rPr>
              <w:rFonts w:ascii="Arial" w:hAnsi="Arial"/>
              <w:sz w:val="24"/>
              <w:szCs w:val="24"/>
            </w:rPr>
            <w:t>mpetitor</w:t>
          </w:r>
          <w:r w:rsidR="004C28ED" w:rsidRPr="004C28ED">
            <w:rPr>
              <w:rFonts w:ascii="Arial" w:hAnsi="Arial"/>
              <w:sz w:val="24"/>
              <w:szCs w:val="24"/>
            </w:rPr>
            <w:t xml:space="preserve"> in the </w:t>
          </w:r>
          <w:r w:rsidR="004C28ED" w:rsidRPr="004C28ED">
            <w:rPr>
              <w:rFonts w:ascii="Arial" w:hAnsi="Arial"/>
              <w:sz w:val="24"/>
              <w:szCs w:val="24"/>
            </w:rPr>
            <w:t>fast fashion</w:t>
          </w:r>
          <w:r w:rsidR="004C28ED" w:rsidRPr="004C28ED">
            <w:rPr>
              <w:rFonts w:ascii="Arial" w:hAnsi="Arial"/>
              <w:sz w:val="24"/>
              <w:szCs w:val="24"/>
            </w:rPr>
            <w:t xml:space="preserve"> industry, as evidenced by their high Environmental Social and Governance score and profitable earnings reports. This study indicates how unusual and intriguing ESG investing is as a business strategy and implementation for companies worldwide.</w:t>
          </w:r>
        </w:p>
        <w:p w14:paraId="7EAA9281" w14:textId="08D1F3E8" w:rsidR="004C28ED" w:rsidRDefault="004C28ED" w:rsidP="00D079FD">
          <w:pPr>
            <w:spacing w:line="240" w:lineRule="auto"/>
            <w:rPr>
              <w:rFonts w:ascii="Arial" w:hAnsi="Arial"/>
              <w:sz w:val="24"/>
              <w:szCs w:val="24"/>
            </w:rPr>
          </w:pPr>
          <w:r>
            <w:rPr>
              <w:rFonts w:ascii="Arial" w:hAnsi="Arial"/>
              <w:sz w:val="24"/>
              <w:szCs w:val="24"/>
            </w:rPr>
            <w:t xml:space="preserve">The dividend policy is sustainable and </w:t>
          </w:r>
          <w:r w:rsidR="006E11C5">
            <w:rPr>
              <w:rFonts w:ascii="Arial" w:hAnsi="Arial"/>
              <w:sz w:val="24"/>
              <w:szCs w:val="24"/>
            </w:rPr>
            <w:t>consistent,</w:t>
          </w:r>
          <w:r>
            <w:rPr>
              <w:rFonts w:ascii="Arial" w:hAnsi="Arial"/>
              <w:sz w:val="24"/>
              <w:szCs w:val="24"/>
            </w:rPr>
            <w:t xml:space="preserve"> so </w:t>
          </w:r>
          <w:r w:rsidR="001C437D">
            <w:rPr>
              <w:rFonts w:ascii="Arial" w:hAnsi="Arial"/>
              <w:sz w:val="24"/>
              <w:szCs w:val="24"/>
            </w:rPr>
            <w:t>the company is ensured to have investors all the time and a future growth.</w:t>
          </w:r>
        </w:p>
        <w:p w14:paraId="3116B999" w14:textId="77777777" w:rsidR="001C437D" w:rsidRPr="00BB7B57" w:rsidRDefault="001C437D" w:rsidP="00D079FD">
          <w:pPr>
            <w:spacing w:line="240" w:lineRule="auto"/>
            <w:rPr>
              <w:rFonts w:ascii="Arial" w:hAnsi="Arial"/>
              <w:sz w:val="24"/>
              <w:szCs w:val="24"/>
            </w:rPr>
          </w:pPr>
        </w:p>
        <w:p w14:paraId="28FC0066" w14:textId="66A816E7" w:rsidR="00E05BB5" w:rsidRDefault="00E05BB5" w:rsidP="00D42C11">
          <w:pPr>
            <w:jc w:val="center"/>
            <w:rPr>
              <w:rFonts w:ascii="Arial" w:hAnsi="Arial"/>
              <w:sz w:val="24"/>
              <w:szCs w:val="24"/>
            </w:rPr>
          </w:pPr>
        </w:p>
        <w:p w14:paraId="5983918E" w14:textId="2773D52C" w:rsidR="00E05BB5" w:rsidRDefault="00E05BB5" w:rsidP="00D42C11">
          <w:pPr>
            <w:jc w:val="center"/>
            <w:rPr>
              <w:rFonts w:ascii="Arial" w:hAnsi="Arial"/>
              <w:sz w:val="24"/>
              <w:szCs w:val="24"/>
            </w:rPr>
          </w:pPr>
        </w:p>
        <w:p w14:paraId="21C5B1A2" w14:textId="4DA2B8DC" w:rsidR="00E05BB5" w:rsidRDefault="006E11C5" w:rsidP="006E11C5">
          <w:pPr>
            <w:rPr>
              <w:rFonts w:ascii="Arial" w:hAnsi="Arial"/>
              <w:b/>
              <w:bCs/>
              <w:sz w:val="24"/>
              <w:szCs w:val="24"/>
            </w:rPr>
          </w:pPr>
          <w:r w:rsidRPr="006E11C5">
            <w:rPr>
              <w:rFonts w:ascii="Arial" w:hAnsi="Arial"/>
              <w:b/>
              <w:bCs/>
              <w:sz w:val="24"/>
              <w:szCs w:val="24"/>
            </w:rPr>
            <w:lastRenderedPageBreak/>
            <w:t>Reference:</w:t>
          </w:r>
        </w:p>
        <w:p w14:paraId="769ABE97" w14:textId="298E8B90" w:rsidR="006E11C5" w:rsidRDefault="006E11C5" w:rsidP="006E11C5">
          <w:pPr>
            <w:rPr>
              <w:rFonts w:ascii="Arial" w:hAnsi="Arial"/>
              <w:b/>
              <w:bCs/>
              <w:sz w:val="24"/>
              <w:szCs w:val="24"/>
            </w:rPr>
          </w:pPr>
        </w:p>
        <w:p w14:paraId="5EF06105" w14:textId="77777777" w:rsidR="006E11C5" w:rsidRPr="006E11C5" w:rsidRDefault="006E11C5" w:rsidP="006E11C5">
          <w:pPr>
            <w:rPr>
              <w:rFonts w:ascii="Times New Roman" w:eastAsia="Times New Roman" w:hAnsi="Times New Roman" w:cs="Times New Roman"/>
              <w:sz w:val="24"/>
              <w:szCs w:val="24"/>
              <w:lang w:eastAsia="en-GB"/>
            </w:rPr>
          </w:pPr>
          <w:r>
            <w:rPr>
              <w:rFonts w:ascii="Arial" w:hAnsi="Arial"/>
              <w:sz w:val="24"/>
              <w:szCs w:val="24"/>
            </w:rPr>
            <w:t xml:space="preserve">Inditex,” </w:t>
          </w:r>
          <w:r>
            <w:rPr>
              <w:rFonts w:ascii="Arial" w:hAnsi="Arial"/>
              <w:i/>
              <w:iCs/>
              <w:sz w:val="24"/>
              <w:szCs w:val="24"/>
            </w:rPr>
            <w:t>Finance</w:t>
          </w:r>
          <w:proofErr w:type="gramStart"/>
          <w:r>
            <w:rPr>
              <w:rFonts w:ascii="Arial" w:hAnsi="Arial"/>
              <w:i/>
              <w:iCs/>
              <w:sz w:val="24"/>
              <w:szCs w:val="24"/>
            </w:rPr>
            <w:t>”,</w:t>
          </w:r>
          <w:r>
            <w:rPr>
              <w:rFonts w:ascii="Arial" w:hAnsi="Arial"/>
              <w:sz w:val="24"/>
              <w:szCs w:val="24"/>
            </w:rPr>
            <w:t>(</w:t>
          </w:r>
          <w:proofErr w:type="gramEnd"/>
          <w:r>
            <w:rPr>
              <w:rFonts w:ascii="Arial" w:hAnsi="Arial"/>
              <w:sz w:val="24"/>
              <w:szCs w:val="24"/>
            </w:rPr>
            <w:t xml:space="preserve">2022) Available at: </w:t>
          </w:r>
          <w:hyperlink r:id="rId10" w:history="1">
            <w:r w:rsidRPr="006E11C5">
              <w:rPr>
                <w:rFonts w:ascii="Times New Roman" w:eastAsia="Times New Roman" w:hAnsi="Times New Roman" w:cs="Times New Roman"/>
                <w:color w:val="0000FF"/>
                <w:sz w:val="24"/>
                <w:szCs w:val="24"/>
                <w:u w:val="single"/>
                <w:lang w:eastAsia="en-GB"/>
              </w:rPr>
              <w:t>Finance (inditex.com)</w:t>
            </w:r>
          </w:hyperlink>
        </w:p>
        <w:p w14:paraId="2A34DBA5" w14:textId="77777777" w:rsidR="006E11C5" w:rsidRPr="006E11C5" w:rsidRDefault="006E11C5" w:rsidP="006E11C5">
          <w:pPr>
            <w:rPr>
              <w:rFonts w:ascii="Times New Roman" w:eastAsia="Times New Roman" w:hAnsi="Times New Roman" w:cs="Times New Roman"/>
              <w:sz w:val="24"/>
              <w:szCs w:val="24"/>
              <w:lang w:eastAsia="en-GB"/>
            </w:rPr>
          </w:pPr>
          <w:r>
            <w:rPr>
              <w:rFonts w:ascii="Arial" w:hAnsi="Arial"/>
              <w:sz w:val="24"/>
              <w:szCs w:val="24"/>
            </w:rPr>
            <w:t xml:space="preserve">Trading </w:t>
          </w:r>
          <w:proofErr w:type="gramStart"/>
          <w:r>
            <w:rPr>
              <w:rFonts w:ascii="Arial" w:hAnsi="Arial"/>
              <w:sz w:val="24"/>
              <w:szCs w:val="24"/>
            </w:rPr>
            <w:t>Economics,(</w:t>
          </w:r>
          <w:proofErr w:type="gramEnd"/>
          <w:r>
            <w:rPr>
              <w:rFonts w:ascii="Arial" w:hAnsi="Arial"/>
              <w:sz w:val="24"/>
              <w:szCs w:val="24"/>
            </w:rPr>
            <w:t xml:space="preserve"> 2023) “</w:t>
          </w:r>
          <w:r>
            <w:rPr>
              <w:rFonts w:ascii="Arial" w:hAnsi="Arial"/>
              <w:i/>
              <w:iCs/>
              <w:sz w:val="24"/>
              <w:szCs w:val="24"/>
            </w:rPr>
            <w:t xml:space="preserve">Markets”, </w:t>
          </w:r>
          <w:r>
            <w:rPr>
              <w:rFonts w:ascii="Arial" w:hAnsi="Arial"/>
              <w:sz w:val="24"/>
              <w:szCs w:val="24"/>
            </w:rPr>
            <w:t xml:space="preserve">Available at : </w:t>
          </w:r>
          <w:hyperlink r:id="rId11" w:history="1">
            <w:r w:rsidRPr="006E11C5">
              <w:rPr>
                <w:rFonts w:ascii="Times New Roman" w:eastAsia="Times New Roman" w:hAnsi="Times New Roman" w:cs="Times New Roman"/>
                <w:color w:val="0000FF"/>
                <w:sz w:val="24"/>
                <w:szCs w:val="24"/>
                <w:u w:val="single"/>
                <w:lang w:eastAsia="en-GB"/>
              </w:rPr>
              <w:t>Inditex | ITX - Stock Price | Live Quote | Historical Chart (tradingeconomics.com)</w:t>
            </w:r>
          </w:hyperlink>
        </w:p>
        <w:p w14:paraId="4D7BC5E2" w14:textId="1EFC441B" w:rsidR="003F5C5D" w:rsidRDefault="003F5C5D" w:rsidP="003F5C5D">
          <w:pPr>
            <w:rPr>
              <w:rFonts w:ascii="Times New Roman" w:eastAsia="Times New Roman" w:hAnsi="Times New Roman" w:cs="Times New Roman"/>
              <w:sz w:val="24"/>
              <w:szCs w:val="24"/>
              <w:lang w:eastAsia="en-GB"/>
            </w:rPr>
          </w:pPr>
          <w:r>
            <w:rPr>
              <w:rFonts w:ascii="Arial" w:hAnsi="Arial"/>
              <w:sz w:val="24"/>
              <w:szCs w:val="24"/>
            </w:rPr>
            <w:t>Inditex, “</w:t>
          </w:r>
          <w:r>
            <w:rPr>
              <w:rFonts w:ascii="Arial" w:hAnsi="Arial"/>
              <w:i/>
              <w:iCs/>
              <w:sz w:val="24"/>
              <w:szCs w:val="24"/>
            </w:rPr>
            <w:t xml:space="preserve">Annual Report” </w:t>
          </w:r>
          <w:r>
            <w:rPr>
              <w:rFonts w:ascii="Arial" w:hAnsi="Arial"/>
              <w:sz w:val="24"/>
              <w:szCs w:val="24"/>
            </w:rPr>
            <w:t>(2022), Available at :</w:t>
          </w:r>
          <w:r w:rsidRPr="003F5C5D">
            <w:t xml:space="preserve"> </w:t>
          </w:r>
          <w:r w:rsidRPr="003F5C5D">
            <w:rPr>
              <w:rFonts w:ascii="Times New Roman" w:eastAsia="Times New Roman" w:hAnsi="Times New Roman" w:cs="Times New Roman"/>
              <w:sz w:val="24"/>
              <w:szCs w:val="24"/>
              <w:lang w:eastAsia="en-GB"/>
            </w:rPr>
            <w:fldChar w:fldCharType="begin"/>
          </w:r>
          <w:r w:rsidRPr="003F5C5D">
            <w:rPr>
              <w:rFonts w:ascii="Times New Roman" w:eastAsia="Times New Roman" w:hAnsi="Times New Roman" w:cs="Times New Roman"/>
              <w:sz w:val="24"/>
              <w:szCs w:val="24"/>
              <w:lang w:eastAsia="en-GB"/>
            </w:rPr>
            <w:instrText xml:space="preserve"> HYPERLINK "https://www.inditex.com/itxcomweb/api/media/421f37b3-c7fc-4906-ab84-d8c7e119c873/2021_inditex_remuneration_of_directors_report.pdf?t=1655305808418" </w:instrText>
          </w:r>
          <w:r w:rsidRPr="003F5C5D">
            <w:rPr>
              <w:rFonts w:ascii="Times New Roman" w:eastAsia="Times New Roman" w:hAnsi="Times New Roman" w:cs="Times New Roman"/>
              <w:sz w:val="24"/>
              <w:szCs w:val="24"/>
              <w:lang w:eastAsia="en-GB"/>
            </w:rPr>
            <w:fldChar w:fldCharType="separate"/>
          </w:r>
          <w:r w:rsidRPr="003F5C5D">
            <w:rPr>
              <w:rFonts w:ascii="Times New Roman" w:eastAsia="Times New Roman" w:hAnsi="Times New Roman" w:cs="Times New Roman"/>
              <w:color w:val="0000FF"/>
              <w:sz w:val="24"/>
              <w:szCs w:val="24"/>
              <w:u w:val="single"/>
              <w:lang w:eastAsia="en-GB"/>
            </w:rPr>
            <w:t>2021_inditex_remuneration_of_directors_report.pdf</w:t>
          </w:r>
          <w:r w:rsidRPr="003F5C5D">
            <w:rPr>
              <w:rFonts w:ascii="Times New Roman" w:eastAsia="Times New Roman" w:hAnsi="Times New Roman" w:cs="Times New Roman"/>
              <w:sz w:val="24"/>
              <w:szCs w:val="24"/>
              <w:lang w:eastAsia="en-GB"/>
            </w:rPr>
            <w:fldChar w:fldCharType="end"/>
          </w:r>
        </w:p>
        <w:p w14:paraId="6556EFDB" w14:textId="56B04592" w:rsidR="003F5C5D" w:rsidRDefault="003F5C5D" w:rsidP="003F5C5D">
          <w:pPr>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Inditex, “</w:t>
          </w:r>
          <w:r>
            <w:rPr>
              <w:rFonts w:ascii="Arial" w:eastAsia="Times New Roman" w:hAnsi="Arial" w:cs="Arial"/>
              <w:i/>
              <w:iCs/>
              <w:sz w:val="24"/>
              <w:szCs w:val="24"/>
              <w:lang w:eastAsia="en-GB"/>
            </w:rPr>
            <w:t>Collaborating with our shareholders, allies in transformation”(</w:t>
          </w:r>
          <w:r>
            <w:rPr>
              <w:rFonts w:ascii="Arial" w:eastAsia="Times New Roman" w:hAnsi="Arial" w:cs="Arial"/>
              <w:sz w:val="24"/>
              <w:szCs w:val="24"/>
              <w:lang w:eastAsia="en-GB"/>
            </w:rPr>
            <w:t xml:space="preserve">2021), Available at : </w:t>
          </w:r>
          <w:hyperlink r:id="rId12" w:history="1">
            <w:r w:rsidRPr="003F5C5D">
              <w:rPr>
                <w:rFonts w:ascii="Times New Roman" w:eastAsia="Times New Roman" w:hAnsi="Times New Roman" w:cs="Times New Roman"/>
                <w:color w:val="0000FF"/>
                <w:sz w:val="24"/>
                <w:szCs w:val="24"/>
                <w:u w:val="single"/>
                <w:lang w:eastAsia="en-GB"/>
              </w:rPr>
              <w:t>collaborating-our-shareholders-allies-transformation.pdf (inditex.com)</w:t>
            </w:r>
          </w:hyperlink>
        </w:p>
        <w:p w14:paraId="7BF37CF4" w14:textId="0DC6799C" w:rsidR="003E3F12" w:rsidRDefault="003E3F12" w:rsidP="003E3F12">
          <w:pPr>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Inditex, (2021) “</w:t>
          </w:r>
          <w:r>
            <w:rPr>
              <w:rFonts w:ascii="Arial" w:eastAsia="Times New Roman" w:hAnsi="Arial" w:cs="Arial"/>
              <w:i/>
              <w:iCs/>
              <w:sz w:val="24"/>
              <w:szCs w:val="24"/>
              <w:lang w:eastAsia="en-GB"/>
            </w:rPr>
            <w:t>Shareholders relations”,</w:t>
          </w:r>
          <w:r>
            <w:rPr>
              <w:rFonts w:ascii="Arial" w:eastAsia="Times New Roman" w:hAnsi="Arial" w:cs="Arial"/>
              <w:sz w:val="24"/>
              <w:szCs w:val="24"/>
              <w:lang w:eastAsia="en-GB"/>
            </w:rPr>
            <w:t xml:space="preserve"> Available at: </w:t>
          </w:r>
          <w:hyperlink r:id="rId13" w:history="1">
            <w:r w:rsidRPr="003E3F12">
              <w:rPr>
                <w:rFonts w:ascii="Times New Roman" w:eastAsia="Times New Roman" w:hAnsi="Times New Roman" w:cs="Times New Roman"/>
                <w:color w:val="0000FF"/>
                <w:sz w:val="24"/>
                <w:szCs w:val="24"/>
                <w:u w:val="single"/>
                <w:lang w:eastAsia="en-GB"/>
              </w:rPr>
              <w:t>2.5_Shareholder relations.pdf (inditex.com)</w:t>
            </w:r>
          </w:hyperlink>
        </w:p>
        <w:p w14:paraId="72569524" w14:textId="77777777" w:rsidR="004C2672" w:rsidRPr="004C2672" w:rsidRDefault="004C2672" w:rsidP="004C2672">
          <w:pPr>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Inditex, (2022), “</w:t>
          </w:r>
          <w:r>
            <w:rPr>
              <w:rFonts w:ascii="Arial" w:eastAsia="Times New Roman" w:hAnsi="Arial" w:cs="Arial"/>
              <w:i/>
              <w:iCs/>
              <w:sz w:val="24"/>
              <w:szCs w:val="24"/>
              <w:lang w:eastAsia="en-GB"/>
            </w:rPr>
            <w:t>History”</w:t>
          </w:r>
          <w:r>
            <w:rPr>
              <w:rFonts w:ascii="Arial" w:eastAsia="Times New Roman" w:hAnsi="Arial" w:cs="Arial"/>
              <w:sz w:val="24"/>
              <w:szCs w:val="24"/>
              <w:lang w:eastAsia="en-GB"/>
            </w:rPr>
            <w:t xml:space="preserve"> Available </w:t>
          </w:r>
          <w:proofErr w:type="gramStart"/>
          <w:r>
            <w:rPr>
              <w:rFonts w:ascii="Arial" w:eastAsia="Times New Roman" w:hAnsi="Arial" w:cs="Arial"/>
              <w:sz w:val="24"/>
              <w:szCs w:val="24"/>
              <w:lang w:eastAsia="en-GB"/>
            </w:rPr>
            <w:t>at :</w:t>
          </w:r>
          <w:proofErr w:type="gramEnd"/>
          <w:r>
            <w:rPr>
              <w:rFonts w:ascii="Arial" w:eastAsia="Times New Roman" w:hAnsi="Arial" w:cs="Arial"/>
              <w:sz w:val="24"/>
              <w:szCs w:val="24"/>
              <w:lang w:eastAsia="en-GB"/>
            </w:rPr>
            <w:t xml:space="preserve"> </w:t>
          </w:r>
          <w:hyperlink r:id="rId14" w:history="1">
            <w:r w:rsidRPr="004C2672">
              <w:rPr>
                <w:rFonts w:ascii="Times New Roman" w:eastAsia="Times New Roman" w:hAnsi="Times New Roman" w:cs="Times New Roman"/>
                <w:color w:val="0000FF"/>
                <w:sz w:val="24"/>
                <w:szCs w:val="24"/>
                <w:u w:val="single"/>
                <w:lang w:eastAsia="en-GB"/>
              </w:rPr>
              <w:t>History (inditex.com)</w:t>
            </w:r>
          </w:hyperlink>
        </w:p>
        <w:p w14:paraId="1233FE10" w14:textId="7EA47425" w:rsidR="004C2672" w:rsidRPr="004C2672" w:rsidRDefault="004C2672" w:rsidP="003E3F12">
          <w:pPr>
            <w:rPr>
              <w:rFonts w:ascii="Arial" w:eastAsia="Times New Roman" w:hAnsi="Arial" w:cs="Arial"/>
              <w:sz w:val="24"/>
              <w:szCs w:val="24"/>
              <w:lang w:eastAsia="en-GB"/>
            </w:rPr>
          </w:pPr>
        </w:p>
        <w:p w14:paraId="07BEE9AC" w14:textId="470D8564" w:rsidR="003E3F12" w:rsidRPr="003E3F12" w:rsidRDefault="003E3F12" w:rsidP="003E3F12">
          <w:pPr>
            <w:rPr>
              <w:rFonts w:ascii="Times New Roman" w:eastAsia="Times New Roman" w:hAnsi="Times New Roman" w:cs="Times New Roman"/>
              <w:sz w:val="24"/>
              <w:szCs w:val="24"/>
              <w:lang w:eastAsia="en-GB"/>
            </w:rPr>
          </w:pPr>
        </w:p>
        <w:p w14:paraId="4369E2F5" w14:textId="42171705" w:rsidR="003E3F12" w:rsidRPr="003E3F12" w:rsidRDefault="003E3F12" w:rsidP="003F5C5D">
          <w:pPr>
            <w:rPr>
              <w:rFonts w:ascii="Arial" w:eastAsia="Times New Roman" w:hAnsi="Arial" w:cs="Arial"/>
              <w:sz w:val="24"/>
              <w:szCs w:val="24"/>
              <w:lang w:eastAsia="en-GB"/>
            </w:rPr>
          </w:pPr>
        </w:p>
        <w:p w14:paraId="4ECD83D8" w14:textId="533CA37C" w:rsidR="003F5C5D" w:rsidRPr="003F5C5D" w:rsidRDefault="003F5C5D" w:rsidP="003F5C5D">
          <w:pPr>
            <w:rPr>
              <w:rFonts w:ascii="Arial" w:eastAsia="Times New Roman" w:hAnsi="Arial" w:cs="Arial"/>
              <w:sz w:val="24"/>
              <w:szCs w:val="24"/>
              <w:lang w:eastAsia="en-GB"/>
            </w:rPr>
          </w:pPr>
        </w:p>
        <w:p w14:paraId="44635C93" w14:textId="64D01D2D" w:rsidR="003F5C5D" w:rsidRPr="003F5C5D" w:rsidRDefault="003F5C5D" w:rsidP="003F5C5D">
          <w:pPr>
            <w:rPr>
              <w:rFonts w:ascii="Arial" w:eastAsia="Times New Roman" w:hAnsi="Arial" w:cs="Arial"/>
              <w:sz w:val="24"/>
              <w:szCs w:val="24"/>
              <w:lang w:eastAsia="en-GB"/>
            </w:rPr>
          </w:pPr>
        </w:p>
        <w:p w14:paraId="5C8CCB95" w14:textId="206352AF" w:rsidR="006E11C5" w:rsidRPr="003F5C5D" w:rsidRDefault="006E11C5" w:rsidP="006E11C5">
          <w:pPr>
            <w:rPr>
              <w:rFonts w:ascii="Arial" w:hAnsi="Arial"/>
              <w:sz w:val="24"/>
              <w:szCs w:val="24"/>
            </w:rPr>
          </w:pPr>
        </w:p>
        <w:p w14:paraId="7D609DF9" w14:textId="7E9967E4" w:rsidR="00E05BB5" w:rsidRDefault="00E05BB5" w:rsidP="00D42C11">
          <w:pPr>
            <w:jc w:val="center"/>
            <w:rPr>
              <w:rFonts w:ascii="Arial" w:hAnsi="Arial"/>
              <w:sz w:val="24"/>
              <w:szCs w:val="24"/>
            </w:rPr>
          </w:pPr>
        </w:p>
        <w:p w14:paraId="5E33A191" w14:textId="7DCA2EBC" w:rsidR="00E05BB5" w:rsidRDefault="00E05BB5" w:rsidP="00D42C11">
          <w:pPr>
            <w:jc w:val="center"/>
            <w:rPr>
              <w:rFonts w:ascii="Arial" w:hAnsi="Arial"/>
              <w:sz w:val="24"/>
              <w:szCs w:val="24"/>
            </w:rPr>
          </w:pPr>
        </w:p>
        <w:p w14:paraId="506FD430" w14:textId="6D2C12DF" w:rsidR="00E05BB5" w:rsidRDefault="00E05BB5" w:rsidP="00D42C11">
          <w:pPr>
            <w:jc w:val="center"/>
            <w:rPr>
              <w:rFonts w:ascii="Arial" w:hAnsi="Arial"/>
              <w:sz w:val="24"/>
              <w:szCs w:val="24"/>
            </w:rPr>
          </w:pPr>
        </w:p>
        <w:p w14:paraId="4EDCE242" w14:textId="0AE0D186" w:rsidR="00E05BB5" w:rsidRDefault="00E05BB5" w:rsidP="00D42C11">
          <w:pPr>
            <w:jc w:val="center"/>
            <w:rPr>
              <w:rFonts w:ascii="Arial" w:hAnsi="Arial"/>
              <w:sz w:val="24"/>
              <w:szCs w:val="24"/>
            </w:rPr>
          </w:pPr>
        </w:p>
        <w:p w14:paraId="6DD2C975" w14:textId="4A878E28" w:rsidR="00E05BB5" w:rsidRDefault="00E05BB5" w:rsidP="00D42C11">
          <w:pPr>
            <w:jc w:val="center"/>
            <w:rPr>
              <w:rFonts w:ascii="Arial" w:hAnsi="Arial"/>
              <w:sz w:val="24"/>
              <w:szCs w:val="24"/>
            </w:rPr>
          </w:pPr>
        </w:p>
        <w:p w14:paraId="4D6569B9" w14:textId="4695CC34" w:rsidR="00E05BB5" w:rsidRDefault="00E05BB5" w:rsidP="00D42C11">
          <w:pPr>
            <w:jc w:val="center"/>
            <w:rPr>
              <w:rFonts w:ascii="Arial" w:hAnsi="Arial"/>
              <w:sz w:val="24"/>
              <w:szCs w:val="24"/>
            </w:rPr>
          </w:pPr>
        </w:p>
        <w:p w14:paraId="7BC7B33D" w14:textId="37342EE3" w:rsidR="00E05BB5" w:rsidRDefault="00E05BB5" w:rsidP="00D42C11">
          <w:pPr>
            <w:jc w:val="center"/>
            <w:rPr>
              <w:rFonts w:ascii="Arial" w:hAnsi="Arial"/>
              <w:sz w:val="24"/>
              <w:szCs w:val="24"/>
            </w:rPr>
          </w:pPr>
        </w:p>
        <w:p w14:paraId="67F77A87" w14:textId="1C247280" w:rsidR="00E05BB5" w:rsidRDefault="00E05BB5" w:rsidP="00D42C11">
          <w:pPr>
            <w:jc w:val="center"/>
            <w:rPr>
              <w:rFonts w:ascii="Arial" w:hAnsi="Arial"/>
              <w:sz w:val="24"/>
              <w:szCs w:val="24"/>
            </w:rPr>
          </w:pPr>
        </w:p>
        <w:p w14:paraId="3D4949BA" w14:textId="3F9E4B5F" w:rsidR="00E05BB5" w:rsidRDefault="00E05BB5" w:rsidP="00D42C11">
          <w:pPr>
            <w:jc w:val="center"/>
            <w:rPr>
              <w:rFonts w:ascii="Arial" w:hAnsi="Arial"/>
              <w:sz w:val="24"/>
              <w:szCs w:val="24"/>
            </w:rPr>
          </w:pPr>
        </w:p>
        <w:p w14:paraId="36BE5D72" w14:textId="4013A166" w:rsidR="00E05BB5" w:rsidRDefault="00E05BB5" w:rsidP="00D42C11">
          <w:pPr>
            <w:jc w:val="center"/>
            <w:rPr>
              <w:rFonts w:ascii="Arial" w:hAnsi="Arial"/>
              <w:sz w:val="24"/>
              <w:szCs w:val="24"/>
            </w:rPr>
          </w:pPr>
        </w:p>
        <w:p w14:paraId="4C23AEBB" w14:textId="0FF30C43" w:rsidR="00E05BB5" w:rsidRDefault="00E05BB5" w:rsidP="00D42C11">
          <w:pPr>
            <w:jc w:val="center"/>
            <w:rPr>
              <w:rFonts w:ascii="Arial" w:hAnsi="Arial"/>
              <w:sz w:val="24"/>
              <w:szCs w:val="24"/>
            </w:rPr>
          </w:pPr>
        </w:p>
        <w:p w14:paraId="7A2A0F06" w14:textId="3A8F4B39" w:rsidR="00E05BB5" w:rsidRDefault="00E05BB5" w:rsidP="00D42C11">
          <w:pPr>
            <w:jc w:val="center"/>
            <w:rPr>
              <w:rFonts w:ascii="Arial" w:hAnsi="Arial"/>
              <w:sz w:val="24"/>
              <w:szCs w:val="24"/>
            </w:rPr>
          </w:pPr>
        </w:p>
        <w:p w14:paraId="26458EDE" w14:textId="5586A739" w:rsidR="00E05BB5" w:rsidRDefault="00E05BB5" w:rsidP="00D42C11">
          <w:pPr>
            <w:jc w:val="center"/>
            <w:rPr>
              <w:rFonts w:ascii="Arial" w:hAnsi="Arial"/>
              <w:sz w:val="24"/>
              <w:szCs w:val="24"/>
            </w:rPr>
          </w:pPr>
        </w:p>
        <w:p w14:paraId="29CA27F9" w14:textId="4B6C555F" w:rsidR="00E05BB5" w:rsidRDefault="00E05BB5" w:rsidP="00D42C11">
          <w:pPr>
            <w:jc w:val="center"/>
            <w:rPr>
              <w:rFonts w:ascii="Arial" w:hAnsi="Arial"/>
              <w:sz w:val="24"/>
              <w:szCs w:val="24"/>
            </w:rPr>
          </w:pPr>
        </w:p>
        <w:p w14:paraId="1613F628" w14:textId="16D70B70" w:rsidR="00E05BB5" w:rsidRDefault="00E05BB5" w:rsidP="00D42C11">
          <w:pPr>
            <w:jc w:val="center"/>
            <w:rPr>
              <w:rFonts w:ascii="Arial" w:hAnsi="Arial"/>
              <w:sz w:val="24"/>
              <w:szCs w:val="24"/>
            </w:rPr>
          </w:pPr>
        </w:p>
        <w:p w14:paraId="52DE9649" w14:textId="40385D1D" w:rsidR="00E05BB5" w:rsidRDefault="00E05BB5" w:rsidP="00D42C11">
          <w:pPr>
            <w:jc w:val="center"/>
            <w:rPr>
              <w:rFonts w:ascii="Arial" w:hAnsi="Arial"/>
              <w:sz w:val="24"/>
              <w:szCs w:val="24"/>
            </w:rPr>
          </w:pPr>
        </w:p>
        <w:p w14:paraId="15354D91" w14:textId="38ED6F05" w:rsidR="00E05BB5" w:rsidRDefault="00E05BB5" w:rsidP="00D42C11">
          <w:pPr>
            <w:jc w:val="center"/>
            <w:rPr>
              <w:rFonts w:ascii="Arial" w:hAnsi="Arial"/>
              <w:sz w:val="24"/>
              <w:szCs w:val="24"/>
            </w:rPr>
          </w:pPr>
        </w:p>
        <w:p w14:paraId="07C8E744" w14:textId="415CC404" w:rsidR="00E05BB5" w:rsidRDefault="00E05BB5" w:rsidP="00D42C11">
          <w:pPr>
            <w:jc w:val="center"/>
            <w:rPr>
              <w:rFonts w:ascii="Arial" w:hAnsi="Arial"/>
              <w:sz w:val="24"/>
              <w:szCs w:val="24"/>
            </w:rPr>
          </w:pPr>
        </w:p>
        <w:p w14:paraId="1ED89CA8" w14:textId="76FE8C47" w:rsidR="00E05BB5" w:rsidRDefault="00E05BB5" w:rsidP="00D42C11">
          <w:pPr>
            <w:jc w:val="center"/>
            <w:rPr>
              <w:rFonts w:ascii="Arial" w:hAnsi="Arial"/>
              <w:sz w:val="24"/>
              <w:szCs w:val="24"/>
            </w:rPr>
          </w:pPr>
        </w:p>
        <w:p w14:paraId="1E58894A" w14:textId="45979B59" w:rsidR="00E05BB5" w:rsidRDefault="00E05BB5" w:rsidP="00D42C11">
          <w:pPr>
            <w:jc w:val="center"/>
            <w:rPr>
              <w:rFonts w:ascii="Arial" w:hAnsi="Arial"/>
              <w:sz w:val="24"/>
              <w:szCs w:val="24"/>
            </w:rPr>
          </w:pPr>
        </w:p>
        <w:p w14:paraId="642F7966" w14:textId="0C51369E" w:rsidR="00E05BB5" w:rsidRDefault="00E05BB5" w:rsidP="00D42C11">
          <w:pPr>
            <w:jc w:val="center"/>
            <w:rPr>
              <w:rFonts w:ascii="Arial" w:hAnsi="Arial"/>
              <w:sz w:val="24"/>
              <w:szCs w:val="24"/>
            </w:rPr>
          </w:pPr>
        </w:p>
        <w:p w14:paraId="22A908D7" w14:textId="49C4F7D9" w:rsidR="00E05BB5" w:rsidRDefault="00E05BB5" w:rsidP="00D42C11">
          <w:pPr>
            <w:jc w:val="center"/>
            <w:rPr>
              <w:rFonts w:ascii="Arial" w:hAnsi="Arial"/>
              <w:sz w:val="24"/>
              <w:szCs w:val="24"/>
            </w:rPr>
          </w:pPr>
        </w:p>
        <w:p w14:paraId="24650E36" w14:textId="77777777" w:rsidR="00E05BB5" w:rsidRDefault="00E05BB5" w:rsidP="00D42C11">
          <w:pPr>
            <w:jc w:val="center"/>
            <w:rPr>
              <w:rFonts w:ascii="Arial" w:hAnsi="Arial"/>
              <w:sz w:val="24"/>
              <w:szCs w:val="24"/>
            </w:rPr>
          </w:pPr>
        </w:p>
        <w:p w14:paraId="6E894CA4" w14:textId="77777777" w:rsidR="00E05BB5" w:rsidRDefault="00E05BB5" w:rsidP="00D42C11">
          <w:pPr>
            <w:jc w:val="center"/>
            <w:rPr>
              <w:rFonts w:ascii="Arial" w:hAnsi="Arial"/>
              <w:sz w:val="24"/>
              <w:szCs w:val="24"/>
            </w:rPr>
          </w:pPr>
        </w:p>
        <w:p w14:paraId="65EAE4A5" w14:textId="77777777" w:rsidR="00E05BB5" w:rsidRDefault="00E05BB5" w:rsidP="00D42C11">
          <w:pPr>
            <w:jc w:val="center"/>
            <w:rPr>
              <w:rFonts w:ascii="Arial" w:hAnsi="Arial"/>
              <w:sz w:val="24"/>
              <w:szCs w:val="24"/>
            </w:rPr>
          </w:pPr>
        </w:p>
        <w:p w14:paraId="1875490B" w14:textId="77777777" w:rsidR="00E05BB5" w:rsidRDefault="00E05BB5" w:rsidP="00D42C11">
          <w:pPr>
            <w:jc w:val="center"/>
            <w:rPr>
              <w:rFonts w:ascii="Arial" w:hAnsi="Arial"/>
              <w:sz w:val="24"/>
              <w:szCs w:val="24"/>
            </w:rPr>
          </w:pPr>
        </w:p>
        <w:p w14:paraId="570A25A4" w14:textId="77777777" w:rsidR="00E05BB5" w:rsidRDefault="00E05BB5" w:rsidP="00D42C11">
          <w:pPr>
            <w:jc w:val="center"/>
            <w:rPr>
              <w:rFonts w:ascii="Arial" w:hAnsi="Arial"/>
              <w:sz w:val="24"/>
              <w:szCs w:val="24"/>
            </w:rPr>
          </w:pPr>
        </w:p>
        <w:p w14:paraId="5760BC3E" w14:textId="77777777" w:rsidR="00E05BB5" w:rsidRDefault="00E05BB5" w:rsidP="00D42C11">
          <w:pPr>
            <w:jc w:val="center"/>
            <w:rPr>
              <w:rFonts w:ascii="Arial" w:hAnsi="Arial"/>
              <w:sz w:val="24"/>
              <w:szCs w:val="24"/>
            </w:rPr>
          </w:pPr>
        </w:p>
        <w:p w14:paraId="04B6578A" w14:textId="77777777" w:rsidR="00E05BB5" w:rsidRDefault="00E05BB5" w:rsidP="00D42C11">
          <w:pPr>
            <w:jc w:val="center"/>
            <w:rPr>
              <w:rFonts w:ascii="Arial" w:hAnsi="Arial"/>
              <w:sz w:val="24"/>
              <w:szCs w:val="24"/>
            </w:rPr>
          </w:pPr>
        </w:p>
        <w:p w14:paraId="25465BE3" w14:textId="77777777" w:rsidR="00E05BB5" w:rsidRDefault="00E05BB5" w:rsidP="00D42C11">
          <w:pPr>
            <w:jc w:val="center"/>
            <w:rPr>
              <w:rFonts w:ascii="Arial" w:hAnsi="Arial"/>
              <w:sz w:val="24"/>
              <w:szCs w:val="24"/>
            </w:rPr>
          </w:pPr>
        </w:p>
        <w:p w14:paraId="0A31FE81" w14:textId="77777777" w:rsidR="00E05BB5" w:rsidRDefault="00E05BB5" w:rsidP="00D42C11">
          <w:pPr>
            <w:jc w:val="center"/>
            <w:rPr>
              <w:rFonts w:ascii="Arial" w:hAnsi="Arial"/>
              <w:sz w:val="24"/>
              <w:szCs w:val="24"/>
            </w:rPr>
          </w:pPr>
        </w:p>
        <w:p w14:paraId="220F58A7" w14:textId="77777777" w:rsidR="00E05BB5" w:rsidRDefault="00E05BB5" w:rsidP="00D42C11">
          <w:pPr>
            <w:jc w:val="center"/>
            <w:rPr>
              <w:rFonts w:ascii="Arial" w:hAnsi="Arial"/>
              <w:sz w:val="24"/>
              <w:szCs w:val="24"/>
            </w:rPr>
          </w:pPr>
        </w:p>
        <w:p w14:paraId="36C279E2" w14:textId="11340A47" w:rsidR="00E05BB5" w:rsidRDefault="00E05BB5" w:rsidP="004C2672">
          <w:pPr>
            <w:tabs>
              <w:tab w:val="left" w:pos="2389"/>
            </w:tabs>
            <w:rPr>
              <w:rFonts w:ascii="Arial" w:hAnsi="Arial"/>
              <w:sz w:val="24"/>
              <w:szCs w:val="24"/>
            </w:rPr>
          </w:pPr>
        </w:p>
        <w:p w14:paraId="3FE6F2ED" w14:textId="77777777" w:rsidR="00E05BB5" w:rsidRDefault="00E05BB5" w:rsidP="00D42C11">
          <w:pPr>
            <w:jc w:val="center"/>
            <w:rPr>
              <w:rFonts w:ascii="Arial" w:hAnsi="Arial"/>
              <w:sz w:val="24"/>
              <w:szCs w:val="24"/>
            </w:rPr>
          </w:pPr>
        </w:p>
        <w:p w14:paraId="645DB60E" w14:textId="77777777" w:rsidR="00E05BB5" w:rsidRDefault="00E05BB5" w:rsidP="00D42C11">
          <w:pPr>
            <w:jc w:val="center"/>
            <w:rPr>
              <w:rFonts w:ascii="Arial" w:hAnsi="Arial"/>
              <w:sz w:val="24"/>
              <w:szCs w:val="24"/>
            </w:rPr>
          </w:pPr>
        </w:p>
        <w:p w14:paraId="732ACFD6" w14:textId="77777777" w:rsidR="00E05BB5" w:rsidRDefault="00E05BB5" w:rsidP="00D42C11">
          <w:pPr>
            <w:jc w:val="center"/>
            <w:rPr>
              <w:rFonts w:ascii="Arial" w:hAnsi="Arial"/>
              <w:sz w:val="24"/>
              <w:szCs w:val="24"/>
            </w:rPr>
          </w:pPr>
        </w:p>
        <w:p w14:paraId="24A53CBB" w14:textId="77777777" w:rsidR="00E05BB5" w:rsidRDefault="00E05BB5" w:rsidP="00D42C11">
          <w:pPr>
            <w:jc w:val="center"/>
            <w:rPr>
              <w:rFonts w:ascii="Arial" w:hAnsi="Arial"/>
              <w:sz w:val="24"/>
              <w:szCs w:val="24"/>
            </w:rPr>
          </w:pPr>
        </w:p>
        <w:p w14:paraId="0DDB627F" w14:textId="77777777" w:rsidR="00E05BB5" w:rsidRDefault="00E05BB5" w:rsidP="00D42C11">
          <w:pPr>
            <w:jc w:val="center"/>
            <w:rPr>
              <w:rFonts w:ascii="Arial" w:hAnsi="Arial"/>
              <w:sz w:val="24"/>
              <w:szCs w:val="24"/>
            </w:rPr>
          </w:pPr>
        </w:p>
        <w:p w14:paraId="24B35AEE" w14:textId="77777777" w:rsidR="00E05BB5" w:rsidRDefault="00E05BB5" w:rsidP="00D42C11">
          <w:pPr>
            <w:jc w:val="center"/>
            <w:rPr>
              <w:rFonts w:ascii="Arial" w:hAnsi="Arial"/>
              <w:sz w:val="24"/>
              <w:szCs w:val="24"/>
            </w:rPr>
          </w:pPr>
        </w:p>
        <w:p w14:paraId="0C411FEE" w14:textId="77777777" w:rsidR="00E05BB5" w:rsidRDefault="00E05BB5" w:rsidP="00D42C11">
          <w:pPr>
            <w:jc w:val="center"/>
            <w:rPr>
              <w:rFonts w:ascii="Arial" w:hAnsi="Arial"/>
              <w:sz w:val="24"/>
              <w:szCs w:val="24"/>
            </w:rPr>
          </w:pPr>
        </w:p>
        <w:p w14:paraId="7C58B715" w14:textId="77777777" w:rsidR="00E05BB5" w:rsidRDefault="00E05BB5" w:rsidP="00D42C11">
          <w:pPr>
            <w:jc w:val="center"/>
            <w:rPr>
              <w:rFonts w:ascii="Arial" w:hAnsi="Arial"/>
              <w:sz w:val="24"/>
              <w:szCs w:val="24"/>
            </w:rPr>
          </w:pPr>
        </w:p>
        <w:p w14:paraId="7E2B6A0E" w14:textId="77777777" w:rsidR="00E05BB5" w:rsidRDefault="00E05BB5" w:rsidP="00D42C11">
          <w:pPr>
            <w:jc w:val="center"/>
            <w:rPr>
              <w:rFonts w:ascii="Arial" w:hAnsi="Arial"/>
              <w:sz w:val="24"/>
              <w:szCs w:val="24"/>
            </w:rPr>
          </w:pPr>
        </w:p>
        <w:p w14:paraId="6023BD51" w14:textId="77777777" w:rsidR="00E05BB5" w:rsidRDefault="00E05BB5" w:rsidP="00D42C11">
          <w:pPr>
            <w:jc w:val="center"/>
            <w:rPr>
              <w:rFonts w:ascii="Arial" w:hAnsi="Arial"/>
              <w:sz w:val="24"/>
              <w:szCs w:val="24"/>
            </w:rPr>
          </w:pPr>
        </w:p>
        <w:p w14:paraId="0F78B505" w14:textId="77777777" w:rsidR="00E05BB5" w:rsidRDefault="00E05BB5" w:rsidP="00D42C11">
          <w:pPr>
            <w:jc w:val="center"/>
            <w:rPr>
              <w:rFonts w:ascii="Arial" w:hAnsi="Arial"/>
              <w:sz w:val="24"/>
              <w:szCs w:val="24"/>
            </w:rPr>
          </w:pPr>
        </w:p>
        <w:p w14:paraId="3A9F6800" w14:textId="77777777" w:rsidR="00E05BB5" w:rsidRDefault="00E05BB5" w:rsidP="00D42C11">
          <w:pPr>
            <w:jc w:val="center"/>
            <w:rPr>
              <w:rFonts w:ascii="Arial" w:hAnsi="Arial"/>
              <w:sz w:val="24"/>
              <w:szCs w:val="24"/>
            </w:rPr>
          </w:pPr>
        </w:p>
        <w:p w14:paraId="231BC804" w14:textId="77777777" w:rsidR="00E05BB5" w:rsidRDefault="00E05BB5" w:rsidP="00D42C11">
          <w:pPr>
            <w:jc w:val="center"/>
            <w:rPr>
              <w:rFonts w:ascii="Arial" w:hAnsi="Arial"/>
              <w:sz w:val="24"/>
              <w:szCs w:val="24"/>
            </w:rPr>
          </w:pPr>
        </w:p>
        <w:p w14:paraId="3731D8B0" w14:textId="77777777" w:rsidR="00E05BB5" w:rsidRDefault="00E05BB5" w:rsidP="00D42C11">
          <w:pPr>
            <w:jc w:val="center"/>
            <w:rPr>
              <w:rFonts w:ascii="Arial" w:hAnsi="Arial"/>
              <w:sz w:val="24"/>
              <w:szCs w:val="24"/>
            </w:rPr>
          </w:pPr>
        </w:p>
        <w:p w14:paraId="16C861F7" w14:textId="77777777" w:rsidR="00E05BB5" w:rsidRDefault="00E05BB5" w:rsidP="00D42C11">
          <w:pPr>
            <w:jc w:val="center"/>
            <w:rPr>
              <w:rFonts w:ascii="Arial" w:hAnsi="Arial"/>
              <w:sz w:val="24"/>
              <w:szCs w:val="24"/>
            </w:rPr>
          </w:pPr>
        </w:p>
        <w:p w14:paraId="12478403" w14:textId="77777777" w:rsidR="00E05BB5" w:rsidRDefault="00E05BB5" w:rsidP="00D42C11">
          <w:pPr>
            <w:jc w:val="center"/>
            <w:rPr>
              <w:rFonts w:ascii="Arial" w:hAnsi="Arial"/>
              <w:sz w:val="24"/>
              <w:szCs w:val="24"/>
            </w:rPr>
          </w:pPr>
        </w:p>
        <w:p w14:paraId="0E7C0BBD" w14:textId="20630870" w:rsidR="008403C0" w:rsidRDefault="008403C0" w:rsidP="00D42C11">
          <w:pPr>
            <w:jc w:val="center"/>
            <w:rPr>
              <w:rFonts w:ascii="Arial" w:hAnsi="Arial"/>
            </w:rPr>
          </w:pPr>
        </w:p>
      </w:sdtContent>
    </w:sdt>
    <w:p w14:paraId="51277D00" w14:textId="390AAE89" w:rsidR="009F55C2" w:rsidRPr="00B37860" w:rsidRDefault="009F55C2" w:rsidP="008403C0">
      <w:pPr>
        <w:pStyle w:val="Style4"/>
      </w:pPr>
    </w:p>
    <w:sectPr w:rsidR="009F55C2" w:rsidRPr="00B37860" w:rsidSect="008403C0">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EF03F" w14:textId="77777777" w:rsidR="005E7EED" w:rsidRDefault="005E7EED" w:rsidP="00D42C11">
      <w:pPr>
        <w:spacing w:before="0" w:after="0" w:line="240" w:lineRule="auto"/>
      </w:pPr>
      <w:r>
        <w:separator/>
      </w:r>
    </w:p>
  </w:endnote>
  <w:endnote w:type="continuationSeparator" w:id="0">
    <w:p w14:paraId="6B8916F4" w14:textId="77777777" w:rsidR="005E7EED" w:rsidRDefault="005E7EED" w:rsidP="00D42C1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0175506"/>
      <w:docPartObj>
        <w:docPartGallery w:val="Page Numbers (Bottom of Page)"/>
        <w:docPartUnique/>
      </w:docPartObj>
    </w:sdtPr>
    <w:sdtContent>
      <w:p w14:paraId="4DA7A33C" w14:textId="07030B44" w:rsidR="00E05BB5" w:rsidRDefault="00E05BB5" w:rsidP="00AB23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47B2EB" w14:textId="77777777" w:rsidR="00E05BB5" w:rsidRDefault="00E05BB5" w:rsidP="00E05B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7555212"/>
      <w:docPartObj>
        <w:docPartGallery w:val="Page Numbers (Bottom of Page)"/>
        <w:docPartUnique/>
      </w:docPartObj>
    </w:sdtPr>
    <w:sdtContent>
      <w:p w14:paraId="68E00B71" w14:textId="412B9EC4" w:rsidR="00E05BB5" w:rsidRDefault="00E05BB5" w:rsidP="00AB23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6DFF17" w14:textId="77777777" w:rsidR="00E05BB5" w:rsidRDefault="00E05BB5" w:rsidP="00E05B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2CC65" w14:textId="77777777" w:rsidR="005E7EED" w:rsidRDefault="005E7EED" w:rsidP="00D42C11">
      <w:pPr>
        <w:spacing w:before="0" w:after="0" w:line="240" w:lineRule="auto"/>
      </w:pPr>
      <w:r>
        <w:separator/>
      </w:r>
    </w:p>
  </w:footnote>
  <w:footnote w:type="continuationSeparator" w:id="0">
    <w:p w14:paraId="6D38C06E" w14:textId="77777777" w:rsidR="005E7EED" w:rsidRDefault="005E7EED" w:rsidP="00D42C1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9C000E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860"/>
    <w:rsid w:val="000A47F1"/>
    <w:rsid w:val="00134A08"/>
    <w:rsid w:val="0014628D"/>
    <w:rsid w:val="001C437D"/>
    <w:rsid w:val="003224B7"/>
    <w:rsid w:val="00380BEF"/>
    <w:rsid w:val="003C74F8"/>
    <w:rsid w:val="003E3F12"/>
    <w:rsid w:val="003F5C5D"/>
    <w:rsid w:val="0041226C"/>
    <w:rsid w:val="004814B0"/>
    <w:rsid w:val="004C18EC"/>
    <w:rsid w:val="004C2672"/>
    <w:rsid w:val="004C28ED"/>
    <w:rsid w:val="004E144B"/>
    <w:rsid w:val="005E7EED"/>
    <w:rsid w:val="00625F40"/>
    <w:rsid w:val="00640D0E"/>
    <w:rsid w:val="00664C76"/>
    <w:rsid w:val="006D583D"/>
    <w:rsid w:val="006E11C5"/>
    <w:rsid w:val="007A7F84"/>
    <w:rsid w:val="007F511B"/>
    <w:rsid w:val="008403C0"/>
    <w:rsid w:val="0088115E"/>
    <w:rsid w:val="008D3FD1"/>
    <w:rsid w:val="00976B34"/>
    <w:rsid w:val="009A57AF"/>
    <w:rsid w:val="009B7D80"/>
    <w:rsid w:val="009F55C2"/>
    <w:rsid w:val="00A748D2"/>
    <w:rsid w:val="00B37860"/>
    <w:rsid w:val="00BB7B57"/>
    <w:rsid w:val="00C44ED5"/>
    <w:rsid w:val="00C62D8C"/>
    <w:rsid w:val="00D079FD"/>
    <w:rsid w:val="00D42C11"/>
    <w:rsid w:val="00D568C3"/>
    <w:rsid w:val="00D623AE"/>
    <w:rsid w:val="00DF6672"/>
    <w:rsid w:val="00E05BB5"/>
    <w:rsid w:val="00EA0BAD"/>
    <w:rsid w:val="00ED2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191BE"/>
  <w15:chartTrackingRefBased/>
  <w15:docId w15:val="{640C04BB-2940-644E-9124-3DF42AAE7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3C0"/>
    <w:rPr>
      <w:sz w:val="20"/>
      <w:szCs w:val="20"/>
    </w:rPr>
  </w:style>
  <w:style w:type="paragraph" w:styleId="Heading1">
    <w:name w:val="heading 1"/>
    <w:basedOn w:val="Normal"/>
    <w:next w:val="Normal"/>
    <w:link w:val="Heading1Char"/>
    <w:uiPriority w:val="9"/>
    <w:qFormat/>
    <w:rsid w:val="008403C0"/>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8403C0"/>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8403C0"/>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8403C0"/>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8403C0"/>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8403C0"/>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8403C0"/>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8403C0"/>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403C0"/>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403C0"/>
    <w:pPr>
      <w:spacing w:before="0" w:after="0" w:line="240" w:lineRule="auto"/>
    </w:pPr>
  </w:style>
  <w:style w:type="character" w:customStyle="1" w:styleId="NoSpacingChar">
    <w:name w:val="No Spacing Char"/>
    <w:basedOn w:val="DefaultParagraphFont"/>
    <w:link w:val="NoSpacing"/>
    <w:uiPriority w:val="1"/>
    <w:rsid w:val="008403C0"/>
    <w:rPr>
      <w:sz w:val="20"/>
      <w:szCs w:val="20"/>
    </w:rPr>
  </w:style>
  <w:style w:type="character" w:customStyle="1" w:styleId="Heading2Char">
    <w:name w:val="Heading 2 Char"/>
    <w:basedOn w:val="DefaultParagraphFont"/>
    <w:link w:val="Heading2"/>
    <w:uiPriority w:val="9"/>
    <w:rsid w:val="008403C0"/>
    <w:rPr>
      <w:caps/>
      <w:spacing w:val="15"/>
      <w:shd w:val="clear" w:color="auto" w:fill="D9E2F3" w:themeFill="accent1" w:themeFillTint="33"/>
    </w:rPr>
  </w:style>
  <w:style w:type="character" w:customStyle="1" w:styleId="Heading1Char">
    <w:name w:val="Heading 1 Char"/>
    <w:basedOn w:val="DefaultParagraphFont"/>
    <w:link w:val="Heading1"/>
    <w:uiPriority w:val="9"/>
    <w:rsid w:val="008403C0"/>
    <w:rPr>
      <w:b/>
      <w:bCs/>
      <w:caps/>
      <w:color w:val="FFFFFF" w:themeColor="background1"/>
      <w:spacing w:val="15"/>
      <w:shd w:val="clear" w:color="auto" w:fill="4472C4" w:themeFill="accent1"/>
    </w:rPr>
  </w:style>
  <w:style w:type="character" w:customStyle="1" w:styleId="Heading3Char">
    <w:name w:val="Heading 3 Char"/>
    <w:basedOn w:val="DefaultParagraphFont"/>
    <w:link w:val="Heading3"/>
    <w:uiPriority w:val="9"/>
    <w:rsid w:val="008403C0"/>
    <w:rPr>
      <w:caps/>
      <w:color w:val="1F3763" w:themeColor="accent1" w:themeShade="7F"/>
      <w:spacing w:val="15"/>
    </w:rPr>
  </w:style>
  <w:style w:type="character" w:customStyle="1" w:styleId="Heading4Char">
    <w:name w:val="Heading 4 Char"/>
    <w:basedOn w:val="DefaultParagraphFont"/>
    <w:link w:val="Heading4"/>
    <w:uiPriority w:val="9"/>
    <w:rsid w:val="008403C0"/>
    <w:rPr>
      <w:caps/>
      <w:color w:val="2F5496" w:themeColor="accent1" w:themeShade="BF"/>
      <w:spacing w:val="10"/>
    </w:rPr>
  </w:style>
  <w:style w:type="paragraph" w:styleId="Title">
    <w:name w:val="Title"/>
    <w:basedOn w:val="Normal"/>
    <w:next w:val="Normal"/>
    <w:link w:val="TitleChar"/>
    <w:uiPriority w:val="10"/>
    <w:qFormat/>
    <w:rsid w:val="008403C0"/>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8403C0"/>
    <w:rPr>
      <w:caps/>
      <w:color w:val="4472C4" w:themeColor="accent1"/>
      <w:spacing w:val="10"/>
      <w:kern w:val="28"/>
      <w:sz w:val="52"/>
      <w:szCs w:val="52"/>
    </w:rPr>
  </w:style>
  <w:style w:type="paragraph" w:styleId="Subtitle">
    <w:name w:val="Subtitle"/>
    <w:basedOn w:val="Normal"/>
    <w:next w:val="Normal"/>
    <w:link w:val="SubtitleChar"/>
    <w:uiPriority w:val="11"/>
    <w:qFormat/>
    <w:rsid w:val="008403C0"/>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8403C0"/>
    <w:rPr>
      <w:caps/>
      <w:color w:val="595959" w:themeColor="text1" w:themeTint="A6"/>
      <w:spacing w:val="10"/>
      <w:sz w:val="24"/>
      <w:szCs w:val="24"/>
    </w:rPr>
  </w:style>
  <w:style w:type="character" w:styleId="SubtleEmphasis">
    <w:name w:val="Subtle Emphasis"/>
    <w:uiPriority w:val="19"/>
    <w:qFormat/>
    <w:rsid w:val="008403C0"/>
    <w:rPr>
      <w:i/>
      <w:iCs/>
      <w:color w:val="1F3763" w:themeColor="accent1" w:themeShade="7F"/>
    </w:rPr>
  </w:style>
  <w:style w:type="character" w:styleId="Emphasis">
    <w:name w:val="Emphasis"/>
    <w:uiPriority w:val="20"/>
    <w:qFormat/>
    <w:rsid w:val="008403C0"/>
    <w:rPr>
      <w:caps/>
      <w:color w:val="1F3763" w:themeColor="accent1" w:themeShade="7F"/>
      <w:spacing w:val="5"/>
    </w:rPr>
  </w:style>
  <w:style w:type="character" w:styleId="IntenseEmphasis">
    <w:name w:val="Intense Emphasis"/>
    <w:uiPriority w:val="21"/>
    <w:qFormat/>
    <w:rsid w:val="008403C0"/>
    <w:rPr>
      <w:b/>
      <w:bCs/>
      <w:caps/>
      <w:color w:val="1F3763" w:themeColor="accent1" w:themeShade="7F"/>
      <w:spacing w:val="10"/>
    </w:rPr>
  </w:style>
  <w:style w:type="paragraph" w:styleId="IntenseQuote">
    <w:name w:val="Intense Quote"/>
    <w:basedOn w:val="Normal"/>
    <w:next w:val="Normal"/>
    <w:link w:val="IntenseQuoteChar"/>
    <w:uiPriority w:val="30"/>
    <w:qFormat/>
    <w:rsid w:val="008403C0"/>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8403C0"/>
    <w:rPr>
      <w:i/>
      <w:iCs/>
      <w:color w:val="4472C4" w:themeColor="accent1"/>
      <w:sz w:val="20"/>
      <w:szCs w:val="20"/>
    </w:rPr>
  </w:style>
  <w:style w:type="character" w:styleId="BookTitle">
    <w:name w:val="Book Title"/>
    <w:uiPriority w:val="33"/>
    <w:qFormat/>
    <w:rsid w:val="008403C0"/>
    <w:rPr>
      <w:b/>
      <w:bCs/>
      <w:i/>
      <w:iCs/>
      <w:spacing w:val="9"/>
    </w:rPr>
  </w:style>
  <w:style w:type="table" w:customStyle="1" w:styleId="Style1">
    <w:name w:val="Style1"/>
    <w:basedOn w:val="TableNormal"/>
    <w:uiPriority w:val="99"/>
    <w:rsid w:val="00B37860"/>
    <w:tblPr/>
  </w:style>
  <w:style w:type="paragraph" w:customStyle="1" w:styleId="Style2">
    <w:name w:val="Style2"/>
    <w:basedOn w:val="Normal"/>
    <w:rsid w:val="00B37860"/>
    <w:rPr>
      <w:rFonts w:ascii="Times" w:hAnsi="Times"/>
    </w:rPr>
  </w:style>
  <w:style w:type="character" w:styleId="EndnoteReference">
    <w:name w:val="endnote reference"/>
    <w:basedOn w:val="DefaultParagraphFont"/>
    <w:uiPriority w:val="99"/>
    <w:semiHidden/>
    <w:unhideWhenUsed/>
    <w:rsid w:val="00B37860"/>
    <w:rPr>
      <w:vertAlign w:val="superscript"/>
    </w:rPr>
  </w:style>
  <w:style w:type="paragraph" w:customStyle="1" w:styleId="Style3">
    <w:name w:val="Style3"/>
    <w:basedOn w:val="Normal"/>
    <w:autoRedefine/>
    <w:rsid w:val="008403C0"/>
    <w:rPr>
      <w:rFonts w:ascii="Times" w:hAnsi="Times"/>
    </w:rPr>
  </w:style>
  <w:style w:type="paragraph" w:customStyle="1" w:styleId="Style4">
    <w:name w:val="Style4"/>
    <w:basedOn w:val="Normal"/>
    <w:qFormat/>
    <w:rsid w:val="008403C0"/>
    <w:rPr>
      <w:rFonts w:ascii="Arial" w:hAnsi="Arial"/>
    </w:rPr>
  </w:style>
  <w:style w:type="character" w:customStyle="1" w:styleId="Heading5Char">
    <w:name w:val="Heading 5 Char"/>
    <w:basedOn w:val="DefaultParagraphFont"/>
    <w:link w:val="Heading5"/>
    <w:uiPriority w:val="9"/>
    <w:semiHidden/>
    <w:rsid w:val="008403C0"/>
    <w:rPr>
      <w:caps/>
      <w:color w:val="2F5496" w:themeColor="accent1" w:themeShade="BF"/>
      <w:spacing w:val="10"/>
    </w:rPr>
  </w:style>
  <w:style w:type="character" w:customStyle="1" w:styleId="Heading6Char">
    <w:name w:val="Heading 6 Char"/>
    <w:basedOn w:val="DefaultParagraphFont"/>
    <w:link w:val="Heading6"/>
    <w:uiPriority w:val="9"/>
    <w:semiHidden/>
    <w:rsid w:val="008403C0"/>
    <w:rPr>
      <w:caps/>
      <w:color w:val="2F5496" w:themeColor="accent1" w:themeShade="BF"/>
      <w:spacing w:val="10"/>
    </w:rPr>
  </w:style>
  <w:style w:type="character" w:customStyle="1" w:styleId="Heading7Char">
    <w:name w:val="Heading 7 Char"/>
    <w:basedOn w:val="DefaultParagraphFont"/>
    <w:link w:val="Heading7"/>
    <w:uiPriority w:val="9"/>
    <w:semiHidden/>
    <w:rsid w:val="008403C0"/>
    <w:rPr>
      <w:caps/>
      <w:color w:val="2F5496" w:themeColor="accent1" w:themeShade="BF"/>
      <w:spacing w:val="10"/>
    </w:rPr>
  </w:style>
  <w:style w:type="character" w:customStyle="1" w:styleId="Heading8Char">
    <w:name w:val="Heading 8 Char"/>
    <w:basedOn w:val="DefaultParagraphFont"/>
    <w:link w:val="Heading8"/>
    <w:uiPriority w:val="9"/>
    <w:semiHidden/>
    <w:rsid w:val="008403C0"/>
    <w:rPr>
      <w:caps/>
      <w:spacing w:val="10"/>
      <w:sz w:val="18"/>
      <w:szCs w:val="18"/>
    </w:rPr>
  </w:style>
  <w:style w:type="character" w:customStyle="1" w:styleId="Heading9Char">
    <w:name w:val="Heading 9 Char"/>
    <w:basedOn w:val="DefaultParagraphFont"/>
    <w:link w:val="Heading9"/>
    <w:uiPriority w:val="9"/>
    <w:semiHidden/>
    <w:rsid w:val="008403C0"/>
    <w:rPr>
      <w:i/>
      <w:caps/>
      <w:spacing w:val="10"/>
      <w:sz w:val="18"/>
      <w:szCs w:val="18"/>
    </w:rPr>
  </w:style>
  <w:style w:type="paragraph" w:styleId="Caption">
    <w:name w:val="caption"/>
    <w:basedOn w:val="Normal"/>
    <w:next w:val="Normal"/>
    <w:uiPriority w:val="35"/>
    <w:semiHidden/>
    <w:unhideWhenUsed/>
    <w:qFormat/>
    <w:rsid w:val="008403C0"/>
    <w:rPr>
      <w:b/>
      <w:bCs/>
      <w:color w:val="2F5496" w:themeColor="accent1" w:themeShade="BF"/>
      <w:sz w:val="16"/>
      <w:szCs w:val="16"/>
    </w:rPr>
  </w:style>
  <w:style w:type="character" w:styleId="Strong">
    <w:name w:val="Strong"/>
    <w:uiPriority w:val="22"/>
    <w:qFormat/>
    <w:rsid w:val="008403C0"/>
    <w:rPr>
      <w:b/>
      <w:bCs/>
    </w:rPr>
  </w:style>
  <w:style w:type="paragraph" w:styleId="ListParagraph">
    <w:name w:val="List Paragraph"/>
    <w:basedOn w:val="Normal"/>
    <w:uiPriority w:val="34"/>
    <w:qFormat/>
    <w:rsid w:val="008403C0"/>
    <w:pPr>
      <w:ind w:left="720"/>
      <w:contextualSpacing/>
    </w:pPr>
  </w:style>
  <w:style w:type="paragraph" w:styleId="Quote">
    <w:name w:val="Quote"/>
    <w:basedOn w:val="Normal"/>
    <w:next w:val="Normal"/>
    <w:link w:val="QuoteChar"/>
    <w:uiPriority w:val="29"/>
    <w:qFormat/>
    <w:rsid w:val="008403C0"/>
    <w:rPr>
      <w:i/>
      <w:iCs/>
    </w:rPr>
  </w:style>
  <w:style w:type="character" w:customStyle="1" w:styleId="QuoteChar">
    <w:name w:val="Quote Char"/>
    <w:basedOn w:val="DefaultParagraphFont"/>
    <w:link w:val="Quote"/>
    <w:uiPriority w:val="29"/>
    <w:rsid w:val="008403C0"/>
    <w:rPr>
      <w:i/>
      <w:iCs/>
      <w:sz w:val="20"/>
      <w:szCs w:val="20"/>
    </w:rPr>
  </w:style>
  <w:style w:type="character" w:styleId="SubtleReference">
    <w:name w:val="Subtle Reference"/>
    <w:uiPriority w:val="31"/>
    <w:qFormat/>
    <w:rsid w:val="008403C0"/>
    <w:rPr>
      <w:b/>
      <w:bCs/>
      <w:color w:val="4472C4" w:themeColor="accent1"/>
    </w:rPr>
  </w:style>
  <w:style w:type="character" w:styleId="IntenseReference">
    <w:name w:val="Intense Reference"/>
    <w:uiPriority w:val="32"/>
    <w:qFormat/>
    <w:rsid w:val="008403C0"/>
    <w:rPr>
      <w:b/>
      <w:bCs/>
      <w:i/>
      <w:iCs/>
      <w:caps/>
      <w:color w:val="4472C4" w:themeColor="accent1"/>
    </w:rPr>
  </w:style>
  <w:style w:type="paragraph" w:styleId="TOCHeading">
    <w:name w:val="TOC Heading"/>
    <w:basedOn w:val="Heading1"/>
    <w:next w:val="Normal"/>
    <w:uiPriority w:val="39"/>
    <w:semiHidden/>
    <w:unhideWhenUsed/>
    <w:qFormat/>
    <w:rsid w:val="008403C0"/>
    <w:pPr>
      <w:outlineLvl w:val="9"/>
    </w:pPr>
  </w:style>
  <w:style w:type="paragraph" w:customStyle="1" w:styleId="PersonalName">
    <w:name w:val="Personal Name"/>
    <w:basedOn w:val="Title"/>
    <w:rsid w:val="008403C0"/>
    <w:rPr>
      <w:b/>
      <w:caps w:val="0"/>
      <w:color w:val="000000"/>
      <w:sz w:val="28"/>
      <w:szCs w:val="28"/>
    </w:rPr>
  </w:style>
  <w:style w:type="paragraph" w:styleId="Footer">
    <w:name w:val="footer"/>
    <w:basedOn w:val="Normal"/>
    <w:link w:val="FooterChar"/>
    <w:uiPriority w:val="99"/>
    <w:unhideWhenUsed/>
    <w:rsid w:val="00D42C1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42C11"/>
    <w:rPr>
      <w:sz w:val="20"/>
      <w:szCs w:val="20"/>
    </w:rPr>
  </w:style>
  <w:style w:type="character" w:styleId="PageNumber">
    <w:name w:val="page number"/>
    <w:basedOn w:val="DefaultParagraphFont"/>
    <w:uiPriority w:val="99"/>
    <w:semiHidden/>
    <w:unhideWhenUsed/>
    <w:rsid w:val="00D42C11"/>
  </w:style>
  <w:style w:type="paragraph" w:styleId="Header">
    <w:name w:val="header"/>
    <w:basedOn w:val="Normal"/>
    <w:link w:val="HeaderChar"/>
    <w:uiPriority w:val="99"/>
    <w:unhideWhenUsed/>
    <w:rsid w:val="00D42C1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42C11"/>
    <w:rPr>
      <w:sz w:val="20"/>
      <w:szCs w:val="20"/>
    </w:rPr>
  </w:style>
  <w:style w:type="character" w:styleId="Hyperlink">
    <w:name w:val="Hyperlink"/>
    <w:basedOn w:val="DefaultParagraphFont"/>
    <w:uiPriority w:val="99"/>
    <w:semiHidden/>
    <w:unhideWhenUsed/>
    <w:rsid w:val="006E11C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568209">
      <w:bodyDiv w:val="1"/>
      <w:marLeft w:val="0"/>
      <w:marRight w:val="0"/>
      <w:marTop w:val="0"/>
      <w:marBottom w:val="0"/>
      <w:divBdr>
        <w:top w:val="none" w:sz="0" w:space="0" w:color="auto"/>
        <w:left w:val="none" w:sz="0" w:space="0" w:color="auto"/>
        <w:bottom w:val="none" w:sz="0" w:space="0" w:color="auto"/>
        <w:right w:val="none" w:sz="0" w:space="0" w:color="auto"/>
      </w:divBdr>
    </w:div>
    <w:div w:id="668560207">
      <w:bodyDiv w:val="1"/>
      <w:marLeft w:val="0"/>
      <w:marRight w:val="0"/>
      <w:marTop w:val="0"/>
      <w:marBottom w:val="0"/>
      <w:divBdr>
        <w:top w:val="none" w:sz="0" w:space="0" w:color="auto"/>
        <w:left w:val="none" w:sz="0" w:space="0" w:color="auto"/>
        <w:bottom w:val="none" w:sz="0" w:space="0" w:color="auto"/>
        <w:right w:val="none" w:sz="0" w:space="0" w:color="auto"/>
      </w:divBdr>
    </w:div>
    <w:div w:id="758718244">
      <w:bodyDiv w:val="1"/>
      <w:marLeft w:val="0"/>
      <w:marRight w:val="0"/>
      <w:marTop w:val="0"/>
      <w:marBottom w:val="0"/>
      <w:divBdr>
        <w:top w:val="none" w:sz="0" w:space="0" w:color="auto"/>
        <w:left w:val="none" w:sz="0" w:space="0" w:color="auto"/>
        <w:bottom w:val="none" w:sz="0" w:space="0" w:color="auto"/>
        <w:right w:val="none" w:sz="0" w:space="0" w:color="auto"/>
      </w:divBdr>
    </w:div>
    <w:div w:id="1009596322">
      <w:bodyDiv w:val="1"/>
      <w:marLeft w:val="0"/>
      <w:marRight w:val="0"/>
      <w:marTop w:val="0"/>
      <w:marBottom w:val="0"/>
      <w:divBdr>
        <w:top w:val="none" w:sz="0" w:space="0" w:color="auto"/>
        <w:left w:val="none" w:sz="0" w:space="0" w:color="auto"/>
        <w:bottom w:val="none" w:sz="0" w:space="0" w:color="auto"/>
        <w:right w:val="none" w:sz="0" w:space="0" w:color="auto"/>
      </w:divBdr>
    </w:div>
    <w:div w:id="1381395265">
      <w:bodyDiv w:val="1"/>
      <w:marLeft w:val="0"/>
      <w:marRight w:val="0"/>
      <w:marTop w:val="0"/>
      <w:marBottom w:val="0"/>
      <w:divBdr>
        <w:top w:val="none" w:sz="0" w:space="0" w:color="auto"/>
        <w:left w:val="none" w:sz="0" w:space="0" w:color="auto"/>
        <w:bottom w:val="none" w:sz="0" w:space="0" w:color="auto"/>
        <w:right w:val="none" w:sz="0" w:space="0" w:color="auto"/>
      </w:divBdr>
    </w:div>
    <w:div w:id="1438255427">
      <w:bodyDiv w:val="1"/>
      <w:marLeft w:val="0"/>
      <w:marRight w:val="0"/>
      <w:marTop w:val="0"/>
      <w:marBottom w:val="0"/>
      <w:divBdr>
        <w:top w:val="none" w:sz="0" w:space="0" w:color="auto"/>
        <w:left w:val="none" w:sz="0" w:space="0" w:color="auto"/>
        <w:bottom w:val="none" w:sz="0" w:space="0" w:color="auto"/>
        <w:right w:val="none" w:sz="0" w:space="0" w:color="auto"/>
      </w:divBdr>
    </w:div>
    <w:div w:id="1498153899">
      <w:bodyDiv w:val="1"/>
      <w:marLeft w:val="0"/>
      <w:marRight w:val="0"/>
      <w:marTop w:val="0"/>
      <w:marBottom w:val="0"/>
      <w:divBdr>
        <w:top w:val="none" w:sz="0" w:space="0" w:color="auto"/>
        <w:left w:val="none" w:sz="0" w:space="0" w:color="auto"/>
        <w:bottom w:val="none" w:sz="0" w:space="0" w:color="auto"/>
        <w:right w:val="none" w:sz="0" w:space="0" w:color="auto"/>
      </w:divBdr>
    </w:div>
    <w:div w:id="1602488829">
      <w:bodyDiv w:val="1"/>
      <w:marLeft w:val="0"/>
      <w:marRight w:val="0"/>
      <w:marTop w:val="0"/>
      <w:marBottom w:val="0"/>
      <w:divBdr>
        <w:top w:val="none" w:sz="0" w:space="0" w:color="auto"/>
        <w:left w:val="none" w:sz="0" w:space="0" w:color="auto"/>
        <w:bottom w:val="none" w:sz="0" w:space="0" w:color="auto"/>
        <w:right w:val="none" w:sz="0" w:space="0" w:color="auto"/>
      </w:divBdr>
    </w:div>
    <w:div w:id="1672023829">
      <w:bodyDiv w:val="1"/>
      <w:marLeft w:val="0"/>
      <w:marRight w:val="0"/>
      <w:marTop w:val="0"/>
      <w:marBottom w:val="0"/>
      <w:divBdr>
        <w:top w:val="none" w:sz="0" w:space="0" w:color="auto"/>
        <w:left w:val="none" w:sz="0" w:space="0" w:color="auto"/>
        <w:bottom w:val="none" w:sz="0" w:space="0" w:color="auto"/>
        <w:right w:val="none" w:sz="0" w:space="0" w:color="auto"/>
      </w:divBdr>
    </w:div>
    <w:div w:id="1771512549">
      <w:bodyDiv w:val="1"/>
      <w:marLeft w:val="0"/>
      <w:marRight w:val="0"/>
      <w:marTop w:val="0"/>
      <w:marBottom w:val="0"/>
      <w:divBdr>
        <w:top w:val="none" w:sz="0" w:space="0" w:color="auto"/>
        <w:left w:val="none" w:sz="0" w:space="0" w:color="auto"/>
        <w:bottom w:val="none" w:sz="0" w:space="0" w:color="auto"/>
        <w:right w:val="none" w:sz="0" w:space="0" w:color="auto"/>
      </w:divBdr>
    </w:div>
    <w:div w:id="1918321633">
      <w:bodyDiv w:val="1"/>
      <w:marLeft w:val="0"/>
      <w:marRight w:val="0"/>
      <w:marTop w:val="0"/>
      <w:marBottom w:val="0"/>
      <w:divBdr>
        <w:top w:val="none" w:sz="0" w:space="0" w:color="auto"/>
        <w:left w:val="none" w:sz="0" w:space="0" w:color="auto"/>
        <w:bottom w:val="none" w:sz="0" w:space="0" w:color="auto"/>
        <w:right w:val="none" w:sz="0" w:space="0" w:color="auto"/>
      </w:divBdr>
    </w:div>
    <w:div w:id="1923954080">
      <w:bodyDiv w:val="1"/>
      <w:marLeft w:val="0"/>
      <w:marRight w:val="0"/>
      <w:marTop w:val="0"/>
      <w:marBottom w:val="0"/>
      <w:divBdr>
        <w:top w:val="none" w:sz="0" w:space="0" w:color="auto"/>
        <w:left w:val="none" w:sz="0" w:space="0" w:color="auto"/>
        <w:bottom w:val="none" w:sz="0" w:space="0" w:color="auto"/>
        <w:right w:val="none" w:sz="0" w:space="0" w:color="auto"/>
      </w:divBdr>
    </w:div>
    <w:div w:id="1967469604">
      <w:bodyDiv w:val="1"/>
      <w:marLeft w:val="0"/>
      <w:marRight w:val="0"/>
      <w:marTop w:val="0"/>
      <w:marBottom w:val="0"/>
      <w:divBdr>
        <w:top w:val="none" w:sz="0" w:space="0" w:color="auto"/>
        <w:left w:val="none" w:sz="0" w:space="0" w:color="auto"/>
        <w:bottom w:val="none" w:sz="0" w:space="0" w:color="auto"/>
        <w:right w:val="none" w:sz="0" w:space="0" w:color="auto"/>
      </w:divBdr>
    </w:div>
    <w:div w:id="2089157720">
      <w:bodyDiv w:val="1"/>
      <w:marLeft w:val="0"/>
      <w:marRight w:val="0"/>
      <w:marTop w:val="0"/>
      <w:marBottom w:val="0"/>
      <w:divBdr>
        <w:top w:val="none" w:sz="0" w:space="0" w:color="auto"/>
        <w:left w:val="none" w:sz="0" w:space="0" w:color="auto"/>
        <w:bottom w:val="none" w:sz="0" w:space="0" w:color="auto"/>
        <w:right w:val="none" w:sz="0" w:space="0" w:color="auto"/>
      </w:divBdr>
    </w:div>
    <w:div w:id="214488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tatic.inditex.com/annual_report_2020/assets/pdf/pdfseng/CAPITULOS_ING/2.5_Shareholder%20relations.pdf"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tatic.inditex.com/annual_report_2021/en/documents/collaborating-our-shareholders-allies-transformatio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radingeconomics.com/itx:s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nditex.com/itxcomweb/en/investors/finan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nditex.com/itxcomweb/en/group/histor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8990882A17F49448F2379D0D067560A"/>
        <w:category>
          <w:name w:val="General"/>
          <w:gallery w:val="placeholder"/>
        </w:category>
        <w:types>
          <w:type w:val="bbPlcHdr"/>
        </w:types>
        <w:behaviors>
          <w:behavior w:val="content"/>
        </w:behaviors>
        <w:guid w:val="{3BE16224-D4D4-9744-884A-FD007DF53A76}"/>
      </w:docPartPr>
      <w:docPartBody>
        <w:p w:rsidR="00000000" w:rsidRDefault="00BF571E" w:rsidP="00BF571E">
          <w:pPr>
            <w:pStyle w:val="A8990882A17F49448F2379D0D067560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71E"/>
    <w:rsid w:val="00426431"/>
    <w:rsid w:val="00BF5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990882A17F49448F2379D0D067560A">
    <w:name w:val="A8990882A17F49448F2379D0D067560A"/>
    <w:rsid w:val="00BF571E"/>
  </w:style>
  <w:style w:type="paragraph" w:customStyle="1" w:styleId="B2E8FC55A5BEAC46A5BE8A0B79C06C90">
    <w:name w:val="B2E8FC55A5BEAC46A5BE8A0B79C06C90"/>
    <w:rsid w:val="00BF57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9</Pages>
  <Words>1491</Words>
  <Characters>8503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
  <dc:creator>Corina Iorga (2008117)</dc:creator>
  <cp:keywords/>
  <dc:description/>
  <cp:lastModifiedBy>Corina Iorga (2008117)</cp:lastModifiedBy>
  <cp:revision>3</cp:revision>
  <dcterms:created xsi:type="dcterms:W3CDTF">2023-01-06T17:37:00Z</dcterms:created>
  <dcterms:modified xsi:type="dcterms:W3CDTF">2023-01-06T23:39:00Z</dcterms:modified>
</cp:coreProperties>
</file>