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B99C2" w14:textId="4B7846C7" w:rsidR="00275661" w:rsidRDefault="008E30D4">
      <w:pPr>
        <w:rPr>
          <w:b/>
          <w:bCs/>
          <w:u w:val="single"/>
        </w:rPr>
      </w:pPr>
      <w:r w:rsidRPr="008E30D4">
        <w:rPr>
          <w:b/>
          <w:bCs/>
          <w:u w:val="single"/>
        </w:rPr>
        <w:t xml:space="preserve">5HR01 - Employment relationship management </w:t>
      </w:r>
    </w:p>
    <w:p w14:paraId="219372AD" w14:textId="428A5E19" w:rsidR="008A55A7" w:rsidRDefault="008E30D4" w:rsidP="00534F54">
      <w:pPr>
        <w:pStyle w:val="Listparag"/>
        <w:spacing w:after="0" w:line="276" w:lineRule="auto"/>
        <w:jc w:val="both"/>
        <w:rPr>
          <w:rFonts w:asciiTheme="minorHAnsi" w:hAnsiTheme="minorHAnsi"/>
          <w:b/>
          <w:bCs/>
        </w:rPr>
      </w:pPr>
      <w:r w:rsidRPr="000B4C4F">
        <w:rPr>
          <w:rFonts w:asciiTheme="minorHAnsi" w:hAnsiTheme="minorHAnsi"/>
          <w:b/>
          <w:bCs/>
        </w:rPr>
        <w:t xml:space="preserve">Differentiate between employee involvement and employee participation and how they build relationships. (AC 1.1) </w:t>
      </w:r>
    </w:p>
    <w:p w14:paraId="6D3BE7A4" w14:textId="77777777" w:rsidR="00534F54" w:rsidRPr="00534F54" w:rsidRDefault="00534F54" w:rsidP="00534F54">
      <w:pPr>
        <w:pStyle w:val="Listparag"/>
        <w:spacing w:after="0" w:line="276" w:lineRule="auto"/>
        <w:jc w:val="both"/>
        <w:rPr>
          <w:rFonts w:asciiTheme="minorHAnsi" w:hAnsiTheme="minorHAnsi"/>
          <w:b/>
          <w:bCs/>
        </w:rPr>
      </w:pPr>
    </w:p>
    <w:p w14:paraId="722D2E1B" w14:textId="77777777" w:rsidR="00813250" w:rsidRDefault="008A55A7" w:rsidP="00534F54">
      <w:pPr>
        <w:pStyle w:val="NoSpacing"/>
        <w:spacing w:line="276" w:lineRule="auto"/>
        <w:jc w:val="both"/>
      </w:pPr>
      <w:r w:rsidRPr="008A55A7">
        <w:t>Employee involvement refers to the ways employees are encouraged to engage with their work and contribute their views on matters affecting them and the wider organisation. It aims to create a committed and informed workforce (</w:t>
      </w:r>
      <w:proofErr w:type="spellStart"/>
      <w:r w:rsidRPr="008A55A7">
        <w:t>Aylott</w:t>
      </w:r>
      <w:proofErr w:type="spellEnd"/>
      <w:r w:rsidRPr="008A55A7">
        <w:t>, 2022). This typically takes the form of informal consultation, such as staff surveys or team meetings. While employees are given a voice, the final decision-making power remains with management (</w:t>
      </w:r>
      <w:proofErr w:type="spellStart"/>
      <w:r w:rsidRPr="008A55A7">
        <w:t>Aylott</w:t>
      </w:r>
      <w:proofErr w:type="spellEnd"/>
      <w:r w:rsidRPr="008A55A7">
        <w:t>, 2022).</w:t>
      </w:r>
    </w:p>
    <w:p w14:paraId="07052021" w14:textId="77777777" w:rsidR="00813250" w:rsidRDefault="00813250" w:rsidP="00534F54">
      <w:pPr>
        <w:pStyle w:val="NoSpacing"/>
        <w:spacing w:line="276" w:lineRule="auto"/>
        <w:jc w:val="both"/>
      </w:pPr>
    </w:p>
    <w:p w14:paraId="6E9C5F5B" w14:textId="37D0678D" w:rsidR="00D37560" w:rsidRDefault="00553EE6" w:rsidP="00534F54">
      <w:pPr>
        <w:pStyle w:val="NoSpacing"/>
        <w:spacing w:line="276" w:lineRule="auto"/>
        <w:jc w:val="both"/>
      </w:pPr>
      <w:r w:rsidRPr="00813250">
        <w:t>In contrast, employee participation provides employees with a more formal and direct role in organisational decision-making. It typically involves collective methods, such as trade union negotiations, employee representatives on boards, or joint consultative committees</w:t>
      </w:r>
      <w:r w:rsidR="00813250" w:rsidRPr="00813250">
        <w:t xml:space="preserve"> (Ogum 2024). </w:t>
      </w:r>
      <w:r w:rsidRPr="00553EE6">
        <w:t>Participation is often linked to higher levels of autonomy and shared responsibility. Hyman (2018) describes employee participation as encompassing efforts by workers to gain influence over organisational affairs, often through collective regulation by trade unions</w:t>
      </w:r>
      <w:r w:rsidR="008A55A7">
        <w:t xml:space="preserve">. </w:t>
      </w:r>
      <w:r w:rsidR="00D37560" w:rsidRPr="00D37560">
        <w:t>Although these terms are sometimes used interchangeably, the key difference lies in the degree of control and decision-making power. Involvement is about being heard; participation is about having influence.</w:t>
      </w:r>
    </w:p>
    <w:p w14:paraId="3B583025" w14:textId="77777777" w:rsidR="00813250" w:rsidRPr="00D37560" w:rsidRDefault="00813250" w:rsidP="00534F54">
      <w:pPr>
        <w:pStyle w:val="NoSpacing"/>
        <w:spacing w:line="276" w:lineRule="auto"/>
        <w:jc w:val="both"/>
      </w:pPr>
    </w:p>
    <w:p w14:paraId="00030F90" w14:textId="5D3D299E" w:rsidR="00D37560" w:rsidRDefault="00D37560" w:rsidP="00534F54">
      <w:pPr>
        <w:pStyle w:val="NoSpacing"/>
        <w:spacing w:line="276" w:lineRule="auto"/>
        <w:jc w:val="both"/>
      </w:pPr>
      <w:r w:rsidRPr="00D37560">
        <w:t xml:space="preserve">Both approaches help to build strong employment relationships by </w:t>
      </w:r>
      <w:r w:rsidR="00174AB0">
        <w:t>building</w:t>
      </w:r>
      <w:r w:rsidRPr="00D37560">
        <w:t xml:space="preserve"> trust, transparency and mutual respect. When employees are given opportunities to contribute or shape decisions, they feel more valued and engaged</w:t>
      </w:r>
      <w:r w:rsidR="00174AB0">
        <w:t xml:space="preserve"> (</w:t>
      </w:r>
      <w:proofErr w:type="spellStart"/>
      <w:r w:rsidR="00174AB0">
        <w:t>Aylott</w:t>
      </w:r>
      <w:proofErr w:type="spellEnd"/>
      <w:r w:rsidR="00174AB0">
        <w:t xml:space="preserve">, 2022). </w:t>
      </w:r>
      <w:r w:rsidRPr="00D37560">
        <w:t>This strengthens the psychological contrac</w:t>
      </w:r>
      <w:r w:rsidR="00174AB0">
        <w:t xml:space="preserve">t </w:t>
      </w:r>
      <w:r w:rsidRPr="00D37560">
        <w:t>and can lead to improved morale, motivation and retention (</w:t>
      </w:r>
      <w:proofErr w:type="spellStart"/>
      <w:r w:rsidRPr="00D37560">
        <w:t>Aylott</w:t>
      </w:r>
      <w:proofErr w:type="spellEnd"/>
      <w:r w:rsidRPr="00D37560">
        <w:t>, 2022).</w:t>
      </w:r>
    </w:p>
    <w:p w14:paraId="2CD15B18" w14:textId="77777777" w:rsidR="00813250" w:rsidRPr="00D37560" w:rsidRDefault="00813250" w:rsidP="00534F54">
      <w:pPr>
        <w:pStyle w:val="NoSpacing"/>
        <w:spacing w:line="276" w:lineRule="auto"/>
        <w:jc w:val="both"/>
      </w:pPr>
    </w:p>
    <w:p w14:paraId="0132B99D" w14:textId="4E3F2A86" w:rsidR="00D37560" w:rsidRPr="00D37560" w:rsidRDefault="00D37560" w:rsidP="00534F54">
      <w:pPr>
        <w:pStyle w:val="NoSpacing"/>
        <w:spacing w:line="276" w:lineRule="auto"/>
        <w:jc w:val="both"/>
      </w:pPr>
      <w:r w:rsidRPr="00D37560">
        <w:t xml:space="preserve">Research also suggests that workplace participation can positively impact behaviour and productivity. </w:t>
      </w:r>
      <w:r w:rsidR="008A55A7" w:rsidRPr="008A55A7">
        <w:t>According to the Involvement and Participation Association (IPA), when employees are involved in decision-making, it leads to better outcomes for both individuals and the organisation (IPA, 2023). A well-known example is the Hawthorne Studies from the 1920s, which found that employees became more productive when they were involved in decisions about their working conditions</w:t>
      </w:r>
      <w:r w:rsidR="008A55A7">
        <w:t xml:space="preserve">, </w:t>
      </w:r>
      <w:r w:rsidR="008A55A7" w:rsidRPr="008A55A7">
        <w:t>like breaks and lighting</w:t>
      </w:r>
      <w:r w:rsidR="008A55A7">
        <w:t xml:space="preserve">, </w:t>
      </w:r>
      <w:r w:rsidR="008A55A7" w:rsidRPr="008A55A7">
        <w:t>even if the changes were later reversed. This became known as the “Hawthorne effect” and showed that when people feel their opinions matter, they tend to be more engaged and motivated (IPA,</w:t>
      </w:r>
      <w:r w:rsidR="001B6ABF">
        <w:t xml:space="preserve"> 2025a</w:t>
      </w:r>
      <w:r w:rsidR="008A55A7" w:rsidRPr="008A55A7">
        <w:t xml:space="preserve">). </w:t>
      </w:r>
    </w:p>
    <w:p w14:paraId="73499419" w14:textId="77777777" w:rsidR="000B4C4F" w:rsidRDefault="000B4C4F" w:rsidP="00534F54">
      <w:pPr>
        <w:pStyle w:val="Listparag"/>
        <w:spacing w:after="0" w:line="276" w:lineRule="auto"/>
        <w:jc w:val="both"/>
        <w:rPr>
          <w:rFonts w:asciiTheme="minorHAnsi" w:hAnsiTheme="minorHAnsi"/>
          <w:b/>
          <w:bCs/>
        </w:rPr>
      </w:pPr>
    </w:p>
    <w:p w14:paraId="30E75EE0" w14:textId="6D29AFC9" w:rsidR="000B4C4F" w:rsidRPr="000B4C4F" w:rsidRDefault="000B4C4F" w:rsidP="00534F54">
      <w:pPr>
        <w:pStyle w:val="Listparag"/>
        <w:spacing w:after="0" w:line="276" w:lineRule="auto"/>
        <w:jc w:val="both"/>
        <w:rPr>
          <w:rFonts w:asciiTheme="minorHAnsi" w:hAnsiTheme="minorHAnsi"/>
          <w:b/>
          <w:bCs/>
        </w:rPr>
      </w:pPr>
      <w:r w:rsidRPr="000B4C4F">
        <w:rPr>
          <w:rFonts w:asciiTheme="minorHAnsi" w:hAnsiTheme="minorHAnsi"/>
          <w:b/>
          <w:bCs/>
        </w:rPr>
        <w:t>Compare forms of union and non-union employee representation. (AC 1.2)</w:t>
      </w:r>
    </w:p>
    <w:p w14:paraId="2E3FF9DC" w14:textId="57AEBD34" w:rsidR="008A55A7" w:rsidRDefault="008A55A7" w:rsidP="00534F54">
      <w:pPr>
        <w:spacing w:line="276" w:lineRule="auto"/>
        <w:jc w:val="both"/>
      </w:pPr>
    </w:p>
    <w:p w14:paraId="26CB6362" w14:textId="05A57847" w:rsidR="000E7CD7" w:rsidRPr="000E7CD7" w:rsidRDefault="000E7CD7" w:rsidP="00534F54">
      <w:pPr>
        <w:spacing w:line="276" w:lineRule="auto"/>
        <w:jc w:val="both"/>
      </w:pPr>
      <w:r w:rsidRPr="000E7CD7">
        <w:t>Trade unions (TUs) are independent organisations that represent the collective interests of their members, primarily focusing on negotiating terms and conditions of employment, advocating for better working conditions and conducting research to support their positions (</w:t>
      </w:r>
      <w:proofErr w:type="spellStart"/>
      <w:r w:rsidRPr="000E7CD7">
        <w:t>Aylott</w:t>
      </w:r>
      <w:proofErr w:type="spellEnd"/>
      <w:r w:rsidRPr="000E7CD7">
        <w:t xml:space="preserve">, 2022). Where recognised, they have legal rights to collective bargaining, representation and the ability to take industrial action, offering employees stronger protections and greater leverage (ACAS, </w:t>
      </w:r>
      <w:r w:rsidR="001B6ABF">
        <w:t>2014</w:t>
      </w:r>
      <w:r w:rsidRPr="000E7CD7">
        <w:t>). Unions also influence policy and campaign for broader improvements in working life and employment practices (CIPD, 202</w:t>
      </w:r>
      <w:r w:rsidR="00686589">
        <w:t>5b</w:t>
      </w:r>
      <w:r w:rsidRPr="000E7CD7">
        <w:t>).</w:t>
      </w:r>
    </w:p>
    <w:p w14:paraId="63B05F5C" w14:textId="684F3636" w:rsidR="000E7CD7" w:rsidRPr="000E7CD7" w:rsidRDefault="000E7CD7" w:rsidP="00534F54">
      <w:pPr>
        <w:spacing w:line="276" w:lineRule="auto"/>
        <w:jc w:val="both"/>
      </w:pPr>
      <w:r w:rsidRPr="000E7CD7">
        <w:lastRenderedPageBreak/>
        <w:t>Non-union representation includes structures such as employee forums, works councils, and representatives under the Information and Consultation of Employees (ICE) Regulations. These are typically set up internally and may involve an election process, especially in larger organisations. While they offer employees a platform to raise concerns on issues such as TUPE, pensions</w:t>
      </w:r>
      <w:r>
        <w:t xml:space="preserve"> </w:t>
      </w:r>
      <w:r w:rsidRPr="000E7CD7">
        <w:t>and collective redundancies, they generally lack the legal status, protections, and bargaining power of trade unions (</w:t>
      </w:r>
      <w:proofErr w:type="spellStart"/>
      <w:r w:rsidRPr="000E7CD7">
        <w:t>Aylott</w:t>
      </w:r>
      <w:proofErr w:type="spellEnd"/>
      <w:r w:rsidRPr="000E7CD7">
        <w:t>, 2022). The ICE legislation</w:t>
      </w:r>
      <w:proofErr w:type="gramStart"/>
      <w:r w:rsidRPr="000E7CD7">
        <w:t>, in particular, has</w:t>
      </w:r>
      <w:proofErr w:type="gramEnd"/>
      <w:r w:rsidRPr="000E7CD7">
        <w:t xml:space="preserve"> been criticised for its ineffectiveness due to limited awareness and weak enforcement (IPA, </w:t>
      </w:r>
      <w:r>
        <w:t>2025</w:t>
      </w:r>
      <w:r w:rsidR="001B6ABF">
        <w:t>b</w:t>
      </w:r>
      <w:r w:rsidRPr="000E7CD7">
        <w:t>).</w:t>
      </w:r>
    </w:p>
    <w:p w14:paraId="00EFA9E3" w14:textId="174EFD53" w:rsidR="008B5D44" w:rsidRDefault="000E7CD7" w:rsidP="00534F54">
      <w:pPr>
        <w:spacing w:line="276" w:lineRule="auto"/>
        <w:jc w:val="both"/>
      </w:pPr>
      <w:r w:rsidRPr="000E7CD7">
        <w:t>A</w:t>
      </w:r>
      <w:r>
        <w:t xml:space="preserve"> case study </w:t>
      </w:r>
      <w:r w:rsidRPr="000E7CD7">
        <w:t>example is the NatWest Group, which operates both union and non-union representation across different areas of the business. In some divisions, recognised trade unions engage in formal collective bargaining, while in others</w:t>
      </w:r>
      <w:r>
        <w:t xml:space="preserve">, </w:t>
      </w:r>
      <w:r w:rsidRPr="000E7CD7">
        <w:t>employee consultative councils are used to support discussions about organisational changes. This dual approach illustrates how representation can be tailored to suit organisational structure but also highlights the varying degrees of influence between union and non-union models (CIPD, 2022).</w:t>
      </w:r>
    </w:p>
    <w:p w14:paraId="77E35117" w14:textId="298F2471" w:rsidR="000E7CD7" w:rsidRDefault="000E7CD7" w:rsidP="00534F54">
      <w:pPr>
        <w:spacing w:line="276" w:lineRule="auto"/>
        <w:jc w:val="both"/>
      </w:pPr>
      <w:r w:rsidRPr="000E7CD7">
        <w:t>While both forms of representation aim to give employees a voice and protect their interests, the key difference lies in the level of power and legal backing. Trade unions have more formal rights and the ability to challenge employers if needed, including taking industrial action. In contrast, non-union bodies are more about collaboration and rely heavily on the employer’s willingness to engage. That said, both can be effective in building trust, improving communication, and supporting good employee relations when they’re done properly.</w:t>
      </w:r>
    </w:p>
    <w:p w14:paraId="59FF2BAE" w14:textId="77777777" w:rsidR="00534F54" w:rsidRPr="008A55A7" w:rsidRDefault="00534F54" w:rsidP="00534F54">
      <w:pPr>
        <w:spacing w:line="276" w:lineRule="auto"/>
        <w:jc w:val="both"/>
      </w:pPr>
    </w:p>
    <w:p w14:paraId="76C36559" w14:textId="41140EE1" w:rsidR="00534F54" w:rsidRPr="00534F54" w:rsidRDefault="00E9728C" w:rsidP="00534F54">
      <w:pPr>
        <w:spacing w:line="276" w:lineRule="auto"/>
        <w:jc w:val="both"/>
        <w:rPr>
          <w:b/>
          <w:bCs/>
        </w:rPr>
      </w:pPr>
      <w:r w:rsidRPr="00813250">
        <w:rPr>
          <w:b/>
          <w:bCs/>
        </w:rPr>
        <w:t>Evaluate the relationship between employee voice and organisational performance. (AC 1.3)</w:t>
      </w:r>
    </w:p>
    <w:p w14:paraId="1758A3FD" w14:textId="75BA342A" w:rsidR="00E9728C" w:rsidRPr="00E9728C" w:rsidRDefault="00E9728C" w:rsidP="00534F54">
      <w:pPr>
        <w:spacing w:line="276" w:lineRule="auto"/>
        <w:jc w:val="both"/>
      </w:pPr>
      <w:r w:rsidRPr="00E9728C">
        <w:t>Employee voice – the ability of staff to express opinions and influence decisions at work – is often seen as a driver of organisational performance. However, the strength of this relationship is debated and it’s important to consider both the benefits and the limitations of voice in practice.</w:t>
      </w:r>
    </w:p>
    <w:p w14:paraId="3E97DE47" w14:textId="50311F0E" w:rsidR="00E9728C" w:rsidRDefault="00E9728C" w:rsidP="00534F54">
      <w:pPr>
        <w:spacing w:line="276" w:lineRule="auto"/>
        <w:jc w:val="both"/>
      </w:pPr>
      <w:r w:rsidRPr="00E9728C">
        <w:t xml:space="preserve">Research suggests a clear link between effective voice mechanisms and improved engagement, which can positively impact performance. The </w:t>
      </w:r>
      <w:r>
        <w:t>CIPD (2025</w:t>
      </w:r>
      <w:r w:rsidR="00686589">
        <w:t>a</w:t>
      </w:r>
      <w:r>
        <w:t>)</w:t>
      </w:r>
      <w:r w:rsidRPr="00E9728C">
        <w:t xml:space="preserve"> highlights that when employees feel heard, they’re more likely to be committed, motivated and productive. Engage for Success (2025) </w:t>
      </w:r>
      <w:r>
        <w:t>agrees</w:t>
      </w:r>
      <w:r w:rsidRPr="00E9728C">
        <w:t xml:space="preserve">, naming employee voice as one of the four key enablers of engagement. These sources suggest that voice can increase innovation, trust and retention </w:t>
      </w:r>
      <w:r w:rsidR="00625A75">
        <w:t>which are</w:t>
      </w:r>
      <w:r w:rsidRPr="00E9728C">
        <w:t xml:space="preserve"> all vital for performance.</w:t>
      </w:r>
      <w:r w:rsidR="00A6246B">
        <w:t xml:space="preserve"> </w:t>
      </w:r>
    </w:p>
    <w:p w14:paraId="413A09D6" w14:textId="516C27CD" w:rsidR="00A6246B" w:rsidRDefault="00A6246B" w:rsidP="00534F54">
      <w:pPr>
        <w:spacing w:line="276" w:lineRule="auto"/>
        <w:jc w:val="both"/>
      </w:pPr>
      <w:proofErr w:type="spellStart"/>
      <w:r w:rsidRPr="00A6246B">
        <w:t>Ayop</w:t>
      </w:r>
      <w:proofErr w:type="spellEnd"/>
      <w:r w:rsidRPr="00A6246B">
        <w:t xml:space="preserve"> and Ishak (2023) support this, finding that employee voice enhances engagement, innovation and satisfaction, which contribute to performance. However, their review also notes that the impact depends heavily on the organisation’s culture and managerial openness. Without a psychologically safe environment, even formal voice channels may fail to produce meaningful change.</w:t>
      </w:r>
    </w:p>
    <w:p w14:paraId="28B9F2F0" w14:textId="4080D5F1" w:rsidR="00E9728C" w:rsidRDefault="00C40984" w:rsidP="00534F54">
      <w:pPr>
        <w:spacing w:line="276" w:lineRule="auto"/>
        <w:jc w:val="both"/>
      </w:pPr>
      <w:r w:rsidRPr="00C40984">
        <w:t>This reinforces the view that simply having employee voice mechanisms in place is not sufficient</w:t>
      </w:r>
      <w:r w:rsidRPr="00124935">
        <w:t>. The Involvement and Participation Association (IPA, 2025c)</w:t>
      </w:r>
      <w:r w:rsidRPr="00C40984">
        <w:t xml:space="preserve"> emphasises that when voice is treated as a tick-box exercise rather than a meaningful and embedded strategy, the anticipated performance benefits are unlikely to emerge. They further highlight that for voice to be effective, employee input must be genuinely listened to and acted upon; otherwise, disengagement and mistrust can quickly develop among staff.</w:t>
      </w:r>
      <w:r>
        <w:t xml:space="preserve"> </w:t>
      </w:r>
    </w:p>
    <w:p w14:paraId="0F907716" w14:textId="3F392A40" w:rsidR="00124935" w:rsidRDefault="00813250" w:rsidP="00534F54">
      <w:pPr>
        <w:spacing w:line="276" w:lineRule="auto"/>
        <w:jc w:val="both"/>
      </w:pPr>
      <w:r>
        <w:lastRenderedPageBreak/>
        <w:t>In relation to the case study,</w:t>
      </w:r>
      <w:r w:rsidR="00124935" w:rsidRPr="00813250">
        <w:t xml:space="preserve"> a merger has introduced leaders from the private sector into a public sector </w:t>
      </w:r>
      <w:r w:rsidR="00124935" w:rsidRPr="00124935">
        <w:t>setting, where voice mechanisms may have traditionally been more formal and consultative. If these are neglected or misunderstood, staff morale and performance could be at risk. However, the merger also presents an opportunity to renew and improve employee voice, if managed well.</w:t>
      </w:r>
    </w:p>
    <w:p w14:paraId="13D882F8" w14:textId="742525A7" w:rsidR="00625A75" w:rsidRDefault="00625A75" w:rsidP="00534F54">
      <w:pPr>
        <w:spacing w:line="276" w:lineRule="auto"/>
        <w:jc w:val="both"/>
      </w:pPr>
      <w:r>
        <w:t xml:space="preserve">In summary, </w:t>
      </w:r>
      <w:r w:rsidR="00124935">
        <w:t>research shows that w</w:t>
      </w:r>
      <w:r w:rsidR="00124935" w:rsidRPr="00124935">
        <w:t xml:space="preserve">hile employee voice can contribute significantly to organisational performance, its success depends on how it is embedded in practice. People professionals must ensure that voice is not only encouraged, but genuinely acted upon, </w:t>
      </w:r>
      <w:r w:rsidR="00124935">
        <w:t xml:space="preserve">and this must be meaningful. </w:t>
      </w:r>
    </w:p>
    <w:p w14:paraId="54FE9C1A" w14:textId="77777777" w:rsidR="00625A75" w:rsidRDefault="00625A75" w:rsidP="00534F54">
      <w:pPr>
        <w:spacing w:line="276" w:lineRule="auto"/>
        <w:jc w:val="both"/>
      </w:pPr>
    </w:p>
    <w:p w14:paraId="40D26BF8" w14:textId="0FDF6C5A" w:rsidR="009617D0" w:rsidRDefault="009617D0" w:rsidP="00625A75">
      <w:pPr>
        <w:pStyle w:val="Nornal"/>
        <w:spacing w:after="0" w:line="276" w:lineRule="auto"/>
        <w:jc w:val="both"/>
        <w:rPr>
          <w:rFonts w:asciiTheme="minorHAnsi" w:hAnsiTheme="minorHAnsi"/>
          <w:b/>
          <w:bCs/>
        </w:rPr>
      </w:pPr>
      <w:r w:rsidRPr="00361A27">
        <w:rPr>
          <w:rFonts w:asciiTheme="minorHAnsi" w:hAnsiTheme="minorHAnsi"/>
          <w:b/>
          <w:bCs/>
        </w:rPr>
        <w:t>Explain the concept of better working lives and how this can be designed. (AC 1.4)</w:t>
      </w:r>
    </w:p>
    <w:p w14:paraId="52ADF35D" w14:textId="77777777" w:rsidR="00625A75" w:rsidRPr="00625A75" w:rsidRDefault="00625A75" w:rsidP="00625A75">
      <w:pPr>
        <w:pStyle w:val="Nornal"/>
        <w:spacing w:after="0" w:line="276" w:lineRule="auto"/>
        <w:jc w:val="both"/>
        <w:rPr>
          <w:rFonts w:asciiTheme="minorHAnsi" w:hAnsiTheme="minorHAnsi"/>
          <w:b/>
          <w:bCs/>
        </w:rPr>
      </w:pPr>
    </w:p>
    <w:p w14:paraId="233CD60D" w14:textId="46B76750" w:rsidR="009072BD" w:rsidRDefault="009072BD" w:rsidP="00534F54">
      <w:pPr>
        <w:pStyle w:val="NoSpacing"/>
        <w:spacing w:line="276" w:lineRule="auto"/>
        <w:jc w:val="both"/>
      </w:pPr>
      <w:r w:rsidRPr="009072BD">
        <w:t>‘Better working lives’, as defined by the CIPD, is centred around creating work that people find meaningful, engaging, and fulfilling. It goes beyond just having a job, it’s about ensuring individuals feel a sense of purpose in what they do each day. According to the CIPD’s Good Work Index (2024), better working lives are characterised by good job quality, strong well-being and access to opportunities for growth. When people experience this kind of work, it not only benefits them personally but also has a positive effect on organisational performance.</w:t>
      </w:r>
    </w:p>
    <w:p w14:paraId="413B6E5D" w14:textId="77777777" w:rsidR="009072BD" w:rsidRPr="009072BD" w:rsidRDefault="009072BD" w:rsidP="00534F54">
      <w:pPr>
        <w:pStyle w:val="NoSpacing"/>
        <w:spacing w:line="276" w:lineRule="auto"/>
        <w:jc w:val="both"/>
      </w:pPr>
    </w:p>
    <w:p w14:paraId="66BFDC10" w14:textId="69EFC1FC" w:rsidR="009072BD" w:rsidRDefault="009072BD" w:rsidP="00534F54">
      <w:pPr>
        <w:pStyle w:val="NoSpacing"/>
        <w:spacing w:line="276" w:lineRule="auto"/>
        <w:jc w:val="both"/>
      </w:pPr>
      <w:r w:rsidRPr="009072BD">
        <w:t xml:space="preserve">One of the </w:t>
      </w:r>
      <w:proofErr w:type="gramStart"/>
      <w:r w:rsidR="00817899" w:rsidRPr="009072BD">
        <w:t>key</w:t>
      </w:r>
      <w:r w:rsidR="00817899">
        <w:t xml:space="preserve"> ways</w:t>
      </w:r>
      <w:proofErr w:type="gramEnd"/>
      <w:r w:rsidR="00817899">
        <w:t xml:space="preserve"> </w:t>
      </w:r>
      <w:r w:rsidRPr="009072BD">
        <w:t xml:space="preserve">to design better working lives is by supporting flexible working arrangements. Flexibility enables employees to manage both professional and personal responsibilities more effectively, helping them to achieve a healthier work-life balance. When individuals feel that their time is </w:t>
      </w:r>
      <w:proofErr w:type="gramStart"/>
      <w:r w:rsidRPr="009072BD">
        <w:t>fairly shared</w:t>
      </w:r>
      <w:proofErr w:type="gramEnd"/>
      <w:r w:rsidRPr="009072BD">
        <w:t xml:space="preserve"> between work and life outside of it, they tend to be more motivated, less stressed, and ultimately more productive</w:t>
      </w:r>
      <w:r>
        <w:t xml:space="preserve"> (Ako, 2020).</w:t>
      </w:r>
      <w:r w:rsidRPr="009072BD">
        <w:t xml:space="preserve"> In today’s </w:t>
      </w:r>
      <w:r w:rsidR="00625A75" w:rsidRPr="009072BD">
        <w:t>changing</w:t>
      </w:r>
      <w:r w:rsidRPr="009072BD">
        <w:t xml:space="preserve"> workplace</w:t>
      </w:r>
      <w:r>
        <w:t xml:space="preserve">, </w:t>
      </w:r>
      <w:r w:rsidRPr="009072BD">
        <w:t>particularly pos</w:t>
      </w:r>
      <w:r>
        <w:t xml:space="preserve">t Covid-19, </w:t>
      </w:r>
      <w:r w:rsidRPr="009072BD">
        <w:t>hybrid models and remote options have become essential in promoting this balance and contributing to overall job satisfaction.</w:t>
      </w:r>
    </w:p>
    <w:p w14:paraId="2C911376" w14:textId="77777777" w:rsidR="009072BD" w:rsidRDefault="009072BD" w:rsidP="00534F54">
      <w:pPr>
        <w:pStyle w:val="NoSpacing"/>
        <w:spacing w:line="276" w:lineRule="auto"/>
        <w:jc w:val="both"/>
      </w:pPr>
    </w:p>
    <w:p w14:paraId="11874924" w14:textId="2DF1C148" w:rsidR="00E150D8" w:rsidRDefault="004B4396" w:rsidP="00534F54">
      <w:pPr>
        <w:pStyle w:val="NoSpacing"/>
        <w:spacing w:line="276" w:lineRule="auto"/>
        <w:jc w:val="both"/>
      </w:pPr>
      <w:r w:rsidRPr="004B4396">
        <w:t xml:space="preserve">Another </w:t>
      </w:r>
      <w:r>
        <w:t>important</w:t>
      </w:r>
      <w:r w:rsidRPr="004B4396">
        <w:t xml:space="preserve"> part of designing better working lives is ensuring job security and creating roles that are thoughtfully structured. Research by Lucky et al. (2013) highlights the positive impact of job security on organisational performance, showing a clear link between stable employment and improved employee morale, loyalty and output. When individuals feel secure in their roles and have a clear understanding of their responsibilities, they are more likely to invest discretionary effort and demonstrate behaviours that contribute positively to the </w:t>
      </w:r>
      <w:proofErr w:type="gramStart"/>
      <w:r w:rsidRPr="004B4396">
        <w:t>organisation as a whole</w:t>
      </w:r>
      <w:proofErr w:type="gramEnd"/>
      <w:r w:rsidRPr="004B4396">
        <w:t>. This closely aligns with the concept of organisational citizenship, where employees willingly go beyond their formal duties because they feel valued and motivated (Pickford and Joy, 2016).</w:t>
      </w:r>
    </w:p>
    <w:p w14:paraId="572CBC99" w14:textId="77777777" w:rsidR="004B4396" w:rsidRDefault="004B4396" w:rsidP="00534F54">
      <w:pPr>
        <w:pStyle w:val="NoSpacing"/>
        <w:spacing w:line="276" w:lineRule="auto"/>
        <w:jc w:val="both"/>
      </w:pPr>
    </w:p>
    <w:p w14:paraId="0734BD15" w14:textId="2E90ADBD" w:rsidR="00E150D8" w:rsidRDefault="00E150D8" w:rsidP="00534F54">
      <w:pPr>
        <w:pStyle w:val="NoSpacing"/>
        <w:spacing w:line="276" w:lineRule="auto"/>
        <w:jc w:val="both"/>
      </w:pPr>
      <w:r w:rsidRPr="00E150D8">
        <w:t>The opportunity for continued learning and development is another central pillar. When individuals are encouraged to grow, both professionally and personally, their engagement levels tend to rise. It shows the organisation values them and this can significantly boost morale and productivity.</w:t>
      </w:r>
    </w:p>
    <w:p w14:paraId="3D3C42DB" w14:textId="77777777" w:rsidR="00E150D8" w:rsidRPr="00E150D8" w:rsidRDefault="00E150D8" w:rsidP="00534F54">
      <w:pPr>
        <w:pStyle w:val="NoSpacing"/>
        <w:spacing w:line="276" w:lineRule="auto"/>
        <w:jc w:val="both"/>
      </w:pPr>
    </w:p>
    <w:p w14:paraId="0D46938F" w14:textId="2C436B6E" w:rsidR="00E150D8" w:rsidRPr="00E150D8" w:rsidRDefault="00E150D8" w:rsidP="00534F54">
      <w:pPr>
        <w:pStyle w:val="NoSpacing"/>
        <w:spacing w:line="276" w:lineRule="auto"/>
        <w:jc w:val="both"/>
      </w:pPr>
      <w:r w:rsidRPr="00E150D8">
        <w:t>The Taylor Review of Modern Working Practices</w:t>
      </w:r>
      <w:r w:rsidR="00624C42">
        <w:t>, by Taylor</w:t>
      </w:r>
      <w:r w:rsidRPr="00E150D8">
        <w:t xml:space="preserve"> (2017) reinforces many of these ideas. It calls for ‘good work for all’, highlighting the importance of fairness, security and progression as </w:t>
      </w:r>
      <w:r w:rsidRPr="00E150D8">
        <w:lastRenderedPageBreak/>
        <w:t>integral to modern employment. The review also emphasises the moral and economic case for improving job quality across all sectors.</w:t>
      </w:r>
      <w:r w:rsidR="004B4396">
        <w:t xml:space="preserve"> </w:t>
      </w:r>
      <w:r w:rsidR="004B4396" w:rsidRPr="004B4396">
        <w:t>Ultimately, designing better working lives is not a ‘nice to have’</w:t>
      </w:r>
      <w:r w:rsidR="004B4396">
        <w:t xml:space="preserve">, </w:t>
      </w:r>
      <w:r w:rsidR="004B4396" w:rsidRPr="004B4396">
        <w:t xml:space="preserve">it’s a strategic </w:t>
      </w:r>
      <w:r w:rsidR="004B4396">
        <w:t>move</w:t>
      </w:r>
      <w:r w:rsidR="00817899">
        <w:t xml:space="preserve">. It </w:t>
      </w:r>
      <w:r w:rsidR="004B4396" w:rsidRPr="004B4396">
        <w:t>leads to higher job satisfaction, reduced turnover, improved and enhanced well-being</w:t>
      </w:r>
      <w:r w:rsidR="00817899">
        <w:t xml:space="preserve"> which therefore</w:t>
      </w:r>
      <w:r w:rsidR="004B4396" w:rsidRPr="004B4396">
        <w:t xml:space="preserve"> contributes to a stronger, more resilient workforce</w:t>
      </w:r>
      <w:r w:rsidR="00817899">
        <w:t xml:space="preserve">. </w:t>
      </w:r>
    </w:p>
    <w:p w14:paraId="39CCD47E" w14:textId="77777777" w:rsidR="00E150D8" w:rsidRPr="00817899" w:rsidRDefault="00E150D8" w:rsidP="00534F54">
      <w:pPr>
        <w:pStyle w:val="Nornal"/>
        <w:spacing w:after="0" w:line="276" w:lineRule="auto"/>
        <w:jc w:val="both"/>
        <w:rPr>
          <w:rFonts w:asciiTheme="minorHAnsi" w:hAnsiTheme="minorHAnsi"/>
          <w:b/>
          <w:bCs/>
        </w:rPr>
      </w:pPr>
    </w:p>
    <w:p w14:paraId="43C3D916" w14:textId="77777777" w:rsidR="006B3A5A" w:rsidRPr="00817899" w:rsidRDefault="006B3A5A" w:rsidP="00534F54">
      <w:pPr>
        <w:pStyle w:val="Nornal"/>
        <w:spacing w:after="0" w:line="276" w:lineRule="auto"/>
        <w:jc w:val="both"/>
        <w:rPr>
          <w:rFonts w:asciiTheme="minorHAnsi" w:hAnsiTheme="minorHAnsi"/>
          <w:b/>
          <w:bCs/>
        </w:rPr>
      </w:pPr>
    </w:p>
    <w:p w14:paraId="18690265" w14:textId="77777777" w:rsidR="00817899" w:rsidRPr="00817899" w:rsidRDefault="00817899" w:rsidP="00534F54">
      <w:pPr>
        <w:pBdr>
          <w:top w:val="nil"/>
          <w:left w:val="nil"/>
          <w:bottom w:val="nil"/>
          <w:right w:val="nil"/>
          <w:between w:val="nil"/>
          <w:bar w:val="nil"/>
        </w:pBdr>
        <w:spacing w:after="0" w:line="276" w:lineRule="auto"/>
        <w:jc w:val="both"/>
        <w:rPr>
          <w:rFonts w:eastAsia="Arial" w:cs="Arial"/>
          <w:b/>
          <w:bCs/>
          <w:color w:val="000000"/>
          <w:kern w:val="0"/>
          <w:u w:color="000000"/>
          <w:bdr w:val="nil"/>
          <w:lang w:val="en-US" w:eastAsia="en-GB"/>
          <w14:ligatures w14:val="none"/>
        </w:rPr>
      </w:pPr>
      <w:r w:rsidRPr="00817899">
        <w:rPr>
          <w:rFonts w:eastAsia="Arial" w:cs="Arial"/>
          <w:b/>
          <w:bCs/>
          <w:color w:val="000000"/>
          <w:kern w:val="0"/>
          <w:u w:color="000000"/>
          <w:bdr w:val="nil"/>
          <w:lang w:val="en-US" w:eastAsia="en-GB"/>
          <w14:ligatures w14:val="none"/>
        </w:rPr>
        <w:t>Distinguish between organisational</w:t>
      </w:r>
      <w:r w:rsidRPr="00817899">
        <w:rPr>
          <w:rFonts w:ascii="Trebuchet MS" w:hAnsi="Trebuchet MS"/>
        </w:rPr>
        <w:t xml:space="preserve"> </w:t>
      </w:r>
      <w:r w:rsidRPr="00817899">
        <w:rPr>
          <w:rFonts w:eastAsia="Arial" w:cs="Arial"/>
          <w:b/>
          <w:bCs/>
          <w:color w:val="000000"/>
          <w:kern w:val="0"/>
          <w:u w:color="000000"/>
          <w:bdr w:val="nil"/>
          <w:lang w:val="en-US" w:eastAsia="en-GB"/>
          <w14:ligatures w14:val="none"/>
        </w:rPr>
        <w:t>conflict and misbehaviour. (AC 2.1)</w:t>
      </w:r>
    </w:p>
    <w:p w14:paraId="532609D8" w14:textId="77777777" w:rsidR="00817899" w:rsidRPr="00817899" w:rsidRDefault="00817899" w:rsidP="00534F54">
      <w:pPr>
        <w:pBdr>
          <w:top w:val="nil"/>
          <w:left w:val="nil"/>
          <w:bottom w:val="nil"/>
          <w:right w:val="nil"/>
          <w:between w:val="nil"/>
          <w:bar w:val="nil"/>
        </w:pBdr>
        <w:spacing w:after="0" w:line="276" w:lineRule="auto"/>
        <w:jc w:val="both"/>
        <w:rPr>
          <w:rFonts w:ascii="Trebuchet MS" w:hAnsi="Trebuchet MS"/>
          <w:b/>
          <w:bCs/>
        </w:rPr>
      </w:pPr>
    </w:p>
    <w:p w14:paraId="1E370839" w14:textId="77777777" w:rsidR="001F22F0" w:rsidRDefault="001F22F0" w:rsidP="00534F54">
      <w:pPr>
        <w:pStyle w:val="NoSpacing"/>
        <w:spacing w:line="276" w:lineRule="auto"/>
        <w:jc w:val="both"/>
      </w:pPr>
      <w:r w:rsidRPr="001F22F0">
        <w:t>Organisational conflict and employee misbehaviour are related but different concepts that affect the dynamics and culture of a workplace.</w:t>
      </w:r>
    </w:p>
    <w:p w14:paraId="6356B192" w14:textId="77777777" w:rsidR="001F22F0" w:rsidRPr="001F22F0" w:rsidRDefault="001F22F0" w:rsidP="00534F54">
      <w:pPr>
        <w:pStyle w:val="NoSpacing"/>
        <w:spacing w:line="276" w:lineRule="auto"/>
        <w:jc w:val="both"/>
      </w:pPr>
    </w:p>
    <w:p w14:paraId="40433791" w14:textId="7F66098B" w:rsidR="001F22F0" w:rsidRDefault="001F22F0" w:rsidP="00534F54">
      <w:pPr>
        <w:pStyle w:val="NoSpacing"/>
        <w:spacing w:line="276" w:lineRule="auto"/>
        <w:jc w:val="both"/>
      </w:pPr>
      <w:r w:rsidRPr="001F22F0">
        <w:t>Organisational conflict is usually the result of differences in people’s views, experiences and working styles (CIPD, 2020). These differences can be positive and support creative problem-solving, as individuals challenge each other’s thinking in productive ways. For example, within a recruitment team, two colleagues may disagree over which candidate is best suited for a role</w:t>
      </w:r>
      <w:r>
        <w:t xml:space="preserve"> - </w:t>
      </w:r>
      <w:r w:rsidRPr="001F22F0">
        <w:t xml:space="preserve">one might prioritise cultural fit, while the other focuses more on skills. If handled well, this sort of conflict can encourage discussion, sharpen decisions and lead to a stronger </w:t>
      </w:r>
      <w:r>
        <w:t>hire</w:t>
      </w:r>
      <w:r w:rsidRPr="001F22F0">
        <w:t>.</w:t>
      </w:r>
    </w:p>
    <w:p w14:paraId="308FED19" w14:textId="77777777" w:rsidR="001F22F0" w:rsidRPr="001F22F0" w:rsidRDefault="001F22F0" w:rsidP="00534F54">
      <w:pPr>
        <w:pStyle w:val="NoSpacing"/>
        <w:spacing w:line="276" w:lineRule="auto"/>
        <w:jc w:val="both"/>
      </w:pPr>
    </w:p>
    <w:p w14:paraId="6DB78CBD" w14:textId="20DEB774" w:rsidR="001F22F0" w:rsidRDefault="001F22F0" w:rsidP="00534F54">
      <w:pPr>
        <w:pStyle w:val="NoSpacing"/>
        <w:spacing w:line="276" w:lineRule="auto"/>
        <w:jc w:val="both"/>
      </w:pPr>
      <w:r>
        <w:t>C</w:t>
      </w:r>
      <w:r w:rsidRPr="001F22F0">
        <w:t xml:space="preserve">onflict can also turn negative </w:t>
      </w:r>
      <w:r>
        <w:t xml:space="preserve">- </w:t>
      </w:r>
      <w:r w:rsidRPr="001F22F0">
        <w:t>whether through obvious behaviours like shouting, or more subtle actions like excluding someone from team conversations</w:t>
      </w:r>
      <w:r>
        <w:t xml:space="preserve">, </w:t>
      </w:r>
      <w:r w:rsidRPr="001F22F0">
        <w:t xml:space="preserve">and this can harm relationships, affect wellbeing, and reduce performance. CIPD (2020) highlights how conflict is often subjective; what seems minor to one person can feel very personal to another. Common triggers include poor management, changes to pay or terms, lack of communication, and unfair treatment. </w:t>
      </w:r>
      <w:r>
        <w:t>According to CIPD (2020),</w:t>
      </w:r>
      <w:r w:rsidRPr="001F22F0">
        <w:t xml:space="preserve"> 26% of employees report having experienced conflict at work, showing how common the issue is.</w:t>
      </w:r>
    </w:p>
    <w:p w14:paraId="18EA68A3" w14:textId="77777777" w:rsidR="001F22F0" w:rsidRPr="001F22F0" w:rsidRDefault="001F22F0" w:rsidP="00534F54">
      <w:pPr>
        <w:pStyle w:val="NoSpacing"/>
        <w:spacing w:line="276" w:lineRule="auto"/>
        <w:jc w:val="both"/>
      </w:pPr>
    </w:p>
    <w:p w14:paraId="359F3169" w14:textId="43FF69FE" w:rsidR="001F22F0" w:rsidRDefault="001F22F0" w:rsidP="00534F54">
      <w:pPr>
        <w:pStyle w:val="NoSpacing"/>
        <w:spacing w:line="276" w:lineRule="auto"/>
        <w:jc w:val="both"/>
      </w:pPr>
      <w:r w:rsidRPr="001F22F0">
        <w:t>Misbehaviour, as defined by Ackroyd and Thompson (2022), refers to intentional actions that go against formal rules, procedures, or norms. It’s a way for employees to push back against rules or show dissatisfaction</w:t>
      </w:r>
      <w:r>
        <w:t xml:space="preserve">, </w:t>
      </w:r>
      <w:r w:rsidRPr="001F22F0">
        <w:t xml:space="preserve">whether openly or in more subtle ways. In recruitment, this </w:t>
      </w:r>
      <w:r>
        <w:t xml:space="preserve">be </w:t>
      </w:r>
      <w:r w:rsidRPr="001F22F0">
        <w:t xml:space="preserve">bending the truth on a candidate’s CV to secure a placement, skipping reference checks to speed up the process, </w:t>
      </w:r>
      <w:r>
        <w:t xml:space="preserve">or </w:t>
      </w:r>
      <w:r w:rsidRPr="001F22F0">
        <w:t>using company time inappropriately. Unlike healthy conflict, misbehaviour usually disrupts workflow and trust and is typically managed through formal processes and clear boundaries.</w:t>
      </w:r>
    </w:p>
    <w:p w14:paraId="3564EFDD" w14:textId="77777777" w:rsidR="001F22F0" w:rsidRPr="001F22F0" w:rsidRDefault="001F22F0" w:rsidP="00534F54">
      <w:pPr>
        <w:pStyle w:val="NoSpacing"/>
        <w:spacing w:line="276" w:lineRule="auto"/>
        <w:jc w:val="both"/>
      </w:pPr>
    </w:p>
    <w:p w14:paraId="373761A3" w14:textId="6FE622B2" w:rsidR="001F22F0" w:rsidRPr="001F22F0" w:rsidRDefault="001F22F0" w:rsidP="00534F54">
      <w:pPr>
        <w:pStyle w:val="NoSpacing"/>
        <w:spacing w:line="276" w:lineRule="auto"/>
        <w:jc w:val="both"/>
      </w:pPr>
      <w:r w:rsidRPr="001F22F0">
        <w:t>Looking at the recent merger, there’s clearly an increased risk of both conflict and misbehaviour. The new leadership team, many of whom are unfamiliar with public sector practices, may unintentionally overlook existing values and ways of working. That can cause staff to feel unsettled, especially if communication is poor or expectations aren’t clear. Some disagreements</w:t>
      </w:r>
      <w:r w:rsidR="00625A75">
        <w:t xml:space="preserve">, </w:t>
      </w:r>
      <w:r w:rsidRPr="001F22F0">
        <w:t>like differing recruitment strategies between legacy teams</w:t>
      </w:r>
      <w:r w:rsidR="00625A75">
        <w:t>,</w:t>
      </w:r>
      <w:r w:rsidRPr="001F22F0">
        <w:t xml:space="preserve"> could </w:t>
      </w:r>
      <w:proofErr w:type="gramStart"/>
      <w:r w:rsidRPr="001F22F0">
        <w:t>actually lead</w:t>
      </w:r>
      <w:proofErr w:type="gramEnd"/>
      <w:r w:rsidRPr="001F22F0">
        <w:t xml:space="preserve"> to better practice if addressed constructively. But if ignored, this kind of conflict can escalate or trigger misbehaviour.</w:t>
      </w:r>
    </w:p>
    <w:p w14:paraId="45E443BE" w14:textId="7E870E28" w:rsidR="00CE26C4" w:rsidRDefault="00CE26C4" w:rsidP="00534F54">
      <w:pPr>
        <w:pStyle w:val="NoSpacing"/>
        <w:spacing w:line="276" w:lineRule="auto"/>
        <w:jc w:val="both"/>
      </w:pPr>
    </w:p>
    <w:p w14:paraId="79C288CF" w14:textId="77777777" w:rsidR="00625A75" w:rsidRDefault="00625A75" w:rsidP="00534F54">
      <w:pPr>
        <w:pStyle w:val="NoSpacing"/>
        <w:spacing w:line="276" w:lineRule="auto"/>
        <w:jc w:val="both"/>
        <w:rPr>
          <w:b/>
          <w:bCs/>
        </w:rPr>
      </w:pPr>
    </w:p>
    <w:p w14:paraId="305678B0" w14:textId="77777777" w:rsidR="00625A75" w:rsidRDefault="00625A75" w:rsidP="00534F54">
      <w:pPr>
        <w:pStyle w:val="NoSpacing"/>
        <w:spacing w:line="276" w:lineRule="auto"/>
        <w:jc w:val="both"/>
        <w:rPr>
          <w:b/>
          <w:bCs/>
        </w:rPr>
      </w:pPr>
    </w:p>
    <w:p w14:paraId="1A9C50A7" w14:textId="77777777" w:rsidR="00625A75" w:rsidRDefault="00625A75" w:rsidP="00534F54">
      <w:pPr>
        <w:pStyle w:val="NoSpacing"/>
        <w:spacing w:line="276" w:lineRule="auto"/>
        <w:jc w:val="both"/>
        <w:rPr>
          <w:b/>
          <w:bCs/>
        </w:rPr>
      </w:pPr>
    </w:p>
    <w:p w14:paraId="2481588D" w14:textId="0060BF6C" w:rsidR="00BA4B71" w:rsidRPr="006B31BE" w:rsidRDefault="00BA4B71" w:rsidP="00534F54">
      <w:pPr>
        <w:pStyle w:val="NoSpacing"/>
        <w:spacing w:line="276" w:lineRule="auto"/>
        <w:jc w:val="both"/>
        <w:rPr>
          <w:rFonts w:ascii="Trebuchet MS" w:hAnsi="Trebuchet MS"/>
          <w:b/>
          <w:bCs/>
        </w:rPr>
      </w:pPr>
      <w:r w:rsidRPr="006B31BE">
        <w:rPr>
          <w:b/>
          <w:bCs/>
        </w:rPr>
        <w:lastRenderedPageBreak/>
        <w:t>Assess emerging trends in the types of conflict and industrial sanctions. (AC 2.2)</w:t>
      </w:r>
      <w:r w:rsidRPr="006B31BE">
        <w:rPr>
          <w:rFonts w:ascii="Trebuchet MS" w:hAnsi="Trebuchet MS"/>
          <w:b/>
          <w:bCs/>
        </w:rPr>
        <w:t xml:space="preserve"> </w:t>
      </w:r>
    </w:p>
    <w:p w14:paraId="5D0DC010" w14:textId="77777777" w:rsidR="00DF79E4" w:rsidRDefault="00DF79E4" w:rsidP="00534F54">
      <w:pPr>
        <w:pBdr>
          <w:top w:val="nil"/>
          <w:left w:val="nil"/>
          <w:bottom w:val="nil"/>
          <w:right w:val="nil"/>
          <w:between w:val="nil"/>
          <w:bar w:val="nil"/>
        </w:pBdr>
        <w:spacing w:after="0" w:line="276" w:lineRule="auto"/>
        <w:jc w:val="both"/>
        <w:rPr>
          <w:rFonts w:ascii="Trebuchet MS" w:hAnsi="Trebuchet MS"/>
        </w:rPr>
      </w:pPr>
    </w:p>
    <w:p w14:paraId="07542489" w14:textId="502A03CE" w:rsidR="00DF79E4" w:rsidRPr="00DF79E4" w:rsidRDefault="00DF79E4" w:rsidP="00534F54">
      <w:pPr>
        <w:pStyle w:val="NoSpacing"/>
        <w:spacing w:line="276" w:lineRule="auto"/>
        <w:jc w:val="both"/>
      </w:pPr>
      <w:r w:rsidRPr="00DF79E4">
        <w:t>The nature of industrial conflict in the UK has shifted markedly over the past few decades. While the 1970s and 1980s were characterised by long, widespread strikes and strong union influence, more recent years have seen a decline in union membership and a move towards shorter, strategic industrial action</w:t>
      </w:r>
      <w:r w:rsidR="006B31BE">
        <w:t xml:space="preserve"> (Shakleton, 2024).</w:t>
      </w:r>
      <w:r w:rsidRPr="00DF79E4">
        <w:t xml:space="preserve"> These evolving tactics reflect changing labour dynamics, economic pressures, and a more fragmented workforce (ACAS, 202</w:t>
      </w:r>
      <w:r w:rsidR="00490C1E">
        <w:t>4</w:t>
      </w:r>
      <w:r w:rsidRPr="00DF79E4">
        <w:t>).</w:t>
      </w:r>
    </w:p>
    <w:p w14:paraId="7E628D05" w14:textId="77777777" w:rsidR="00DF79E4" w:rsidRPr="00DF79E4" w:rsidRDefault="00DF79E4" w:rsidP="00534F54">
      <w:pPr>
        <w:pStyle w:val="NoSpacing"/>
        <w:spacing w:line="276" w:lineRule="auto"/>
        <w:jc w:val="both"/>
      </w:pPr>
    </w:p>
    <w:p w14:paraId="420A4BA6" w14:textId="7017D2FD" w:rsidR="00DF79E4" w:rsidRPr="00DF79E4" w:rsidRDefault="00DF79E4" w:rsidP="00534F54">
      <w:pPr>
        <w:pStyle w:val="NoSpacing"/>
        <w:spacing w:line="276" w:lineRule="auto"/>
        <w:jc w:val="both"/>
      </w:pPr>
      <w:r w:rsidRPr="00DF79E4">
        <w:t xml:space="preserve">Today, strikes are more focused and timed to maximise disruption. A key example is the 2022 nurse strikes in England. Represented by the Royal College of Nursing (RCN), nurses walked out </w:t>
      </w:r>
      <w:proofErr w:type="gramStart"/>
      <w:r w:rsidRPr="00DF79E4">
        <w:t>over pay</w:t>
      </w:r>
      <w:proofErr w:type="gramEnd"/>
      <w:r w:rsidRPr="00DF79E4">
        <w:t xml:space="preserve"> and conditions during the cost-of-living crisis. These were the first national strikes by nurses in the union’s history and, despite being relatively short, caused significant NHS disruption, drawing public attention to the undervaluing of key workers (</w:t>
      </w:r>
      <w:r w:rsidR="00490C1E">
        <w:t>Gallacher</w:t>
      </w:r>
      <w:r w:rsidRPr="00DF79E4">
        <w:t>, 2022).</w:t>
      </w:r>
    </w:p>
    <w:p w14:paraId="27EC7EAD" w14:textId="77777777" w:rsidR="00DF79E4" w:rsidRPr="00DF79E4" w:rsidRDefault="00DF79E4" w:rsidP="00534F54">
      <w:pPr>
        <w:pStyle w:val="NoSpacing"/>
        <w:spacing w:line="276" w:lineRule="auto"/>
        <w:jc w:val="both"/>
      </w:pPr>
    </w:p>
    <w:p w14:paraId="698BFB1F" w14:textId="4A9E1FF9" w:rsidR="006B31BE" w:rsidRDefault="00625A75" w:rsidP="00534F54">
      <w:pPr>
        <w:pStyle w:val="NoSpacing"/>
        <w:spacing w:line="276" w:lineRule="auto"/>
        <w:jc w:val="both"/>
      </w:pPr>
      <w:r w:rsidRPr="00625A75">
        <w:t>The 2022 train strikes, led by unions like the RMT and ASLEF, showed how short, targeted action can significantly disrupt essential services. T</w:t>
      </w:r>
      <w:r>
        <w:t>hese strikes were t</w:t>
      </w:r>
      <w:r w:rsidRPr="00625A75">
        <w:t xml:space="preserve">imed around major public events and holiday travel, </w:t>
      </w:r>
      <w:r>
        <w:t>therefore</w:t>
      </w:r>
      <w:r w:rsidRPr="00625A75">
        <w:t xml:space="preserve"> caus</w:t>
      </w:r>
      <w:r>
        <w:t xml:space="preserve">ing </w:t>
      </w:r>
      <w:r w:rsidRPr="00625A75">
        <w:t>nationwide delays and cancellations. In response, some train operators turned to legal tools like injunctions to challenge strike notices or restrict certain workers from joining the action (CIPD, 2022). This reflects a growing trend of employers using legal sanctions to manage industrial conflict, although such measures can increase tensions between staff and leadership.</w:t>
      </w:r>
    </w:p>
    <w:p w14:paraId="6B64D741" w14:textId="77777777" w:rsidR="00625A75" w:rsidRPr="00DF79E4" w:rsidRDefault="00625A75" w:rsidP="00534F54">
      <w:pPr>
        <w:pStyle w:val="NoSpacing"/>
        <w:spacing w:line="276" w:lineRule="auto"/>
        <w:jc w:val="both"/>
      </w:pPr>
    </w:p>
    <w:p w14:paraId="54E7F619" w14:textId="055BFF9E" w:rsidR="00DF79E4" w:rsidRPr="00DF79E4" w:rsidRDefault="00490C1E" w:rsidP="00534F54">
      <w:pPr>
        <w:pStyle w:val="NoSpacing"/>
        <w:spacing w:line="276" w:lineRule="auto"/>
        <w:jc w:val="both"/>
      </w:pPr>
      <w:r>
        <w:t>Many of these</w:t>
      </w:r>
      <w:r w:rsidR="00DF79E4" w:rsidRPr="00DF79E4">
        <w:t xml:space="preserve"> disputes </w:t>
      </w:r>
      <w:r w:rsidR="00034B16">
        <w:t>are</w:t>
      </w:r>
      <w:r>
        <w:t xml:space="preserve"> due to</w:t>
      </w:r>
      <w:r w:rsidR="00DF79E4" w:rsidRPr="00DF79E4">
        <w:t xml:space="preserve"> the cost-of-living crisis, which has </w:t>
      </w:r>
      <w:r w:rsidR="00034B16" w:rsidRPr="00DF79E4">
        <w:t>increased</w:t>
      </w:r>
      <w:r w:rsidR="00DF79E4" w:rsidRPr="00DF79E4">
        <w:t xml:space="preserve"> demands for fair pay. As HR Magazine (2022) notes, inflation and public sector wage stagnation have driven a resurgence in industrial action not seen for decades. </w:t>
      </w:r>
      <w:r w:rsidR="00034B16" w:rsidRPr="00034B16">
        <w:t xml:space="preserve">According to the Office for National Statistics (2023), the UK lost 2.47 million working days to labour disputes in 2022 </w:t>
      </w:r>
      <w:r w:rsidR="00034B16">
        <w:t>-</w:t>
      </w:r>
      <w:r w:rsidR="00034B16" w:rsidRPr="00034B16">
        <w:t xml:space="preserve"> the highest number since 1989.</w:t>
      </w:r>
      <w:r w:rsidR="00034B16">
        <w:t xml:space="preserve"> </w:t>
      </w:r>
    </w:p>
    <w:p w14:paraId="12FD4B22" w14:textId="77777777" w:rsidR="00DF79E4" w:rsidRPr="00DF79E4" w:rsidRDefault="00DF79E4" w:rsidP="00534F54">
      <w:pPr>
        <w:pStyle w:val="NoSpacing"/>
        <w:spacing w:line="276" w:lineRule="auto"/>
        <w:jc w:val="both"/>
      </w:pPr>
    </w:p>
    <w:p w14:paraId="2C897954" w14:textId="5D8D4DE9" w:rsidR="00DF79E4" w:rsidRPr="006B31BE" w:rsidRDefault="00DF79E4" w:rsidP="00534F54">
      <w:pPr>
        <w:pStyle w:val="NoSpacing"/>
        <w:spacing w:line="276" w:lineRule="auto"/>
        <w:jc w:val="both"/>
      </w:pPr>
      <w:r w:rsidRPr="00DF79E4">
        <w:t>In summary, industrial conflict is evolving. Strikes are shorter but more disruptive, and employers are increasingly using injunctions to manage risk. These developments highlight a shift in how both sides approach conflict in the modern workplace.</w:t>
      </w:r>
    </w:p>
    <w:p w14:paraId="19B57878" w14:textId="77777777" w:rsidR="00EC2C97" w:rsidRDefault="00EC2C97" w:rsidP="00534F54">
      <w:pPr>
        <w:pBdr>
          <w:top w:val="nil"/>
          <w:left w:val="nil"/>
          <w:bottom w:val="nil"/>
          <w:right w:val="nil"/>
          <w:between w:val="nil"/>
          <w:bar w:val="nil"/>
        </w:pBdr>
        <w:spacing w:after="0" w:line="276" w:lineRule="auto"/>
        <w:jc w:val="both"/>
        <w:rPr>
          <w:rFonts w:ascii="Trebuchet MS" w:hAnsi="Trebuchet MS"/>
        </w:rPr>
      </w:pPr>
    </w:p>
    <w:p w14:paraId="35306AE9" w14:textId="77777777" w:rsidR="00EC2C97" w:rsidRDefault="00EC2C97" w:rsidP="00534F54">
      <w:pPr>
        <w:pStyle w:val="Body"/>
        <w:spacing w:line="276" w:lineRule="auto"/>
        <w:jc w:val="both"/>
        <w:rPr>
          <w:rFonts w:ascii="Trebuchet MS" w:eastAsia="Trebuchet MS" w:hAnsi="Trebuchet MS" w:cs="Trebuchet MS"/>
          <w:b/>
          <w:bCs/>
        </w:rPr>
      </w:pPr>
    </w:p>
    <w:p w14:paraId="1D82400B" w14:textId="77777777" w:rsidR="00EC2C97" w:rsidRPr="00490C1E" w:rsidRDefault="00EC2C97" w:rsidP="00534F54">
      <w:pPr>
        <w:pStyle w:val="NoSpacing"/>
        <w:spacing w:line="276" w:lineRule="auto"/>
        <w:jc w:val="both"/>
        <w:rPr>
          <w:b/>
          <w:bCs/>
        </w:rPr>
      </w:pPr>
      <w:r w:rsidRPr="00490C1E">
        <w:rPr>
          <w:b/>
          <w:bCs/>
        </w:rPr>
        <w:t>Distinguish between third-party conciliation, mediation and arbitration. (AC 2.3)</w:t>
      </w:r>
    </w:p>
    <w:p w14:paraId="1A460ECD" w14:textId="77777777" w:rsidR="006A1955" w:rsidRDefault="006A1955" w:rsidP="00534F54">
      <w:pPr>
        <w:pBdr>
          <w:top w:val="nil"/>
          <w:left w:val="nil"/>
          <w:bottom w:val="nil"/>
          <w:right w:val="nil"/>
          <w:between w:val="nil"/>
          <w:bar w:val="nil"/>
        </w:pBdr>
        <w:spacing w:after="0" w:line="276" w:lineRule="auto"/>
        <w:jc w:val="both"/>
        <w:rPr>
          <w:rFonts w:ascii="Trebuchet MS" w:hAnsi="Trebuchet MS"/>
        </w:rPr>
      </w:pPr>
    </w:p>
    <w:p w14:paraId="23136488" w14:textId="0ED462DE" w:rsidR="006A1955" w:rsidRDefault="006A1955" w:rsidP="00534F54">
      <w:pPr>
        <w:pStyle w:val="NoSpacing"/>
        <w:spacing w:line="276" w:lineRule="auto"/>
        <w:jc w:val="both"/>
      </w:pPr>
      <w:r w:rsidRPr="006A1955">
        <w:t>Conciliation, mediation and arbitration are all forms of third-party intervention used to deal with conflict at work</w:t>
      </w:r>
      <w:r>
        <w:t xml:space="preserve">, </w:t>
      </w:r>
      <w:r w:rsidRPr="006A1955">
        <w:t>but they each work quite differently, both in terms of process and what they aim to achieve</w:t>
      </w:r>
      <w:r>
        <w:t xml:space="preserve">. </w:t>
      </w:r>
    </w:p>
    <w:p w14:paraId="5C418D98" w14:textId="77777777" w:rsidR="006A1955" w:rsidRPr="006A1955" w:rsidRDefault="006A1955" w:rsidP="00534F54">
      <w:pPr>
        <w:pStyle w:val="NoSpacing"/>
        <w:spacing w:line="276" w:lineRule="auto"/>
        <w:jc w:val="both"/>
      </w:pPr>
    </w:p>
    <w:p w14:paraId="0421A34D" w14:textId="065BCACA" w:rsidR="00684BA0" w:rsidRDefault="006A1955" w:rsidP="00534F54">
      <w:pPr>
        <w:pStyle w:val="NoSpacing"/>
        <w:spacing w:line="276" w:lineRule="auto"/>
        <w:jc w:val="both"/>
      </w:pPr>
      <w:r w:rsidRPr="006A1955">
        <w:t>Conciliation is primarily used to try and settle disputes before they escalate into legal claims. One common form is Early Conciliation, which is required before an employee can take a claim to tribunal, for issues like unfair dismissal or discrimination</w:t>
      </w:r>
      <w:r>
        <w:t xml:space="preserve"> (ACAS, 202</w:t>
      </w:r>
      <w:r w:rsidR="00DC3999">
        <w:t>5</w:t>
      </w:r>
      <w:r>
        <w:t xml:space="preserve">). </w:t>
      </w:r>
      <w:r w:rsidRPr="006A1955">
        <w:t>ACAS offers this service, acting as a neutral party who helps both sides explore whether a resolution is possible without needing formal proceedings (ACAS, 202</w:t>
      </w:r>
      <w:r w:rsidR="00DC3999">
        <w:t>5</w:t>
      </w:r>
      <w:r w:rsidRPr="006A1955">
        <w:t xml:space="preserve">). It’s voluntary, confidential, and non-binding – the conciliator doesn’t make decisions, they just help </w:t>
      </w:r>
      <w:proofErr w:type="gramStart"/>
      <w:r w:rsidRPr="006A1955">
        <w:t>open up</w:t>
      </w:r>
      <w:proofErr w:type="gramEnd"/>
      <w:r w:rsidRPr="006A1955">
        <w:t xml:space="preserve"> dialogue. </w:t>
      </w:r>
    </w:p>
    <w:p w14:paraId="3D21ACCB" w14:textId="77777777" w:rsidR="00684BA0" w:rsidRDefault="00684BA0" w:rsidP="00534F54">
      <w:pPr>
        <w:pStyle w:val="NoSpacing"/>
        <w:spacing w:line="276" w:lineRule="auto"/>
        <w:jc w:val="both"/>
      </w:pPr>
    </w:p>
    <w:p w14:paraId="3A0474A5" w14:textId="24AF4AD0" w:rsidR="006A1955" w:rsidRDefault="00684BA0" w:rsidP="00534F54">
      <w:pPr>
        <w:pStyle w:val="NoSpacing"/>
        <w:spacing w:line="276" w:lineRule="auto"/>
        <w:jc w:val="both"/>
      </w:pPr>
      <w:r>
        <w:t xml:space="preserve">Another form is </w:t>
      </w:r>
      <w:r w:rsidR="006A1955" w:rsidRPr="006A1955">
        <w:t xml:space="preserve">collective conciliation, which </w:t>
      </w:r>
      <w:r>
        <w:t>typically</w:t>
      </w:r>
      <w:r w:rsidR="006A1955" w:rsidRPr="006A1955">
        <w:t xml:space="preserve"> involves trade unions and is used when there are disputes about pay, contracts, or other collective terms</w:t>
      </w:r>
      <w:r>
        <w:t xml:space="preserve"> (ACAS, 2022</w:t>
      </w:r>
      <w:r w:rsidR="00FE0EC4">
        <w:t>a</w:t>
      </w:r>
      <w:r>
        <w:t>)</w:t>
      </w:r>
      <w:r w:rsidR="006A1955" w:rsidRPr="006A1955">
        <w:t xml:space="preserve">. According to Armstrong and Taylor (2023), conciliation is especially valuable in avoiding the cost and disruption of formal legal </w:t>
      </w:r>
      <w:r w:rsidRPr="006A1955">
        <w:t>action and</w:t>
      </w:r>
      <w:r w:rsidR="006A1955" w:rsidRPr="006A1955">
        <w:t xml:space="preserve"> can resolve a large proportion of disputes before they escalate.</w:t>
      </w:r>
    </w:p>
    <w:p w14:paraId="3B29A153" w14:textId="77777777" w:rsidR="00684BA0" w:rsidRPr="006A1955" w:rsidRDefault="00684BA0" w:rsidP="00534F54">
      <w:pPr>
        <w:pStyle w:val="NoSpacing"/>
        <w:spacing w:line="276" w:lineRule="auto"/>
        <w:jc w:val="both"/>
      </w:pPr>
    </w:p>
    <w:p w14:paraId="57FBC378" w14:textId="30F2F4DF" w:rsidR="006A1955" w:rsidRDefault="006A1955" w:rsidP="00534F54">
      <w:pPr>
        <w:pStyle w:val="NoSpacing"/>
        <w:spacing w:line="276" w:lineRule="auto"/>
        <w:jc w:val="both"/>
      </w:pPr>
      <w:r w:rsidRPr="006A1955">
        <w:t>Mediation is more focused on repairing working relationships rather than preventing tribunal claims. It’s often used in more personal or interpersonal conflicts, such as breakdowns in communication, personality clashes or team tension</w:t>
      </w:r>
      <w:r w:rsidR="00684BA0">
        <w:t xml:space="preserve"> (CIPD, 2024). </w:t>
      </w:r>
      <w:r w:rsidRPr="006A1955">
        <w:t xml:space="preserve">The mediator is impartial and facilitates a structured discussion to help both sides understand one another and find a way forward. Unlike conciliation, which is often about legal risk, mediation is about emotional and relational repair. According to Daniels (2022), mediation works best when used early, before positions become </w:t>
      </w:r>
      <w:r w:rsidR="00684BA0" w:rsidRPr="006A1955">
        <w:t>established</w:t>
      </w:r>
      <w:r w:rsidRPr="006A1955">
        <w:t>. ACAS (202</w:t>
      </w:r>
      <w:r w:rsidR="00142CE7">
        <w:t>1</w:t>
      </w:r>
      <w:r w:rsidRPr="006A1955">
        <w:t>) also reports that 76% of their mediations lead to full or partial resolution, highlighting its effectiveness in the workplace.</w:t>
      </w:r>
    </w:p>
    <w:p w14:paraId="3390247E" w14:textId="77777777" w:rsidR="00684BA0" w:rsidRPr="006A1955" w:rsidRDefault="00684BA0" w:rsidP="00534F54">
      <w:pPr>
        <w:pStyle w:val="NoSpacing"/>
        <w:spacing w:line="276" w:lineRule="auto"/>
        <w:jc w:val="both"/>
      </w:pPr>
    </w:p>
    <w:p w14:paraId="7086B127" w14:textId="7A1C2473" w:rsidR="006A1955" w:rsidRDefault="006A1955" w:rsidP="00534F54">
      <w:pPr>
        <w:pStyle w:val="NoSpacing"/>
        <w:spacing w:line="276" w:lineRule="auto"/>
        <w:jc w:val="both"/>
      </w:pPr>
      <w:r w:rsidRPr="006A1955">
        <w:t xml:space="preserve">Arbitration is more formal still, and quite different from the other two. It involves a third party </w:t>
      </w:r>
      <w:r w:rsidR="00684BA0">
        <w:t xml:space="preserve">- </w:t>
      </w:r>
      <w:r w:rsidRPr="006A1955">
        <w:t xml:space="preserve">the arbitrator </w:t>
      </w:r>
      <w:r w:rsidR="00684BA0">
        <w:t>-</w:t>
      </w:r>
      <w:r w:rsidRPr="006A1955">
        <w:t xml:space="preserve"> who hears both sides and then </w:t>
      </w:r>
      <w:proofErr w:type="gramStart"/>
      <w:r w:rsidRPr="006A1955">
        <w:t>makes a decision</w:t>
      </w:r>
      <w:proofErr w:type="gramEnd"/>
      <w:r w:rsidRPr="006A1955">
        <w:t xml:space="preserve"> to resolve the dispute</w:t>
      </w:r>
      <w:r w:rsidR="00684BA0">
        <w:t xml:space="preserve"> (ACAS, 2022</w:t>
      </w:r>
      <w:r w:rsidR="00FE0EC4">
        <w:t>b</w:t>
      </w:r>
      <w:r w:rsidR="00684BA0">
        <w:t>)</w:t>
      </w:r>
      <w:r w:rsidRPr="006A1955">
        <w:t>. What sets arbitration apart is that both parties usually agree beforehand to accept the outcome as binding. Armstrong and Taylor (2023) explain that arbitration is often used when a final decision is needed but parties want to avoid the delays and cost of tribunals. Daniels (2022) also points out that arbitration is particularly useful in collective disputes, like disciplinary appeals or disagreements over contract terms, when negotiations have broken down completely.</w:t>
      </w:r>
    </w:p>
    <w:p w14:paraId="214F57E3" w14:textId="77777777" w:rsidR="00684BA0" w:rsidRPr="006A1955" w:rsidRDefault="00684BA0" w:rsidP="00534F54">
      <w:pPr>
        <w:pStyle w:val="NoSpacing"/>
        <w:spacing w:line="276" w:lineRule="auto"/>
        <w:jc w:val="both"/>
      </w:pPr>
    </w:p>
    <w:p w14:paraId="7A4707D8" w14:textId="580CCEA7" w:rsidR="006A1955" w:rsidRPr="006A1955" w:rsidRDefault="006A1955" w:rsidP="00534F54">
      <w:pPr>
        <w:pStyle w:val="NoSpacing"/>
        <w:spacing w:line="276" w:lineRule="auto"/>
        <w:jc w:val="both"/>
      </w:pPr>
    </w:p>
    <w:p w14:paraId="06BF9C76" w14:textId="77777777" w:rsidR="0098235C" w:rsidRPr="00FC4599" w:rsidRDefault="0098235C" w:rsidP="00534F54">
      <w:pPr>
        <w:pBdr>
          <w:top w:val="nil"/>
          <w:left w:val="nil"/>
          <w:bottom w:val="nil"/>
          <w:right w:val="nil"/>
          <w:between w:val="nil"/>
          <w:bar w:val="nil"/>
        </w:pBdr>
        <w:spacing w:after="0" w:line="276" w:lineRule="auto"/>
        <w:jc w:val="both"/>
        <w:rPr>
          <w:b/>
          <w:bCs/>
        </w:rPr>
      </w:pPr>
      <w:r w:rsidRPr="00FC4599">
        <w:rPr>
          <w:b/>
          <w:bCs/>
        </w:rPr>
        <w:t>Explain the principles of legislation relating to unfair dismissal in respect of capability and misconduct issues. (AC 3.1)</w:t>
      </w:r>
    </w:p>
    <w:p w14:paraId="1057221C" w14:textId="77777777" w:rsidR="007E5163" w:rsidRDefault="007E5163" w:rsidP="00534F54">
      <w:pPr>
        <w:pBdr>
          <w:top w:val="nil"/>
          <w:left w:val="nil"/>
          <w:bottom w:val="nil"/>
          <w:right w:val="nil"/>
          <w:between w:val="nil"/>
          <w:bar w:val="nil"/>
        </w:pBdr>
        <w:spacing w:after="0" w:line="276" w:lineRule="auto"/>
        <w:jc w:val="both"/>
        <w:rPr>
          <w:rFonts w:ascii="Trebuchet MS" w:hAnsi="Trebuchet MS"/>
        </w:rPr>
      </w:pPr>
    </w:p>
    <w:p w14:paraId="63BCD236" w14:textId="575225FE" w:rsidR="009A3FCE" w:rsidRDefault="009A3FCE" w:rsidP="00534F54">
      <w:pPr>
        <w:pBdr>
          <w:top w:val="nil"/>
          <w:left w:val="nil"/>
          <w:bottom w:val="nil"/>
          <w:right w:val="nil"/>
          <w:between w:val="nil"/>
          <w:bar w:val="nil"/>
        </w:pBdr>
        <w:spacing w:after="0" w:line="276" w:lineRule="auto"/>
        <w:jc w:val="both"/>
      </w:pPr>
      <w:r w:rsidRPr="009A3FCE">
        <w:t>When dismissing an employee for either misconduct or capability, an employer must ensure that the dismissal is for a fair reason, that a fair procedure has been followed, and that the decision to dismiss falls within the range of reasonable responses that a reasonable employer might take in the same situation (Daniels, 2022).</w:t>
      </w:r>
    </w:p>
    <w:p w14:paraId="6ED2F0B4" w14:textId="77777777" w:rsidR="009A3FCE" w:rsidRPr="009A3FCE" w:rsidRDefault="009A3FCE" w:rsidP="00534F54">
      <w:pPr>
        <w:pBdr>
          <w:top w:val="nil"/>
          <w:left w:val="nil"/>
          <w:bottom w:val="nil"/>
          <w:right w:val="nil"/>
          <w:between w:val="nil"/>
          <w:bar w:val="nil"/>
        </w:pBdr>
        <w:spacing w:after="0" w:line="276" w:lineRule="auto"/>
        <w:jc w:val="both"/>
      </w:pPr>
    </w:p>
    <w:p w14:paraId="5DD942B9" w14:textId="058876B1" w:rsidR="009A3FCE" w:rsidRDefault="009A3FCE" w:rsidP="00534F54">
      <w:pPr>
        <w:pBdr>
          <w:top w:val="nil"/>
          <w:left w:val="nil"/>
          <w:bottom w:val="nil"/>
          <w:right w:val="nil"/>
          <w:between w:val="nil"/>
          <w:bar w:val="nil"/>
        </w:pBdr>
        <w:spacing w:after="0" w:line="276" w:lineRule="auto"/>
        <w:jc w:val="both"/>
      </w:pPr>
      <w:r w:rsidRPr="009A3FCE">
        <w:t>Under Section 95 of the Employment Rights Act 1996, a dismissal occurs when the employer terminates the employment contract. Misconduct and capability are both considered potentially fair reasons for dismissal. However, as Daniels (2022) explains, fairness is not just about the reason but about how that reason is handled. Employers are expected to investigate thoroughly, hold a disciplinary or capability meeting, allow the employee to respond, and provide the right to appeal.</w:t>
      </w:r>
    </w:p>
    <w:p w14:paraId="342E97D5" w14:textId="77777777" w:rsidR="009A3FCE" w:rsidRPr="009A3FCE" w:rsidRDefault="009A3FCE" w:rsidP="00534F54">
      <w:pPr>
        <w:pBdr>
          <w:top w:val="nil"/>
          <w:left w:val="nil"/>
          <w:bottom w:val="nil"/>
          <w:right w:val="nil"/>
          <w:between w:val="nil"/>
          <w:bar w:val="nil"/>
        </w:pBdr>
        <w:spacing w:after="0" w:line="276" w:lineRule="auto"/>
        <w:jc w:val="both"/>
      </w:pPr>
    </w:p>
    <w:p w14:paraId="483FC81D" w14:textId="3C1B43A5" w:rsidR="009A3FCE" w:rsidRDefault="009A3FCE" w:rsidP="00534F54">
      <w:pPr>
        <w:pBdr>
          <w:top w:val="nil"/>
          <w:left w:val="nil"/>
          <w:bottom w:val="nil"/>
          <w:right w:val="nil"/>
          <w:between w:val="nil"/>
          <w:bar w:val="nil"/>
        </w:pBdr>
        <w:spacing w:after="0" w:line="276" w:lineRule="auto"/>
        <w:jc w:val="both"/>
      </w:pPr>
      <w:r w:rsidRPr="009A3FCE">
        <w:t xml:space="preserve">In cases of misconduct, it's important that the employee is aware of the standards expected of them – which is why clear policies and training are essential. Misconduct can include anything from repeated lateness to more serious issues like bullying or fraud. In gross misconduct cases – such as theft or serious breaches of health and safety – dismissal without notice (summary dismissal) may be justified, but again only if proper procedure is followed (Daniels, 2022). </w:t>
      </w:r>
      <w:r w:rsidRPr="009A3FCE">
        <w:lastRenderedPageBreak/>
        <w:t>Employers should consider whether the employee had prior warnings, whether they understood the rules, and if there were any mitigating factors. According to ACAS (2024</w:t>
      </w:r>
      <w:r w:rsidR="00433AF4">
        <w:t>b</w:t>
      </w:r>
      <w:r w:rsidRPr="009A3FCE">
        <w:t>), failure to follow the ACAS Code of Practice could make a dismissal procedurally unfair, even if the reason itself was valid.</w:t>
      </w:r>
    </w:p>
    <w:p w14:paraId="24A98CE9" w14:textId="77777777" w:rsidR="009A3FCE" w:rsidRPr="009A3FCE" w:rsidRDefault="009A3FCE" w:rsidP="00534F54">
      <w:pPr>
        <w:pBdr>
          <w:top w:val="nil"/>
          <w:left w:val="nil"/>
          <w:bottom w:val="nil"/>
          <w:right w:val="nil"/>
          <w:between w:val="nil"/>
          <w:bar w:val="nil"/>
        </w:pBdr>
        <w:spacing w:after="0" w:line="276" w:lineRule="auto"/>
        <w:jc w:val="both"/>
      </w:pPr>
    </w:p>
    <w:p w14:paraId="53E8ECF1" w14:textId="7BD094D4" w:rsidR="009A3FCE" w:rsidRDefault="009A3FCE" w:rsidP="00534F54">
      <w:pPr>
        <w:pBdr>
          <w:top w:val="nil"/>
          <w:left w:val="nil"/>
          <w:bottom w:val="nil"/>
          <w:right w:val="nil"/>
          <w:between w:val="nil"/>
          <w:bar w:val="nil"/>
        </w:pBdr>
        <w:spacing w:after="0" w:line="276" w:lineRule="auto"/>
        <w:jc w:val="both"/>
      </w:pPr>
      <w:r w:rsidRPr="009A3FCE">
        <w:t xml:space="preserve">Capability dismissals are typically linked to either poor performance or ill health. In cases of underperformance, the employer is expected to provide support, clear expectations and a reasonable opportunity to improve </w:t>
      </w:r>
      <w:r>
        <w:t xml:space="preserve">- </w:t>
      </w:r>
      <w:r w:rsidRPr="009A3FCE">
        <w:t>often through a performance improvement plan</w:t>
      </w:r>
      <w:r w:rsidR="001421B7">
        <w:t>.</w:t>
      </w:r>
      <w:r w:rsidRPr="009A3FCE">
        <w:t xml:space="preserve"> Daniels (2022) explains that this process should begin informally and then, if there's no improvement, escalate to formal procedures. For health issues, employers should seek occupational health advice, consider reasonable adjustments, and explore whether the condition may be classed as a disability under the Equality Act 2010</w:t>
      </w:r>
      <w:r w:rsidR="001421B7">
        <w:t xml:space="preserve"> (ACAS, 2024</w:t>
      </w:r>
      <w:r w:rsidR="00433AF4">
        <w:t>a</w:t>
      </w:r>
      <w:r w:rsidR="001421B7">
        <w:t xml:space="preserve">). </w:t>
      </w:r>
      <w:r w:rsidRPr="009A3FCE">
        <w:t>If the employee is found unfit for their role and there are no suitable alternatives, dismissal may be fair</w:t>
      </w:r>
      <w:r>
        <w:t xml:space="preserve">, </w:t>
      </w:r>
      <w:r w:rsidRPr="009A3FCE">
        <w:t>but only after proper steps have been taken (Daniels, 2022).</w:t>
      </w:r>
    </w:p>
    <w:p w14:paraId="43709202" w14:textId="77777777" w:rsidR="009A3FCE" w:rsidRPr="009A3FCE" w:rsidRDefault="009A3FCE" w:rsidP="00534F54">
      <w:pPr>
        <w:pBdr>
          <w:top w:val="nil"/>
          <w:left w:val="nil"/>
          <w:bottom w:val="nil"/>
          <w:right w:val="nil"/>
          <w:between w:val="nil"/>
          <w:bar w:val="nil"/>
        </w:pBdr>
        <w:spacing w:after="0" w:line="276" w:lineRule="auto"/>
        <w:jc w:val="both"/>
      </w:pPr>
    </w:p>
    <w:p w14:paraId="1F3830B5" w14:textId="6EFA5168" w:rsidR="009A3FCE" w:rsidRDefault="009A3FCE" w:rsidP="00534F54">
      <w:pPr>
        <w:pBdr>
          <w:top w:val="nil"/>
          <w:left w:val="nil"/>
          <w:bottom w:val="nil"/>
          <w:right w:val="nil"/>
          <w:between w:val="nil"/>
          <w:bar w:val="nil"/>
        </w:pBdr>
        <w:spacing w:after="0" w:line="276" w:lineRule="auto"/>
        <w:jc w:val="both"/>
      </w:pPr>
      <w:r w:rsidRPr="009A3FCE">
        <w:t>Both misconduct and capability processes must show that the employer acted reasonably and gave the employee every chance to correct the issue. As Daniels (2022) notes, the Employment Tribunal will look closely at both the reason and the process followed when assessing fairness.</w:t>
      </w:r>
      <w:r w:rsidR="001421B7">
        <w:t xml:space="preserve"> </w:t>
      </w:r>
      <w:r w:rsidR="001421B7" w:rsidRPr="001421B7">
        <w:t>As of now, employees need two years’ service to bring an unfair dismissal claim, but this is set to change under the new Labour administration, who have pledged to make unfair dismissal a day one right</w:t>
      </w:r>
      <w:r w:rsidR="001421B7">
        <w:t xml:space="preserve"> (Ayling and </w:t>
      </w:r>
      <w:proofErr w:type="spellStart"/>
      <w:r w:rsidR="001421B7">
        <w:t>Suff</w:t>
      </w:r>
      <w:proofErr w:type="spellEnd"/>
      <w:r w:rsidR="001421B7">
        <w:t>, 2024).</w:t>
      </w:r>
      <w:r w:rsidR="001421B7" w:rsidRPr="001421B7">
        <w:t xml:space="preserve"> This reflects a shift in principles </w:t>
      </w:r>
      <w:r w:rsidR="001421B7">
        <w:t>-</w:t>
      </w:r>
      <w:r w:rsidR="001421B7" w:rsidRPr="001421B7">
        <w:t xml:space="preserve"> towards stronger worker protections and holding employers to higher standards from the outset. </w:t>
      </w:r>
    </w:p>
    <w:p w14:paraId="57C17D0D" w14:textId="77777777" w:rsidR="00FC4599" w:rsidRDefault="00FC4599" w:rsidP="00534F54">
      <w:pPr>
        <w:pBdr>
          <w:top w:val="nil"/>
          <w:left w:val="nil"/>
          <w:bottom w:val="nil"/>
          <w:right w:val="nil"/>
          <w:between w:val="nil"/>
          <w:bar w:val="nil"/>
        </w:pBdr>
        <w:spacing w:after="0" w:line="276" w:lineRule="auto"/>
        <w:jc w:val="both"/>
      </w:pPr>
    </w:p>
    <w:p w14:paraId="05CD0FD3" w14:textId="49F686BD" w:rsidR="00FC4599" w:rsidRDefault="00FC4599" w:rsidP="00534F54">
      <w:pPr>
        <w:pBdr>
          <w:top w:val="nil"/>
          <w:left w:val="nil"/>
          <w:bottom w:val="nil"/>
          <w:right w:val="nil"/>
          <w:between w:val="nil"/>
          <w:bar w:val="nil"/>
        </w:pBdr>
        <w:spacing w:after="0" w:line="276" w:lineRule="auto"/>
        <w:jc w:val="both"/>
        <w:rPr>
          <w:b/>
          <w:bCs/>
        </w:rPr>
      </w:pPr>
      <w:r w:rsidRPr="00FC4599">
        <w:rPr>
          <w:b/>
          <w:bCs/>
        </w:rPr>
        <w:t>Analyse three key causes of employee grievances. (AC 3.2)</w:t>
      </w:r>
    </w:p>
    <w:p w14:paraId="2E99D51F" w14:textId="77777777" w:rsidR="00FC4599" w:rsidRPr="00FC4599" w:rsidRDefault="00FC4599" w:rsidP="00534F54">
      <w:pPr>
        <w:pBdr>
          <w:top w:val="nil"/>
          <w:left w:val="nil"/>
          <w:bottom w:val="nil"/>
          <w:right w:val="nil"/>
          <w:between w:val="nil"/>
          <w:bar w:val="nil"/>
        </w:pBdr>
        <w:spacing w:after="0" w:line="276" w:lineRule="auto"/>
        <w:jc w:val="both"/>
        <w:rPr>
          <w:b/>
          <w:bCs/>
        </w:rPr>
      </w:pPr>
    </w:p>
    <w:p w14:paraId="3601B1F1" w14:textId="7B0B9593" w:rsidR="007F41DC" w:rsidRDefault="007F41DC" w:rsidP="00534F54">
      <w:pPr>
        <w:pBdr>
          <w:top w:val="nil"/>
          <w:left w:val="nil"/>
          <w:bottom w:val="nil"/>
          <w:right w:val="nil"/>
          <w:between w:val="nil"/>
          <w:bar w:val="nil"/>
        </w:pBdr>
        <w:spacing w:after="0" w:line="276" w:lineRule="auto"/>
        <w:jc w:val="both"/>
      </w:pPr>
      <w:r w:rsidRPr="007F41DC">
        <w:t xml:space="preserve">Grievances at work tend to arise when employees feel they’ve been treated unfairly, let down by management, or when something in the workplace simply isn’t working as it should. While grievances can cover a wide range of issues, </w:t>
      </w:r>
      <w:r>
        <w:t xml:space="preserve">research by the CIPD and the TUC show that </w:t>
      </w:r>
      <w:r w:rsidRPr="007F41DC">
        <w:t>three of the most common causes are unfair treatment, issues with pay and benefits, and poor working relationships</w:t>
      </w:r>
      <w:r>
        <w:t>.</w:t>
      </w:r>
    </w:p>
    <w:p w14:paraId="70330B41" w14:textId="77777777" w:rsidR="007F41DC" w:rsidRPr="007F41DC" w:rsidRDefault="007F41DC" w:rsidP="00534F54">
      <w:pPr>
        <w:pBdr>
          <w:top w:val="nil"/>
          <w:left w:val="nil"/>
          <w:bottom w:val="nil"/>
          <w:right w:val="nil"/>
          <w:between w:val="nil"/>
          <w:bar w:val="nil"/>
        </w:pBdr>
        <w:spacing w:after="0" w:line="276" w:lineRule="auto"/>
        <w:jc w:val="both"/>
      </w:pPr>
    </w:p>
    <w:p w14:paraId="7A14431D" w14:textId="1158B6CA" w:rsidR="007F41DC" w:rsidRDefault="007F41DC" w:rsidP="00534F54">
      <w:pPr>
        <w:pBdr>
          <w:top w:val="nil"/>
          <w:left w:val="nil"/>
          <w:bottom w:val="nil"/>
          <w:right w:val="nil"/>
          <w:between w:val="nil"/>
          <w:bar w:val="nil"/>
        </w:pBdr>
        <w:spacing w:after="0" w:line="276" w:lineRule="auto"/>
        <w:jc w:val="both"/>
      </w:pPr>
      <w:r w:rsidRPr="007F41DC">
        <w:t xml:space="preserve">Firstly, unfair treatment – including bullying, harassment and discrimination – is a leading cause of grievance. According to the CIPD’s </w:t>
      </w:r>
      <w:r w:rsidRPr="007F41DC">
        <w:rPr>
          <w:i/>
          <w:iCs/>
        </w:rPr>
        <w:t>Managing Conflict in the Workplace</w:t>
      </w:r>
      <w:r w:rsidRPr="007F41DC">
        <w:t xml:space="preserve"> report (2020), 35% of employees who experienced conflict cited poor treatment by a line manager, and 26% referred to a conflict with a colleague. The TUC’s findings support this </w:t>
      </w:r>
      <w:r>
        <w:t xml:space="preserve">- </w:t>
      </w:r>
      <w:r w:rsidRPr="007F41DC">
        <w:t xml:space="preserve">their 2015 survey found that nearly a third (29%) of workers had been bullied at work, with women disproportionately affected. Crucially, in </w:t>
      </w:r>
      <w:proofErr w:type="gramStart"/>
      <w:r w:rsidRPr="007F41DC">
        <w:t>the majority of</w:t>
      </w:r>
      <w:proofErr w:type="gramEnd"/>
      <w:r w:rsidRPr="007F41DC">
        <w:t xml:space="preserve"> bullying cases (72%), the manager was the perpetrator (TUC, 2015). This suggests that power dynamics in the workplace are a common trigger for grievance and that better leadership behaviour and clearer boundaries are key to prevention.</w:t>
      </w:r>
    </w:p>
    <w:p w14:paraId="4CAFC6B1" w14:textId="77777777" w:rsidR="007F41DC" w:rsidRPr="007F41DC" w:rsidRDefault="007F41DC" w:rsidP="00534F54">
      <w:pPr>
        <w:pBdr>
          <w:top w:val="nil"/>
          <w:left w:val="nil"/>
          <w:bottom w:val="nil"/>
          <w:right w:val="nil"/>
          <w:between w:val="nil"/>
          <w:bar w:val="nil"/>
        </w:pBdr>
        <w:spacing w:after="0" w:line="276" w:lineRule="auto"/>
        <w:jc w:val="both"/>
      </w:pPr>
    </w:p>
    <w:p w14:paraId="765FA432" w14:textId="76E5E7B0" w:rsidR="007F41DC" w:rsidRDefault="007F41DC" w:rsidP="00534F54">
      <w:pPr>
        <w:pBdr>
          <w:top w:val="nil"/>
          <w:left w:val="nil"/>
          <w:bottom w:val="nil"/>
          <w:right w:val="nil"/>
          <w:between w:val="nil"/>
          <w:bar w:val="nil"/>
        </w:pBdr>
        <w:spacing w:after="0" w:line="276" w:lineRule="auto"/>
        <w:jc w:val="both"/>
      </w:pPr>
      <w:r w:rsidRPr="007F41DC">
        <w:t xml:space="preserve">Pay and benefits are another common cause – especially when people feel things are unfair or not transparent. The TUC Equality Audit (2024) notes that unfair pay remains a central issue raised through union channels, particularly where there are unresolved equal pay concerns or where employers have failed to be transparent. The CIPD (2020) also found that disputes around </w:t>
      </w:r>
      <w:r w:rsidRPr="007F41DC">
        <w:lastRenderedPageBreak/>
        <w:t>terms and conditions, while not as common as interpersonal conflict, are still a big factor – particularly where people don’t feel consulted or informed.</w:t>
      </w:r>
    </w:p>
    <w:p w14:paraId="077FB95B" w14:textId="77777777" w:rsidR="007F41DC" w:rsidRPr="007F41DC" w:rsidRDefault="007F41DC" w:rsidP="00534F54">
      <w:pPr>
        <w:pBdr>
          <w:top w:val="nil"/>
          <w:left w:val="nil"/>
          <w:bottom w:val="nil"/>
          <w:right w:val="nil"/>
          <w:between w:val="nil"/>
          <w:bar w:val="nil"/>
        </w:pBdr>
        <w:spacing w:after="0" w:line="276" w:lineRule="auto"/>
        <w:jc w:val="both"/>
      </w:pPr>
    </w:p>
    <w:p w14:paraId="4E2B0B53" w14:textId="7FFA7FD2" w:rsidR="007F41DC" w:rsidRDefault="007F41DC" w:rsidP="00534F54">
      <w:pPr>
        <w:pBdr>
          <w:top w:val="nil"/>
          <w:left w:val="nil"/>
          <w:bottom w:val="nil"/>
          <w:right w:val="nil"/>
          <w:between w:val="nil"/>
          <w:bar w:val="nil"/>
        </w:pBdr>
        <w:spacing w:after="0" w:line="276" w:lineRule="auto"/>
        <w:jc w:val="both"/>
      </w:pPr>
      <w:r w:rsidRPr="007F41DC">
        <w:t xml:space="preserve">Lastly, poor working relationships – whether with managers or team members – are a consistent theme in both data sets. The CIPD (2020) found that unresolved conflict with colleagues or line managers was the most common form of workplace conflict. This backs up what’s found in the TUC’s work, which highlights the frequency of grievances related to line management issues, including favouritism, lack of support, and poor communication (TUC, </w:t>
      </w:r>
      <w:r w:rsidR="002A174F">
        <w:t>2021</w:t>
      </w:r>
      <w:r w:rsidRPr="007F41DC">
        <w:t>).</w:t>
      </w:r>
    </w:p>
    <w:p w14:paraId="77278BFA" w14:textId="77777777" w:rsidR="002A174F" w:rsidRDefault="002A174F" w:rsidP="00534F54">
      <w:pPr>
        <w:pBdr>
          <w:top w:val="nil"/>
          <w:left w:val="nil"/>
          <w:bottom w:val="nil"/>
          <w:right w:val="nil"/>
          <w:between w:val="nil"/>
          <w:bar w:val="nil"/>
        </w:pBdr>
        <w:spacing w:after="0" w:line="276" w:lineRule="auto"/>
        <w:jc w:val="both"/>
      </w:pPr>
    </w:p>
    <w:p w14:paraId="32247B16" w14:textId="424B930F" w:rsidR="002A174F" w:rsidRDefault="002A174F" w:rsidP="00534F54">
      <w:pPr>
        <w:pBdr>
          <w:top w:val="nil"/>
          <w:left w:val="nil"/>
          <w:bottom w:val="nil"/>
          <w:right w:val="nil"/>
          <w:between w:val="nil"/>
          <w:bar w:val="nil"/>
        </w:pBdr>
        <w:spacing w:after="0" w:line="276" w:lineRule="auto"/>
        <w:jc w:val="both"/>
        <w:rPr>
          <w:b/>
          <w:bCs/>
        </w:rPr>
      </w:pPr>
      <w:r w:rsidRPr="002A174F">
        <w:rPr>
          <w:b/>
          <w:bCs/>
        </w:rPr>
        <w:t>Advise on the importance of handling grievances effectively. (AC 3.3).</w:t>
      </w:r>
    </w:p>
    <w:p w14:paraId="345AFAB8" w14:textId="77777777" w:rsidR="002A174F" w:rsidRDefault="002A174F" w:rsidP="00534F54">
      <w:pPr>
        <w:pBdr>
          <w:top w:val="nil"/>
          <w:left w:val="nil"/>
          <w:bottom w:val="nil"/>
          <w:right w:val="nil"/>
          <w:between w:val="nil"/>
          <w:bar w:val="nil"/>
        </w:pBdr>
        <w:spacing w:after="0" w:line="276" w:lineRule="auto"/>
        <w:jc w:val="both"/>
        <w:rPr>
          <w:b/>
          <w:bCs/>
        </w:rPr>
      </w:pPr>
    </w:p>
    <w:p w14:paraId="34D347A5" w14:textId="7A24C3BC" w:rsidR="00011877" w:rsidRDefault="00011877" w:rsidP="00534F54">
      <w:pPr>
        <w:pBdr>
          <w:top w:val="nil"/>
          <w:left w:val="nil"/>
          <w:bottom w:val="nil"/>
          <w:right w:val="nil"/>
          <w:between w:val="nil"/>
          <w:bar w:val="nil"/>
        </w:pBdr>
        <w:spacing w:after="0" w:line="276" w:lineRule="auto"/>
        <w:jc w:val="both"/>
      </w:pPr>
      <w:r w:rsidRPr="00011877">
        <w:t>Effectively managing grievances raised by employees is crucial for protecting both individuals and the organisation. Unresolved grievances can cause relationships to break down, lower morale, and lead to disengagement (Hoffman, 2006). In more serious cases, they can escalate into legal disputes or reputational damage</w:t>
      </w:r>
      <w:r w:rsidR="00C00637">
        <w:t xml:space="preserve"> - </w:t>
      </w:r>
      <w:r w:rsidRPr="00011877">
        <w:t>issues which carry financial costs and can impact future recruitment and retention. In a digital world, negative employee experiences can be rapidly shared online, amplifying dissatisfaction and harming public trust</w:t>
      </w:r>
      <w:r w:rsidR="00C00637">
        <w:t xml:space="preserve"> (</w:t>
      </w:r>
      <w:proofErr w:type="spellStart"/>
      <w:r w:rsidR="00C00637">
        <w:t>Sulianta</w:t>
      </w:r>
      <w:proofErr w:type="spellEnd"/>
      <w:r w:rsidR="00C00637">
        <w:t>, 2024).</w:t>
      </w:r>
    </w:p>
    <w:p w14:paraId="204554A8" w14:textId="77777777" w:rsidR="00011877" w:rsidRPr="00011877" w:rsidRDefault="00011877" w:rsidP="00534F54">
      <w:pPr>
        <w:pBdr>
          <w:top w:val="nil"/>
          <w:left w:val="nil"/>
          <w:bottom w:val="nil"/>
          <w:right w:val="nil"/>
          <w:between w:val="nil"/>
          <w:bar w:val="nil"/>
        </w:pBdr>
        <w:spacing w:after="0" w:line="276" w:lineRule="auto"/>
        <w:jc w:val="both"/>
      </w:pPr>
    </w:p>
    <w:p w14:paraId="2870672D" w14:textId="00C480EB" w:rsidR="00011877" w:rsidRDefault="00011877" w:rsidP="00534F54">
      <w:pPr>
        <w:pBdr>
          <w:top w:val="nil"/>
          <w:left w:val="nil"/>
          <w:bottom w:val="nil"/>
          <w:right w:val="nil"/>
          <w:between w:val="nil"/>
          <w:bar w:val="nil"/>
        </w:pBdr>
        <w:spacing w:after="0" w:line="276" w:lineRule="auto"/>
        <w:jc w:val="both"/>
      </w:pPr>
      <w:r w:rsidRPr="00011877">
        <w:t>This is particularly relevant following a merger, where changes to structure, leadership and culture can cause uncertainty. With</w:t>
      </w:r>
      <w:r w:rsidR="00C00637">
        <w:t xml:space="preserve"> many</w:t>
      </w:r>
      <w:r w:rsidRPr="00011877">
        <w:t xml:space="preserve"> new leaders from the private sector entering a public sector environment, there’s a risk of unfamiliarity with public </w:t>
      </w:r>
      <w:r w:rsidR="00C00637">
        <w:t>sector</w:t>
      </w:r>
      <w:r w:rsidRPr="00011877">
        <w:t xml:space="preserve"> expectations and ER practices. Grievances may arise from inconsistent communication, unclear roles, or perceived unfairness</w:t>
      </w:r>
      <w:r w:rsidR="00C00637">
        <w:t xml:space="preserve"> - </w:t>
      </w:r>
      <w:r w:rsidRPr="00011877">
        <w:t>all common triggers in times of organisational change (CIPD, 2020).</w:t>
      </w:r>
    </w:p>
    <w:p w14:paraId="4C5B7572" w14:textId="77777777" w:rsidR="00011877" w:rsidRPr="00011877" w:rsidRDefault="00011877" w:rsidP="00534F54">
      <w:pPr>
        <w:pBdr>
          <w:top w:val="nil"/>
          <w:left w:val="nil"/>
          <w:bottom w:val="nil"/>
          <w:right w:val="nil"/>
          <w:between w:val="nil"/>
          <w:bar w:val="nil"/>
        </w:pBdr>
        <w:spacing w:after="0" w:line="276" w:lineRule="auto"/>
        <w:jc w:val="both"/>
      </w:pPr>
    </w:p>
    <w:p w14:paraId="7B32E1D7" w14:textId="7B303067" w:rsidR="00011877" w:rsidRDefault="00011877" w:rsidP="00534F54">
      <w:pPr>
        <w:pBdr>
          <w:top w:val="nil"/>
          <w:left w:val="nil"/>
          <w:bottom w:val="nil"/>
          <w:right w:val="nil"/>
          <w:between w:val="nil"/>
          <w:bar w:val="nil"/>
        </w:pBdr>
        <w:spacing w:after="0" w:line="276" w:lineRule="auto"/>
        <w:jc w:val="both"/>
      </w:pPr>
      <w:r w:rsidRPr="00011877">
        <w:t xml:space="preserve">To minimise these risks, grievances must be handled effectively and in line with the ACAS Code of Practice on Disciplinary and Grievance Procedures </w:t>
      </w:r>
      <w:r w:rsidR="00C00637">
        <w:t>(2015</w:t>
      </w:r>
      <w:r w:rsidRPr="00011877">
        <w:t>). This code highlights the importance of resolving issues promptly, allowing both sides to present their case, and keeping procedures fair and consistent. Employers should always aim to resolve grievances informally where possible, but where necessary, must follow formal procedures. Employees must be kept informed throughout the process and reassured that raising concerns won’t put them at a disadvantage (CIPD, 2023).</w:t>
      </w:r>
    </w:p>
    <w:p w14:paraId="2A050645" w14:textId="77777777" w:rsidR="00011877" w:rsidRPr="00011877" w:rsidRDefault="00011877" w:rsidP="00534F54">
      <w:pPr>
        <w:pBdr>
          <w:top w:val="nil"/>
          <w:left w:val="nil"/>
          <w:bottom w:val="nil"/>
          <w:right w:val="nil"/>
          <w:between w:val="nil"/>
          <w:bar w:val="nil"/>
        </w:pBdr>
        <w:spacing w:after="0" w:line="276" w:lineRule="auto"/>
        <w:jc w:val="both"/>
      </w:pPr>
    </w:p>
    <w:p w14:paraId="6A0EF3A8" w14:textId="675543AC" w:rsidR="00011877" w:rsidRDefault="00011877" w:rsidP="00534F54">
      <w:pPr>
        <w:pBdr>
          <w:top w:val="nil"/>
          <w:left w:val="nil"/>
          <w:bottom w:val="nil"/>
          <w:right w:val="nil"/>
          <w:between w:val="nil"/>
          <w:bar w:val="nil"/>
        </w:pBdr>
        <w:spacing w:after="0" w:line="276" w:lineRule="auto"/>
        <w:jc w:val="both"/>
      </w:pPr>
      <w:r w:rsidRPr="00011877">
        <w:t>Good record-keeping, timely communication, and a clear audit trail of decision-making are vital. A poorly managed grievance, or one ignored altogether, can lead to a lack of trust, employee withdrawal, or claims of unfair treatment</w:t>
      </w:r>
      <w:r w:rsidR="00C00637">
        <w:t xml:space="preserve"> (CIPD, 2023)</w:t>
      </w:r>
      <w:r w:rsidRPr="00011877">
        <w:t>. Delays in resolution cause unnecessary stress and often worsen the issue. Consistency, confidentiality, and impartiality are critical in maintaining credibility in the process and avoiding escalation.</w:t>
      </w:r>
    </w:p>
    <w:p w14:paraId="38D917E9" w14:textId="77777777" w:rsidR="00011877" w:rsidRPr="009669C8" w:rsidRDefault="00011877" w:rsidP="00534F54">
      <w:pPr>
        <w:pBdr>
          <w:top w:val="nil"/>
          <w:left w:val="nil"/>
          <w:bottom w:val="nil"/>
          <w:right w:val="nil"/>
          <w:between w:val="nil"/>
          <w:bar w:val="nil"/>
        </w:pBdr>
        <w:spacing w:after="0" w:line="276" w:lineRule="auto"/>
        <w:jc w:val="both"/>
      </w:pPr>
    </w:p>
    <w:p w14:paraId="3783E133" w14:textId="48E1C0DC" w:rsidR="009669C8" w:rsidRDefault="009669C8" w:rsidP="00534F54">
      <w:pPr>
        <w:pBdr>
          <w:top w:val="nil"/>
          <w:left w:val="nil"/>
          <w:bottom w:val="nil"/>
          <w:right w:val="nil"/>
          <w:between w:val="nil"/>
          <w:bar w:val="nil"/>
        </w:pBdr>
        <w:spacing w:after="0" w:line="276" w:lineRule="auto"/>
        <w:jc w:val="both"/>
      </w:pPr>
      <w:r w:rsidRPr="009669C8">
        <w:t>A failure to handle grievances effectively can also result in a disengaged workforce, higher turnover, and decreased productivity</w:t>
      </w:r>
      <w:r w:rsidR="00C00637">
        <w:t xml:space="preserve"> (Hoffman, 2006).</w:t>
      </w:r>
      <w:r w:rsidRPr="009669C8">
        <w:t xml:space="preserve"> As highlighted by ACAS (2023), organisations should focus on creating a culture where grievances are addressed before they escalate. Preventing grievances from festering through regular communication and addressing issues early on ensures that employees feel heard and valued, which in turn supports overall employee engagement and organisational success.</w:t>
      </w:r>
    </w:p>
    <w:p w14:paraId="0B9E86EF" w14:textId="77777777" w:rsidR="009669C8" w:rsidRPr="009669C8" w:rsidRDefault="009669C8" w:rsidP="00534F54">
      <w:pPr>
        <w:pBdr>
          <w:top w:val="nil"/>
          <w:left w:val="nil"/>
          <w:bottom w:val="nil"/>
          <w:right w:val="nil"/>
          <w:between w:val="nil"/>
          <w:bar w:val="nil"/>
        </w:pBdr>
        <w:spacing w:after="0" w:line="276" w:lineRule="auto"/>
        <w:jc w:val="both"/>
      </w:pPr>
    </w:p>
    <w:p w14:paraId="59632509" w14:textId="3681001C" w:rsidR="009669C8" w:rsidRPr="009669C8" w:rsidRDefault="00C00637" w:rsidP="00534F54">
      <w:pPr>
        <w:pBdr>
          <w:top w:val="nil"/>
          <w:left w:val="nil"/>
          <w:bottom w:val="nil"/>
          <w:right w:val="nil"/>
          <w:between w:val="nil"/>
          <w:bar w:val="nil"/>
        </w:pBdr>
        <w:spacing w:after="0" w:line="276" w:lineRule="auto"/>
        <w:jc w:val="both"/>
      </w:pPr>
      <w:r>
        <w:lastRenderedPageBreak/>
        <w:t xml:space="preserve">To summarise, </w:t>
      </w:r>
      <w:r w:rsidR="009669C8" w:rsidRPr="009669C8">
        <w:t>handling grievances promptly and fairly is essential for mitigating both internal and external risks. By following the ACAS Code of Practice and maintaining transparent communication throughout the process, organisations can reduce reputational risks, prevent escalation, and ensure that employees feel supported, especially during periods of change such as mergers.</w:t>
      </w:r>
    </w:p>
    <w:p w14:paraId="41F612BE" w14:textId="77777777" w:rsidR="002A174F" w:rsidRPr="002A174F" w:rsidRDefault="002A174F" w:rsidP="00534F54">
      <w:pPr>
        <w:pBdr>
          <w:top w:val="nil"/>
          <w:left w:val="nil"/>
          <w:bottom w:val="nil"/>
          <w:right w:val="nil"/>
          <w:between w:val="nil"/>
          <w:bar w:val="nil"/>
        </w:pBdr>
        <w:spacing w:after="0" w:line="276" w:lineRule="auto"/>
        <w:jc w:val="both"/>
        <w:rPr>
          <w:b/>
          <w:bCs/>
        </w:rPr>
      </w:pPr>
    </w:p>
    <w:p w14:paraId="716E4777" w14:textId="77777777" w:rsidR="002A174F" w:rsidRPr="007F41DC" w:rsidRDefault="002A174F" w:rsidP="00534F54">
      <w:pPr>
        <w:pBdr>
          <w:top w:val="nil"/>
          <w:left w:val="nil"/>
          <w:bottom w:val="nil"/>
          <w:right w:val="nil"/>
          <w:between w:val="nil"/>
          <w:bar w:val="nil"/>
        </w:pBdr>
        <w:spacing w:after="0" w:line="276" w:lineRule="auto"/>
        <w:jc w:val="both"/>
      </w:pPr>
    </w:p>
    <w:p w14:paraId="26D05209" w14:textId="77777777" w:rsidR="00FC4599" w:rsidRPr="009A3FCE" w:rsidRDefault="00FC4599" w:rsidP="00534F54">
      <w:pPr>
        <w:pBdr>
          <w:top w:val="nil"/>
          <w:left w:val="nil"/>
          <w:bottom w:val="nil"/>
          <w:right w:val="nil"/>
          <w:between w:val="nil"/>
          <w:bar w:val="nil"/>
        </w:pBdr>
        <w:spacing w:after="0" w:line="276" w:lineRule="auto"/>
        <w:jc w:val="both"/>
      </w:pPr>
    </w:p>
    <w:p w14:paraId="787A1898" w14:textId="77777777" w:rsidR="007E5163" w:rsidRPr="0098235C" w:rsidRDefault="007E5163" w:rsidP="00534F54">
      <w:pPr>
        <w:pBdr>
          <w:top w:val="nil"/>
          <w:left w:val="nil"/>
          <w:bottom w:val="nil"/>
          <w:right w:val="nil"/>
          <w:between w:val="nil"/>
          <w:bar w:val="nil"/>
        </w:pBdr>
        <w:spacing w:after="0" w:line="276" w:lineRule="auto"/>
        <w:jc w:val="both"/>
        <w:rPr>
          <w:rFonts w:ascii="Trebuchet MS" w:hAnsi="Trebuchet MS"/>
          <w:b/>
          <w:bCs/>
        </w:rPr>
      </w:pPr>
    </w:p>
    <w:p w14:paraId="3A6913D5" w14:textId="77777777" w:rsidR="006A1955" w:rsidRPr="006A1955" w:rsidRDefault="006A1955" w:rsidP="00534F54">
      <w:pPr>
        <w:pStyle w:val="NoSpacing"/>
        <w:spacing w:line="276" w:lineRule="auto"/>
        <w:jc w:val="both"/>
      </w:pPr>
    </w:p>
    <w:p w14:paraId="580C910B" w14:textId="77777777" w:rsidR="00EC2C97" w:rsidRPr="006A1955" w:rsidRDefault="00EC2C97" w:rsidP="00534F54">
      <w:pPr>
        <w:pStyle w:val="NoSpacing"/>
        <w:spacing w:line="276" w:lineRule="auto"/>
        <w:jc w:val="both"/>
      </w:pPr>
    </w:p>
    <w:p w14:paraId="2FBCCDD4" w14:textId="77777777" w:rsidR="00EC2C97" w:rsidRPr="006A1955" w:rsidRDefault="00EC2C97" w:rsidP="00534F54">
      <w:pPr>
        <w:pStyle w:val="NoSpacing"/>
        <w:spacing w:line="276" w:lineRule="auto"/>
        <w:jc w:val="both"/>
      </w:pPr>
    </w:p>
    <w:p w14:paraId="37DD05B3" w14:textId="77777777" w:rsidR="00EC2C97" w:rsidRPr="00BA4B71" w:rsidRDefault="00EC2C97" w:rsidP="00534F54">
      <w:pPr>
        <w:pBdr>
          <w:top w:val="nil"/>
          <w:left w:val="nil"/>
          <w:bottom w:val="nil"/>
          <w:right w:val="nil"/>
          <w:between w:val="nil"/>
          <w:bar w:val="nil"/>
        </w:pBdr>
        <w:spacing w:after="0" w:line="276" w:lineRule="auto"/>
        <w:jc w:val="both"/>
        <w:rPr>
          <w:rFonts w:ascii="Trebuchet MS" w:hAnsi="Trebuchet MS"/>
          <w:b/>
          <w:bCs/>
        </w:rPr>
      </w:pPr>
    </w:p>
    <w:p w14:paraId="1B9454AE" w14:textId="77777777" w:rsidR="00BA4B71" w:rsidRDefault="00BA4B71" w:rsidP="00534F54">
      <w:pPr>
        <w:pStyle w:val="NoSpacing"/>
        <w:spacing w:line="276" w:lineRule="auto"/>
        <w:jc w:val="both"/>
      </w:pPr>
    </w:p>
    <w:p w14:paraId="0CE99257" w14:textId="77777777" w:rsidR="006269CF" w:rsidRDefault="006269CF" w:rsidP="00534F54">
      <w:pPr>
        <w:pStyle w:val="NoSpacing"/>
        <w:spacing w:line="276" w:lineRule="auto"/>
        <w:jc w:val="both"/>
      </w:pPr>
    </w:p>
    <w:p w14:paraId="47B0C1C9" w14:textId="77777777" w:rsidR="006269CF" w:rsidRDefault="006269CF" w:rsidP="00534F54">
      <w:pPr>
        <w:pStyle w:val="NoSpacing"/>
        <w:spacing w:line="276" w:lineRule="auto"/>
        <w:jc w:val="both"/>
      </w:pPr>
    </w:p>
    <w:p w14:paraId="1F5A8791" w14:textId="77777777" w:rsidR="006269CF" w:rsidRDefault="006269CF" w:rsidP="00534F54">
      <w:pPr>
        <w:pStyle w:val="NoSpacing"/>
        <w:spacing w:line="276" w:lineRule="auto"/>
        <w:jc w:val="both"/>
      </w:pPr>
    </w:p>
    <w:p w14:paraId="3FF25B7A" w14:textId="77777777" w:rsidR="006269CF" w:rsidRDefault="006269CF" w:rsidP="00534F54">
      <w:pPr>
        <w:pStyle w:val="NoSpacing"/>
        <w:spacing w:line="276" w:lineRule="auto"/>
        <w:jc w:val="both"/>
      </w:pPr>
    </w:p>
    <w:p w14:paraId="1D0636A3" w14:textId="77777777" w:rsidR="006269CF" w:rsidRDefault="006269CF" w:rsidP="00534F54">
      <w:pPr>
        <w:pStyle w:val="NoSpacing"/>
        <w:spacing w:line="276" w:lineRule="auto"/>
        <w:jc w:val="both"/>
      </w:pPr>
    </w:p>
    <w:p w14:paraId="258C8DAE" w14:textId="77777777" w:rsidR="006269CF" w:rsidRDefault="006269CF" w:rsidP="00534F54">
      <w:pPr>
        <w:pStyle w:val="NoSpacing"/>
        <w:spacing w:line="276" w:lineRule="auto"/>
        <w:jc w:val="both"/>
      </w:pPr>
    </w:p>
    <w:p w14:paraId="2EAFB69B" w14:textId="77777777" w:rsidR="006269CF" w:rsidRDefault="006269CF" w:rsidP="00534F54">
      <w:pPr>
        <w:pStyle w:val="NoSpacing"/>
        <w:spacing w:line="276" w:lineRule="auto"/>
        <w:jc w:val="both"/>
      </w:pPr>
    </w:p>
    <w:p w14:paraId="7DDB6913" w14:textId="77777777" w:rsidR="006269CF" w:rsidRDefault="006269CF" w:rsidP="00534F54">
      <w:pPr>
        <w:pStyle w:val="NoSpacing"/>
        <w:spacing w:line="276" w:lineRule="auto"/>
        <w:jc w:val="both"/>
      </w:pPr>
    </w:p>
    <w:p w14:paraId="70C18D4F" w14:textId="77777777" w:rsidR="006269CF" w:rsidRDefault="006269CF" w:rsidP="00534F54">
      <w:pPr>
        <w:pStyle w:val="NoSpacing"/>
        <w:spacing w:line="276" w:lineRule="auto"/>
        <w:jc w:val="both"/>
      </w:pPr>
    </w:p>
    <w:p w14:paraId="4146970B" w14:textId="77777777" w:rsidR="006269CF" w:rsidRDefault="006269CF" w:rsidP="00534F54">
      <w:pPr>
        <w:pStyle w:val="NoSpacing"/>
        <w:spacing w:line="276" w:lineRule="auto"/>
        <w:jc w:val="both"/>
      </w:pPr>
    </w:p>
    <w:p w14:paraId="1E71A710" w14:textId="77777777" w:rsidR="006269CF" w:rsidRDefault="006269CF" w:rsidP="00534F54">
      <w:pPr>
        <w:pStyle w:val="NoSpacing"/>
        <w:spacing w:line="276" w:lineRule="auto"/>
        <w:jc w:val="both"/>
      </w:pPr>
    </w:p>
    <w:p w14:paraId="162FF84A" w14:textId="77777777" w:rsidR="006269CF" w:rsidRDefault="006269CF" w:rsidP="00534F54">
      <w:pPr>
        <w:pStyle w:val="NoSpacing"/>
        <w:spacing w:line="276" w:lineRule="auto"/>
        <w:jc w:val="both"/>
      </w:pPr>
    </w:p>
    <w:p w14:paraId="5B0937BC" w14:textId="77777777" w:rsidR="006269CF" w:rsidRDefault="006269CF" w:rsidP="00534F54">
      <w:pPr>
        <w:pStyle w:val="NoSpacing"/>
        <w:spacing w:line="276" w:lineRule="auto"/>
        <w:jc w:val="both"/>
      </w:pPr>
    </w:p>
    <w:p w14:paraId="642CA56C" w14:textId="77777777" w:rsidR="006269CF" w:rsidRDefault="006269CF" w:rsidP="00534F54">
      <w:pPr>
        <w:pStyle w:val="NoSpacing"/>
        <w:spacing w:line="276" w:lineRule="auto"/>
        <w:jc w:val="both"/>
      </w:pPr>
    </w:p>
    <w:p w14:paraId="006267F1" w14:textId="77777777" w:rsidR="006269CF" w:rsidRDefault="006269CF" w:rsidP="00534F54">
      <w:pPr>
        <w:pStyle w:val="NoSpacing"/>
        <w:spacing w:line="276" w:lineRule="auto"/>
        <w:jc w:val="both"/>
      </w:pPr>
    </w:p>
    <w:p w14:paraId="08A77881" w14:textId="77777777" w:rsidR="006269CF" w:rsidRDefault="006269CF" w:rsidP="00534F54">
      <w:pPr>
        <w:pStyle w:val="NoSpacing"/>
        <w:spacing w:line="276" w:lineRule="auto"/>
        <w:jc w:val="both"/>
      </w:pPr>
    </w:p>
    <w:p w14:paraId="2BF9B2B0" w14:textId="77777777" w:rsidR="006269CF" w:rsidRDefault="006269CF" w:rsidP="00534F54">
      <w:pPr>
        <w:pStyle w:val="NoSpacing"/>
        <w:spacing w:line="276" w:lineRule="auto"/>
        <w:jc w:val="both"/>
      </w:pPr>
    </w:p>
    <w:p w14:paraId="7512A099" w14:textId="77777777" w:rsidR="006269CF" w:rsidRDefault="006269CF" w:rsidP="00534F54">
      <w:pPr>
        <w:pStyle w:val="NoSpacing"/>
        <w:spacing w:line="276" w:lineRule="auto"/>
        <w:jc w:val="both"/>
      </w:pPr>
    </w:p>
    <w:p w14:paraId="53D2FBA1" w14:textId="77777777" w:rsidR="006269CF" w:rsidRDefault="006269CF" w:rsidP="00534F54">
      <w:pPr>
        <w:pStyle w:val="NoSpacing"/>
        <w:spacing w:line="276" w:lineRule="auto"/>
        <w:jc w:val="both"/>
      </w:pPr>
    </w:p>
    <w:p w14:paraId="51ADBE3E" w14:textId="77777777" w:rsidR="006269CF" w:rsidRDefault="006269CF" w:rsidP="00534F54">
      <w:pPr>
        <w:pStyle w:val="NoSpacing"/>
        <w:spacing w:line="276" w:lineRule="auto"/>
        <w:jc w:val="both"/>
      </w:pPr>
    </w:p>
    <w:p w14:paraId="642563D8" w14:textId="77777777" w:rsidR="006269CF" w:rsidRDefault="006269CF" w:rsidP="00534F54">
      <w:pPr>
        <w:pStyle w:val="NoSpacing"/>
        <w:spacing w:line="276" w:lineRule="auto"/>
        <w:jc w:val="both"/>
      </w:pPr>
    </w:p>
    <w:p w14:paraId="4B10C6CF" w14:textId="77777777" w:rsidR="006269CF" w:rsidRDefault="006269CF" w:rsidP="00534F54">
      <w:pPr>
        <w:pStyle w:val="NoSpacing"/>
        <w:spacing w:line="276" w:lineRule="auto"/>
        <w:jc w:val="both"/>
      </w:pPr>
    </w:p>
    <w:p w14:paraId="08EAB063" w14:textId="77777777" w:rsidR="006269CF" w:rsidRDefault="006269CF" w:rsidP="00534F54">
      <w:pPr>
        <w:pStyle w:val="NoSpacing"/>
        <w:spacing w:line="276" w:lineRule="auto"/>
        <w:jc w:val="both"/>
      </w:pPr>
    </w:p>
    <w:p w14:paraId="1EDF5345" w14:textId="77777777" w:rsidR="006269CF" w:rsidRDefault="006269CF" w:rsidP="00534F54">
      <w:pPr>
        <w:pStyle w:val="NoSpacing"/>
        <w:spacing w:line="276" w:lineRule="auto"/>
        <w:jc w:val="both"/>
      </w:pPr>
    </w:p>
    <w:p w14:paraId="684DD6A8" w14:textId="77777777" w:rsidR="006269CF" w:rsidRDefault="006269CF" w:rsidP="00534F54">
      <w:pPr>
        <w:pStyle w:val="NoSpacing"/>
        <w:spacing w:line="276" w:lineRule="auto"/>
        <w:jc w:val="both"/>
      </w:pPr>
    </w:p>
    <w:p w14:paraId="281C35B6" w14:textId="77777777" w:rsidR="006269CF" w:rsidRDefault="006269CF" w:rsidP="00534F54">
      <w:pPr>
        <w:pStyle w:val="NoSpacing"/>
        <w:spacing w:line="276" w:lineRule="auto"/>
        <w:jc w:val="both"/>
      </w:pPr>
    </w:p>
    <w:p w14:paraId="49AB286B" w14:textId="77777777" w:rsidR="006269CF" w:rsidRDefault="006269CF" w:rsidP="00534F54">
      <w:pPr>
        <w:pStyle w:val="NoSpacing"/>
        <w:spacing w:line="276" w:lineRule="auto"/>
        <w:jc w:val="both"/>
      </w:pPr>
    </w:p>
    <w:p w14:paraId="48CF28CA" w14:textId="77777777" w:rsidR="006269CF" w:rsidRDefault="006269CF" w:rsidP="00534F54">
      <w:pPr>
        <w:pStyle w:val="NoSpacing"/>
        <w:spacing w:line="276" w:lineRule="auto"/>
        <w:jc w:val="both"/>
      </w:pPr>
    </w:p>
    <w:p w14:paraId="561D29A2" w14:textId="77777777" w:rsidR="006269CF" w:rsidRDefault="006269CF" w:rsidP="00534F54">
      <w:pPr>
        <w:pStyle w:val="NoSpacing"/>
        <w:spacing w:line="276" w:lineRule="auto"/>
        <w:jc w:val="both"/>
      </w:pPr>
    </w:p>
    <w:p w14:paraId="372C165A" w14:textId="77777777" w:rsidR="006269CF" w:rsidRDefault="006269CF" w:rsidP="00534F54">
      <w:pPr>
        <w:pStyle w:val="NoSpacing"/>
        <w:spacing w:line="276" w:lineRule="auto"/>
        <w:jc w:val="both"/>
      </w:pPr>
    </w:p>
    <w:p w14:paraId="77584897" w14:textId="77777777" w:rsidR="006269CF" w:rsidRDefault="006269CF" w:rsidP="00534F54">
      <w:pPr>
        <w:pStyle w:val="NoSpacing"/>
        <w:spacing w:line="276" w:lineRule="auto"/>
        <w:jc w:val="both"/>
      </w:pPr>
    </w:p>
    <w:p w14:paraId="5A1FD90A" w14:textId="684C512C" w:rsidR="006269CF" w:rsidRDefault="006269CF" w:rsidP="00534F54">
      <w:pPr>
        <w:pStyle w:val="NoSpacing"/>
        <w:spacing w:line="276" w:lineRule="auto"/>
        <w:jc w:val="both"/>
        <w:rPr>
          <w:b/>
          <w:bCs/>
          <w:u w:val="single"/>
        </w:rPr>
      </w:pPr>
      <w:r w:rsidRPr="006269CF">
        <w:rPr>
          <w:b/>
          <w:bCs/>
          <w:u w:val="single"/>
        </w:rPr>
        <w:lastRenderedPageBreak/>
        <w:t>References</w:t>
      </w:r>
    </w:p>
    <w:p w14:paraId="02220F24" w14:textId="77777777" w:rsidR="006269CF" w:rsidRDefault="006269CF" w:rsidP="00534F54">
      <w:pPr>
        <w:pStyle w:val="NoSpacing"/>
        <w:spacing w:line="276" w:lineRule="auto"/>
        <w:jc w:val="both"/>
        <w:rPr>
          <w:b/>
          <w:bCs/>
          <w:u w:val="single"/>
        </w:rPr>
      </w:pPr>
    </w:p>
    <w:p w14:paraId="3EB933B3" w14:textId="77777777" w:rsidR="006269CF" w:rsidRDefault="006269CF" w:rsidP="006269CF">
      <w:pPr>
        <w:spacing w:line="276" w:lineRule="auto"/>
        <w:jc w:val="both"/>
      </w:pPr>
      <w:r w:rsidRPr="004A6AA3">
        <w:t>ACAS. (2014) </w:t>
      </w:r>
      <w:r w:rsidRPr="004A6AA3">
        <w:rPr>
          <w:i/>
          <w:iCs/>
        </w:rPr>
        <w:t>Trade Union Representation in the Workplace</w:t>
      </w:r>
      <w:r w:rsidRPr="004A6AA3">
        <w:t xml:space="preserve">. [Online]. ACAS. Available at: https://www.acas.org.uk/sites/default/files/2021-03/trade-union-representation-in-the-workplace.pdf </w:t>
      </w:r>
      <w:r>
        <w:t>(</w:t>
      </w:r>
      <w:r w:rsidRPr="004A6AA3">
        <w:t>Accessed April 2025</w:t>
      </w:r>
      <w:r>
        <w:t>).</w:t>
      </w:r>
    </w:p>
    <w:p w14:paraId="620131EB" w14:textId="77777777" w:rsidR="006269CF" w:rsidRPr="00BB7FC9" w:rsidRDefault="006269CF" w:rsidP="006269CF">
      <w:pPr>
        <w:spacing w:line="276" w:lineRule="auto"/>
        <w:jc w:val="both"/>
      </w:pPr>
      <w:r w:rsidRPr="008F0729">
        <w:t>ACAS. (2015) </w:t>
      </w:r>
      <w:proofErr w:type="spellStart"/>
      <w:r w:rsidRPr="008F0729">
        <w:rPr>
          <w:i/>
          <w:iCs/>
        </w:rPr>
        <w:t>Acas</w:t>
      </w:r>
      <w:proofErr w:type="spellEnd"/>
      <w:r w:rsidRPr="008F0729">
        <w:rPr>
          <w:i/>
          <w:iCs/>
        </w:rPr>
        <w:t xml:space="preserve"> Code of Practice on disciplinary and grievance procedures</w:t>
      </w:r>
      <w:r w:rsidRPr="008F0729">
        <w:t xml:space="preserve">. [Online]. ACAS. Last Updated: 11 March 2015. Available at: https://www.acas.org.uk/acas-code-of-practice-on-disciplinary-and-grievance-procedures </w:t>
      </w:r>
      <w:r>
        <w:t>(</w:t>
      </w:r>
      <w:r w:rsidRPr="008F0729">
        <w:t>Accessed May 2025</w:t>
      </w:r>
      <w:r>
        <w:t>)</w:t>
      </w:r>
      <w:r w:rsidRPr="008F0729">
        <w:t>.</w:t>
      </w:r>
    </w:p>
    <w:p w14:paraId="62E4E0AE" w14:textId="77777777" w:rsidR="006269CF" w:rsidRDefault="006269CF" w:rsidP="006269CF">
      <w:pPr>
        <w:spacing w:line="276" w:lineRule="auto"/>
        <w:jc w:val="both"/>
      </w:pPr>
      <w:r w:rsidRPr="002E6887">
        <w:t>ACAS. (2021) </w:t>
      </w:r>
      <w:proofErr w:type="spellStart"/>
      <w:proofErr w:type="gramStart"/>
      <w:r w:rsidRPr="002E6887">
        <w:rPr>
          <w:i/>
          <w:iCs/>
        </w:rPr>
        <w:t>Acas</w:t>
      </w:r>
      <w:proofErr w:type="spellEnd"/>
      <w:proofErr w:type="gramEnd"/>
      <w:r w:rsidRPr="002E6887">
        <w:rPr>
          <w:i/>
          <w:iCs/>
        </w:rPr>
        <w:t xml:space="preserve"> mediation support</w:t>
      </w:r>
      <w:r w:rsidRPr="002E6887">
        <w:t xml:space="preserve">. [Online]. ACAS. Last Updated: 7 April 2021. Available at: https://www.acas.org.uk/acas-mediation-support </w:t>
      </w:r>
      <w:r>
        <w:t>(</w:t>
      </w:r>
      <w:r w:rsidRPr="002E6887">
        <w:t>Accessed May 2025</w:t>
      </w:r>
      <w:r>
        <w:t>)</w:t>
      </w:r>
      <w:r w:rsidRPr="002E6887">
        <w:t>.</w:t>
      </w:r>
    </w:p>
    <w:p w14:paraId="018C6B07" w14:textId="77777777" w:rsidR="006269CF" w:rsidRDefault="006269CF" w:rsidP="006269CF">
      <w:pPr>
        <w:spacing w:line="276" w:lineRule="auto"/>
        <w:jc w:val="both"/>
      </w:pPr>
      <w:r w:rsidRPr="00BB7FC9">
        <w:t>ACAS. (2022). </w:t>
      </w:r>
      <w:r w:rsidRPr="00BB7FC9">
        <w:rPr>
          <w:i/>
          <w:iCs/>
        </w:rPr>
        <w:t>Conduct and capability procedures when managing performance</w:t>
      </w:r>
      <w:r w:rsidRPr="00BB7FC9">
        <w:t xml:space="preserve">. [Online]. ACAS. Last Updated: 2 September 2022. Available at: https://www.acas.org.uk/capability-procedures </w:t>
      </w:r>
      <w:r>
        <w:t>(</w:t>
      </w:r>
      <w:r w:rsidRPr="00BB7FC9">
        <w:t>Accessed May 2025</w:t>
      </w:r>
      <w:r>
        <w:t>)</w:t>
      </w:r>
      <w:r w:rsidRPr="00BB7FC9">
        <w:t>.</w:t>
      </w:r>
    </w:p>
    <w:p w14:paraId="02F289AB" w14:textId="77777777" w:rsidR="006269CF" w:rsidRDefault="006269CF" w:rsidP="006269CF">
      <w:pPr>
        <w:spacing w:line="276" w:lineRule="auto"/>
        <w:jc w:val="both"/>
      </w:pPr>
      <w:r w:rsidRPr="002E6887">
        <w:t>ACAS. (2022</w:t>
      </w:r>
      <w:r>
        <w:t>a</w:t>
      </w:r>
      <w:r w:rsidRPr="002E6887">
        <w:t>) </w:t>
      </w:r>
      <w:r w:rsidRPr="002E6887">
        <w:rPr>
          <w:i/>
          <w:iCs/>
        </w:rPr>
        <w:t>Collective conciliation</w:t>
      </w:r>
      <w:r w:rsidRPr="002E6887">
        <w:t xml:space="preserve">. [Online]. ACAS. Last Updated: 16 May 2022. Available at: https://www.acas.org.uk/collective-conciliation </w:t>
      </w:r>
      <w:r>
        <w:t>(</w:t>
      </w:r>
      <w:r w:rsidRPr="002E6887">
        <w:t>Accessed May 2025</w:t>
      </w:r>
      <w:r>
        <w:t>).</w:t>
      </w:r>
    </w:p>
    <w:p w14:paraId="2D981959" w14:textId="77777777" w:rsidR="006269CF" w:rsidRDefault="006269CF" w:rsidP="006269CF">
      <w:pPr>
        <w:spacing w:line="276" w:lineRule="auto"/>
        <w:jc w:val="both"/>
      </w:pPr>
      <w:r w:rsidRPr="002E6887">
        <w:t>ACAS. (2022</w:t>
      </w:r>
      <w:r>
        <w:t>b</w:t>
      </w:r>
      <w:r w:rsidRPr="002E6887">
        <w:t>) </w:t>
      </w:r>
      <w:r w:rsidRPr="002E6887">
        <w:rPr>
          <w:i/>
          <w:iCs/>
        </w:rPr>
        <w:t>Arbitration</w:t>
      </w:r>
      <w:r w:rsidRPr="002E6887">
        <w:t xml:space="preserve">. [Online]. ACAS. Last Updated: 19 July 2022. Available at: https://www.acas.org.uk/arbitration </w:t>
      </w:r>
      <w:r>
        <w:t>(</w:t>
      </w:r>
      <w:r w:rsidRPr="002E6887">
        <w:t>Accessed May 2025</w:t>
      </w:r>
      <w:r>
        <w:t>).</w:t>
      </w:r>
    </w:p>
    <w:p w14:paraId="3F114176" w14:textId="77777777" w:rsidR="006269CF" w:rsidRDefault="006269CF" w:rsidP="006269CF">
      <w:pPr>
        <w:spacing w:line="276" w:lineRule="auto"/>
        <w:jc w:val="both"/>
      </w:pPr>
      <w:r w:rsidRPr="00B95834">
        <w:t>ACAS. (2024)</w:t>
      </w:r>
      <w:r>
        <w:t xml:space="preserve"> </w:t>
      </w:r>
      <w:r w:rsidRPr="00B95834">
        <w:rPr>
          <w:i/>
          <w:iCs/>
        </w:rPr>
        <w:t>Dispute in the workplace: a story of change and complexity</w:t>
      </w:r>
      <w:r w:rsidRPr="00B95834">
        <w:t xml:space="preserve">. [Online]. ACAS. Last Updated: 6 March 2024. Available at: https://www.acas.org.uk/dispute-in-the-workplace-a-story-of-change-and-complexity </w:t>
      </w:r>
      <w:r>
        <w:t>(</w:t>
      </w:r>
      <w:r w:rsidRPr="00B95834">
        <w:t>Accessed May 2025</w:t>
      </w:r>
      <w:r>
        <w:t>).</w:t>
      </w:r>
    </w:p>
    <w:p w14:paraId="14091A0F" w14:textId="77777777" w:rsidR="006269CF" w:rsidRDefault="006269CF" w:rsidP="006269CF">
      <w:pPr>
        <w:spacing w:line="276" w:lineRule="auto"/>
        <w:jc w:val="both"/>
      </w:pPr>
      <w:r w:rsidRPr="00BB7FC9">
        <w:t>ACAS. (2024</w:t>
      </w:r>
      <w:r>
        <w:t>a</w:t>
      </w:r>
      <w:r w:rsidRPr="00BB7FC9">
        <w:t>) </w:t>
      </w:r>
      <w:r w:rsidRPr="00BB7FC9">
        <w:rPr>
          <w:i/>
          <w:iCs/>
        </w:rPr>
        <w:t>Supporting disabled people at work</w:t>
      </w:r>
      <w:r w:rsidRPr="00BB7FC9">
        <w:t xml:space="preserve">. [Online]. ACAS. Last Updated: 10 September 2024. Available at: https://www.acas.org.uk/supporting-disabled-people/capability-and-performance-when-someone-is-disabl </w:t>
      </w:r>
      <w:r>
        <w:t>(</w:t>
      </w:r>
      <w:r w:rsidRPr="00BB7FC9">
        <w:t>Accessed May 2025</w:t>
      </w:r>
      <w:r>
        <w:t>)</w:t>
      </w:r>
      <w:r w:rsidRPr="00BB7FC9">
        <w:t>.</w:t>
      </w:r>
    </w:p>
    <w:p w14:paraId="3C396680" w14:textId="77777777" w:rsidR="006269CF" w:rsidRDefault="006269CF" w:rsidP="006269CF">
      <w:pPr>
        <w:spacing w:line="276" w:lineRule="auto"/>
        <w:jc w:val="both"/>
      </w:pPr>
      <w:r w:rsidRPr="00BB7FC9">
        <w:t>ACAS. (2024</w:t>
      </w:r>
      <w:r>
        <w:t>b</w:t>
      </w:r>
      <w:r w:rsidRPr="00BB7FC9">
        <w:t>) </w:t>
      </w:r>
      <w:r w:rsidRPr="00BB7FC9">
        <w:rPr>
          <w:i/>
          <w:iCs/>
        </w:rPr>
        <w:t>Unfair dismissal</w:t>
      </w:r>
      <w:r w:rsidRPr="00BB7FC9">
        <w:t xml:space="preserve">. [Online]. ACAS. Last Updated: 29 October 2024. Available at: https://www.acas.org.uk/dismissals/unfair-dismissal </w:t>
      </w:r>
      <w:r>
        <w:t>(</w:t>
      </w:r>
      <w:r w:rsidRPr="00BB7FC9">
        <w:t>Accessed May 2025</w:t>
      </w:r>
      <w:r>
        <w:t>)</w:t>
      </w:r>
      <w:r w:rsidRPr="00BB7FC9">
        <w:t>.</w:t>
      </w:r>
    </w:p>
    <w:p w14:paraId="011E070F" w14:textId="77777777" w:rsidR="006269CF" w:rsidRDefault="006269CF" w:rsidP="006269CF">
      <w:pPr>
        <w:spacing w:line="276" w:lineRule="auto"/>
        <w:jc w:val="both"/>
      </w:pPr>
      <w:r w:rsidRPr="002E6887">
        <w:t>ACAS. (2025) </w:t>
      </w:r>
      <w:r w:rsidRPr="002E6887">
        <w:rPr>
          <w:i/>
          <w:iCs/>
        </w:rPr>
        <w:t>Early Conciliation</w:t>
      </w:r>
      <w:r w:rsidRPr="002E6887">
        <w:t xml:space="preserve">. [Online]. ACAS. Last Updated: 8 May 2025. Available at: https://www.acas.org.uk/early-conciliation </w:t>
      </w:r>
      <w:r>
        <w:t>(</w:t>
      </w:r>
      <w:r w:rsidRPr="002E6887">
        <w:t>Accessed May 2025</w:t>
      </w:r>
      <w:r>
        <w:t>)</w:t>
      </w:r>
      <w:r w:rsidRPr="002E6887">
        <w:t>.</w:t>
      </w:r>
    </w:p>
    <w:p w14:paraId="780173A8" w14:textId="77777777" w:rsidR="006269CF" w:rsidRDefault="006269CF" w:rsidP="006269CF">
      <w:pPr>
        <w:spacing w:line="276" w:lineRule="auto"/>
        <w:jc w:val="both"/>
      </w:pPr>
      <w:r w:rsidRPr="00FD67F8">
        <w:t>Ackroyd, S., &amp; Thompson, P. (2022). Organisational misbehaviour.</w:t>
      </w:r>
      <w:r>
        <w:t xml:space="preserve"> 2</w:t>
      </w:r>
      <w:r w:rsidRPr="00FD67F8">
        <w:rPr>
          <w:vertAlign w:val="superscript"/>
        </w:rPr>
        <w:t>nd</w:t>
      </w:r>
      <w:r>
        <w:t xml:space="preserve"> </w:t>
      </w:r>
      <w:proofErr w:type="spellStart"/>
      <w:r>
        <w:t>edn</w:t>
      </w:r>
      <w:proofErr w:type="spellEnd"/>
      <w:r>
        <w:t>.</w:t>
      </w:r>
    </w:p>
    <w:p w14:paraId="6ABEF07C" w14:textId="77777777" w:rsidR="006269CF" w:rsidRPr="00EC6E7E" w:rsidRDefault="006269CF" w:rsidP="006269CF">
      <w:pPr>
        <w:spacing w:line="276" w:lineRule="auto"/>
        <w:jc w:val="both"/>
        <w:rPr>
          <w:bCs/>
        </w:rPr>
      </w:pPr>
      <w:r w:rsidRPr="00EC6E7E">
        <w:rPr>
          <w:bCs/>
        </w:rPr>
        <w:t xml:space="preserve">Ako, E. (2020) Work Life Balance. 1st </w:t>
      </w:r>
      <w:proofErr w:type="spellStart"/>
      <w:r w:rsidRPr="00EC6E7E">
        <w:rPr>
          <w:bCs/>
        </w:rPr>
        <w:t>edn</w:t>
      </w:r>
      <w:proofErr w:type="spellEnd"/>
      <w:r w:rsidRPr="00EC6E7E">
        <w:rPr>
          <w:bCs/>
        </w:rPr>
        <w:t>. LAP LAMBERT Academic Publishing. Available at: https://www.perlego.com/book/3435606/work-life-balance-pdf (Accessed: 16 September 2022).</w:t>
      </w:r>
    </w:p>
    <w:p w14:paraId="3A1CC58D" w14:textId="77777777" w:rsidR="006269CF" w:rsidRDefault="006269CF" w:rsidP="006269CF">
      <w:pPr>
        <w:spacing w:line="276" w:lineRule="auto"/>
        <w:jc w:val="both"/>
      </w:pPr>
      <w:r w:rsidRPr="00BE490A">
        <w:t>Armstrong, M., &amp; Taylor, S. (2023) </w:t>
      </w:r>
      <w:r w:rsidRPr="00BE490A">
        <w:rPr>
          <w:i/>
          <w:iCs/>
        </w:rPr>
        <w:t>Armstrong's handbook of human resource management practice: A guide to the theory and practice of people management</w:t>
      </w:r>
      <w:r w:rsidRPr="00BE490A">
        <w:t>. Kogan Page Publishers.</w:t>
      </w:r>
    </w:p>
    <w:p w14:paraId="7CD37967" w14:textId="77777777" w:rsidR="006269CF" w:rsidRDefault="006269CF" w:rsidP="006269CF">
      <w:pPr>
        <w:spacing w:line="276" w:lineRule="auto"/>
        <w:jc w:val="both"/>
      </w:pPr>
      <w:r w:rsidRPr="00BB7FC9">
        <w:t xml:space="preserve">Ayling, L. &amp; </w:t>
      </w:r>
      <w:proofErr w:type="spellStart"/>
      <w:r w:rsidRPr="00BB7FC9">
        <w:t>Suff</w:t>
      </w:r>
      <w:proofErr w:type="spellEnd"/>
      <w:r w:rsidRPr="00BB7FC9">
        <w:t>, R. (2024). </w:t>
      </w:r>
      <w:r w:rsidRPr="00BB7FC9">
        <w:rPr>
          <w:i/>
          <w:iCs/>
        </w:rPr>
        <w:t>Dismissal procedures</w:t>
      </w:r>
      <w:r w:rsidRPr="00BB7FC9">
        <w:t xml:space="preserve">. [Online]. CIPD. Last Updated: 6 December 2024. Available at: https://www.cipd.org/uk/knowledge/factsheets/dismissal-factsheet/ </w:t>
      </w:r>
      <w:r>
        <w:t>(</w:t>
      </w:r>
      <w:r w:rsidRPr="00BB7FC9">
        <w:t>Accessed May 2025</w:t>
      </w:r>
      <w:r>
        <w:t>)</w:t>
      </w:r>
      <w:r w:rsidRPr="00BB7FC9">
        <w:t>.</w:t>
      </w:r>
    </w:p>
    <w:p w14:paraId="57E553AF" w14:textId="77777777" w:rsidR="006269CF" w:rsidRPr="00F9483C" w:rsidRDefault="006269CF" w:rsidP="006269CF">
      <w:pPr>
        <w:spacing w:line="276" w:lineRule="auto"/>
        <w:jc w:val="both"/>
        <w:rPr>
          <w:rFonts w:cstheme="minorHAnsi"/>
          <w:bCs/>
        </w:rPr>
      </w:pPr>
      <w:proofErr w:type="spellStart"/>
      <w:r w:rsidRPr="00F9483C">
        <w:rPr>
          <w:rFonts w:cstheme="minorHAnsi"/>
          <w:bCs/>
        </w:rPr>
        <w:t>Aylott</w:t>
      </w:r>
      <w:proofErr w:type="spellEnd"/>
      <w:r w:rsidRPr="00F9483C">
        <w:rPr>
          <w:rFonts w:cstheme="minorHAnsi"/>
          <w:bCs/>
        </w:rPr>
        <w:t>, E. (2022) </w:t>
      </w:r>
      <w:r w:rsidRPr="00F9483C">
        <w:rPr>
          <w:rFonts w:cstheme="minorHAnsi"/>
          <w:bCs/>
          <w:i/>
          <w:iCs/>
        </w:rPr>
        <w:t>Employee relations: a practical introduction</w:t>
      </w:r>
      <w:r w:rsidRPr="00F9483C">
        <w:rPr>
          <w:rFonts w:cstheme="minorHAnsi"/>
          <w:bCs/>
        </w:rPr>
        <w:t> (Vol. 23). Kogan Page Publishers.</w:t>
      </w:r>
    </w:p>
    <w:p w14:paraId="13C856BD" w14:textId="77777777" w:rsidR="006269CF" w:rsidRDefault="006269CF" w:rsidP="006269CF">
      <w:pPr>
        <w:spacing w:line="276" w:lineRule="auto"/>
        <w:jc w:val="both"/>
      </w:pPr>
      <w:proofErr w:type="spellStart"/>
      <w:r w:rsidRPr="00866227">
        <w:lastRenderedPageBreak/>
        <w:t>Ayop</w:t>
      </w:r>
      <w:proofErr w:type="spellEnd"/>
      <w:r w:rsidRPr="00866227">
        <w:t>, S.</w:t>
      </w:r>
      <w:r>
        <w:t xml:space="preserve"> &amp;</w:t>
      </w:r>
      <w:r w:rsidRPr="00866227">
        <w:t xml:space="preserve"> Ishak, N. (2023)</w:t>
      </w:r>
      <w:r>
        <w:t xml:space="preserve"> </w:t>
      </w:r>
      <w:r w:rsidRPr="00866227">
        <w:t>Employee Voice in Organizational Contexts: Exploring Mechanisms, Impact, and Challenges - a Review. </w:t>
      </w:r>
      <w:r w:rsidRPr="00866227">
        <w:rPr>
          <w:i/>
          <w:iCs/>
        </w:rPr>
        <w:t>Advanced International Journal of Business Entrepreneurship and SMEs</w:t>
      </w:r>
      <w:r w:rsidRPr="00866227">
        <w:t xml:space="preserve">. 5(18), pp.99-106. [Online]. Available at: 10.35631/AIJBES.518011 </w:t>
      </w:r>
      <w:r>
        <w:t>(</w:t>
      </w:r>
      <w:r w:rsidRPr="00866227">
        <w:t>Accessed May 2025</w:t>
      </w:r>
      <w:r>
        <w:t>).</w:t>
      </w:r>
    </w:p>
    <w:p w14:paraId="07B4554C" w14:textId="77777777" w:rsidR="006269CF" w:rsidRDefault="006269CF" w:rsidP="006269CF">
      <w:pPr>
        <w:spacing w:line="276" w:lineRule="auto"/>
        <w:jc w:val="both"/>
      </w:pPr>
      <w:r w:rsidRPr="002E6887">
        <w:t>CIPD. (2020) </w:t>
      </w:r>
      <w:r w:rsidRPr="002E6887">
        <w:rPr>
          <w:i/>
          <w:iCs/>
        </w:rPr>
        <w:t>Managing conflict in the modern workplace</w:t>
      </w:r>
      <w:r w:rsidRPr="002E6887">
        <w:t xml:space="preserve">. [Online]. CIPD. Last Updated: January 2020. Available at: https://www.cipd.org/globalassets/media/knowledge/knowledge-hub/reports/managing-conflict-in-the-wor </w:t>
      </w:r>
      <w:r>
        <w:t>(</w:t>
      </w:r>
      <w:r w:rsidRPr="002E6887">
        <w:t>Accessed May 2025</w:t>
      </w:r>
      <w:r>
        <w:t>)</w:t>
      </w:r>
      <w:r w:rsidRPr="002E6887">
        <w:t>.</w:t>
      </w:r>
    </w:p>
    <w:p w14:paraId="2C3906C6" w14:textId="77777777" w:rsidR="006269CF" w:rsidRDefault="006269CF" w:rsidP="006269CF">
      <w:pPr>
        <w:spacing w:line="276" w:lineRule="auto"/>
        <w:jc w:val="both"/>
      </w:pPr>
      <w:r w:rsidRPr="00B95834">
        <w:t>CIPD. (2022) </w:t>
      </w:r>
      <w:r w:rsidRPr="00B95834">
        <w:rPr>
          <w:i/>
          <w:iCs/>
        </w:rPr>
        <w:t>Over half of employers agree that the UK is entering a new, more unstable period of employment relations</w:t>
      </w:r>
      <w:r w:rsidRPr="00B95834">
        <w:t xml:space="preserve">. [Online]. CIPD. Last Updated: 12 July 2022. Available at: https://www.cipd.org/uk/about/press-releases/110722-cipd-employee-relations/ </w:t>
      </w:r>
      <w:r>
        <w:t>(</w:t>
      </w:r>
      <w:r w:rsidRPr="00B95834">
        <w:t>Accessed May 2025</w:t>
      </w:r>
      <w:r>
        <w:t>)</w:t>
      </w:r>
      <w:r w:rsidRPr="00B95834">
        <w:t>.</w:t>
      </w:r>
    </w:p>
    <w:p w14:paraId="22C59C51" w14:textId="77777777" w:rsidR="006269CF" w:rsidRDefault="006269CF" w:rsidP="006269CF">
      <w:pPr>
        <w:spacing w:line="276" w:lineRule="auto"/>
        <w:jc w:val="both"/>
      </w:pPr>
      <w:r w:rsidRPr="004A6AA3">
        <w:t>CIPD. (2022</w:t>
      </w:r>
      <w:r>
        <w:t>a</w:t>
      </w:r>
      <w:r w:rsidRPr="004A6AA3">
        <w:t>) </w:t>
      </w:r>
      <w:r w:rsidRPr="004A6AA3">
        <w:rPr>
          <w:i/>
          <w:iCs/>
        </w:rPr>
        <w:t>Collective employee voice: recommendations for working with employee representatives for mutual gain</w:t>
      </w:r>
      <w:r w:rsidRPr="004A6AA3">
        <w:t xml:space="preserve">. [Online]. CIPD. Last Updated: June 2022. Available at: https://www.cipd.org/globalassets/media/knowledge/knowledge-hub/reports/collective-employee-voice-ca </w:t>
      </w:r>
      <w:r>
        <w:t>(</w:t>
      </w:r>
      <w:r w:rsidRPr="004A6AA3">
        <w:t>Accessed April 2025</w:t>
      </w:r>
      <w:r>
        <w:t>)</w:t>
      </w:r>
      <w:r w:rsidRPr="004A6AA3">
        <w:t>.</w:t>
      </w:r>
    </w:p>
    <w:p w14:paraId="120AA6B8" w14:textId="77777777" w:rsidR="006269CF" w:rsidRDefault="006269CF" w:rsidP="006269CF">
      <w:pPr>
        <w:spacing w:line="276" w:lineRule="auto"/>
        <w:jc w:val="both"/>
      </w:pPr>
      <w:r w:rsidRPr="008F0729">
        <w:t>CIPD. (2024)</w:t>
      </w:r>
      <w:r>
        <w:t xml:space="preserve"> </w:t>
      </w:r>
      <w:r w:rsidRPr="008F0729">
        <w:rPr>
          <w:i/>
          <w:iCs/>
        </w:rPr>
        <w:t>Disciplinary and grievance procedures: Guidance for managers</w:t>
      </w:r>
      <w:r w:rsidRPr="008F0729">
        <w:t xml:space="preserve">. [Online]. CIPD. Last Updated: 13 November 2024. Available at: https://www.cipd.org/uk/knowledge/guides/disciplinary-and-grievance-procedures-guidance-for-managers </w:t>
      </w:r>
      <w:r>
        <w:t>(</w:t>
      </w:r>
      <w:r w:rsidRPr="008F0729">
        <w:t>Accessed May 2025</w:t>
      </w:r>
      <w:r>
        <w:t>)</w:t>
      </w:r>
      <w:r w:rsidRPr="008F0729">
        <w:t>.</w:t>
      </w:r>
    </w:p>
    <w:p w14:paraId="3DAAABC6" w14:textId="77777777" w:rsidR="006269CF" w:rsidRDefault="006269CF" w:rsidP="006269CF">
      <w:pPr>
        <w:spacing w:line="276" w:lineRule="auto"/>
        <w:jc w:val="both"/>
      </w:pPr>
      <w:r w:rsidRPr="008F0729">
        <w:t>CIPD. (2024) </w:t>
      </w:r>
      <w:r w:rsidRPr="008F0729">
        <w:rPr>
          <w:i/>
          <w:iCs/>
        </w:rPr>
        <w:t>Disciplinary and grievance procedures: Guide for people professionals</w:t>
      </w:r>
      <w:r w:rsidRPr="008F0729">
        <w:t xml:space="preserve">. [Online]. CIPD. Last Updated: 29 November 2024. Available at: https://www.cipd.org/uk/knowledge/guides/discipline-and-grievance/ </w:t>
      </w:r>
      <w:r>
        <w:t>(</w:t>
      </w:r>
      <w:r w:rsidRPr="008F0729">
        <w:t>Accessed May 2025</w:t>
      </w:r>
      <w:r>
        <w:t>)</w:t>
      </w:r>
      <w:r w:rsidRPr="008F0729">
        <w:t>.</w:t>
      </w:r>
    </w:p>
    <w:p w14:paraId="578C96FB" w14:textId="77777777" w:rsidR="006269CF" w:rsidRDefault="006269CF" w:rsidP="006269CF">
      <w:pPr>
        <w:spacing w:line="276" w:lineRule="auto"/>
        <w:jc w:val="both"/>
      </w:pPr>
      <w:r w:rsidRPr="002E6887">
        <w:t>CIPD. (2024) </w:t>
      </w:r>
      <w:r w:rsidRPr="002E6887">
        <w:rPr>
          <w:i/>
          <w:iCs/>
        </w:rPr>
        <w:t>Mediation at work</w:t>
      </w:r>
      <w:r w:rsidRPr="002E6887">
        <w:t xml:space="preserve">. [Online]. CIPD. Last Updated: 11 December 2024. Available at: </w:t>
      </w:r>
      <w:hyperlink r:id="rId5" w:history="1">
        <w:r w:rsidRPr="004927F4">
          <w:rPr>
            <w:rStyle w:val="Hyperlink"/>
          </w:rPr>
          <w:t>https://www.cipd.org/uk/knowledge/factsheets/mediation-factsheet/</w:t>
        </w:r>
      </w:hyperlink>
      <w:r>
        <w:t xml:space="preserve"> (</w:t>
      </w:r>
      <w:r w:rsidRPr="002E6887">
        <w:t>Accessed May 2025</w:t>
      </w:r>
      <w:r>
        <w:t>).</w:t>
      </w:r>
    </w:p>
    <w:p w14:paraId="47890309" w14:textId="77777777" w:rsidR="006269CF" w:rsidRDefault="006269CF" w:rsidP="006269CF">
      <w:pPr>
        <w:spacing w:line="276" w:lineRule="auto"/>
        <w:jc w:val="both"/>
      </w:pPr>
      <w:r w:rsidRPr="00CF72A7">
        <w:t>CIPD. (2024). </w:t>
      </w:r>
      <w:r w:rsidRPr="00CF72A7">
        <w:rPr>
          <w:i/>
          <w:iCs/>
        </w:rPr>
        <w:t>CIPD Good Work Index</w:t>
      </w:r>
      <w:r w:rsidRPr="00CF72A7">
        <w:t xml:space="preserve">. [Online]. CIPD. Last Updated: 11 June 2024. Available at: https://www.cipd.org/en/knowledge/reports/goodwork/ </w:t>
      </w:r>
      <w:r>
        <w:t>(</w:t>
      </w:r>
      <w:r w:rsidRPr="00CF72A7">
        <w:t xml:space="preserve">Accessed </w:t>
      </w:r>
      <w:r>
        <w:t>May</w:t>
      </w:r>
      <w:r w:rsidRPr="00CF72A7">
        <w:t xml:space="preserve"> 2025</w:t>
      </w:r>
      <w:r>
        <w:t>)</w:t>
      </w:r>
      <w:r w:rsidRPr="00CF72A7">
        <w:t>.</w:t>
      </w:r>
    </w:p>
    <w:p w14:paraId="6E4640AA" w14:textId="77777777" w:rsidR="006269CF" w:rsidRDefault="006269CF" w:rsidP="006269CF">
      <w:pPr>
        <w:spacing w:line="276" w:lineRule="auto"/>
        <w:jc w:val="both"/>
      </w:pPr>
      <w:r w:rsidRPr="002A5829">
        <w:t>CIPD. (2025) </w:t>
      </w:r>
      <w:r w:rsidRPr="002A5829">
        <w:rPr>
          <w:i/>
          <w:iCs/>
        </w:rPr>
        <w:t>Employee voice</w:t>
      </w:r>
      <w:r w:rsidRPr="002A5829">
        <w:t xml:space="preserve">. [Online]. CIPD. Available at: https://www.cipd.org/uk/views-and-insights/cipd-viewpoint/employee-voice/ </w:t>
      </w:r>
      <w:r>
        <w:t>(</w:t>
      </w:r>
      <w:r w:rsidRPr="002A5829">
        <w:t>Accessed April 2025</w:t>
      </w:r>
      <w:r>
        <w:t>)</w:t>
      </w:r>
      <w:r w:rsidRPr="002A5829">
        <w:t>.</w:t>
      </w:r>
    </w:p>
    <w:p w14:paraId="182BB624" w14:textId="77777777" w:rsidR="006269CF" w:rsidRDefault="006269CF" w:rsidP="006269CF">
      <w:pPr>
        <w:spacing w:line="276" w:lineRule="auto"/>
        <w:jc w:val="both"/>
      </w:pPr>
      <w:r w:rsidRPr="004A6AA3">
        <w:t>CIPD. (2025</w:t>
      </w:r>
      <w:r>
        <w:t>a</w:t>
      </w:r>
      <w:r w:rsidRPr="004A6AA3">
        <w:t>) </w:t>
      </w:r>
      <w:r w:rsidRPr="004A6AA3">
        <w:rPr>
          <w:i/>
          <w:iCs/>
        </w:rPr>
        <w:t>Employee Voice</w:t>
      </w:r>
      <w:r w:rsidRPr="004A6AA3">
        <w:t>. [Online]</w:t>
      </w:r>
      <w:r>
        <w:t xml:space="preserve"> </w:t>
      </w:r>
      <w:r w:rsidRPr="004A6AA3">
        <w:t xml:space="preserve">CIPD. Last Updated: 24 January 2025. Available at: https://www.cipd.org/uk/knowledge/factsheets/voice-factsheet/ </w:t>
      </w:r>
      <w:r>
        <w:t>(</w:t>
      </w:r>
      <w:r w:rsidRPr="004A6AA3">
        <w:t>Accessed April 2025</w:t>
      </w:r>
      <w:r>
        <w:t>).</w:t>
      </w:r>
    </w:p>
    <w:p w14:paraId="5FF74AA2" w14:textId="77777777" w:rsidR="006269CF" w:rsidRDefault="006269CF" w:rsidP="006269CF">
      <w:pPr>
        <w:spacing w:line="276" w:lineRule="auto"/>
        <w:jc w:val="both"/>
      </w:pPr>
      <w:r w:rsidRPr="004A6AA3">
        <w:t>CIPD. (2025</w:t>
      </w:r>
      <w:r>
        <w:t>b</w:t>
      </w:r>
      <w:r w:rsidRPr="004A6AA3">
        <w:t>) </w:t>
      </w:r>
      <w:r w:rsidRPr="004A6AA3">
        <w:rPr>
          <w:i/>
          <w:iCs/>
        </w:rPr>
        <w:t>Trade unions: An introduction</w:t>
      </w:r>
      <w:r w:rsidRPr="004A6AA3">
        <w:t xml:space="preserve">. [Online]. CIPD. Last Updated: 17 January 2025. Available at: </w:t>
      </w:r>
      <w:hyperlink r:id="rId6" w:history="1">
        <w:r w:rsidRPr="004927F4">
          <w:rPr>
            <w:rStyle w:val="Hyperlink"/>
          </w:rPr>
          <w:t>https://www.cipd.org/uk/knowledge/factsheets/trade-unions-factsheet/</w:t>
        </w:r>
      </w:hyperlink>
      <w:r>
        <w:t xml:space="preserve"> (</w:t>
      </w:r>
      <w:r w:rsidRPr="004A6AA3">
        <w:t>Accessed April 2025</w:t>
      </w:r>
      <w:r>
        <w:t>)</w:t>
      </w:r>
      <w:r w:rsidRPr="004A6AA3">
        <w:t>.</w:t>
      </w:r>
    </w:p>
    <w:p w14:paraId="2CF7149A" w14:textId="77777777" w:rsidR="006269CF" w:rsidRDefault="006269CF" w:rsidP="006269CF">
      <w:pPr>
        <w:spacing w:line="276" w:lineRule="auto"/>
        <w:jc w:val="both"/>
      </w:pPr>
      <w:r w:rsidRPr="007C29BD">
        <w:t xml:space="preserve">Daniels, K. (2022) </w:t>
      </w:r>
      <w:r w:rsidRPr="007C29BD">
        <w:rPr>
          <w:i/>
          <w:iCs/>
        </w:rPr>
        <w:t>Introduction to employment law</w:t>
      </w:r>
      <w:r w:rsidRPr="007C29BD">
        <w:rPr>
          <w:rFonts w:ascii="Arial" w:hAnsi="Arial" w:cs="Arial"/>
          <w:i/>
          <w:iCs/>
        </w:rPr>
        <w:t>:</w:t>
      </w:r>
      <w:r w:rsidRPr="007C29BD">
        <w:rPr>
          <w:i/>
          <w:iCs/>
        </w:rPr>
        <w:t xml:space="preserve"> fundamentals for HR and business students</w:t>
      </w:r>
      <w:r w:rsidRPr="007C29BD">
        <w:t>. Sixth edition. London, England</w:t>
      </w:r>
      <w:r w:rsidRPr="007C29BD">
        <w:rPr>
          <w:rFonts w:ascii="Arial" w:hAnsi="Arial" w:cs="Arial"/>
        </w:rPr>
        <w:t>;</w:t>
      </w:r>
      <w:r w:rsidRPr="007C29BD">
        <w:t xml:space="preserve"> Kogan Page Limited.</w:t>
      </w:r>
    </w:p>
    <w:p w14:paraId="1DDE1311" w14:textId="77777777" w:rsidR="006269CF" w:rsidRDefault="006269CF" w:rsidP="006269CF">
      <w:pPr>
        <w:spacing w:line="276" w:lineRule="auto"/>
        <w:jc w:val="both"/>
      </w:pPr>
      <w:r w:rsidRPr="002A5829">
        <w:t>Engage for Success. (2025) </w:t>
      </w:r>
      <w:r w:rsidRPr="002A5829">
        <w:rPr>
          <w:i/>
          <w:iCs/>
        </w:rPr>
        <w:t>Employee Voice</w:t>
      </w:r>
      <w:r w:rsidRPr="002A5829">
        <w:t xml:space="preserve">. [Online]. Engage for Success. Available at: https://engageforsuccess.org/employee-voice/ </w:t>
      </w:r>
      <w:r>
        <w:t>(A</w:t>
      </w:r>
      <w:r w:rsidRPr="002A5829">
        <w:t>ccessed April 2025</w:t>
      </w:r>
      <w:r>
        <w:t>)</w:t>
      </w:r>
      <w:r w:rsidRPr="002A5829">
        <w:t>.</w:t>
      </w:r>
    </w:p>
    <w:p w14:paraId="6B8E32B6" w14:textId="77777777" w:rsidR="006269CF" w:rsidRDefault="006269CF" w:rsidP="006269CF">
      <w:pPr>
        <w:spacing w:line="276" w:lineRule="auto"/>
        <w:jc w:val="both"/>
      </w:pPr>
      <w:r w:rsidRPr="00B95834">
        <w:lastRenderedPageBreak/>
        <w:t>Gallacher, J,. (2022) </w:t>
      </w:r>
      <w:r w:rsidRPr="00B95834">
        <w:rPr>
          <w:i/>
          <w:iCs/>
        </w:rPr>
        <w:t>Why does it feel like everyone is going on strike?</w:t>
      </w:r>
      <w:r w:rsidRPr="00B95834">
        <w:t xml:space="preserve">. [Online]. HR Magazine. Last Updated: 12 December 2022. Available at: https://www.hrmagazine.co.uk/content/features/why-does-it-feel-like-everyone-is-going-on-strike </w:t>
      </w:r>
      <w:r>
        <w:t>(</w:t>
      </w:r>
      <w:r w:rsidRPr="00B95834">
        <w:t>Accessed May 2025</w:t>
      </w:r>
      <w:r>
        <w:t>)</w:t>
      </w:r>
      <w:r w:rsidRPr="00B95834">
        <w:t>.</w:t>
      </w:r>
    </w:p>
    <w:p w14:paraId="493C7185" w14:textId="77777777" w:rsidR="006269CF" w:rsidRDefault="006269CF" w:rsidP="006269CF">
      <w:pPr>
        <w:spacing w:line="276" w:lineRule="auto"/>
        <w:jc w:val="both"/>
      </w:pPr>
      <w:r w:rsidRPr="002A1844">
        <w:t>Hoffmann, E. A. (2006) Exit and voice: Organizational loyalty and dispute resolution strategies. </w:t>
      </w:r>
      <w:r w:rsidRPr="002A1844">
        <w:rPr>
          <w:i/>
          <w:iCs/>
        </w:rPr>
        <w:t>Social Forces</w:t>
      </w:r>
      <w:r w:rsidRPr="002A1844">
        <w:t>, </w:t>
      </w:r>
      <w:r w:rsidRPr="002A1844">
        <w:rPr>
          <w:i/>
          <w:iCs/>
        </w:rPr>
        <w:t>84</w:t>
      </w:r>
      <w:r w:rsidRPr="002A1844">
        <w:t>(4), 2313-2330.</w:t>
      </w:r>
    </w:p>
    <w:p w14:paraId="2EDBC978" w14:textId="77777777" w:rsidR="006269CF" w:rsidRDefault="006269CF" w:rsidP="006269CF">
      <w:pPr>
        <w:spacing w:line="276" w:lineRule="auto"/>
        <w:jc w:val="both"/>
        <w:rPr>
          <w:rFonts w:cstheme="minorHAnsi"/>
          <w:bCs/>
        </w:rPr>
      </w:pPr>
      <w:r w:rsidRPr="00F9483C">
        <w:rPr>
          <w:rFonts w:cstheme="minorHAnsi"/>
          <w:bCs/>
        </w:rPr>
        <w:t xml:space="preserve">Hyman, J. (2018) Employee Voice and Participation. 1st </w:t>
      </w:r>
      <w:proofErr w:type="spellStart"/>
      <w:r w:rsidRPr="00F9483C">
        <w:rPr>
          <w:rFonts w:cstheme="minorHAnsi"/>
          <w:bCs/>
        </w:rPr>
        <w:t>edn</w:t>
      </w:r>
      <w:proofErr w:type="spellEnd"/>
      <w:r w:rsidRPr="00F9483C">
        <w:rPr>
          <w:rFonts w:cstheme="minorHAnsi"/>
          <w:bCs/>
        </w:rPr>
        <w:t>. Taylor and Francis. Available at: https://www.perlego.com/book/1572900/employee-voice-and-participation-pdf (Accessed: 13 September 2022). Chapter 3.</w:t>
      </w:r>
    </w:p>
    <w:p w14:paraId="40CCC561" w14:textId="77777777" w:rsidR="006269CF" w:rsidRDefault="006269CF" w:rsidP="006269CF">
      <w:pPr>
        <w:spacing w:line="276" w:lineRule="auto"/>
        <w:jc w:val="both"/>
      </w:pPr>
      <w:r w:rsidRPr="004A6AA3">
        <w:t>Involvement &amp; Participation Association (IPA). (2025</w:t>
      </w:r>
      <w:r>
        <w:t>a</w:t>
      </w:r>
      <w:r w:rsidRPr="004A6AA3">
        <w:t>) </w:t>
      </w:r>
      <w:r w:rsidRPr="004A6AA3">
        <w:rPr>
          <w:i/>
          <w:iCs/>
        </w:rPr>
        <w:t>How Workplace Participation Increases Productivity: Behavioural Evidence</w:t>
      </w:r>
      <w:r w:rsidRPr="004A6AA3">
        <w:t xml:space="preserve">. [Online]. IPA-Involve. Available at: https://www.ipa-involve.com/News/how-workplace-participation-increases-productivity-behavioural-evid </w:t>
      </w:r>
      <w:r>
        <w:t>(</w:t>
      </w:r>
      <w:r w:rsidRPr="004A6AA3">
        <w:t>Accessed April 2025</w:t>
      </w:r>
      <w:r>
        <w:t>)</w:t>
      </w:r>
      <w:r w:rsidRPr="004A6AA3">
        <w:t>.</w:t>
      </w:r>
    </w:p>
    <w:p w14:paraId="0ABCEA57" w14:textId="77777777" w:rsidR="006269CF" w:rsidRDefault="006269CF" w:rsidP="006269CF">
      <w:pPr>
        <w:spacing w:line="276" w:lineRule="auto"/>
        <w:jc w:val="both"/>
      </w:pPr>
      <w:r w:rsidRPr="004A6AA3">
        <w:t>Involvement &amp; Participation Association (IPA). (2025</w:t>
      </w:r>
      <w:r>
        <w:t>b)</w:t>
      </w:r>
      <w:r w:rsidRPr="004A6AA3">
        <w:t> </w:t>
      </w:r>
      <w:r w:rsidRPr="004A6AA3">
        <w:rPr>
          <w:i/>
          <w:iCs/>
        </w:rPr>
        <w:t>Workplace Representation – What Next for Trade Unions and Staff Forums?</w:t>
      </w:r>
      <w:r w:rsidRPr="004A6AA3">
        <w:t xml:space="preserve">. [Online]. IPA-Involve. Available at: https://www.ipa-involve.com/News/workplace-representation-what-next-for-trade-s-and-staff-forums </w:t>
      </w:r>
      <w:r>
        <w:t>(A</w:t>
      </w:r>
      <w:r w:rsidRPr="004A6AA3">
        <w:t>ccessed April 2025</w:t>
      </w:r>
      <w:r>
        <w:t>)</w:t>
      </w:r>
      <w:r w:rsidRPr="004A6AA3">
        <w:t>.</w:t>
      </w:r>
    </w:p>
    <w:p w14:paraId="0C76C5C1" w14:textId="77777777" w:rsidR="006269CF" w:rsidRDefault="006269CF" w:rsidP="006269CF">
      <w:pPr>
        <w:spacing w:line="276" w:lineRule="auto"/>
        <w:jc w:val="both"/>
      </w:pPr>
      <w:r w:rsidRPr="002A5829">
        <w:t>Involvement &amp; Participation Association (IPA). (2025</w:t>
      </w:r>
      <w:r>
        <w:t>c</w:t>
      </w:r>
      <w:r w:rsidRPr="002A5829">
        <w:t>) </w:t>
      </w:r>
      <w:r w:rsidRPr="002A5829">
        <w:rPr>
          <w:i/>
          <w:iCs/>
        </w:rPr>
        <w:t>What is Employee Voice?</w:t>
      </w:r>
      <w:r w:rsidRPr="002A5829">
        <w:t xml:space="preserve">. [Online]. IPA-Involve. Available at: https://www.ipa-involve.com/employee-voice </w:t>
      </w:r>
      <w:r>
        <w:t>(</w:t>
      </w:r>
      <w:r w:rsidRPr="002A5829">
        <w:t>Accessed April 2025</w:t>
      </w:r>
      <w:r>
        <w:t>)</w:t>
      </w:r>
      <w:r w:rsidRPr="002A5829">
        <w:t>.</w:t>
      </w:r>
    </w:p>
    <w:p w14:paraId="438D2ECA" w14:textId="77777777" w:rsidR="006269CF" w:rsidRDefault="006269CF" w:rsidP="006269CF">
      <w:pPr>
        <w:spacing w:line="276" w:lineRule="auto"/>
        <w:jc w:val="both"/>
      </w:pPr>
      <w:r w:rsidRPr="0089328C">
        <w:t xml:space="preserve">Lucky, E. O. I., </w:t>
      </w:r>
      <w:proofErr w:type="spellStart"/>
      <w:r w:rsidRPr="0089328C">
        <w:t>Minai</w:t>
      </w:r>
      <w:proofErr w:type="spellEnd"/>
      <w:r w:rsidRPr="0089328C">
        <w:t>, M. S., &amp; Rahman, H. A. (2013) Impact of Job Security on the Organizational Performance in. </w:t>
      </w:r>
      <w:r w:rsidRPr="0089328C">
        <w:rPr>
          <w:i/>
          <w:iCs/>
        </w:rPr>
        <w:t>Research journal of business management</w:t>
      </w:r>
      <w:r w:rsidRPr="0089328C">
        <w:t>, </w:t>
      </w:r>
      <w:r w:rsidRPr="0089328C">
        <w:rPr>
          <w:i/>
          <w:iCs/>
        </w:rPr>
        <w:t>7</w:t>
      </w:r>
      <w:r w:rsidRPr="0089328C">
        <w:t>(1), 64-70.</w:t>
      </w:r>
    </w:p>
    <w:p w14:paraId="1A48E5A2" w14:textId="77777777" w:rsidR="006269CF" w:rsidRDefault="006269CF" w:rsidP="006269CF">
      <w:pPr>
        <w:spacing w:line="276" w:lineRule="auto"/>
        <w:jc w:val="both"/>
      </w:pPr>
      <w:r w:rsidRPr="00C9799C">
        <w:t>Ogu, S. (2024)</w:t>
      </w:r>
      <w:r>
        <w:t xml:space="preserve"> </w:t>
      </w:r>
      <w:r w:rsidRPr="00C9799C">
        <w:t>Employee participation in decision-making and organizational commitment: A study of modern organizations. </w:t>
      </w:r>
      <w:r w:rsidRPr="00C9799C">
        <w:rPr>
          <w:i/>
          <w:iCs/>
        </w:rPr>
        <w:t>Journal of Commerce Management and Tourism Studies</w:t>
      </w:r>
      <w:r w:rsidRPr="00C9799C">
        <w:t>. 3(1), pp.55-64. [Online]. Available at: 10.58881/</w:t>
      </w:r>
      <w:proofErr w:type="gramStart"/>
      <w:r w:rsidRPr="00C9799C">
        <w:t>jcmts.v</w:t>
      </w:r>
      <w:proofErr w:type="gramEnd"/>
      <w:r w:rsidRPr="00C9799C">
        <w:t xml:space="preserve">3i1.208 </w:t>
      </w:r>
      <w:r>
        <w:t>(</w:t>
      </w:r>
      <w:r w:rsidRPr="00C9799C">
        <w:t>Accessed May 2025</w:t>
      </w:r>
      <w:r>
        <w:t>)</w:t>
      </w:r>
      <w:r w:rsidRPr="00C9799C">
        <w:t>.</w:t>
      </w:r>
    </w:p>
    <w:p w14:paraId="799E410E" w14:textId="77777777" w:rsidR="006269CF" w:rsidRDefault="006269CF" w:rsidP="006269CF">
      <w:pPr>
        <w:spacing w:line="276" w:lineRule="auto"/>
        <w:jc w:val="both"/>
      </w:pPr>
      <w:r w:rsidRPr="00121D1D">
        <w:t>ONS. (2023) </w:t>
      </w:r>
      <w:r w:rsidRPr="00121D1D">
        <w:rPr>
          <w:i/>
          <w:iCs/>
        </w:rPr>
        <w:t>The impact of strikes in the UK: June 2022 to February 2023</w:t>
      </w:r>
      <w:r w:rsidRPr="00121D1D">
        <w:t xml:space="preserve">. [Online]. ONS. Last Updated: 8 March 2023. Available at: https://www.ons.gov.uk/employmentandlabourmarket/peopleinwork/workplacedisputesandworkingconditions/ </w:t>
      </w:r>
      <w:r>
        <w:t>(</w:t>
      </w:r>
      <w:r w:rsidRPr="00121D1D">
        <w:t>Accessed May 2025</w:t>
      </w:r>
      <w:r>
        <w:t>)</w:t>
      </w:r>
      <w:r w:rsidRPr="00121D1D">
        <w:t>.</w:t>
      </w:r>
    </w:p>
    <w:p w14:paraId="4732A1AF" w14:textId="77777777" w:rsidR="006269CF" w:rsidRDefault="006269CF" w:rsidP="006269CF">
      <w:pPr>
        <w:spacing w:line="276" w:lineRule="auto"/>
        <w:jc w:val="both"/>
      </w:pPr>
      <w:r w:rsidRPr="005E2F52">
        <w:t>Pickford, H. &amp; Joy, G. (2016) </w:t>
      </w:r>
      <w:r w:rsidRPr="005E2F52">
        <w:rPr>
          <w:i/>
          <w:iCs/>
        </w:rPr>
        <w:t>Organisational Citizenship Behaviours: Definitions and Dimensions</w:t>
      </w:r>
      <w:r w:rsidRPr="005E2F52">
        <w:t xml:space="preserve">. [Online]. Said Business School. Last Updated: August 2016. Available at: https://download.ssrn.com/17/01/03/ssrn_id2893021_code2339579.pdf?response-content-disposition=inlin </w:t>
      </w:r>
      <w:r>
        <w:t>(</w:t>
      </w:r>
      <w:r w:rsidRPr="005E2F52">
        <w:t>Accessed May 2025</w:t>
      </w:r>
      <w:r>
        <w:t>)</w:t>
      </w:r>
      <w:r w:rsidRPr="005E2F52">
        <w:t>.</w:t>
      </w:r>
    </w:p>
    <w:p w14:paraId="7C718A1E" w14:textId="77777777" w:rsidR="006269CF" w:rsidRDefault="006269CF" w:rsidP="006269CF">
      <w:pPr>
        <w:spacing w:line="276" w:lineRule="auto"/>
        <w:jc w:val="both"/>
      </w:pPr>
      <w:r w:rsidRPr="00B95834">
        <w:t>Reed, J. (2022). </w:t>
      </w:r>
      <w:r w:rsidRPr="00B95834">
        <w:rPr>
          <w:i/>
          <w:iCs/>
        </w:rPr>
        <w:t>Largest nursing strike in NHS history starts</w:t>
      </w:r>
      <w:r w:rsidRPr="00B95834">
        <w:t xml:space="preserve">. [Online]. BBC News. Last Updated: 15 December 2022. Available at: https://www.bbc.co.uk/news/health-63946730 </w:t>
      </w:r>
      <w:r>
        <w:t>(</w:t>
      </w:r>
      <w:r w:rsidRPr="00B95834">
        <w:t>Accessed May 2025</w:t>
      </w:r>
      <w:r>
        <w:t>)</w:t>
      </w:r>
      <w:r w:rsidRPr="00B95834">
        <w:t>.</w:t>
      </w:r>
    </w:p>
    <w:p w14:paraId="2ACC8F0B" w14:textId="77777777" w:rsidR="006269CF" w:rsidRDefault="006269CF" w:rsidP="006269CF">
      <w:pPr>
        <w:spacing w:line="276" w:lineRule="auto"/>
        <w:jc w:val="both"/>
      </w:pPr>
      <w:r w:rsidRPr="00B95834">
        <w:t>Shakleton, J. (2024)</w:t>
      </w:r>
      <w:r>
        <w:t xml:space="preserve"> </w:t>
      </w:r>
      <w:r w:rsidRPr="00B95834">
        <w:rPr>
          <w:i/>
          <w:iCs/>
        </w:rPr>
        <w:t>Unions Resurgent? The Past, Present and Uncertain Future of Trade Unions in Britain</w:t>
      </w:r>
      <w:r w:rsidRPr="00B95834">
        <w:t xml:space="preserve">. [Online]. IEA. Last Updated: 5 September 2024. Available at: https://iea.org.uk/publications/unions-resurgent-the-past-present-and-uncertain-future-of-trade-unio </w:t>
      </w:r>
      <w:r>
        <w:t>(</w:t>
      </w:r>
      <w:r w:rsidRPr="00B95834">
        <w:t>Accessed May 2025</w:t>
      </w:r>
      <w:r>
        <w:t>)</w:t>
      </w:r>
      <w:r w:rsidRPr="00B95834">
        <w:t>.</w:t>
      </w:r>
    </w:p>
    <w:p w14:paraId="04987370" w14:textId="77777777" w:rsidR="006269CF" w:rsidRDefault="006269CF" w:rsidP="006269CF">
      <w:pPr>
        <w:spacing w:line="276" w:lineRule="auto"/>
        <w:jc w:val="both"/>
      </w:pPr>
      <w:proofErr w:type="spellStart"/>
      <w:r w:rsidRPr="00972828">
        <w:lastRenderedPageBreak/>
        <w:t>Suff</w:t>
      </w:r>
      <w:proofErr w:type="spellEnd"/>
      <w:r w:rsidRPr="00972828">
        <w:t>, R. (2024) </w:t>
      </w:r>
      <w:r w:rsidRPr="00972828">
        <w:rPr>
          <w:i/>
          <w:iCs/>
        </w:rPr>
        <w:t>Discipline and grievance at work</w:t>
      </w:r>
      <w:r w:rsidRPr="00972828">
        <w:t xml:space="preserve">. [Online]. CIPD. Last Updated: 19 July 2024. Available at: https://www.cipd.org/uk/knowledge/factsheets/discipline-factsheet/ </w:t>
      </w:r>
      <w:r>
        <w:t>(</w:t>
      </w:r>
      <w:r w:rsidRPr="00972828">
        <w:t>Accessed May 2025</w:t>
      </w:r>
      <w:r>
        <w:t>)</w:t>
      </w:r>
      <w:r w:rsidRPr="00972828">
        <w:t>.</w:t>
      </w:r>
    </w:p>
    <w:p w14:paraId="67914C61" w14:textId="77777777" w:rsidR="006269CF" w:rsidRDefault="006269CF" w:rsidP="006269CF">
      <w:pPr>
        <w:spacing w:line="276" w:lineRule="auto"/>
        <w:jc w:val="both"/>
      </w:pPr>
      <w:proofErr w:type="spellStart"/>
      <w:r w:rsidRPr="008F0729">
        <w:t>Sulianta</w:t>
      </w:r>
      <w:proofErr w:type="spellEnd"/>
      <w:r w:rsidRPr="008F0729">
        <w:t>, F. (2024). </w:t>
      </w:r>
      <w:r w:rsidRPr="008F0729">
        <w:rPr>
          <w:i/>
          <w:iCs/>
        </w:rPr>
        <w:t>Resolving Conflicts in the Digital Age</w:t>
      </w:r>
      <w:r w:rsidRPr="008F0729">
        <w:t xml:space="preserve">. Feri </w:t>
      </w:r>
      <w:proofErr w:type="spellStart"/>
      <w:r w:rsidRPr="008F0729">
        <w:t>Sulianta</w:t>
      </w:r>
      <w:proofErr w:type="spellEnd"/>
      <w:r w:rsidRPr="008F0729">
        <w:t>.</w:t>
      </w:r>
    </w:p>
    <w:p w14:paraId="4C2C0406" w14:textId="77777777" w:rsidR="006269CF" w:rsidRDefault="006269CF" w:rsidP="006269CF">
      <w:pPr>
        <w:spacing w:line="276" w:lineRule="auto"/>
        <w:jc w:val="both"/>
      </w:pPr>
      <w:r w:rsidRPr="005E2F52">
        <w:t>Taylor, M. (2017</w:t>
      </w:r>
      <w:r>
        <w:t>)</w:t>
      </w:r>
      <w:r w:rsidRPr="005E2F52">
        <w:t> </w:t>
      </w:r>
      <w:r w:rsidRPr="005E2F52">
        <w:rPr>
          <w:i/>
          <w:iCs/>
        </w:rPr>
        <w:t>Good work: the Taylor review of modern working practices</w:t>
      </w:r>
      <w:r w:rsidRPr="005E2F52">
        <w:t xml:space="preserve">. [Online]. Gov.UK. Available at: https://www.gov.uk/government/publications/good-work-the-taylor-review-of-modern-working-practices </w:t>
      </w:r>
      <w:r>
        <w:t>(</w:t>
      </w:r>
      <w:r w:rsidRPr="005E2F52">
        <w:t>Accessed May 2025</w:t>
      </w:r>
      <w:r>
        <w:t>)</w:t>
      </w:r>
      <w:r w:rsidRPr="005E2F52">
        <w:t>.</w:t>
      </w:r>
    </w:p>
    <w:p w14:paraId="4FA32B67" w14:textId="77777777" w:rsidR="006269CF" w:rsidRDefault="006269CF" w:rsidP="006269CF">
      <w:pPr>
        <w:spacing w:line="276" w:lineRule="auto"/>
        <w:jc w:val="both"/>
      </w:pPr>
      <w:r w:rsidRPr="006C5FF4">
        <w:t>Trades Union Congress. (2015</w:t>
      </w:r>
      <w:proofErr w:type="gramStart"/>
      <w:r w:rsidRPr="006C5FF4">
        <w:t>)</w:t>
      </w:r>
      <w:r>
        <w:t xml:space="preserve"> </w:t>
      </w:r>
      <w:r w:rsidRPr="006C5FF4">
        <w:t> </w:t>
      </w:r>
      <w:r w:rsidRPr="006C5FF4">
        <w:rPr>
          <w:i/>
          <w:iCs/>
        </w:rPr>
        <w:t>Nearly</w:t>
      </w:r>
      <w:proofErr w:type="gramEnd"/>
      <w:r w:rsidRPr="006C5FF4">
        <w:rPr>
          <w:i/>
          <w:iCs/>
        </w:rPr>
        <w:t xml:space="preserve"> a third of people are bullied at work, says TUC</w:t>
      </w:r>
      <w:r w:rsidRPr="006C5FF4">
        <w:t xml:space="preserve">. [Online]. TUC. Last Updated: 16 November 2015. Available at: https://www.tuc.org.uk/news/nearly-third-people-are-bullied-work-says-tuc </w:t>
      </w:r>
      <w:r>
        <w:t>(</w:t>
      </w:r>
      <w:r w:rsidRPr="006C5FF4">
        <w:t>Accessed May 2025</w:t>
      </w:r>
      <w:r>
        <w:t>)</w:t>
      </w:r>
      <w:r w:rsidRPr="006C5FF4">
        <w:t>.</w:t>
      </w:r>
    </w:p>
    <w:p w14:paraId="41C4E45C" w14:textId="77777777" w:rsidR="006269CF" w:rsidRDefault="006269CF" w:rsidP="006269CF">
      <w:pPr>
        <w:spacing w:line="276" w:lineRule="auto"/>
        <w:jc w:val="both"/>
      </w:pPr>
      <w:r w:rsidRPr="006C5FF4">
        <w:t>Trades Union Congress. (2021)</w:t>
      </w:r>
      <w:r>
        <w:t xml:space="preserve"> </w:t>
      </w:r>
      <w:r w:rsidRPr="006C5FF4">
        <w:rPr>
          <w:i/>
          <w:iCs/>
        </w:rPr>
        <w:t>Grievances</w:t>
      </w:r>
      <w:r w:rsidRPr="006C5FF4">
        <w:t xml:space="preserve">. [Online]. TUC. Available at: https://www.tuc.org.uk/sites/default/files/2021-04/Grievances.pdf </w:t>
      </w:r>
      <w:r>
        <w:t>(</w:t>
      </w:r>
      <w:r w:rsidRPr="006C5FF4">
        <w:t>Accessed May 202</w:t>
      </w:r>
      <w:r>
        <w:t>5)</w:t>
      </w:r>
      <w:r w:rsidRPr="006C5FF4">
        <w:t>.</w:t>
      </w:r>
    </w:p>
    <w:p w14:paraId="39798460" w14:textId="77777777" w:rsidR="006269CF" w:rsidRDefault="006269CF" w:rsidP="006269CF">
      <w:pPr>
        <w:spacing w:line="276" w:lineRule="auto"/>
        <w:jc w:val="both"/>
      </w:pPr>
      <w:r w:rsidRPr="006C5FF4">
        <w:t>Trades Union Congress. (2024) </w:t>
      </w:r>
      <w:r w:rsidRPr="006C5FF4">
        <w:rPr>
          <w:i/>
          <w:iCs/>
        </w:rPr>
        <w:t>TUC Equality Audit 2024</w:t>
      </w:r>
      <w:r w:rsidRPr="006C5FF4">
        <w:t xml:space="preserve">. [Online]. TUC. Last Updated: 8 September 2024. Available at: https://www.tuc.org.uk/research-analysis/reports/tuc-equality-audit-2024?page=7#section_header </w:t>
      </w:r>
      <w:r>
        <w:t>(</w:t>
      </w:r>
      <w:r w:rsidRPr="006C5FF4">
        <w:t>Accessed May 2025</w:t>
      </w:r>
      <w:r>
        <w:t>)</w:t>
      </w:r>
      <w:r w:rsidRPr="006C5FF4">
        <w:t>.</w:t>
      </w:r>
    </w:p>
    <w:p w14:paraId="05D82062" w14:textId="77777777" w:rsidR="006269CF" w:rsidRDefault="006269CF" w:rsidP="006269CF">
      <w:pPr>
        <w:spacing w:line="276" w:lineRule="auto"/>
        <w:jc w:val="both"/>
      </w:pPr>
      <w:r w:rsidRPr="00BB7FC9">
        <w:t>UK Public General Acts. (1996) </w:t>
      </w:r>
      <w:r w:rsidRPr="00BB7FC9">
        <w:rPr>
          <w:i/>
          <w:iCs/>
        </w:rPr>
        <w:t>Employment Rights Act 1996</w:t>
      </w:r>
      <w:r w:rsidRPr="00BB7FC9">
        <w:t xml:space="preserve">. [Online]. Gov.UK. Available at: https://www.legislation.gov.uk/ukpga/1996/18/section/95 </w:t>
      </w:r>
      <w:r>
        <w:t>(</w:t>
      </w:r>
      <w:r w:rsidRPr="00BB7FC9">
        <w:t>Accessed May 2025</w:t>
      </w:r>
      <w:r>
        <w:t>)</w:t>
      </w:r>
      <w:r w:rsidRPr="00BB7FC9">
        <w:t>.</w:t>
      </w:r>
    </w:p>
    <w:p w14:paraId="259C5B2A" w14:textId="77777777" w:rsidR="006269CF" w:rsidRPr="006269CF" w:rsidRDefault="006269CF" w:rsidP="00534F54">
      <w:pPr>
        <w:pStyle w:val="NoSpacing"/>
        <w:spacing w:line="276" w:lineRule="auto"/>
        <w:jc w:val="both"/>
        <w:rPr>
          <w:b/>
          <w:bCs/>
          <w:u w:val="single"/>
        </w:rPr>
      </w:pPr>
    </w:p>
    <w:sectPr w:rsidR="006269CF" w:rsidRPr="00626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C41F8"/>
    <w:multiLevelType w:val="hybridMultilevel"/>
    <w:tmpl w:val="A6440E68"/>
    <w:numStyleLink w:val="ImportedStyle6"/>
  </w:abstractNum>
  <w:abstractNum w:abstractNumId="1" w15:restartNumberingAfterBreak="0">
    <w:nsid w:val="56D61CCB"/>
    <w:multiLevelType w:val="hybridMultilevel"/>
    <w:tmpl w:val="A6440E68"/>
    <w:styleLink w:val="ImportedStyle6"/>
    <w:lvl w:ilvl="0" w:tplc="EFEA8232">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62025C06">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ED962080">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12269554">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35BCEC7C">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D826D166">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DAAA5C14">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A54FFC4">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ACD02014">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num w:numId="1" w16cid:durableId="1453094136">
    <w:abstractNumId w:val="1"/>
  </w:num>
  <w:num w:numId="2" w16cid:durableId="176778530">
    <w:abstractNumId w:val="0"/>
  </w:num>
  <w:num w:numId="3" w16cid:durableId="841899075">
    <w:abstractNumId w:val="0"/>
    <w:lvlOverride w:ilvl="0">
      <w:lvl w:ilvl="0" w:tplc="C55E55A6">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495CD766">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24D4363E">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5D3C1D1C">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0EF2AFFA">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87EC0DCA">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58784D96">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E2D21D02">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2BF23694">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D4"/>
    <w:rsid w:val="00011877"/>
    <w:rsid w:val="00034B16"/>
    <w:rsid w:val="000B4C4F"/>
    <w:rsid w:val="000E7CD7"/>
    <w:rsid w:val="00124935"/>
    <w:rsid w:val="001421B7"/>
    <w:rsid w:val="00142CE7"/>
    <w:rsid w:val="0015787A"/>
    <w:rsid w:val="00174AB0"/>
    <w:rsid w:val="001B6ABF"/>
    <w:rsid w:val="001F22F0"/>
    <w:rsid w:val="00275661"/>
    <w:rsid w:val="002A174F"/>
    <w:rsid w:val="00311BB1"/>
    <w:rsid w:val="00351304"/>
    <w:rsid w:val="00361A27"/>
    <w:rsid w:val="00433AF4"/>
    <w:rsid w:val="00490C1E"/>
    <w:rsid w:val="004B4396"/>
    <w:rsid w:val="00534F54"/>
    <w:rsid w:val="00553EE6"/>
    <w:rsid w:val="005B5CD8"/>
    <w:rsid w:val="005C5635"/>
    <w:rsid w:val="00624C42"/>
    <w:rsid w:val="00625A75"/>
    <w:rsid w:val="006269CF"/>
    <w:rsid w:val="00684BA0"/>
    <w:rsid w:val="00686589"/>
    <w:rsid w:val="006A1955"/>
    <w:rsid w:val="006B31BE"/>
    <w:rsid w:val="006B3A5A"/>
    <w:rsid w:val="007753A8"/>
    <w:rsid w:val="0078020C"/>
    <w:rsid w:val="007B5DEC"/>
    <w:rsid w:val="007E5163"/>
    <w:rsid w:val="007F41DC"/>
    <w:rsid w:val="00813250"/>
    <w:rsid w:val="00817899"/>
    <w:rsid w:val="008A0C8C"/>
    <w:rsid w:val="008A55A7"/>
    <w:rsid w:val="008B5D44"/>
    <w:rsid w:val="008E30D4"/>
    <w:rsid w:val="009072BD"/>
    <w:rsid w:val="00932C80"/>
    <w:rsid w:val="009617D0"/>
    <w:rsid w:val="009669C8"/>
    <w:rsid w:val="0098235C"/>
    <w:rsid w:val="009A3FCE"/>
    <w:rsid w:val="00A6246B"/>
    <w:rsid w:val="00BA4B71"/>
    <w:rsid w:val="00C00637"/>
    <w:rsid w:val="00C40984"/>
    <w:rsid w:val="00C71CAD"/>
    <w:rsid w:val="00C803A0"/>
    <w:rsid w:val="00CE26C4"/>
    <w:rsid w:val="00D37560"/>
    <w:rsid w:val="00DC3999"/>
    <w:rsid w:val="00DF79E4"/>
    <w:rsid w:val="00E150D8"/>
    <w:rsid w:val="00E9728C"/>
    <w:rsid w:val="00EA33BE"/>
    <w:rsid w:val="00EC2C97"/>
    <w:rsid w:val="00F74DED"/>
    <w:rsid w:val="00FC4599"/>
    <w:rsid w:val="00FE0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4BA2"/>
  <w15:chartTrackingRefBased/>
  <w15:docId w15:val="{05C966F2-3D3B-4F66-9075-8A2D5E21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0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0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0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0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0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0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0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0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0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0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0D4"/>
    <w:rPr>
      <w:rFonts w:eastAsiaTheme="majorEastAsia" w:cstheme="majorBidi"/>
      <w:color w:val="272727" w:themeColor="text1" w:themeTint="D8"/>
    </w:rPr>
  </w:style>
  <w:style w:type="paragraph" w:styleId="Title">
    <w:name w:val="Title"/>
    <w:basedOn w:val="Normal"/>
    <w:next w:val="Normal"/>
    <w:link w:val="TitleChar"/>
    <w:uiPriority w:val="10"/>
    <w:qFormat/>
    <w:rsid w:val="008E3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0D4"/>
    <w:pPr>
      <w:spacing w:before="160"/>
      <w:jc w:val="center"/>
    </w:pPr>
    <w:rPr>
      <w:i/>
      <w:iCs/>
      <w:color w:val="404040" w:themeColor="text1" w:themeTint="BF"/>
    </w:rPr>
  </w:style>
  <w:style w:type="character" w:customStyle="1" w:styleId="QuoteChar">
    <w:name w:val="Quote Char"/>
    <w:basedOn w:val="DefaultParagraphFont"/>
    <w:link w:val="Quote"/>
    <w:uiPriority w:val="29"/>
    <w:rsid w:val="008E30D4"/>
    <w:rPr>
      <w:i/>
      <w:iCs/>
      <w:color w:val="404040" w:themeColor="text1" w:themeTint="BF"/>
    </w:rPr>
  </w:style>
  <w:style w:type="paragraph" w:styleId="ListParagraph">
    <w:name w:val="List Paragraph"/>
    <w:basedOn w:val="Normal"/>
    <w:qFormat/>
    <w:rsid w:val="008E30D4"/>
    <w:pPr>
      <w:ind w:left="720"/>
      <w:contextualSpacing/>
    </w:pPr>
  </w:style>
  <w:style w:type="character" w:styleId="IntenseEmphasis">
    <w:name w:val="Intense Emphasis"/>
    <w:basedOn w:val="DefaultParagraphFont"/>
    <w:uiPriority w:val="21"/>
    <w:qFormat/>
    <w:rsid w:val="008E30D4"/>
    <w:rPr>
      <w:i/>
      <w:iCs/>
      <w:color w:val="0F4761" w:themeColor="accent1" w:themeShade="BF"/>
    </w:rPr>
  </w:style>
  <w:style w:type="paragraph" w:styleId="IntenseQuote">
    <w:name w:val="Intense Quote"/>
    <w:basedOn w:val="Normal"/>
    <w:next w:val="Normal"/>
    <w:link w:val="IntenseQuoteChar"/>
    <w:uiPriority w:val="30"/>
    <w:qFormat/>
    <w:rsid w:val="008E3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0D4"/>
    <w:rPr>
      <w:i/>
      <w:iCs/>
      <w:color w:val="0F4761" w:themeColor="accent1" w:themeShade="BF"/>
    </w:rPr>
  </w:style>
  <w:style w:type="character" w:styleId="IntenseReference">
    <w:name w:val="Intense Reference"/>
    <w:basedOn w:val="DefaultParagraphFont"/>
    <w:uiPriority w:val="32"/>
    <w:qFormat/>
    <w:rsid w:val="008E30D4"/>
    <w:rPr>
      <w:b/>
      <w:bCs/>
      <w:smallCaps/>
      <w:color w:val="0F4761" w:themeColor="accent1" w:themeShade="BF"/>
      <w:spacing w:val="5"/>
    </w:rPr>
  </w:style>
  <w:style w:type="paragraph" w:customStyle="1" w:styleId="Listparag">
    <w:name w:val="List parag"/>
    <w:rsid w:val="008E30D4"/>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numbering" w:customStyle="1" w:styleId="ImportedStyle6">
    <w:name w:val="Imported Style 6"/>
    <w:rsid w:val="008E30D4"/>
    <w:pPr>
      <w:numPr>
        <w:numId w:val="1"/>
      </w:numPr>
    </w:pPr>
  </w:style>
  <w:style w:type="paragraph" w:customStyle="1" w:styleId="Nornal">
    <w:name w:val="Nornal"/>
    <w:rsid w:val="00E9728C"/>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paragraph" w:styleId="NoSpacing">
    <w:name w:val="No Spacing"/>
    <w:uiPriority w:val="1"/>
    <w:qFormat/>
    <w:rsid w:val="009072BD"/>
    <w:pPr>
      <w:spacing w:after="0" w:line="240" w:lineRule="auto"/>
    </w:pPr>
  </w:style>
  <w:style w:type="paragraph" w:customStyle="1" w:styleId="Body">
    <w:name w:val="Body"/>
    <w:rsid w:val="00EC2C97"/>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character" w:customStyle="1" w:styleId="ui-provider">
    <w:name w:val="ui-provider"/>
    <w:rsid w:val="002A174F"/>
  </w:style>
  <w:style w:type="character" w:styleId="Hyperlink">
    <w:name w:val="Hyperlink"/>
    <w:basedOn w:val="DefaultParagraphFont"/>
    <w:uiPriority w:val="99"/>
    <w:unhideWhenUsed/>
    <w:rsid w:val="006269C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4660">
      <w:bodyDiv w:val="1"/>
      <w:marLeft w:val="0"/>
      <w:marRight w:val="0"/>
      <w:marTop w:val="0"/>
      <w:marBottom w:val="0"/>
      <w:divBdr>
        <w:top w:val="none" w:sz="0" w:space="0" w:color="auto"/>
        <w:left w:val="none" w:sz="0" w:space="0" w:color="auto"/>
        <w:bottom w:val="none" w:sz="0" w:space="0" w:color="auto"/>
        <w:right w:val="none" w:sz="0" w:space="0" w:color="auto"/>
      </w:divBdr>
    </w:div>
    <w:div w:id="165167488">
      <w:bodyDiv w:val="1"/>
      <w:marLeft w:val="0"/>
      <w:marRight w:val="0"/>
      <w:marTop w:val="0"/>
      <w:marBottom w:val="0"/>
      <w:divBdr>
        <w:top w:val="none" w:sz="0" w:space="0" w:color="auto"/>
        <w:left w:val="none" w:sz="0" w:space="0" w:color="auto"/>
        <w:bottom w:val="none" w:sz="0" w:space="0" w:color="auto"/>
        <w:right w:val="none" w:sz="0" w:space="0" w:color="auto"/>
      </w:divBdr>
    </w:div>
    <w:div w:id="172771631">
      <w:bodyDiv w:val="1"/>
      <w:marLeft w:val="0"/>
      <w:marRight w:val="0"/>
      <w:marTop w:val="0"/>
      <w:marBottom w:val="0"/>
      <w:divBdr>
        <w:top w:val="none" w:sz="0" w:space="0" w:color="auto"/>
        <w:left w:val="none" w:sz="0" w:space="0" w:color="auto"/>
        <w:bottom w:val="none" w:sz="0" w:space="0" w:color="auto"/>
        <w:right w:val="none" w:sz="0" w:space="0" w:color="auto"/>
      </w:divBdr>
    </w:div>
    <w:div w:id="286664143">
      <w:bodyDiv w:val="1"/>
      <w:marLeft w:val="0"/>
      <w:marRight w:val="0"/>
      <w:marTop w:val="0"/>
      <w:marBottom w:val="0"/>
      <w:divBdr>
        <w:top w:val="none" w:sz="0" w:space="0" w:color="auto"/>
        <w:left w:val="none" w:sz="0" w:space="0" w:color="auto"/>
        <w:bottom w:val="none" w:sz="0" w:space="0" w:color="auto"/>
        <w:right w:val="none" w:sz="0" w:space="0" w:color="auto"/>
      </w:divBdr>
    </w:div>
    <w:div w:id="328532209">
      <w:bodyDiv w:val="1"/>
      <w:marLeft w:val="0"/>
      <w:marRight w:val="0"/>
      <w:marTop w:val="0"/>
      <w:marBottom w:val="0"/>
      <w:divBdr>
        <w:top w:val="none" w:sz="0" w:space="0" w:color="auto"/>
        <w:left w:val="none" w:sz="0" w:space="0" w:color="auto"/>
        <w:bottom w:val="none" w:sz="0" w:space="0" w:color="auto"/>
        <w:right w:val="none" w:sz="0" w:space="0" w:color="auto"/>
      </w:divBdr>
    </w:div>
    <w:div w:id="437799930">
      <w:bodyDiv w:val="1"/>
      <w:marLeft w:val="0"/>
      <w:marRight w:val="0"/>
      <w:marTop w:val="0"/>
      <w:marBottom w:val="0"/>
      <w:divBdr>
        <w:top w:val="none" w:sz="0" w:space="0" w:color="auto"/>
        <w:left w:val="none" w:sz="0" w:space="0" w:color="auto"/>
        <w:bottom w:val="none" w:sz="0" w:space="0" w:color="auto"/>
        <w:right w:val="none" w:sz="0" w:space="0" w:color="auto"/>
      </w:divBdr>
    </w:div>
    <w:div w:id="515770660">
      <w:bodyDiv w:val="1"/>
      <w:marLeft w:val="0"/>
      <w:marRight w:val="0"/>
      <w:marTop w:val="0"/>
      <w:marBottom w:val="0"/>
      <w:divBdr>
        <w:top w:val="none" w:sz="0" w:space="0" w:color="auto"/>
        <w:left w:val="none" w:sz="0" w:space="0" w:color="auto"/>
        <w:bottom w:val="none" w:sz="0" w:space="0" w:color="auto"/>
        <w:right w:val="none" w:sz="0" w:space="0" w:color="auto"/>
      </w:divBdr>
    </w:div>
    <w:div w:id="548343291">
      <w:bodyDiv w:val="1"/>
      <w:marLeft w:val="0"/>
      <w:marRight w:val="0"/>
      <w:marTop w:val="0"/>
      <w:marBottom w:val="0"/>
      <w:divBdr>
        <w:top w:val="none" w:sz="0" w:space="0" w:color="auto"/>
        <w:left w:val="none" w:sz="0" w:space="0" w:color="auto"/>
        <w:bottom w:val="none" w:sz="0" w:space="0" w:color="auto"/>
        <w:right w:val="none" w:sz="0" w:space="0" w:color="auto"/>
      </w:divBdr>
    </w:div>
    <w:div w:id="577641878">
      <w:bodyDiv w:val="1"/>
      <w:marLeft w:val="0"/>
      <w:marRight w:val="0"/>
      <w:marTop w:val="0"/>
      <w:marBottom w:val="0"/>
      <w:divBdr>
        <w:top w:val="none" w:sz="0" w:space="0" w:color="auto"/>
        <w:left w:val="none" w:sz="0" w:space="0" w:color="auto"/>
        <w:bottom w:val="none" w:sz="0" w:space="0" w:color="auto"/>
        <w:right w:val="none" w:sz="0" w:space="0" w:color="auto"/>
      </w:divBdr>
    </w:div>
    <w:div w:id="666175400">
      <w:bodyDiv w:val="1"/>
      <w:marLeft w:val="0"/>
      <w:marRight w:val="0"/>
      <w:marTop w:val="0"/>
      <w:marBottom w:val="0"/>
      <w:divBdr>
        <w:top w:val="none" w:sz="0" w:space="0" w:color="auto"/>
        <w:left w:val="none" w:sz="0" w:space="0" w:color="auto"/>
        <w:bottom w:val="none" w:sz="0" w:space="0" w:color="auto"/>
        <w:right w:val="none" w:sz="0" w:space="0" w:color="auto"/>
      </w:divBdr>
    </w:div>
    <w:div w:id="695623713">
      <w:bodyDiv w:val="1"/>
      <w:marLeft w:val="0"/>
      <w:marRight w:val="0"/>
      <w:marTop w:val="0"/>
      <w:marBottom w:val="0"/>
      <w:divBdr>
        <w:top w:val="none" w:sz="0" w:space="0" w:color="auto"/>
        <w:left w:val="none" w:sz="0" w:space="0" w:color="auto"/>
        <w:bottom w:val="none" w:sz="0" w:space="0" w:color="auto"/>
        <w:right w:val="none" w:sz="0" w:space="0" w:color="auto"/>
      </w:divBdr>
    </w:div>
    <w:div w:id="705759800">
      <w:bodyDiv w:val="1"/>
      <w:marLeft w:val="0"/>
      <w:marRight w:val="0"/>
      <w:marTop w:val="0"/>
      <w:marBottom w:val="0"/>
      <w:divBdr>
        <w:top w:val="none" w:sz="0" w:space="0" w:color="auto"/>
        <w:left w:val="none" w:sz="0" w:space="0" w:color="auto"/>
        <w:bottom w:val="none" w:sz="0" w:space="0" w:color="auto"/>
        <w:right w:val="none" w:sz="0" w:space="0" w:color="auto"/>
      </w:divBdr>
    </w:div>
    <w:div w:id="826240218">
      <w:bodyDiv w:val="1"/>
      <w:marLeft w:val="0"/>
      <w:marRight w:val="0"/>
      <w:marTop w:val="0"/>
      <w:marBottom w:val="0"/>
      <w:divBdr>
        <w:top w:val="none" w:sz="0" w:space="0" w:color="auto"/>
        <w:left w:val="none" w:sz="0" w:space="0" w:color="auto"/>
        <w:bottom w:val="none" w:sz="0" w:space="0" w:color="auto"/>
        <w:right w:val="none" w:sz="0" w:space="0" w:color="auto"/>
      </w:divBdr>
    </w:div>
    <w:div w:id="905913309">
      <w:bodyDiv w:val="1"/>
      <w:marLeft w:val="0"/>
      <w:marRight w:val="0"/>
      <w:marTop w:val="0"/>
      <w:marBottom w:val="0"/>
      <w:divBdr>
        <w:top w:val="none" w:sz="0" w:space="0" w:color="auto"/>
        <w:left w:val="none" w:sz="0" w:space="0" w:color="auto"/>
        <w:bottom w:val="none" w:sz="0" w:space="0" w:color="auto"/>
        <w:right w:val="none" w:sz="0" w:space="0" w:color="auto"/>
      </w:divBdr>
    </w:div>
    <w:div w:id="976030049">
      <w:bodyDiv w:val="1"/>
      <w:marLeft w:val="0"/>
      <w:marRight w:val="0"/>
      <w:marTop w:val="0"/>
      <w:marBottom w:val="0"/>
      <w:divBdr>
        <w:top w:val="none" w:sz="0" w:space="0" w:color="auto"/>
        <w:left w:val="none" w:sz="0" w:space="0" w:color="auto"/>
        <w:bottom w:val="none" w:sz="0" w:space="0" w:color="auto"/>
        <w:right w:val="none" w:sz="0" w:space="0" w:color="auto"/>
      </w:divBdr>
    </w:div>
    <w:div w:id="986474434">
      <w:bodyDiv w:val="1"/>
      <w:marLeft w:val="0"/>
      <w:marRight w:val="0"/>
      <w:marTop w:val="0"/>
      <w:marBottom w:val="0"/>
      <w:divBdr>
        <w:top w:val="none" w:sz="0" w:space="0" w:color="auto"/>
        <w:left w:val="none" w:sz="0" w:space="0" w:color="auto"/>
        <w:bottom w:val="none" w:sz="0" w:space="0" w:color="auto"/>
        <w:right w:val="none" w:sz="0" w:space="0" w:color="auto"/>
      </w:divBdr>
    </w:div>
    <w:div w:id="990989215">
      <w:bodyDiv w:val="1"/>
      <w:marLeft w:val="0"/>
      <w:marRight w:val="0"/>
      <w:marTop w:val="0"/>
      <w:marBottom w:val="0"/>
      <w:divBdr>
        <w:top w:val="none" w:sz="0" w:space="0" w:color="auto"/>
        <w:left w:val="none" w:sz="0" w:space="0" w:color="auto"/>
        <w:bottom w:val="none" w:sz="0" w:space="0" w:color="auto"/>
        <w:right w:val="none" w:sz="0" w:space="0" w:color="auto"/>
      </w:divBdr>
    </w:div>
    <w:div w:id="1049257694">
      <w:bodyDiv w:val="1"/>
      <w:marLeft w:val="0"/>
      <w:marRight w:val="0"/>
      <w:marTop w:val="0"/>
      <w:marBottom w:val="0"/>
      <w:divBdr>
        <w:top w:val="none" w:sz="0" w:space="0" w:color="auto"/>
        <w:left w:val="none" w:sz="0" w:space="0" w:color="auto"/>
        <w:bottom w:val="none" w:sz="0" w:space="0" w:color="auto"/>
        <w:right w:val="none" w:sz="0" w:space="0" w:color="auto"/>
      </w:divBdr>
    </w:div>
    <w:div w:id="1191259757">
      <w:bodyDiv w:val="1"/>
      <w:marLeft w:val="0"/>
      <w:marRight w:val="0"/>
      <w:marTop w:val="0"/>
      <w:marBottom w:val="0"/>
      <w:divBdr>
        <w:top w:val="none" w:sz="0" w:space="0" w:color="auto"/>
        <w:left w:val="none" w:sz="0" w:space="0" w:color="auto"/>
        <w:bottom w:val="none" w:sz="0" w:space="0" w:color="auto"/>
        <w:right w:val="none" w:sz="0" w:space="0" w:color="auto"/>
      </w:divBdr>
    </w:div>
    <w:div w:id="1262225308">
      <w:bodyDiv w:val="1"/>
      <w:marLeft w:val="0"/>
      <w:marRight w:val="0"/>
      <w:marTop w:val="0"/>
      <w:marBottom w:val="0"/>
      <w:divBdr>
        <w:top w:val="none" w:sz="0" w:space="0" w:color="auto"/>
        <w:left w:val="none" w:sz="0" w:space="0" w:color="auto"/>
        <w:bottom w:val="none" w:sz="0" w:space="0" w:color="auto"/>
        <w:right w:val="none" w:sz="0" w:space="0" w:color="auto"/>
      </w:divBdr>
    </w:div>
    <w:div w:id="1352491689">
      <w:bodyDiv w:val="1"/>
      <w:marLeft w:val="0"/>
      <w:marRight w:val="0"/>
      <w:marTop w:val="0"/>
      <w:marBottom w:val="0"/>
      <w:divBdr>
        <w:top w:val="none" w:sz="0" w:space="0" w:color="auto"/>
        <w:left w:val="none" w:sz="0" w:space="0" w:color="auto"/>
        <w:bottom w:val="none" w:sz="0" w:space="0" w:color="auto"/>
        <w:right w:val="none" w:sz="0" w:space="0" w:color="auto"/>
      </w:divBdr>
    </w:div>
    <w:div w:id="1391230332">
      <w:bodyDiv w:val="1"/>
      <w:marLeft w:val="0"/>
      <w:marRight w:val="0"/>
      <w:marTop w:val="0"/>
      <w:marBottom w:val="0"/>
      <w:divBdr>
        <w:top w:val="none" w:sz="0" w:space="0" w:color="auto"/>
        <w:left w:val="none" w:sz="0" w:space="0" w:color="auto"/>
        <w:bottom w:val="none" w:sz="0" w:space="0" w:color="auto"/>
        <w:right w:val="none" w:sz="0" w:space="0" w:color="auto"/>
      </w:divBdr>
    </w:div>
    <w:div w:id="1473912444">
      <w:bodyDiv w:val="1"/>
      <w:marLeft w:val="0"/>
      <w:marRight w:val="0"/>
      <w:marTop w:val="0"/>
      <w:marBottom w:val="0"/>
      <w:divBdr>
        <w:top w:val="none" w:sz="0" w:space="0" w:color="auto"/>
        <w:left w:val="none" w:sz="0" w:space="0" w:color="auto"/>
        <w:bottom w:val="none" w:sz="0" w:space="0" w:color="auto"/>
        <w:right w:val="none" w:sz="0" w:space="0" w:color="auto"/>
      </w:divBdr>
    </w:div>
    <w:div w:id="1515144712">
      <w:bodyDiv w:val="1"/>
      <w:marLeft w:val="0"/>
      <w:marRight w:val="0"/>
      <w:marTop w:val="0"/>
      <w:marBottom w:val="0"/>
      <w:divBdr>
        <w:top w:val="none" w:sz="0" w:space="0" w:color="auto"/>
        <w:left w:val="none" w:sz="0" w:space="0" w:color="auto"/>
        <w:bottom w:val="none" w:sz="0" w:space="0" w:color="auto"/>
        <w:right w:val="none" w:sz="0" w:space="0" w:color="auto"/>
      </w:divBdr>
    </w:div>
    <w:div w:id="1665817922">
      <w:bodyDiv w:val="1"/>
      <w:marLeft w:val="0"/>
      <w:marRight w:val="0"/>
      <w:marTop w:val="0"/>
      <w:marBottom w:val="0"/>
      <w:divBdr>
        <w:top w:val="none" w:sz="0" w:space="0" w:color="auto"/>
        <w:left w:val="none" w:sz="0" w:space="0" w:color="auto"/>
        <w:bottom w:val="none" w:sz="0" w:space="0" w:color="auto"/>
        <w:right w:val="none" w:sz="0" w:space="0" w:color="auto"/>
      </w:divBdr>
    </w:div>
    <w:div w:id="1671366628">
      <w:bodyDiv w:val="1"/>
      <w:marLeft w:val="0"/>
      <w:marRight w:val="0"/>
      <w:marTop w:val="0"/>
      <w:marBottom w:val="0"/>
      <w:divBdr>
        <w:top w:val="none" w:sz="0" w:space="0" w:color="auto"/>
        <w:left w:val="none" w:sz="0" w:space="0" w:color="auto"/>
        <w:bottom w:val="none" w:sz="0" w:space="0" w:color="auto"/>
        <w:right w:val="none" w:sz="0" w:space="0" w:color="auto"/>
      </w:divBdr>
    </w:div>
    <w:div w:id="1686666518">
      <w:bodyDiv w:val="1"/>
      <w:marLeft w:val="0"/>
      <w:marRight w:val="0"/>
      <w:marTop w:val="0"/>
      <w:marBottom w:val="0"/>
      <w:divBdr>
        <w:top w:val="none" w:sz="0" w:space="0" w:color="auto"/>
        <w:left w:val="none" w:sz="0" w:space="0" w:color="auto"/>
        <w:bottom w:val="none" w:sz="0" w:space="0" w:color="auto"/>
        <w:right w:val="none" w:sz="0" w:space="0" w:color="auto"/>
      </w:divBdr>
    </w:div>
    <w:div w:id="1701472400">
      <w:bodyDiv w:val="1"/>
      <w:marLeft w:val="0"/>
      <w:marRight w:val="0"/>
      <w:marTop w:val="0"/>
      <w:marBottom w:val="0"/>
      <w:divBdr>
        <w:top w:val="none" w:sz="0" w:space="0" w:color="auto"/>
        <w:left w:val="none" w:sz="0" w:space="0" w:color="auto"/>
        <w:bottom w:val="none" w:sz="0" w:space="0" w:color="auto"/>
        <w:right w:val="none" w:sz="0" w:space="0" w:color="auto"/>
      </w:divBdr>
    </w:div>
    <w:div w:id="1747411743">
      <w:bodyDiv w:val="1"/>
      <w:marLeft w:val="0"/>
      <w:marRight w:val="0"/>
      <w:marTop w:val="0"/>
      <w:marBottom w:val="0"/>
      <w:divBdr>
        <w:top w:val="none" w:sz="0" w:space="0" w:color="auto"/>
        <w:left w:val="none" w:sz="0" w:space="0" w:color="auto"/>
        <w:bottom w:val="none" w:sz="0" w:space="0" w:color="auto"/>
        <w:right w:val="none" w:sz="0" w:space="0" w:color="auto"/>
      </w:divBdr>
    </w:div>
    <w:div w:id="1886873236">
      <w:bodyDiv w:val="1"/>
      <w:marLeft w:val="0"/>
      <w:marRight w:val="0"/>
      <w:marTop w:val="0"/>
      <w:marBottom w:val="0"/>
      <w:divBdr>
        <w:top w:val="none" w:sz="0" w:space="0" w:color="auto"/>
        <w:left w:val="none" w:sz="0" w:space="0" w:color="auto"/>
        <w:bottom w:val="none" w:sz="0" w:space="0" w:color="auto"/>
        <w:right w:val="none" w:sz="0" w:space="0" w:color="auto"/>
      </w:divBdr>
    </w:div>
    <w:div w:id="1966231971">
      <w:bodyDiv w:val="1"/>
      <w:marLeft w:val="0"/>
      <w:marRight w:val="0"/>
      <w:marTop w:val="0"/>
      <w:marBottom w:val="0"/>
      <w:divBdr>
        <w:top w:val="none" w:sz="0" w:space="0" w:color="auto"/>
        <w:left w:val="none" w:sz="0" w:space="0" w:color="auto"/>
        <w:bottom w:val="none" w:sz="0" w:space="0" w:color="auto"/>
        <w:right w:val="none" w:sz="0" w:space="0" w:color="auto"/>
      </w:divBdr>
    </w:div>
    <w:div w:id="2026133849">
      <w:bodyDiv w:val="1"/>
      <w:marLeft w:val="0"/>
      <w:marRight w:val="0"/>
      <w:marTop w:val="0"/>
      <w:marBottom w:val="0"/>
      <w:divBdr>
        <w:top w:val="none" w:sz="0" w:space="0" w:color="auto"/>
        <w:left w:val="none" w:sz="0" w:space="0" w:color="auto"/>
        <w:bottom w:val="none" w:sz="0" w:space="0" w:color="auto"/>
        <w:right w:val="none" w:sz="0" w:space="0" w:color="auto"/>
      </w:divBdr>
    </w:div>
    <w:div w:id="2118139549">
      <w:bodyDiv w:val="1"/>
      <w:marLeft w:val="0"/>
      <w:marRight w:val="0"/>
      <w:marTop w:val="0"/>
      <w:marBottom w:val="0"/>
      <w:divBdr>
        <w:top w:val="none" w:sz="0" w:space="0" w:color="auto"/>
        <w:left w:val="none" w:sz="0" w:space="0" w:color="auto"/>
        <w:bottom w:val="none" w:sz="0" w:space="0" w:color="auto"/>
        <w:right w:val="none" w:sz="0" w:space="0" w:color="auto"/>
      </w:divBdr>
    </w:div>
    <w:div w:id="213316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trade-unions-factsheet/" TargetMode="External"/><Relationship Id="rId5" Type="http://schemas.openxmlformats.org/officeDocument/2006/relationships/hyperlink" Target="https://www.cipd.org/uk/knowledge/factsheets/mediation-factshe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5319</Words>
  <Characters>30322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Curtis</dc:creator>
  <cp:keywords/>
  <dc:description/>
  <cp:lastModifiedBy>Lucy Curtis</cp:lastModifiedBy>
  <cp:revision>2</cp:revision>
  <dcterms:created xsi:type="dcterms:W3CDTF">2025-05-11T19:10:00Z</dcterms:created>
  <dcterms:modified xsi:type="dcterms:W3CDTF">2025-05-11T19:10:00Z</dcterms:modified>
</cp:coreProperties>
</file>