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D065D3" w14:textId="3E926865" w:rsidR="00962831" w:rsidRDefault="00B61550">
      <w:pPr>
        <w:jc w:val="center"/>
        <w:rPr>
          <w:rFonts w:ascii="Arial" w:hAnsi="Arial" w:cs="Arial"/>
          <w:b/>
          <w:bCs/>
          <w:sz w:val="22"/>
          <w:szCs w:val="22"/>
          <w:lang w:val="en-IN"/>
        </w:rPr>
      </w:pPr>
      <w:r>
        <w:rPr>
          <w:noProof/>
        </w:rPr>
        <w:drawing>
          <wp:inline distT="0" distB="0" distL="0" distR="0" wp14:anchorId="11BBAE5B" wp14:editId="6218755E">
            <wp:extent cx="5840532" cy="1537970"/>
            <wp:effectExtent l="0" t="0" r="8255" b="5080"/>
            <wp:docPr id="2" name="Picture 2" descr="UWTSD Named UK University of the Year for Teaching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Named UK University of the Year for Teaching Quality"/>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877805" cy="1547785"/>
                    </a:xfrm>
                    <a:prstGeom prst="rect">
                      <a:avLst/>
                    </a:prstGeom>
                    <a:noFill/>
                    <a:ln>
                      <a:noFill/>
                    </a:ln>
                  </pic:spPr>
                </pic:pic>
              </a:graphicData>
            </a:graphic>
          </wp:inline>
        </w:drawing>
      </w:r>
    </w:p>
    <w:p w14:paraId="1DC15813" w14:textId="77777777" w:rsidR="00962831" w:rsidRDefault="00962831">
      <w:pPr>
        <w:jc w:val="center"/>
        <w:rPr>
          <w:rFonts w:ascii="Arial" w:hAnsi="Arial" w:cs="Arial"/>
          <w:b/>
          <w:bCs/>
          <w:sz w:val="22"/>
          <w:szCs w:val="22"/>
          <w:lang w:val="en-IN"/>
        </w:rPr>
      </w:pPr>
    </w:p>
    <w:p w14:paraId="0623574E" w14:textId="77777777" w:rsidR="00962831" w:rsidRDefault="00962831">
      <w:pPr>
        <w:jc w:val="center"/>
        <w:rPr>
          <w:rFonts w:ascii="Arial" w:hAnsi="Arial" w:cs="Arial"/>
          <w:b/>
          <w:bCs/>
          <w:sz w:val="22"/>
          <w:szCs w:val="22"/>
          <w:lang w:val="en-IN"/>
        </w:rPr>
      </w:pPr>
    </w:p>
    <w:p w14:paraId="6B644DC8" w14:textId="77777777" w:rsidR="00903B08" w:rsidRPr="0017052F" w:rsidRDefault="00903B08" w:rsidP="00903B08">
      <w:pPr>
        <w:ind w:left="2160"/>
        <w:rPr>
          <w:rFonts w:ascii="Arial" w:hAnsi="Arial" w:cs="Arial"/>
          <w:sz w:val="28"/>
          <w:szCs w:val="28"/>
        </w:rPr>
      </w:pPr>
      <w:r w:rsidRPr="0017052F">
        <w:rPr>
          <w:rFonts w:ascii="Arial" w:hAnsi="Arial" w:cs="Arial"/>
          <w:b/>
          <w:bCs/>
          <w:sz w:val="28"/>
          <w:szCs w:val="28"/>
        </w:rPr>
        <w:t>Bristol Royal Infirmary Heart Surgery Scandal</w:t>
      </w:r>
    </w:p>
    <w:p w14:paraId="0208F097" w14:textId="77777777" w:rsidR="00903B08" w:rsidRDefault="00903B08" w:rsidP="00903B08">
      <w:pPr>
        <w:rPr>
          <w:rFonts w:ascii="Arial" w:hAnsi="Arial" w:cs="Arial"/>
          <w:sz w:val="22"/>
          <w:szCs w:val="22"/>
          <w:lang w:val="en-IN"/>
        </w:rPr>
      </w:pPr>
    </w:p>
    <w:p w14:paraId="2C0278F2" w14:textId="77777777" w:rsidR="00903B08" w:rsidRDefault="00903B08" w:rsidP="00903B08">
      <w:pPr>
        <w:ind w:left="720"/>
        <w:rPr>
          <w:rFonts w:ascii="Arial" w:hAnsi="Arial" w:cs="Arial"/>
          <w:sz w:val="22"/>
          <w:szCs w:val="22"/>
          <w:lang w:val="en-IN"/>
        </w:rPr>
      </w:pPr>
      <w:r>
        <w:rPr>
          <w:rFonts w:ascii="Arial" w:hAnsi="Arial" w:cs="Arial"/>
          <w:sz w:val="22"/>
          <w:szCs w:val="22"/>
        </w:rPr>
        <w:t>Name</w:t>
      </w:r>
      <w:r>
        <w:rPr>
          <w:rFonts w:ascii="Arial" w:hAnsi="Arial" w:cs="Arial"/>
          <w:sz w:val="22"/>
          <w:szCs w:val="22"/>
          <w:lang w:val="en-IN"/>
        </w:rPr>
        <w:t>:  Krisha Jayesh Ahir</w:t>
      </w:r>
    </w:p>
    <w:p w14:paraId="75E69635" w14:textId="77777777" w:rsidR="00903B08" w:rsidRPr="006A5624" w:rsidRDefault="00903B08" w:rsidP="00903B08">
      <w:pPr>
        <w:ind w:left="720"/>
        <w:rPr>
          <w:rFonts w:ascii="Arial" w:hAnsi="Arial" w:cs="Arial"/>
          <w:sz w:val="22"/>
          <w:szCs w:val="22"/>
          <w:lang w:val="en-IN"/>
        </w:rPr>
      </w:pPr>
      <w:r>
        <w:rPr>
          <w:rFonts w:ascii="Arial" w:hAnsi="Arial" w:cs="Arial"/>
          <w:sz w:val="22"/>
          <w:szCs w:val="22"/>
          <w:lang w:val="en-IN"/>
        </w:rPr>
        <w:t>Student ID:  2515386</w:t>
      </w:r>
    </w:p>
    <w:p w14:paraId="2A1D6C3C" w14:textId="77777777" w:rsidR="00903B08" w:rsidRPr="00234340" w:rsidRDefault="00903B08" w:rsidP="00903B08">
      <w:pPr>
        <w:ind w:left="720"/>
        <w:rPr>
          <w:rFonts w:ascii="Arial" w:hAnsi="Arial" w:cs="Arial"/>
          <w:sz w:val="22"/>
          <w:szCs w:val="22"/>
          <w:lang w:val="en-IN"/>
        </w:rPr>
      </w:pPr>
      <w:r>
        <w:rPr>
          <w:rFonts w:ascii="Arial" w:hAnsi="Arial" w:cs="Arial"/>
          <w:sz w:val="22"/>
          <w:szCs w:val="22"/>
        </w:rPr>
        <w:t>Institution</w:t>
      </w:r>
      <w:r>
        <w:rPr>
          <w:rFonts w:ascii="Arial" w:hAnsi="Arial" w:cs="Arial"/>
          <w:sz w:val="22"/>
          <w:szCs w:val="22"/>
          <w:lang w:val="en-IN"/>
        </w:rPr>
        <w:t xml:space="preserve">:  University Of Wales Trinity Saint David </w:t>
      </w:r>
    </w:p>
    <w:p w14:paraId="45CE12BD" w14:textId="77777777" w:rsidR="00903B08" w:rsidRPr="003E753A" w:rsidRDefault="00903B08" w:rsidP="00903B08">
      <w:pPr>
        <w:ind w:left="720"/>
        <w:rPr>
          <w:rFonts w:ascii="Arial" w:hAnsi="Arial" w:cs="Arial"/>
          <w:sz w:val="22"/>
          <w:szCs w:val="22"/>
          <w:lang w:val="en-IN"/>
        </w:rPr>
      </w:pPr>
      <w:r>
        <w:rPr>
          <w:rFonts w:ascii="Arial" w:hAnsi="Arial" w:cs="Arial"/>
          <w:sz w:val="22"/>
          <w:szCs w:val="22"/>
        </w:rPr>
        <w:t>Instructor</w:t>
      </w:r>
      <w:r>
        <w:rPr>
          <w:rFonts w:ascii="Arial" w:hAnsi="Arial" w:cs="Arial"/>
          <w:sz w:val="22"/>
          <w:szCs w:val="22"/>
          <w:lang w:val="en-IN"/>
        </w:rPr>
        <w:t>:  Dr. Fahad Khan</w:t>
      </w:r>
    </w:p>
    <w:p w14:paraId="0DB1A771" w14:textId="77777777" w:rsidR="00903B08" w:rsidRDefault="00903B08" w:rsidP="00903B08">
      <w:pPr>
        <w:ind w:left="720"/>
        <w:rPr>
          <w:rFonts w:ascii="Arial" w:hAnsi="Arial" w:cs="Arial"/>
          <w:sz w:val="22"/>
          <w:szCs w:val="22"/>
          <w:lang w:val="en-IN"/>
        </w:rPr>
      </w:pPr>
      <w:r>
        <w:rPr>
          <w:rFonts w:ascii="Arial" w:hAnsi="Arial" w:cs="Arial"/>
          <w:sz w:val="22"/>
          <w:szCs w:val="22"/>
        </w:rPr>
        <w:t>Course</w:t>
      </w:r>
      <w:r>
        <w:rPr>
          <w:rFonts w:ascii="Arial" w:hAnsi="Arial" w:cs="Arial"/>
          <w:sz w:val="22"/>
          <w:szCs w:val="22"/>
          <w:lang w:val="en-IN"/>
        </w:rPr>
        <w:t>:  Master in Public Health and Social Care in Practice</w:t>
      </w:r>
    </w:p>
    <w:p w14:paraId="7371582A" w14:textId="77777777" w:rsidR="00903B08" w:rsidRDefault="00903B08" w:rsidP="00903B08">
      <w:pPr>
        <w:ind w:left="720"/>
        <w:rPr>
          <w:rFonts w:ascii="Arial" w:hAnsi="Arial" w:cs="Arial"/>
          <w:sz w:val="22"/>
          <w:szCs w:val="22"/>
          <w:lang w:val="en-IN"/>
        </w:rPr>
      </w:pPr>
      <w:r>
        <w:rPr>
          <w:rFonts w:ascii="Arial" w:hAnsi="Arial" w:cs="Arial"/>
          <w:sz w:val="22"/>
          <w:szCs w:val="22"/>
          <w:lang w:val="en-IN"/>
        </w:rPr>
        <w:t>Module:  Health Care System Organisation and Leadership</w:t>
      </w:r>
    </w:p>
    <w:p w14:paraId="5E503359" w14:textId="77777777" w:rsidR="00903B08" w:rsidRPr="003E753A" w:rsidRDefault="00903B08" w:rsidP="00903B08">
      <w:pPr>
        <w:ind w:left="720"/>
        <w:rPr>
          <w:rFonts w:ascii="Arial" w:hAnsi="Arial" w:cs="Arial"/>
          <w:sz w:val="22"/>
          <w:szCs w:val="22"/>
          <w:lang w:val="en-IN"/>
        </w:rPr>
      </w:pPr>
      <w:r>
        <w:rPr>
          <w:rFonts w:ascii="Arial" w:hAnsi="Arial" w:cs="Arial"/>
          <w:sz w:val="22"/>
          <w:szCs w:val="22"/>
          <w:lang w:val="en-IN"/>
        </w:rPr>
        <w:t>Module Code:  LCHS7002</w:t>
      </w:r>
    </w:p>
    <w:p w14:paraId="45CED358" w14:textId="77777777" w:rsidR="00903B08" w:rsidRPr="003E753A" w:rsidRDefault="00903B08" w:rsidP="00903B08">
      <w:pPr>
        <w:ind w:left="720"/>
        <w:rPr>
          <w:rFonts w:ascii="Arial" w:hAnsi="Arial" w:cs="Arial"/>
          <w:sz w:val="22"/>
          <w:szCs w:val="22"/>
          <w:lang w:val="en-IN"/>
        </w:rPr>
      </w:pPr>
      <w:r>
        <w:rPr>
          <w:rFonts w:ascii="Arial" w:hAnsi="Arial" w:cs="Arial"/>
          <w:sz w:val="22"/>
          <w:szCs w:val="22"/>
        </w:rPr>
        <w:t>Date</w:t>
      </w:r>
      <w:r>
        <w:rPr>
          <w:rFonts w:ascii="Arial" w:hAnsi="Arial" w:cs="Arial"/>
          <w:sz w:val="22"/>
          <w:szCs w:val="22"/>
          <w:lang w:val="en-IN"/>
        </w:rPr>
        <w:t>:  27 March 2026</w:t>
      </w:r>
    </w:p>
    <w:p w14:paraId="628950AF" w14:textId="77777777" w:rsidR="00962831" w:rsidRDefault="00962831">
      <w:pPr>
        <w:jc w:val="center"/>
        <w:rPr>
          <w:rFonts w:ascii="Arial" w:hAnsi="Arial" w:cs="Arial"/>
          <w:b/>
          <w:bCs/>
          <w:sz w:val="22"/>
          <w:szCs w:val="22"/>
          <w:lang w:val="en-IN"/>
        </w:rPr>
      </w:pPr>
    </w:p>
    <w:p w14:paraId="33EC2093" w14:textId="77777777" w:rsidR="00962831" w:rsidRDefault="00962831">
      <w:pPr>
        <w:jc w:val="center"/>
        <w:rPr>
          <w:rFonts w:ascii="Arial" w:hAnsi="Arial" w:cs="Arial"/>
          <w:b/>
          <w:bCs/>
          <w:sz w:val="22"/>
          <w:szCs w:val="22"/>
          <w:lang w:val="en-IN"/>
        </w:rPr>
      </w:pPr>
    </w:p>
    <w:p w14:paraId="1D356D4D" w14:textId="77777777" w:rsidR="00962831" w:rsidRDefault="00962831">
      <w:pPr>
        <w:jc w:val="center"/>
        <w:rPr>
          <w:rFonts w:ascii="Arial" w:hAnsi="Arial" w:cs="Arial"/>
          <w:b/>
          <w:bCs/>
          <w:sz w:val="22"/>
          <w:szCs w:val="22"/>
          <w:lang w:val="en-IN"/>
        </w:rPr>
      </w:pPr>
    </w:p>
    <w:p w14:paraId="40010477" w14:textId="77777777" w:rsidR="00962831" w:rsidRDefault="00962831">
      <w:pPr>
        <w:jc w:val="center"/>
        <w:rPr>
          <w:rFonts w:ascii="Arial" w:hAnsi="Arial" w:cs="Arial"/>
          <w:b/>
          <w:bCs/>
          <w:sz w:val="22"/>
          <w:szCs w:val="22"/>
          <w:lang w:val="en-IN"/>
        </w:rPr>
      </w:pPr>
    </w:p>
    <w:p w14:paraId="01032ECD" w14:textId="77777777" w:rsidR="00962831" w:rsidRDefault="00962831">
      <w:pPr>
        <w:jc w:val="center"/>
        <w:rPr>
          <w:rFonts w:ascii="Arial" w:hAnsi="Arial" w:cs="Arial"/>
          <w:b/>
          <w:bCs/>
          <w:sz w:val="22"/>
          <w:szCs w:val="22"/>
          <w:lang w:val="en-IN"/>
        </w:rPr>
      </w:pPr>
    </w:p>
    <w:p w14:paraId="0224247C" w14:textId="77777777" w:rsidR="00962815" w:rsidRDefault="00ED0532">
      <w:pPr>
        <w:rPr>
          <w:rFonts w:ascii="Arial" w:hAnsi="Arial" w:cs="Arial"/>
          <w:sz w:val="22"/>
          <w:szCs w:val="22"/>
        </w:rPr>
      </w:pPr>
      <w:r>
        <w:rPr>
          <w:rFonts w:ascii="Arial" w:hAnsi="Arial" w:cs="Arial"/>
          <w:sz w:val="22"/>
          <w:szCs w:val="22"/>
        </w:rPr>
        <w:br w:type="page"/>
      </w:r>
    </w:p>
    <w:sdt>
      <w:sdtPr>
        <w:rPr>
          <w:rFonts w:asciiTheme="minorHAnsi" w:eastAsiaTheme="minorHAnsi" w:hAnsiTheme="minorHAnsi" w:cstheme="minorBidi"/>
          <w:color w:val="auto"/>
          <w:kern w:val="2"/>
          <w:sz w:val="24"/>
          <w:szCs w:val="24"/>
          <w:lang w:val="zh-CN"/>
          <w14:ligatures w14:val="standardContextual"/>
        </w:rPr>
        <w:id w:val="1751613440"/>
        <w:docPartObj>
          <w:docPartGallery w:val="Table of Contents"/>
          <w:docPartUnique/>
        </w:docPartObj>
      </w:sdtPr>
      <w:sdtEndPr>
        <w:rPr>
          <w:b/>
          <w:bCs/>
        </w:rPr>
      </w:sdtEndPr>
      <w:sdtContent>
        <w:p w14:paraId="0224247D" w14:textId="77777777" w:rsidR="00962815" w:rsidRDefault="00ED0532">
          <w:pPr>
            <w:pStyle w:val="TOCHeading1"/>
          </w:pPr>
          <w:r>
            <w:t>Contents</w:t>
          </w:r>
        </w:p>
        <w:p w14:paraId="0224247E" w14:textId="77777777" w:rsidR="00962815" w:rsidRDefault="00ED0532">
          <w:pPr>
            <w:pStyle w:val="TOC1"/>
            <w:tabs>
              <w:tab w:val="right" w:leader="dot" w:pos="9016"/>
            </w:tabs>
            <w:rPr>
              <w:rFonts w:ascii="Arial" w:hAnsi="Arial" w:cs="Arial"/>
              <w:sz w:val="22"/>
              <w:szCs w:val="22"/>
            </w:rPr>
          </w:pPr>
          <w:r>
            <w:rPr>
              <w:rFonts w:ascii="Arial" w:hAnsi="Arial" w:cs="Arial"/>
              <w:sz w:val="22"/>
              <w:szCs w:val="22"/>
            </w:rPr>
            <w:fldChar w:fldCharType="begin"/>
          </w:r>
          <w:r>
            <w:rPr>
              <w:rFonts w:ascii="Arial" w:hAnsi="Arial" w:cs="Arial"/>
              <w:sz w:val="22"/>
              <w:szCs w:val="22"/>
            </w:rPr>
            <w:instrText xml:space="preserve"> TOC \o "1-3" \h \z \u </w:instrText>
          </w:r>
          <w:r>
            <w:rPr>
              <w:rFonts w:ascii="Arial" w:hAnsi="Arial" w:cs="Arial"/>
              <w:sz w:val="22"/>
              <w:szCs w:val="22"/>
            </w:rPr>
            <w:fldChar w:fldCharType="separate"/>
          </w:r>
          <w:hyperlink w:anchor="_Toc225456751" w:history="1">
            <w:r>
              <w:rPr>
                <w:rStyle w:val="Hyperlink"/>
                <w:rFonts w:ascii="Arial" w:hAnsi="Arial" w:cs="Arial"/>
                <w:sz w:val="22"/>
                <w:szCs w:val="22"/>
              </w:rPr>
              <w:t>Bristol Royal Infirmary Heart Surgery Scandal</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_Toc225456751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3</w:t>
            </w:r>
            <w:r>
              <w:rPr>
                <w:rFonts w:ascii="Arial" w:hAnsi="Arial" w:cs="Arial"/>
                <w:sz w:val="22"/>
                <w:szCs w:val="22"/>
              </w:rPr>
              <w:fldChar w:fldCharType="end"/>
            </w:r>
          </w:hyperlink>
        </w:p>
        <w:p w14:paraId="0224247F" w14:textId="77777777" w:rsidR="00962815" w:rsidRDefault="00ED0532">
          <w:pPr>
            <w:pStyle w:val="TOC1"/>
            <w:tabs>
              <w:tab w:val="right" w:leader="dot" w:pos="9016"/>
            </w:tabs>
            <w:rPr>
              <w:rFonts w:ascii="Arial" w:hAnsi="Arial" w:cs="Arial"/>
              <w:sz w:val="22"/>
              <w:szCs w:val="22"/>
            </w:rPr>
          </w:pPr>
          <w:hyperlink w:anchor="_Toc225456752" w:history="1">
            <w:r>
              <w:rPr>
                <w:rStyle w:val="Hyperlink"/>
                <w:rFonts w:ascii="Arial" w:hAnsi="Arial" w:cs="Arial"/>
                <w:sz w:val="22"/>
                <w:szCs w:val="22"/>
              </w:rPr>
              <w:t>Introduction</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_Toc225456752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3</w:t>
            </w:r>
            <w:r>
              <w:rPr>
                <w:rFonts w:ascii="Arial" w:hAnsi="Arial" w:cs="Arial"/>
                <w:sz w:val="22"/>
                <w:szCs w:val="22"/>
              </w:rPr>
              <w:fldChar w:fldCharType="end"/>
            </w:r>
          </w:hyperlink>
        </w:p>
        <w:p w14:paraId="02242480" w14:textId="77777777" w:rsidR="00962815" w:rsidRDefault="00ED0532">
          <w:pPr>
            <w:pStyle w:val="TOC1"/>
            <w:tabs>
              <w:tab w:val="right" w:leader="dot" w:pos="9016"/>
            </w:tabs>
            <w:rPr>
              <w:rFonts w:ascii="Arial" w:hAnsi="Arial" w:cs="Arial"/>
              <w:sz w:val="22"/>
              <w:szCs w:val="22"/>
            </w:rPr>
          </w:pPr>
          <w:hyperlink w:anchor="_Toc225456753" w:history="1">
            <w:r>
              <w:rPr>
                <w:rStyle w:val="Hyperlink"/>
                <w:rFonts w:ascii="Arial" w:hAnsi="Arial" w:cs="Arial"/>
                <w:sz w:val="22"/>
                <w:szCs w:val="22"/>
              </w:rPr>
              <w:t>Main Body and Analysis</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_Toc225456753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4</w:t>
            </w:r>
            <w:r>
              <w:rPr>
                <w:rFonts w:ascii="Arial" w:hAnsi="Arial" w:cs="Arial"/>
                <w:sz w:val="22"/>
                <w:szCs w:val="22"/>
              </w:rPr>
              <w:fldChar w:fldCharType="end"/>
            </w:r>
          </w:hyperlink>
        </w:p>
        <w:p w14:paraId="02242481" w14:textId="77777777" w:rsidR="00962815" w:rsidRDefault="00ED0532">
          <w:pPr>
            <w:pStyle w:val="TOC2"/>
            <w:tabs>
              <w:tab w:val="right" w:leader="dot" w:pos="9016"/>
            </w:tabs>
            <w:rPr>
              <w:rFonts w:ascii="Arial" w:hAnsi="Arial" w:cs="Arial"/>
              <w:sz w:val="22"/>
              <w:szCs w:val="22"/>
            </w:rPr>
          </w:pPr>
          <w:hyperlink w:anchor="_Toc225456754" w:history="1">
            <w:r>
              <w:rPr>
                <w:rStyle w:val="Hyperlink"/>
                <w:rFonts w:ascii="Arial" w:hAnsi="Arial" w:cs="Arial"/>
                <w:sz w:val="22"/>
                <w:szCs w:val="22"/>
              </w:rPr>
              <w:t>a. The System Environment and the Problem Identification</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_Toc225456754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4</w:t>
            </w:r>
            <w:r>
              <w:rPr>
                <w:rFonts w:ascii="Arial" w:hAnsi="Arial" w:cs="Arial"/>
                <w:sz w:val="22"/>
                <w:szCs w:val="22"/>
              </w:rPr>
              <w:fldChar w:fldCharType="end"/>
            </w:r>
          </w:hyperlink>
        </w:p>
        <w:p w14:paraId="02242482" w14:textId="77777777" w:rsidR="00962815" w:rsidRDefault="00ED0532">
          <w:pPr>
            <w:pStyle w:val="TOC3"/>
            <w:tabs>
              <w:tab w:val="right" w:leader="dot" w:pos="9016"/>
            </w:tabs>
            <w:rPr>
              <w:rFonts w:ascii="Arial" w:hAnsi="Arial" w:cs="Arial"/>
              <w:sz w:val="22"/>
              <w:szCs w:val="22"/>
            </w:rPr>
          </w:pPr>
          <w:hyperlink w:anchor="_Toc225456755" w:history="1">
            <w:r>
              <w:rPr>
                <w:rStyle w:val="Hyperlink"/>
                <w:rFonts w:ascii="Arial" w:hAnsi="Arial" w:cs="Arial"/>
                <w:sz w:val="22"/>
                <w:szCs w:val="22"/>
              </w:rPr>
              <w:t>Problem Description</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_Toc225456755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4</w:t>
            </w:r>
            <w:r>
              <w:rPr>
                <w:rFonts w:ascii="Arial" w:hAnsi="Arial" w:cs="Arial"/>
                <w:sz w:val="22"/>
                <w:szCs w:val="22"/>
              </w:rPr>
              <w:fldChar w:fldCharType="end"/>
            </w:r>
          </w:hyperlink>
        </w:p>
        <w:p w14:paraId="02242483" w14:textId="77777777" w:rsidR="00962815" w:rsidRDefault="00ED0532">
          <w:pPr>
            <w:pStyle w:val="TOC3"/>
            <w:tabs>
              <w:tab w:val="right" w:leader="dot" w:pos="9016"/>
            </w:tabs>
            <w:rPr>
              <w:rFonts w:ascii="Arial" w:hAnsi="Arial" w:cs="Arial"/>
              <w:sz w:val="22"/>
              <w:szCs w:val="22"/>
            </w:rPr>
          </w:pPr>
          <w:hyperlink w:anchor="_Toc225456756" w:history="1">
            <w:r>
              <w:rPr>
                <w:rStyle w:val="Hyperlink"/>
                <w:rFonts w:ascii="Arial" w:hAnsi="Arial" w:cs="Arial"/>
                <w:sz w:val="22"/>
                <w:szCs w:val="22"/>
              </w:rPr>
              <w:t>Global and National Data</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_Toc225456756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5</w:t>
            </w:r>
            <w:r>
              <w:rPr>
                <w:rFonts w:ascii="Arial" w:hAnsi="Arial" w:cs="Arial"/>
                <w:sz w:val="22"/>
                <w:szCs w:val="22"/>
              </w:rPr>
              <w:fldChar w:fldCharType="end"/>
            </w:r>
          </w:hyperlink>
        </w:p>
        <w:p w14:paraId="02242484" w14:textId="77777777" w:rsidR="00962815" w:rsidRDefault="00ED0532">
          <w:pPr>
            <w:pStyle w:val="TOC3"/>
            <w:tabs>
              <w:tab w:val="right" w:leader="dot" w:pos="9016"/>
            </w:tabs>
            <w:rPr>
              <w:rFonts w:ascii="Arial" w:hAnsi="Arial" w:cs="Arial"/>
              <w:sz w:val="22"/>
              <w:szCs w:val="22"/>
            </w:rPr>
          </w:pPr>
          <w:hyperlink w:anchor="_Toc225456757" w:history="1">
            <w:r>
              <w:rPr>
                <w:rStyle w:val="Hyperlink"/>
                <w:rFonts w:ascii="Arial" w:hAnsi="Arial" w:cs="Arial"/>
                <w:sz w:val="22"/>
                <w:szCs w:val="22"/>
              </w:rPr>
              <w:t>System Weaknesses</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_Toc225456757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7</w:t>
            </w:r>
            <w:r>
              <w:rPr>
                <w:rFonts w:ascii="Arial" w:hAnsi="Arial" w:cs="Arial"/>
                <w:sz w:val="22"/>
                <w:szCs w:val="22"/>
              </w:rPr>
              <w:fldChar w:fldCharType="end"/>
            </w:r>
          </w:hyperlink>
        </w:p>
        <w:p w14:paraId="02242485" w14:textId="77777777" w:rsidR="00962815" w:rsidRDefault="00ED0532">
          <w:pPr>
            <w:pStyle w:val="TOC3"/>
            <w:tabs>
              <w:tab w:val="right" w:leader="dot" w:pos="9016"/>
            </w:tabs>
            <w:rPr>
              <w:rFonts w:ascii="Arial" w:hAnsi="Arial" w:cs="Arial"/>
              <w:sz w:val="22"/>
              <w:szCs w:val="22"/>
            </w:rPr>
          </w:pPr>
          <w:hyperlink w:anchor="_Toc225456758" w:history="1">
            <w:r>
              <w:rPr>
                <w:rStyle w:val="Hyperlink"/>
                <w:rFonts w:ascii="Arial" w:hAnsi="Arial" w:cs="Arial"/>
                <w:sz w:val="22"/>
                <w:szCs w:val="22"/>
              </w:rPr>
              <w:t>Governance Level</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_Toc225456758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8</w:t>
            </w:r>
            <w:r>
              <w:rPr>
                <w:rFonts w:ascii="Arial" w:hAnsi="Arial" w:cs="Arial"/>
                <w:sz w:val="22"/>
                <w:szCs w:val="22"/>
              </w:rPr>
              <w:fldChar w:fldCharType="end"/>
            </w:r>
          </w:hyperlink>
        </w:p>
        <w:p w14:paraId="02242486" w14:textId="77777777" w:rsidR="00962815" w:rsidRDefault="00ED0532">
          <w:pPr>
            <w:pStyle w:val="TOC3"/>
            <w:tabs>
              <w:tab w:val="right" w:leader="dot" w:pos="9016"/>
            </w:tabs>
            <w:rPr>
              <w:rFonts w:ascii="Arial" w:hAnsi="Arial" w:cs="Arial"/>
              <w:sz w:val="22"/>
              <w:szCs w:val="22"/>
            </w:rPr>
          </w:pPr>
          <w:hyperlink w:anchor="_Toc225456759" w:history="1">
            <w:r>
              <w:rPr>
                <w:rStyle w:val="Hyperlink"/>
                <w:rFonts w:ascii="Arial" w:hAnsi="Arial" w:cs="Arial"/>
                <w:sz w:val="22"/>
                <w:szCs w:val="22"/>
              </w:rPr>
              <w:t>Rich Picture</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_Toc225456759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8</w:t>
            </w:r>
            <w:r>
              <w:rPr>
                <w:rFonts w:ascii="Arial" w:hAnsi="Arial" w:cs="Arial"/>
                <w:sz w:val="22"/>
                <w:szCs w:val="22"/>
              </w:rPr>
              <w:fldChar w:fldCharType="end"/>
            </w:r>
          </w:hyperlink>
        </w:p>
        <w:p w14:paraId="02242487" w14:textId="77777777" w:rsidR="00962815" w:rsidRDefault="00ED0532">
          <w:pPr>
            <w:pStyle w:val="TOC2"/>
            <w:tabs>
              <w:tab w:val="right" w:leader="dot" w:pos="9016"/>
            </w:tabs>
            <w:rPr>
              <w:rFonts w:ascii="Arial" w:hAnsi="Arial" w:cs="Arial"/>
              <w:sz w:val="22"/>
              <w:szCs w:val="22"/>
            </w:rPr>
          </w:pPr>
          <w:hyperlink w:anchor="_Toc225456760" w:history="1">
            <w:r>
              <w:rPr>
                <w:rStyle w:val="Hyperlink"/>
                <w:rFonts w:ascii="Arial" w:hAnsi="Arial" w:cs="Arial"/>
                <w:sz w:val="22"/>
                <w:szCs w:val="22"/>
              </w:rPr>
              <w:t>b. Decentralization or centralization</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_Toc225456760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9</w:t>
            </w:r>
            <w:r>
              <w:rPr>
                <w:rFonts w:ascii="Arial" w:hAnsi="Arial" w:cs="Arial"/>
                <w:sz w:val="22"/>
                <w:szCs w:val="22"/>
              </w:rPr>
              <w:fldChar w:fldCharType="end"/>
            </w:r>
          </w:hyperlink>
        </w:p>
        <w:p w14:paraId="02242488" w14:textId="77777777" w:rsidR="00962815" w:rsidRDefault="00ED0532">
          <w:pPr>
            <w:pStyle w:val="TOC2"/>
            <w:tabs>
              <w:tab w:val="right" w:leader="dot" w:pos="9016"/>
            </w:tabs>
            <w:rPr>
              <w:rFonts w:ascii="Arial" w:hAnsi="Arial" w:cs="Arial"/>
              <w:sz w:val="22"/>
              <w:szCs w:val="22"/>
            </w:rPr>
          </w:pPr>
          <w:hyperlink w:anchor="_Toc225456761" w:history="1">
            <w:r>
              <w:rPr>
                <w:rStyle w:val="Hyperlink"/>
                <w:rFonts w:ascii="Arial" w:hAnsi="Arial" w:cs="Arial"/>
                <w:sz w:val="22"/>
                <w:szCs w:val="22"/>
              </w:rPr>
              <w:t>c. Leadership Theories and Practice</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_Toc225456761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11</w:t>
            </w:r>
            <w:r>
              <w:rPr>
                <w:rFonts w:ascii="Arial" w:hAnsi="Arial" w:cs="Arial"/>
                <w:sz w:val="22"/>
                <w:szCs w:val="22"/>
              </w:rPr>
              <w:fldChar w:fldCharType="end"/>
            </w:r>
          </w:hyperlink>
        </w:p>
        <w:p w14:paraId="02242489" w14:textId="77777777" w:rsidR="00962815" w:rsidRDefault="00ED0532">
          <w:pPr>
            <w:pStyle w:val="TOC3"/>
            <w:tabs>
              <w:tab w:val="right" w:leader="dot" w:pos="9016"/>
            </w:tabs>
            <w:rPr>
              <w:rFonts w:ascii="Arial" w:hAnsi="Arial" w:cs="Arial"/>
              <w:sz w:val="22"/>
              <w:szCs w:val="22"/>
            </w:rPr>
          </w:pPr>
          <w:hyperlink w:anchor="_Toc225456762" w:history="1">
            <w:r>
              <w:rPr>
                <w:rStyle w:val="Hyperlink"/>
                <w:rFonts w:ascii="Arial" w:hAnsi="Arial" w:cs="Arial"/>
                <w:sz w:val="22"/>
                <w:szCs w:val="22"/>
              </w:rPr>
              <w:t>Theory of Behavioural Leadership</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_Toc225456762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12</w:t>
            </w:r>
            <w:r>
              <w:rPr>
                <w:rFonts w:ascii="Arial" w:hAnsi="Arial" w:cs="Arial"/>
                <w:sz w:val="22"/>
                <w:szCs w:val="22"/>
              </w:rPr>
              <w:fldChar w:fldCharType="end"/>
            </w:r>
          </w:hyperlink>
        </w:p>
        <w:p w14:paraId="0224248A" w14:textId="77777777" w:rsidR="00962815" w:rsidRDefault="00ED0532">
          <w:pPr>
            <w:pStyle w:val="TOC3"/>
            <w:tabs>
              <w:tab w:val="right" w:leader="dot" w:pos="9016"/>
            </w:tabs>
            <w:rPr>
              <w:rFonts w:ascii="Arial" w:hAnsi="Arial" w:cs="Arial"/>
              <w:sz w:val="22"/>
              <w:szCs w:val="22"/>
            </w:rPr>
          </w:pPr>
          <w:hyperlink w:anchor="_Toc225456763" w:history="1">
            <w:r>
              <w:rPr>
                <w:rStyle w:val="Hyperlink"/>
                <w:rFonts w:ascii="Arial" w:hAnsi="Arial" w:cs="Arial"/>
                <w:sz w:val="22"/>
                <w:szCs w:val="22"/>
              </w:rPr>
              <w:t>Tannenbaum Schmidt Leadership Continuum</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_Toc225456763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13</w:t>
            </w:r>
            <w:r>
              <w:rPr>
                <w:rFonts w:ascii="Arial" w:hAnsi="Arial" w:cs="Arial"/>
                <w:sz w:val="22"/>
                <w:szCs w:val="22"/>
              </w:rPr>
              <w:fldChar w:fldCharType="end"/>
            </w:r>
          </w:hyperlink>
        </w:p>
        <w:p w14:paraId="0224248B" w14:textId="77777777" w:rsidR="00962815" w:rsidRDefault="00ED0532">
          <w:pPr>
            <w:pStyle w:val="TOC3"/>
            <w:tabs>
              <w:tab w:val="right" w:leader="dot" w:pos="9016"/>
            </w:tabs>
            <w:rPr>
              <w:rFonts w:ascii="Arial" w:hAnsi="Arial" w:cs="Arial"/>
              <w:sz w:val="22"/>
              <w:szCs w:val="22"/>
            </w:rPr>
          </w:pPr>
          <w:hyperlink w:anchor="_Toc225456764" w:history="1">
            <w:r>
              <w:rPr>
                <w:rStyle w:val="Hyperlink"/>
                <w:rFonts w:ascii="Arial" w:hAnsi="Arial" w:cs="Arial"/>
                <w:sz w:val="22"/>
                <w:szCs w:val="22"/>
              </w:rPr>
              <w:t>Theory X and Theory Y of McGregor</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_Toc225456764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13</w:t>
            </w:r>
            <w:r>
              <w:rPr>
                <w:rFonts w:ascii="Arial" w:hAnsi="Arial" w:cs="Arial"/>
                <w:sz w:val="22"/>
                <w:szCs w:val="22"/>
              </w:rPr>
              <w:fldChar w:fldCharType="end"/>
            </w:r>
          </w:hyperlink>
        </w:p>
        <w:p w14:paraId="0224248C" w14:textId="77777777" w:rsidR="00962815" w:rsidRDefault="00ED0532">
          <w:pPr>
            <w:pStyle w:val="TOC3"/>
            <w:tabs>
              <w:tab w:val="right" w:leader="dot" w:pos="9016"/>
            </w:tabs>
            <w:rPr>
              <w:rFonts w:ascii="Arial" w:hAnsi="Arial" w:cs="Arial"/>
              <w:sz w:val="22"/>
              <w:szCs w:val="22"/>
            </w:rPr>
          </w:pPr>
          <w:hyperlink w:anchor="_Toc225456765" w:history="1">
            <w:r>
              <w:rPr>
                <w:rStyle w:val="Hyperlink"/>
                <w:rFonts w:ascii="Arial" w:hAnsi="Arial" w:cs="Arial"/>
                <w:sz w:val="22"/>
                <w:szCs w:val="22"/>
              </w:rPr>
              <w:t>Critical Evaluation</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_Toc225456765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14</w:t>
            </w:r>
            <w:r>
              <w:rPr>
                <w:rFonts w:ascii="Arial" w:hAnsi="Arial" w:cs="Arial"/>
                <w:sz w:val="22"/>
                <w:szCs w:val="22"/>
              </w:rPr>
              <w:fldChar w:fldCharType="end"/>
            </w:r>
          </w:hyperlink>
        </w:p>
        <w:p w14:paraId="0224248D" w14:textId="77777777" w:rsidR="00962815" w:rsidRDefault="00ED0532">
          <w:pPr>
            <w:pStyle w:val="TOC2"/>
            <w:tabs>
              <w:tab w:val="right" w:leader="dot" w:pos="9016"/>
            </w:tabs>
            <w:rPr>
              <w:rFonts w:ascii="Arial" w:hAnsi="Arial" w:cs="Arial"/>
              <w:sz w:val="22"/>
              <w:szCs w:val="22"/>
            </w:rPr>
          </w:pPr>
          <w:hyperlink w:anchor="_Toc225456766" w:history="1">
            <w:r>
              <w:rPr>
                <w:rStyle w:val="Hyperlink"/>
                <w:rFonts w:ascii="Arial" w:hAnsi="Arial" w:cs="Arial"/>
                <w:sz w:val="22"/>
                <w:szCs w:val="22"/>
              </w:rPr>
              <w:t>d. Lesson Learned and Improvement</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_Toc225456766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14</w:t>
            </w:r>
            <w:r>
              <w:rPr>
                <w:rFonts w:ascii="Arial" w:hAnsi="Arial" w:cs="Arial"/>
                <w:sz w:val="22"/>
                <w:szCs w:val="22"/>
              </w:rPr>
              <w:fldChar w:fldCharType="end"/>
            </w:r>
          </w:hyperlink>
        </w:p>
        <w:p w14:paraId="0224248E" w14:textId="77777777" w:rsidR="00962815" w:rsidRDefault="00ED0532">
          <w:pPr>
            <w:pStyle w:val="TOC1"/>
            <w:tabs>
              <w:tab w:val="right" w:leader="dot" w:pos="9016"/>
            </w:tabs>
            <w:rPr>
              <w:rFonts w:ascii="Arial" w:hAnsi="Arial" w:cs="Arial"/>
              <w:sz w:val="22"/>
              <w:szCs w:val="22"/>
            </w:rPr>
          </w:pPr>
          <w:hyperlink w:anchor="_Toc225456767" w:history="1">
            <w:r>
              <w:rPr>
                <w:rStyle w:val="Hyperlink"/>
                <w:rFonts w:ascii="Arial" w:hAnsi="Arial" w:cs="Arial"/>
                <w:sz w:val="22"/>
                <w:szCs w:val="22"/>
              </w:rPr>
              <w:t>Recommendations</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_Toc225456767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16</w:t>
            </w:r>
            <w:r>
              <w:rPr>
                <w:rFonts w:ascii="Arial" w:hAnsi="Arial" w:cs="Arial"/>
                <w:sz w:val="22"/>
                <w:szCs w:val="22"/>
              </w:rPr>
              <w:fldChar w:fldCharType="end"/>
            </w:r>
          </w:hyperlink>
        </w:p>
        <w:p w14:paraId="0224248F" w14:textId="77777777" w:rsidR="00962815" w:rsidRDefault="00ED0532">
          <w:pPr>
            <w:pStyle w:val="TOC2"/>
            <w:tabs>
              <w:tab w:val="right" w:leader="dot" w:pos="9016"/>
            </w:tabs>
            <w:rPr>
              <w:rFonts w:ascii="Arial" w:hAnsi="Arial" w:cs="Arial"/>
              <w:sz w:val="22"/>
              <w:szCs w:val="22"/>
            </w:rPr>
          </w:pPr>
          <w:hyperlink w:anchor="_Toc225456768" w:history="1">
            <w:r>
              <w:rPr>
                <w:rStyle w:val="Hyperlink"/>
                <w:rFonts w:ascii="Arial" w:hAnsi="Arial" w:cs="Arial"/>
                <w:sz w:val="22"/>
                <w:szCs w:val="22"/>
              </w:rPr>
              <w:t>Leadership Style</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_Toc225456768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16</w:t>
            </w:r>
            <w:r>
              <w:rPr>
                <w:rFonts w:ascii="Arial" w:hAnsi="Arial" w:cs="Arial"/>
                <w:sz w:val="22"/>
                <w:szCs w:val="22"/>
              </w:rPr>
              <w:fldChar w:fldCharType="end"/>
            </w:r>
          </w:hyperlink>
        </w:p>
        <w:p w14:paraId="02242490" w14:textId="77777777" w:rsidR="00962815" w:rsidRDefault="00ED0532">
          <w:pPr>
            <w:pStyle w:val="TOC2"/>
            <w:tabs>
              <w:tab w:val="right" w:leader="dot" w:pos="9016"/>
            </w:tabs>
            <w:rPr>
              <w:rFonts w:ascii="Arial" w:hAnsi="Arial" w:cs="Arial"/>
              <w:sz w:val="22"/>
              <w:szCs w:val="22"/>
            </w:rPr>
          </w:pPr>
          <w:hyperlink w:anchor="_Toc225456769" w:history="1">
            <w:r>
              <w:rPr>
                <w:rStyle w:val="Hyperlink"/>
                <w:rFonts w:ascii="Arial" w:hAnsi="Arial" w:cs="Arial"/>
                <w:sz w:val="22"/>
                <w:szCs w:val="22"/>
              </w:rPr>
              <w:t>Governance Strengthening</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_Toc225456769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16</w:t>
            </w:r>
            <w:r>
              <w:rPr>
                <w:rFonts w:ascii="Arial" w:hAnsi="Arial" w:cs="Arial"/>
                <w:sz w:val="22"/>
                <w:szCs w:val="22"/>
              </w:rPr>
              <w:fldChar w:fldCharType="end"/>
            </w:r>
          </w:hyperlink>
        </w:p>
        <w:p w14:paraId="02242491" w14:textId="77777777" w:rsidR="00962815" w:rsidRDefault="00ED0532">
          <w:pPr>
            <w:pStyle w:val="TOC2"/>
            <w:tabs>
              <w:tab w:val="right" w:leader="dot" w:pos="9016"/>
            </w:tabs>
            <w:rPr>
              <w:rFonts w:ascii="Arial" w:hAnsi="Arial" w:cs="Arial"/>
              <w:sz w:val="22"/>
              <w:szCs w:val="22"/>
            </w:rPr>
          </w:pPr>
          <w:hyperlink w:anchor="_Toc225456770" w:history="1">
            <w:r>
              <w:rPr>
                <w:rStyle w:val="Hyperlink"/>
                <w:rFonts w:ascii="Arial" w:hAnsi="Arial" w:cs="Arial"/>
                <w:sz w:val="22"/>
                <w:szCs w:val="22"/>
              </w:rPr>
              <w:t>Enhancing Efficiency</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_Toc225456770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16</w:t>
            </w:r>
            <w:r>
              <w:rPr>
                <w:rFonts w:ascii="Arial" w:hAnsi="Arial" w:cs="Arial"/>
                <w:sz w:val="22"/>
                <w:szCs w:val="22"/>
              </w:rPr>
              <w:fldChar w:fldCharType="end"/>
            </w:r>
          </w:hyperlink>
        </w:p>
        <w:p w14:paraId="02242492" w14:textId="77777777" w:rsidR="00962815" w:rsidRDefault="00ED0532">
          <w:pPr>
            <w:pStyle w:val="TOC2"/>
            <w:tabs>
              <w:tab w:val="right" w:leader="dot" w:pos="9016"/>
            </w:tabs>
            <w:rPr>
              <w:rFonts w:ascii="Arial" w:hAnsi="Arial" w:cs="Arial"/>
              <w:sz w:val="22"/>
              <w:szCs w:val="22"/>
            </w:rPr>
          </w:pPr>
          <w:hyperlink w:anchor="_Toc225456771" w:history="1">
            <w:r>
              <w:rPr>
                <w:rStyle w:val="Hyperlink"/>
                <w:rFonts w:ascii="Arial" w:hAnsi="Arial" w:cs="Arial"/>
                <w:sz w:val="22"/>
                <w:szCs w:val="22"/>
              </w:rPr>
              <w:t>Continuous Learning</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_Toc225456771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17</w:t>
            </w:r>
            <w:r>
              <w:rPr>
                <w:rFonts w:ascii="Arial" w:hAnsi="Arial" w:cs="Arial"/>
                <w:sz w:val="22"/>
                <w:szCs w:val="22"/>
              </w:rPr>
              <w:fldChar w:fldCharType="end"/>
            </w:r>
          </w:hyperlink>
        </w:p>
        <w:p w14:paraId="02242493" w14:textId="77777777" w:rsidR="00962815" w:rsidRDefault="00ED0532">
          <w:pPr>
            <w:pStyle w:val="TOC1"/>
            <w:tabs>
              <w:tab w:val="right" w:leader="dot" w:pos="9016"/>
            </w:tabs>
            <w:rPr>
              <w:rFonts w:ascii="Arial" w:hAnsi="Arial" w:cs="Arial"/>
              <w:sz w:val="22"/>
              <w:szCs w:val="22"/>
            </w:rPr>
          </w:pPr>
          <w:hyperlink w:anchor="_Toc225456772" w:history="1">
            <w:r>
              <w:rPr>
                <w:rStyle w:val="Hyperlink"/>
                <w:rFonts w:ascii="Arial" w:hAnsi="Arial" w:cs="Arial"/>
                <w:sz w:val="22"/>
                <w:szCs w:val="22"/>
              </w:rPr>
              <w:t>Conclusion</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_Toc225456772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17</w:t>
            </w:r>
            <w:r>
              <w:rPr>
                <w:rFonts w:ascii="Arial" w:hAnsi="Arial" w:cs="Arial"/>
                <w:sz w:val="22"/>
                <w:szCs w:val="22"/>
              </w:rPr>
              <w:fldChar w:fldCharType="end"/>
            </w:r>
          </w:hyperlink>
        </w:p>
        <w:p w14:paraId="02242494" w14:textId="77777777" w:rsidR="00962815" w:rsidRDefault="00ED0532">
          <w:pPr>
            <w:pStyle w:val="TOC1"/>
            <w:tabs>
              <w:tab w:val="right" w:leader="dot" w:pos="9016"/>
            </w:tabs>
            <w:rPr>
              <w:rFonts w:ascii="Arial" w:hAnsi="Arial" w:cs="Arial"/>
              <w:sz w:val="22"/>
              <w:szCs w:val="22"/>
            </w:rPr>
          </w:pPr>
          <w:hyperlink w:anchor="_Toc225456773" w:history="1">
            <w:r>
              <w:rPr>
                <w:rStyle w:val="Hyperlink"/>
                <w:rFonts w:ascii="Arial" w:hAnsi="Arial" w:cs="Arial"/>
                <w:sz w:val="22"/>
                <w:szCs w:val="22"/>
              </w:rPr>
              <w:t>Reference list</w:t>
            </w:r>
            <w:r>
              <w:rPr>
                <w:rFonts w:ascii="Arial" w:hAnsi="Arial" w:cs="Arial"/>
                <w:sz w:val="22"/>
                <w:szCs w:val="22"/>
              </w:rPr>
              <w:tab/>
            </w:r>
            <w:r>
              <w:rPr>
                <w:rFonts w:ascii="Arial" w:hAnsi="Arial" w:cs="Arial"/>
                <w:sz w:val="22"/>
                <w:szCs w:val="22"/>
              </w:rPr>
              <w:fldChar w:fldCharType="begin"/>
            </w:r>
            <w:r>
              <w:rPr>
                <w:rFonts w:ascii="Arial" w:hAnsi="Arial" w:cs="Arial"/>
                <w:sz w:val="22"/>
                <w:szCs w:val="22"/>
              </w:rPr>
              <w:instrText xml:space="preserve"> PAGEREF _Toc225456773 \h </w:instrText>
            </w:r>
            <w:r>
              <w:rPr>
                <w:rFonts w:ascii="Arial" w:hAnsi="Arial" w:cs="Arial"/>
                <w:sz w:val="22"/>
                <w:szCs w:val="22"/>
              </w:rPr>
            </w:r>
            <w:r>
              <w:rPr>
                <w:rFonts w:ascii="Arial" w:hAnsi="Arial" w:cs="Arial"/>
                <w:sz w:val="22"/>
                <w:szCs w:val="22"/>
              </w:rPr>
              <w:fldChar w:fldCharType="separate"/>
            </w:r>
            <w:r>
              <w:rPr>
                <w:rFonts w:ascii="Arial" w:hAnsi="Arial" w:cs="Arial"/>
                <w:sz w:val="22"/>
                <w:szCs w:val="22"/>
              </w:rPr>
              <w:t>19</w:t>
            </w:r>
            <w:r>
              <w:rPr>
                <w:rFonts w:ascii="Arial" w:hAnsi="Arial" w:cs="Arial"/>
                <w:sz w:val="22"/>
                <w:szCs w:val="22"/>
              </w:rPr>
              <w:fldChar w:fldCharType="end"/>
            </w:r>
          </w:hyperlink>
        </w:p>
        <w:p w14:paraId="02242495" w14:textId="77777777" w:rsidR="00962815" w:rsidRDefault="00ED0532">
          <w:r>
            <w:rPr>
              <w:rFonts w:ascii="Arial" w:hAnsi="Arial" w:cs="Arial"/>
              <w:sz w:val="22"/>
              <w:szCs w:val="22"/>
            </w:rPr>
            <w:fldChar w:fldCharType="end"/>
          </w:r>
        </w:p>
      </w:sdtContent>
    </w:sdt>
    <w:p w14:paraId="02242496" w14:textId="77777777" w:rsidR="00962815" w:rsidRDefault="00962815">
      <w:pPr>
        <w:rPr>
          <w:rFonts w:ascii="Arial" w:hAnsi="Arial" w:cs="Arial"/>
          <w:sz w:val="22"/>
          <w:szCs w:val="22"/>
        </w:rPr>
      </w:pPr>
    </w:p>
    <w:p w14:paraId="02242497" w14:textId="77777777" w:rsidR="00962815" w:rsidRDefault="00ED0532">
      <w:pPr>
        <w:rPr>
          <w:rFonts w:ascii="Arial" w:hAnsi="Arial" w:cs="Arial"/>
          <w:b/>
          <w:bCs/>
        </w:rPr>
      </w:pPr>
      <w:r>
        <w:rPr>
          <w:rFonts w:ascii="Arial" w:hAnsi="Arial" w:cs="Arial"/>
          <w:b/>
          <w:bCs/>
        </w:rPr>
        <w:br w:type="page"/>
      </w:r>
    </w:p>
    <w:p w14:paraId="02242498" w14:textId="77777777" w:rsidR="00962815" w:rsidRDefault="00ED0532">
      <w:pPr>
        <w:pStyle w:val="Heading1"/>
        <w:rPr>
          <w:rFonts w:ascii="Arial" w:hAnsi="Arial" w:cs="Arial"/>
          <w:b/>
          <w:bCs/>
          <w:color w:val="auto"/>
          <w:sz w:val="22"/>
          <w:szCs w:val="22"/>
        </w:rPr>
      </w:pPr>
      <w:bookmarkStart w:id="0" w:name="_Toc225456751"/>
      <w:r>
        <w:rPr>
          <w:rFonts w:ascii="Arial" w:hAnsi="Arial" w:cs="Arial"/>
          <w:b/>
          <w:bCs/>
          <w:color w:val="auto"/>
          <w:sz w:val="22"/>
          <w:szCs w:val="22"/>
        </w:rPr>
        <w:t>Bristol Royal Infirmary Heart Surgery Scandal</w:t>
      </w:r>
      <w:bookmarkEnd w:id="0"/>
    </w:p>
    <w:p w14:paraId="02242499" w14:textId="77777777" w:rsidR="00962815" w:rsidRDefault="00ED0532">
      <w:pPr>
        <w:pStyle w:val="Heading1"/>
        <w:rPr>
          <w:rFonts w:ascii="Arial" w:hAnsi="Arial" w:cs="Arial"/>
          <w:b/>
          <w:bCs/>
          <w:color w:val="auto"/>
          <w:sz w:val="22"/>
          <w:szCs w:val="22"/>
        </w:rPr>
      </w:pPr>
      <w:bookmarkStart w:id="1" w:name="_Toc225456752"/>
      <w:r>
        <w:rPr>
          <w:rFonts w:ascii="Arial" w:hAnsi="Arial" w:cs="Arial"/>
          <w:b/>
          <w:bCs/>
          <w:color w:val="auto"/>
          <w:sz w:val="22"/>
          <w:szCs w:val="22"/>
        </w:rPr>
        <w:t>Introduction</w:t>
      </w:r>
      <w:bookmarkEnd w:id="1"/>
    </w:p>
    <w:p w14:paraId="0224249A" w14:textId="77777777" w:rsidR="00962815" w:rsidRDefault="00ED0532">
      <w:pPr>
        <w:spacing w:after="0" w:line="360" w:lineRule="auto"/>
        <w:contextualSpacing/>
        <w:jc w:val="both"/>
        <w:rPr>
          <w:rFonts w:ascii="Arial" w:hAnsi="Arial" w:cs="Arial"/>
          <w:sz w:val="22"/>
          <w:szCs w:val="22"/>
        </w:rPr>
      </w:pPr>
      <w:bookmarkStart w:id="2" w:name="_Hlk224316718"/>
      <w:r>
        <w:rPr>
          <w:rFonts w:ascii="Arial" w:hAnsi="Arial" w:cs="Arial"/>
          <w:sz w:val="22"/>
          <w:szCs w:val="22"/>
        </w:rPr>
        <w:t>The Bristol Royal Infirmary heart surgery scandal is one of the most significant transformation cases in the United Kingdom healthcare industry on the topic of patient safety and governance reforms (Alaszewski, 2002; Bolsin, 1998). This scandal happened in Bristol Royal infirmary where children with complex heart surgery between 1984 and 1995 experienced a high rate of mortality (Bolsin, 1998). Studies subsequently found that the outcomes in the hospital were very low in regard to the outcomes in other hospitals of paediatric cardiac surgery in the country, which raised serious concerns on patient safety, leadership responsibility and clinical leadership within the organisation (Alaszewski, 2002). When an anaesthetist of the hospital called Stephen Bolsin, expressed his concerns about poor performance of the surgery and inefficiencies in control at the hospital, the situation was a national matter (Stephen Bolsin: Whistleblower on the Bristol scandal, 2016). The ensuing investigation by the public revealed significant flaws in organisational leadership, communication systems, and governance policies and processes, which enabled unsafe practices to continue for several years (Alaszewski, 2002). Consequently, the case became an impetus for major changes in patient safety regimes and care governance in the United Kingdom. The process by which individuals can impact others to accomplish common objectives related to patient safety, quality improvement, and organisational performance is defined as leadership in health and social care organisations (Adu &amp; Zuma, 2024).</w:t>
      </w:r>
    </w:p>
    <w:p w14:paraId="0224249B"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Good leadership demands clinical proficiency, team leadership, team collaboration, and an organisational culture of high-quality, safe patient care (Anders, 2025). Centralisation and decentralisation. Decentralisation is a critical organisational concept that inform common leadership practices in a healthcare environment by coordinating multidisciplinary teams, managing complex systems, and keeping staff members engaged in delivering shared goals related to patient wellbeing. Centralisation is the act of placing decision-making in senior management or executive leaders, which may enhance uniformity and standardisation of healthcare practices and policies (Alaszewski, 2002). The problem, however, is the extreme centralisation, which restricts frontline healthcare professionals' capacity to address concerns or act promptly in cases of patient safety. decentralisation, on the contrary, disperses power across multiple organisational tiers, empowering frontline clinicians to engage in decision-making and address clinical risks more effectively (Adu &amp; Zuma, 2024). To have effective healthcare leadership, such governance structures must be balanced. The leadership theories come in handy in offering information on the relationship between leadership behaviours and change processes, and performance in an organisation. Transformational leadership relies on motivating and encouraging the team to achieve a common goal and enhance organisational performance, especially during a critical time or crisis (Aldhmabi et al., 2025). The organisational systems and procedures that maintain accountability, performance monitoring, and uphold standards are all aspects of transactional leadership (Aldhmabi et al., 2025). Situational leadership, on the other hand, addresses the significance of following the change of the type of leadership to be applied to the situation in the organisation, the abilities of the staff members and the complexity of the issues confronting the healthcare organisations (Anders, 2025).</w:t>
      </w:r>
    </w:p>
    <w:p w14:paraId="0224249C"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The question of choosing the relevant leadership approach is especially timely in the context of introducing organisational change initiatives that can be used to improve the quality of healthcare and patient safety. Good leadership in healthcare organisations facilitates increased communication, engagement of employees in the decision-making process, and learning (Brittain &amp; Carrington, 2024). Conversely, poor leadership behaviours also contribute to ineffective accountability mechanisms, inadequate communication, and unsafe clinical activities and are risky to patients. The Bristol Royal Infirmary case examined in the current report to determine how the actions of the leaders, the governance structures, and organisational culture have led to the crisis of patient safety and the alteration of the healthcare system. The report analyses Bristol’s patient safety failures, examining governance, leadership behaviours, and lessons to improve healthcare leadership, culture, and accountability.</w:t>
      </w:r>
    </w:p>
    <w:p w14:paraId="0224249D" w14:textId="77777777" w:rsidR="00962815" w:rsidRDefault="00ED0532">
      <w:pPr>
        <w:pStyle w:val="Heading1"/>
        <w:rPr>
          <w:rFonts w:ascii="Arial" w:hAnsi="Arial" w:cs="Arial"/>
          <w:b/>
          <w:bCs/>
          <w:color w:val="auto"/>
          <w:sz w:val="22"/>
          <w:szCs w:val="22"/>
        </w:rPr>
      </w:pPr>
      <w:bookmarkStart w:id="3" w:name="_Toc225456753"/>
      <w:r>
        <w:rPr>
          <w:rFonts w:ascii="Arial" w:hAnsi="Arial" w:cs="Arial"/>
          <w:b/>
          <w:bCs/>
          <w:color w:val="auto"/>
          <w:sz w:val="22"/>
          <w:szCs w:val="22"/>
        </w:rPr>
        <w:t>Main Body and Analysis</w:t>
      </w:r>
      <w:bookmarkEnd w:id="3"/>
    </w:p>
    <w:p w14:paraId="0224249E" w14:textId="77777777" w:rsidR="00962815" w:rsidRDefault="00ED0532">
      <w:pPr>
        <w:pStyle w:val="Heading2"/>
        <w:rPr>
          <w:rFonts w:ascii="Arial" w:hAnsi="Arial" w:cs="Arial"/>
          <w:b/>
          <w:bCs/>
          <w:color w:val="auto"/>
          <w:sz w:val="22"/>
          <w:szCs w:val="22"/>
        </w:rPr>
      </w:pPr>
      <w:bookmarkStart w:id="4" w:name="_Toc225456754"/>
      <w:r>
        <w:rPr>
          <w:rFonts w:ascii="Arial" w:hAnsi="Arial" w:cs="Arial"/>
          <w:b/>
          <w:bCs/>
          <w:color w:val="auto"/>
          <w:sz w:val="22"/>
          <w:szCs w:val="22"/>
        </w:rPr>
        <w:t>a. The System Environment and the Problem Identification</w:t>
      </w:r>
      <w:bookmarkEnd w:id="4"/>
    </w:p>
    <w:p w14:paraId="0224249F" w14:textId="77777777" w:rsidR="00962815" w:rsidRDefault="00ED0532">
      <w:pPr>
        <w:pStyle w:val="Heading3"/>
        <w:rPr>
          <w:rFonts w:ascii="Arial" w:hAnsi="Arial" w:cs="Arial"/>
          <w:b/>
          <w:bCs/>
          <w:color w:val="auto"/>
          <w:sz w:val="22"/>
          <w:szCs w:val="22"/>
        </w:rPr>
      </w:pPr>
      <w:bookmarkStart w:id="5" w:name="_Toc225456755"/>
      <w:r>
        <w:rPr>
          <w:rFonts w:ascii="Arial" w:hAnsi="Arial" w:cs="Arial"/>
          <w:b/>
          <w:bCs/>
          <w:color w:val="auto"/>
          <w:sz w:val="22"/>
          <w:szCs w:val="22"/>
        </w:rPr>
        <w:t>Problem Description</w:t>
      </w:r>
      <w:bookmarkEnd w:id="5"/>
    </w:p>
    <w:p w14:paraId="022424A0"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The Bristol Royal Infirmary heart surgery scandal can be regarded as one of the biggest failures in healthcare government in the United Kingdom (Kennedy, 2001; Dyer, 2001). The case was formed with Bristol Royal Infirmary paediatric cardiac surgeries and had been reported to have a high mortality rate among the children undergoing heart surgery between 1984 and 1995(Dyer, 2001; Fox, 2001). They eventually discovered that the surgical outcome in this unit was much worse than what was being quoted in the country in other paediatric cardiac units (Bolsin, 1998; Hilton, 2005). It was not a clinical complication but a systemic failure in patient safety, which entailed leadership, governance, and organisational culture (Alaszewski, 2002; Teasdale, 2002). Doctors were still performing complex paediatric surgeries, for which evidence showed disproportionately poor performance, but this did not raise serious concerns about clinical decision-making and monitoring (Kennedy, 2001; Fox, 2001). Junior clinicians and nursing staff have even been reported to complain about the complexities of surgical outcomes and patient deterioration, but such warnings have usually been disregarded by senior clinicians who held authority in the department (Alaszewski, 2002; Bolsin, 1998). Consequently, over several years, the condition remained untreated, meaning that preventable damage was being caused to the vulnerable paediatric patients (Butler, 2002; Teasdale, 2002). An investigation conducted by the community later established that a lack of leadership accountability caused the issue, inefficient oversight of surgical outcomes, and a culture that discouraged personnel from questioning top management (Kennedy, 2001; Teasdale, 2002). All of these elements led to a situation in which the risk to patient safety was not identified and addressed in a timely fashion (Dyer, 2001; Leape, 2021).</w:t>
      </w:r>
    </w:p>
    <w:p w14:paraId="022424A1" w14:textId="77777777" w:rsidR="00962815" w:rsidRDefault="00ED0532">
      <w:pPr>
        <w:pStyle w:val="Heading3"/>
        <w:rPr>
          <w:rFonts w:ascii="Arial" w:hAnsi="Arial" w:cs="Arial"/>
          <w:b/>
          <w:bCs/>
          <w:color w:val="auto"/>
          <w:sz w:val="22"/>
          <w:szCs w:val="22"/>
        </w:rPr>
      </w:pPr>
      <w:bookmarkStart w:id="6" w:name="_Toc225456756"/>
      <w:bookmarkStart w:id="7" w:name="_Hlk224371141"/>
      <w:r>
        <w:rPr>
          <w:rFonts w:ascii="Arial" w:hAnsi="Arial" w:cs="Arial"/>
          <w:b/>
          <w:bCs/>
          <w:color w:val="auto"/>
          <w:sz w:val="22"/>
          <w:szCs w:val="22"/>
        </w:rPr>
        <w:t>Global and National Data</w:t>
      </w:r>
      <w:bookmarkEnd w:id="6"/>
    </w:p>
    <w:p w14:paraId="022424A2"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The failure of patient safety, as seen in the Bristol case, is not a singular instance but rather an indication of broader systemic issues within healthcare systems worldwide (Leape, 2021). The prevalence of hospital-based safety risks is also evidenced by findings from the World Health Organisation, which notes that one out of ten patients suffer injuries during hospital treatment due to medical errors that could be prevented (WHO, 2019; Leape, 2021). Some examples of medical errors are surgical accidents, drug errors, communication issues, and errors in diagnoses that might result in severe morbidity and mortality (WHO, 2019; Leape, 2021). The evidence, based on global research, also recommends that preventable medical harm is among the most common causes of mortality internationally, and that powerfully disciplined leadership and safety governance frameworks in medical organisations are required (Leape, 2021). The Institute of Healthcare Improvement believes that the safety culture, transparency, and accountability should become a key theme of healthcare systems to reduce the number of preventable harms and increase positive clinical outcomes (Leape, 2021). At the national level, the National Health Service collects performance statistics in order to monitor the performance of hospitals and identify the safety risks in healthcare organisations (Health, 2002). The Bristol case included relative data on national clinical audits, which showed that more deaths were being reported on paediatric cardiac units as compared to other hospitals implementing the same procedure in the UK (Kennedy, 2001; Dyer, 2001). Bristol mortality rates stood at 20-40 % as opposed to the anticipated clinical performance levels of less than 10%, unlike in most of the paediatric cardiac centres that had low mortality rates (Dyer, 2001; Hilton, 2005). International comparisons also made the situation worse because the small number of deaths in paediatric cardiac surgery centres in North America and Europe was attributed to the appropriate governance structure and the multidisciplinary teamwork (Fox, 2001; Hilton, 2005). This body of findings ensured that Bristol results were not pre-destined but conditional upon the systemic organisational weaknesses (Leape, 2021).</w:t>
      </w:r>
    </w:p>
    <w:p w14:paraId="022424A3" w14:textId="77777777" w:rsidR="00962815" w:rsidRDefault="00ED0532">
      <w:pPr>
        <w:spacing w:after="0" w:line="360" w:lineRule="auto"/>
        <w:contextualSpacing/>
        <w:jc w:val="both"/>
        <w:rPr>
          <w:rFonts w:ascii="Arial" w:hAnsi="Arial" w:cs="Arial"/>
          <w:sz w:val="22"/>
          <w:szCs w:val="22"/>
        </w:rPr>
      </w:pPr>
      <w:r>
        <w:rPr>
          <w:rFonts w:ascii="Arial" w:hAnsi="Arial" w:cs="Arial"/>
          <w:noProof/>
          <w:sz w:val="22"/>
          <w:szCs w:val="22"/>
        </w:rPr>
        <w:drawing>
          <wp:inline distT="0" distB="0" distL="0" distR="0" wp14:anchorId="0224252A" wp14:editId="0224252B">
            <wp:extent cx="6225540" cy="3520440"/>
            <wp:effectExtent l="0" t="0" r="3810" b="3810"/>
            <wp:docPr id="62423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23299"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a:xfrm>
                      <a:off x="0" y="0"/>
                      <a:ext cx="6233125" cy="3524729"/>
                    </a:xfrm>
                    <a:prstGeom prst="rect">
                      <a:avLst/>
                    </a:prstGeom>
                    <a:noFill/>
                  </pic:spPr>
                </pic:pic>
              </a:graphicData>
            </a:graphic>
          </wp:inline>
        </w:drawing>
      </w:r>
    </w:p>
    <w:bookmarkEnd w:id="7"/>
    <w:p w14:paraId="022424A4" w14:textId="77777777" w:rsidR="00962815" w:rsidRDefault="00962815">
      <w:pPr>
        <w:spacing w:after="0" w:line="360" w:lineRule="auto"/>
        <w:contextualSpacing/>
        <w:jc w:val="both"/>
        <w:rPr>
          <w:rFonts w:ascii="Arial" w:hAnsi="Arial" w:cs="Arial"/>
          <w:sz w:val="22"/>
          <w:szCs w:val="22"/>
        </w:rPr>
      </w:pPr>
    </w:p>
    <w:p w14:paraId="022424A5" w14:textId="77777777" w:rsidR="00962815" w:rsidRDefault="00ED0532">
      <w:pPr>
        <w:pStyle w:val="Caption"/>
        <w:rPr>
          <w:rFonts w:ascii="Arial" w:hAnsi="Arial" w:cs="Arial"/>
          <w:b/>
          <w:bCs/>
          <w:i w:val="0"/>
          <w:iCs w:val="0"/>
          <w:color w:val="auto"/>
          <w:sz w:val="28"/>
          <w:szCs w:val="28"/>
        </w:rPr>
      </w:pPr>
      <w:r>
        <w:rPr>
          <w:rFonts w:ascii="Arial" w:hAnsi="Arial" w:cs="Arial"/>
          <w:b/>
          <w:bCs/>
          <w:i w:val="0"/>
          <w:iCs w:val="0"/>
          <w:color w:val="auto"/>
          <w:sz w:val="22"/>
          <w:szCs w:val="22"/>
        </w:rPr>
        <w:t xml:space="preserve">Figure </w:t>
      </w:r>
      <w:r>
        <w:rPr>
          <w:rFonts w:ascii="Arial" w:hAnsi="Arial" w:cs="Arial"/>
          <w:b/>
          <w:bCs/>
          <w:i w:val="0"/>
          <w:iCs w:val="0"/>
          <w:color w:val="auto"/>
          <w:sz w:val="22"/>
          <w:szCs w:val="22"/>
        </w:rPr>
        <w:fldChar w:fldCharType="begin"/>
      </w:r>
      <w:r>
        <w:rPr>
          <w:rFonts w:ascii="Arial" w:hAnsi="Arial" w:cs="Arial"/>
          <w:b/>
          <w:bCs/>
          <w:i w:val="0"/>
          <w:iCs w:val="0"/>
          <w:color w:val="auto"/>
          <w:sz w:val="22"/>
          <w:szCs w:val="22"/>
        </w:rPr>
        <w:instrText xml:space="preserve"> SEQ Figure \* ARABIC </w:instrText>
      </w:r>
      <w:r>
        <w:rPr>
          <w:rFonts w:ascii="Arial" w:hAnsi="Arial" w:cs="Arial"/>
          <w:b/>
          <w:bCs/>
          <w:i w:val="0"/>
          <w:iCs w:val="0"/>
          <w:color w:val="auto"/>
          <w:sz w:val="22"/>
          <w:szCs w:val="22"/>
        </w:rPr>
        <w:fldChar w:fldCharType="separate"/>
      </w:r>
      <w:r>
        <w:rPr>
          <w:rFonts w:ascii="Arial" w:hAnsi="Arial" w:cs="Arial"/>
          <w:b/>
          <w:bCs/>
          <w:i w:val="0"/>
          <w:iCs w:val="0"/>
          <w:color w:val="auto"/>
          <w:sz w:val="22"/>
          <w:szCs w:val="22"/>
        </w:rPr>
        <w:t>1</w:t>
      </w:r>
      <w:r>
        <w:rPr>
          <w:rFonts w:ascii="Arial" w:hAnsi="Arial" w:cs="Arial"/>
          <w:b/>
          <w:bCs/>
          <w:i w:val="0"/>
          <w:iCs w:val="0"/>
          <w:color w:val="auto"/>
          <w:sz w:val="22"/>
          <w:szCs w:val="22"/>
        </w:rPr>
        <w:fldChar w:fldCharType="end"/>
      </w:r>
      <w:r>
        <w:rPr>
          <w:rFonts w:ascii="Arial" w:hAnsi="Arial" w:cs="Arial"/>
          <w:b/>
          <w:bCs/>
          <w:i w:val="0"/>
          <w:iCs w:val="0"/>
          <w:color w:val="auto"/>
          <w:sz w:val="22"/>
          <w:szCs w:val="22"/>
        </w:rPr>
        <w:t xml:space="preserve"> Comparison of Paediatric Cardiac Surgery Mortality Rates (Bristol vs Benchmarks)</w:t>
      </w:r>
    </w:p>
    <w:p w14:paraId="022424A6" w14:textId="77777777" w:rsidR="00962815" w:rsidRDefault="00962815">
      <w:pPr>
        <w:spacing w:after="0" w:line="360" w:lineRule="auto"/>
        <w:contextualSpacing/>
        <w:jc w:val="both"/>
        <w:rPr>
          <w:rFonts w:ascii="Arial" w:hAnsi="Arial" w:cs="Arial"/>
          <w:sz w:val="22"/>
          <w:szCs w:val="22"/>
        </w:rPr>
      </w:pPr>
    </w:p>
    <w:tbl>
      <w:tblPr>
        <w:tblStyle w:val="TableGrid"/>
        <w:tblW w:w="0" w:type="auto"/>
        <w:tblLook w:val="04A0" w:firstRow="1" w:lastRow="0" w:firstColumn="1" w:lastColumn="0" w:noHBand="0" w:noVBand="1"/>
      </w:tblPr>
      <w:tblGrid>
        <w:gridCol w:w="2009"/>
        <w:gridCol w:w="3271"/>
        <w:gridCol w:w="3736"/>
      </w:tblGrid>
      <w:tr w:rsidR="00962815" w14:paraId="022424AA" w14:textId="77777777">
        <w:tc>
          <w:tcPr>
            <w:tcW w:w="0" w:type="auto"/>
            <w:shd w:val="clear" w:color="auto" w:fill="0F9ED5" w:themeFill="accent4"/>
          </w:tcPr>
          <w:p w14:paraId="022424A7"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Source</w:t>
            </w:r>
          </w:p>
        </w:tc>
        <w:tc>
          <w:tcPr>
            <w:tcW w:w="0" w:type="auto"/>
            <w:shd w:val="clear" w:color="auto" w:fill="0F9ED5" w:themeFill="accent4"/>
          </w:tcPr>
          <w:p w14:paraId="022424A8"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Statistic / Finding</w:t>
            </w:r>
          </w:p>
        </w:tc>
        <w:tc>
          <w:tcPr>
            <w:tcW w:w="0" w:type="auto"/>
            <w:shd w:val="clear" w:color="auto" w:fill="0F9ED5" w:themeFill="accent4"/>
          </w:tcPr>
          <w:p w14:paraId="022424A9"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Relevance to Bristol Case</w:t>
            </w:r>
          </w:p>
        </w:tc>
      </w:tr>
      <w:tr w:rsidR="00962815" w14:paraId="022424AE" w14:textId="77777777">
        <w:tc>
          <w:tcPr>
            <w:tcW w:w="0" w:type="auto"/>
          </w:tcPr>
          <w:p w14:paraId="022424AB"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World Health Organization (WHO, 2019)</w:t>
            </w:r>
          </w:p>
        </w:tc>
        <w:tc>
          <w:tcPr>
            <w:tcW w:w="0" w:type="auto"/>
          </w:tcPr>
          <w:p w14:paraId="022424AC"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1 in 10 patients worldwide experience harm during hospital care due to preventable medical errors</w:t>
            </w:r>
          </w:p>
        </w:tc>
        <w:tc>
          <w:tcPr>
            <w:tcW w:w="0" w:type="auto"/>
          </w:tcPr>
          <w:p w14:paraId="022424AD"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Highlights that patient safety failures are a global issue, situating Bristol within broader systemic risks in healthcare</w:t>
            </w:r>
          </w:p>
        </w:tc>
      </w:tr>
      <w:tr w:rsidR="00962815" w14:paraId="022424B2" w14:textId="77777777">
        <w:tc>
          <w:tcPr>
            <w:tcW w:w="0" w:type="auto"/>
          </w:tcPr>
          <w:p w14:paraId="022424AF"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Institute for Healthcare Improvement (IHI, 2020)</w:t>
            </w:r>
          </w:p>
        </w:tc>
        <w:tc>
          <w:tcPr>
            <w:tcW w:w="0" w:type="auto"/>
          </w:tcPr>
          <w:p w14:paraId="022424B0"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Preventable medical harm is one of the leading causes of mortality globally</w:t>
            </w:r>
          </w:p>
        </w:tc>
        <w:tc>
          <w:tcPr>
            <w:tcW w:w="0" w:type="auto"/>
          </w:tcPr>
          <w:p w14:paraId="022424B1"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Reinforces the need for strong leadership, safety culture, and governance to prevent deaths like those at Bristol</w:t>
            </w:r>
          </w:p>
        </w:tc>
      </w:tr>
      <w:tr w:rsidR="00962815" w14:paraId="022424B6" w14:textId="77777777">
        <w:tc>
          <w:tcPr>
            <w:tcW w:w="0" w:type="auto"/>
          </w:tcPr>
          <w:p w14:paraId="022424B3"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National Health Service (Health, 2002)</w:t>
            </w:r>
          </w:p>
        </w:tc>
        <w:tc>
          <w:tcPr>
            <w:tcW w:w="0" w:type="auto"/>
          </w:tcPr>
          <w:p w14:paraId="022424B4"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National audits showed Bristol paediatric cardiac mortality rates of 20–40%, compared to &lt;10% in other UK centres</w:t>
            </w:r>
          </w:p>
        </w:tc>
        <w:tc>
          <w:tcPr>
            <w:tcW w:w="0" w:type="auto"/>
          </w:tcPr>
          <w:p w14:paraId="022424B5"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Demonstrates local/national underperformance, providing context for systemic failures in governance and oversight</w:t>
            </w:r>
          </w:p>
        </w:tc>
      </w:tr>
      <w:tr w:rsidR="00962815" w14:paraId="022424BA" w14:textId="77777777">
        <w:tc>
          <w:tcPr>
            <w:tcW w:w="0" w:type="auto"/>
          </w:tcPr>
          <w:p w14:paraId="022424B7"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Kennedy, I. (2001)</w:t>
            </w:r>
          </w:p>
        </w:tc>
        <w:tc>
          <w:tcPr>
            <w:tcW w:w="0" w:type="auto"/>
          </w:tcPr>
          <w:p w14:paraId="022424B8"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Mortality rates consistently above national average for paediatric cardiac surgery at Bristol</w:t>
            </w:r>
          </w:p>
        </w:tc>
        <w:tc>
          <w:tcPr>
            <w:tcW w:w="0" w:type="auto"/>
          </w:tcPr>
          <w:p w14:paraId="022424B9"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Confirms that the issue was not an isolated clinical error but a systemic problem requiring intervention</w:t>
            </w:r>
          </w:p>
        </w:tc>
      </w:tr>
      <w:tr w:rsidR="00962815" w14:paraId="022424BE" w14:textId="77777777">
        <w:tc>
          <w:tcPr>
            <w:tcW w:w="0" w:type="auto"/>
          </w:tcPr>
          <w:p w14:paraId="022424BB"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Dyer, C. (2001)</w:t>
            </w:r>
          </w:p>
        </w:tc>
        <w:tc>
          <w:tcPr>
            <w:tcW w:w="0" w:type="auto"/>
          </w:tcPr>
          <w:p w14:paraId="022424BC"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20–40% mortality rate in some procedures at Bristol vs &lt;10% expected</w:t>
            </w:r>
          </w:p>
        </w:tc>
        <w:tc>
          <w:tcPr>
            <w:tcW w:w="0" w:type="auto"/>
          </w:tcPr>
          <w:p w14:paraId="022424BD"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Quantifies the scale of the patient safety crisis, justifying the need for improved governance and leadership</w:t>
            </w:r>
          </w:p>
        </w:tc>
      </w:tr>
      <w:tr w:rsidR="00962815" w14:paraId="022424C2" w14:textId="77777777">
        <w:tc>
          <w:tcPr>
            <w:tcW w:w="0" w:type="auto"/>
          </w:tcPr>
          <w:p w14:paraId="022424BF"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Hilton, S. (2005)</w:t>
            </w:r>
          </w:p>
        </w:tc>
        <w:tc>
          <w:tcPr>
            <w:tcW w:w="0" w:type="auto"/>
          </w:tcPr>
          <w:p w14:paraId="022424C0"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International comparisons: paediatric cardiac centres in North America and Europe had mortality &lt;10%</w:t>
            </w:r>
          </w:p>
        </w:tc>
        <w:tc>
          <w:tcPr>
            <w:tcW w:w="0" w:type="auto"/>
          </w:tcPr>
          <w:p w14:paraId="022424C1"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Highlights how effective governance, multidisciplinary teamwork, and oversight contributed to safer outcomes elsewhere</w:t>
            </w:r>
          </w:p>
        </w:tc>
      </w:tr>
      <w:tr w:rsidR="00962815" w14:paraId="022424C6" w14:textId="77777777">
        <w:tc>
          <w:tcPr>
            <w:tcW w:w="0" w:type="auto"/>
          </w:tcPr>
          <w:p w14:paraId="022424C3"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Leape, L. (2021)</w:t>
            </w:r>
          </w:p>
        </w:tc>
        <w:tc>
          <w:tcPr>
            <w:tcW w:w="0" w:type="auto"/>
          </w:tcPr>
          <w:p w14:paraId="022424C4"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Preventable errors include surgical accidents, medication mistakes, communication breakdowns, and diagnostic errors</w:t>
            </w:r>
          </w:p>
        </w:tc>
        <w:tc>
          <w:tcPr>
            <w:tcW w:w="0" w:type="auto"/>
          </w:tcPr>
          <w:p w14:paraId="022424C5"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Illustrates the types of systemic failures observed at Bristol, linking global evidence to local failings</w:t>
            </w:r>
          </w:p>
        </w:tc>
      </w:tr>
      <w:tr w:rsidR="00962815" w14:paraId="022424CA" w14:textId="77777777">
        <w:tc>
          <w:tcPr>
            <w:tcW w:w="0" w:type="auto"/>
          </w:tcPr>
          <w:p w14:paraId="022424C7"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Fox, R. (2001)</w:t>
            </w:r>
          </w:p>
        </w:tc>
        <w:tc>
          <w:tcPr>
            <w:tcW w:w="0" w:type="auto"/>
          </w:tcPr>
          <w:p w14:paraId="022424C8"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Multidisciplinary teamwork and governance structures reduce surgical mortality rates in paediatric cardiac surgery</w:t>
            </w:r>
          </w:p>
        </w:tc>
        <w:tc>
          <w:tcPr>
            <w:tcW w:w="0" w:type="auto"/>
          </w:tcPr>
          <w:p w14:paraId="022424C9"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Supports the recommendation that improved team collaboration and leadership oversight could have prevented the Bristol outcomes</w:t>
            </w:r>
          </w:p>
        </w:tc>
      </w:tr>
    </w:tbl>
    <w:p w14:paraId="022424CB" w14:textId="77777777" w:rsidR="00962815" w:rsidRDefault="00962815">
      <w:pPr>
        <w:spacing w:after="0" w:line="360" w:lineRule="auto"/>
        <w:contextualSpacing/>
        <w:jc w:val="both"/>
        <w:rPr>
          <w:rFonts w:ascii="Arial" w:hAnsi="Arial" w:cs="Arial"/>
          <w:b/>
          <w:bCs/>
          <w:sz w:val="22"/>
          <w:szCs w:val="22"/>
        </w:rPr>
      </w:pPr>
    </w:p>
    <w:p w14:paraId="022424CC" w14:textId="77777777" w:rsidR="00962815" w:rsidRDefault="00ED0532">
      <w:pPr>
        <w:pStyle w:val="Heading3"/>
        <w:rPr>
          <w:rFonts w:ascii="Arial" w:hAnsi="Arial" w:cs="Arial"/>
          <w:b/>
          <w:bCs/>
          <w:color w:val="auto"/>
          <w:sz w:val="22"/>
          <w:szCs w:val="22"/>
        </w:rPr>
      </w:pPr>
      <w:bookmarkStart w:id="8" w:name="_Toc225456757"/>
      <w:r>
        <w:rPr>
          <w:rFonts w:ascii="Arial" w:hAnsi="Arial" w:cs="Arial"/>
          <w:b/>
          <w:bCs/>
          <w:color w:val="auto"/>
          <w:sz w:val="22"/>
          <w:szCs w:val="22"/>
        </w:rPr>
        <w:t>System Weaknesses</w:t>
      </w:r>
      <w:bookmarkEnd w:id="8"/>
    </w:p>
    <w:p w14:paraId="022424CD"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Various systemic weaknesses that comprised communicational breakdowns, insufficiency in the leadership control system, and the inability to review the clinical outcomes contribute to the failures at Bristol (Kennedy, 2001; Teasdale, 2002). The hierarchical organisational culture of the hospital, in which junior clinicians could not discuss the decisions made by senior surgeons, was among the most apparent ones (Alaszewski, 2002; Bolsin, 1998). These hierarchies may prevent free communication and prevent healthcare workers from solving the problem of patient safety (Bolsin, 1998; Leape, 2021). The other weakness was the lack of properly established clinical governance systems to observe the results of surgical operations and recognise potential risks at their early stages (Leape, 2021). Clinical governance is organised to facilitate the provision of quality care by healthcare organisations, where audits, performance reviews, and open reports are done periodically (Leape, 2021). As indicated in the Bristol case, there is no guarantee that surgical outcomes were analysed and applied to improve the process that enabled years of poor performance to continue (Kennedy, 2001; Hilton, 2005). There were also poor accountability mechanisms in the organisation that ensured that any issues raised by the employees were not reported to senior managers or the regulatory bodies promptly (Butler, 2002; Dyer, 2001). The magnitude of the problem could not become real till it was revealed to the crowd and gained a different level of concern, resulting in the official investigation without responsible lines of action and reporting (Dyer, 2001; Teasdale, 2002).</w:t>
      </w:r>
    </w:p>
    <w:p w14:paraId="022424CE" w14:textId="77777777" w:rsidR="00962815" w:rsidRDefault="00ED0532">
      <w:pPr>
        <w:pStyle w:val="Heading3"/>
        <w:rPr>
          <w:rFonts w:ascii="Arial" w:hAnsi="Arial" w:cs="Arial"/>
          <w:b/>
          <w:bCs/>
          <w:color w:val="auto"/>
          <w:sz w:val="22"/>
          <w:szCs w:val="22"/>
        </w:rPr>
      </w:pPr>
      <w:bookmarkStart w:id="9" w:name="_Toc225456758"/>
      <w:r>
        <w:rPr>
          <w:rFonts w:ascii="Arial" w:hAnsi="Arial" w:cs="Arial"/>
          <w:b/>
          <w:bCs/>
          <w:color w:val="auto"/>
          <w:sz w:val="22"/>
          <w:szCs w:val="22"/>
        </w:rPr>
        <w:t>Governance Level</w:t>
      </w:r>
      <w:bookmarkEnd w:id="9"/>
    </w:p>
    <w:p w14:paraId="022424CF"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The governance failures were at various levels of the health care system, including local, regional, and national levels (Kennedy, 2001; Teasdale, 2002). At the local level, the hospital administration failed to monitor the clinical outcomes and responsiveness to the staff concerns regarding the risks of patient safety (Alaszewski, 2002; Bolsin, 1998). Even senior clinicians in charge of paediatric cardiac surgery did not realise the performance problems, which prevented early corrective measures (Bolsin, 1998; Hilton, 2005) at the regional level. In cases of poor hospital performance, oversight mechanisms that were supposed to monitor it failed to detect abnormally high mortality rates until substantial damage had been done (Health, 2002; Butler, 2002). There were also ineffective data transparency systems within the National Health Service's national governance structures that would have been used to highlight poor performance earlier (Kennedy, 2001; Health, 2002). The population exploration led to the administration that was characterised by various governance levels that led to the continuation of the unsafe behaviours in the hospital (Kennedy, 2001; Teasdale, 2002). Some of those governance failures include the need to have integrated systems of accountability that have the capacity to detect and respond to any safety threat within the healthcare system (Leape, 2021).</w:t>
      </w:r>
    </w:p>
    <w:p w14:paraId="022424D0" w14:textId="77777777" w:rsidR="00962815" w:rsidRDefault="00ED0532">
      <w:pPr>
        <w:pStyle w:val="Heading3"/>
        <w:rPr>
          <w:rFonts w:ascii="Arial" w:hAnsi="Arial" w:cs="Arial"/>
          <w:b/>
          <w:bCs/>
          <w:color w:val="auto"/>
          <w:sz w:val="22"/>
          <w:szCs w:val="22"/>
        </w:rPr>
      </w:pPr>
      <w:bookmarkStart w:id="10" w:name="_Toc225456759"/>
      <w:r>
        <w:rPr>
          <w:rFonts w:ascii="Arial" w:hAnsi="Arial" w:cs="Arial"/>
          <w:b/>
          <w:bCs/>
          <w:color w:val="auto"/>
          <w:sz w:val="22"/>
          <w:szCs w:val="22"/>
        </w:rPr>
        <w:t>Rich Picture</w:t>
      </w:r>
      <w:bookmarkEnd w:id="10"/>
    </w:p>
    <w:p w14:paraId="022424D1"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A visualisation tool of systems-thinking, a Rich Picture is a visualisation tool used to visualise complex issues in an organisation and give an association between the stakeholders, processes and structural influences. The Bristol case would be a Rich Picture that would include the main stakeholders, including surgeons, nurses, junior doctors, hospital managers, patients, families, and the national regulatory bodies that have an interest in healthcare management (Kennedy, 2001; Alaszewski, 2002). The other important processes that have been indicated in the diagram include surgical decision-making, monitoring the patient, reporting of incidents, and outcome auditing that affect patient safety at the hospital (Leape, 2021). Communication channels between employees and managers would be drawn to highlight where failures occurred and how issues identified by clinicians did not reach decision-makers (Alaszewski, 2002; Butler, 2002). This would also incorporate structural elements of the Rich Picture; these included governance structures, regulatory controls and organisational culture since these elements determined the direction of information flow within the healthcare system (Kennedy, 2001; Teasdale, 2002). Incident reporting and performance-monitoring feedback loops indicate that ineffective communication channels contributed to the failure to detect patient safety risks early (Leape, 2021). The Rich Picture helps visualise how a combination of factors in the system systematically contributed to the emergence of the patient safety crisis at the Bristol Royal Infirmary (Leape, 2021).</w:t>
      </w:r>
    </w:p>
    <w:p w14:paraId="022424D2" w14:textId="77777777" w:rsidR="00962815" w:rsidRDefault="00962815">
      <w:pPr>
        <w:spacing w:after="0" w:line="360" w:lineRule="auto"/>
        <w:contextualSpacing/>
        <w:jc w:val="both"/>
        <w:rPr>
          <w:rFonts w:ascii="Arial" w:hAnsi="Arial" w:cs="Arial"/>
          <w:sz w:val="22"/>
          <w:szCs w:val="22"/>
        </w:rPr>
      </w:pPr>
    </w:p>
    <w:p w14:paraId="022424D3" w14:textId="77777777" w:rsidR="00962815" w:rsidRDefault="00ED0532">
      <w:pPr>
        <w:spacing w:after="0" w:line="360" w:lineRule="auto"/>
        <w:contextualSpacing/>
        <w:jc w:val="both"/>
        <w:rPr>
          <w:rFonts w:ascii="Arial" w:hAnsi="Arial" w:cs="Arial"/>
          <w:sz w:val="22"/>
          <w:szCs w:val="22"/>
        </w:rPr>
      </w:pPr>
      <w:r>
        <w:rPr>
          <w:rFonts w:ascii="Arial" w:hAnsi="Arial" w:cs="Arial"/>
          <w:noProof/>
          <w:sz w:val="22"/>
          <w:szCs w:val="22"/>
        </w:rPr>
        <w:drawing>
          <wp:inline distT="0" distB="0" distL="0" distR="0" wp14:anchorId="0224252C" wp14:editId="0224252D">
            <wp:extent cx="6111240" cy="3332480"/>
            <wp:effectExtent l="0" t="0" r="3810" b="1270"/>
            <wp:docPr id="15311079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10797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a:xfrm>
                      <a:off x="0" y="0"/>
                      <a:ext cx="6111240" cy="3332480"/>
                    </a:xfrm>
                    <a:prstGeom prst="rect">
                      <a:avLst/>
                    </a:prstGeom>
                    <a:noFill/>
                  </pic:spPr>
                </pic:pic>
              </a:graphicData>
            </a:graphic>
          </wp:inline>
        </w:drawing>
      </w:r>
    </w:p>
    <w:p w14:paraId="022424D4" w14:textId="77777777" w:rsidR="00962815" w:rsidRDefault="00ED0532">
      <w:pPr>
        <w:pStyle w:val="Caption"/>
        <w:spacing w:after="0" w:line="360" w:lineRule="auto"/>
        <w:contextualSpacing/>
        <w:jc w:val="both"/>
        <w:rPr>
          <w:rFonts w:ascii="Arial" w:hAnsi="Arial" w:cs="Arial"/>
          <w:b/>
          <w:bCs/>
          <w:i w:val="0"/>
          <w:iCs w:val="0"/>
          <w:color w:val="auto"/>
          <w:sz w:val="22"/>
          <w:szCs w:val="22"/>
        </w:rPr>
      </w:pPr>
      <w:r>
        <w:rPr>
          <w:rFonts w:ascii="Arial" w:hAnsi="Arial" w:cs="Arial"/>
          <w:b/>
          <w:bCs/>
          <w:i w:val="0"/>
          <w:iCs w:val="0"/>
          <w:color w:val="auto"/>
          <w:sz w:val="22"/>
          <w:szCs w:val="22"/>
        </w:rPr>
        <w:t xml:space="preserve">Figure </w:t>
      </w:r>
      <w:r>
        <w:rPr>
          <w:rFonts w:ascii="Arial" w:hAnsi="Arial" w:cs="Arial"/>
          <w:b/>
          <w:bCs/>
          <w:i w:val="0"/>
          <w:iCs w:val="0"/>
          <w:color w:val="auto"/>
          <w:sz w:val="22"/>
          <w:szCs w:val="22"/>
        </w:rPr>
        <w:fldChar w:fldCharType="begin"/>
      </w:r>
      <w:r>
        <w:rPr>
          <w:rFonts w:ascii="Arial" w:hAnsi="Arial" w:cs="Arial"/>
          <w:b/>
          <w:bCs/>
          <w:i w:val="0"/>
          <w:iCs w:val="0"/>
          <w:color w:val="auto"/>
          <w:sz w:val="22"/>
          <w:szCs w:val="22"/>
        </w:rPr>
        <w:instrText xml:space="preserve"> SEQ Figure \* ARABIC </w:instrText>
      </w:r>
      <w:r>
        <w:rPr>
          <w:rFonts w:ascii="Arial" w:hAnsi="Arial" w:cs="Arial"/>
          <w:b/>
          <w:bCs/>
          <w:i w:val="0"/>
          <w:iCs w:val="0"/>
          <w:color w:val="auto"/>
          <w:sz w:val="22"/>
          <w:szCs w:val="22"/>
        </w:rPr>
        <w:fldChar w:fldCharType="separate"/>
      </w:r>
      <w:r>
        <w:rPr>
          <w:rFonts w:ascii="Arial" w:hAnsi="Arial" w:cs="Arial"/>
          <w:b/>
          <w:bCs/>
          <w:i w:val="0"/>
          <w:iCs w:val="0"/>
          <w:color w:val="auto"/>
          <w:sz w:val="22"/>
          <w:szCs w:val="22"/>
        </w:rPr>
        <w:t>2</w:t>
      </w:r>
      <w:r>
        <w:rPr>
          <w:rFonts w:ascii="Arial" w:hAnsi="Arial" w:cs="Arial"/>
          <w:b/>
          <w:bCs/>
          <w:i w:val="0"/>
          <w:iCs w:val="0"/>
          <w:color w:val="auto"/>
          <w:sz w:val="22"/>
          <w:szCs w:val="22"/>
        </w:rPr>
        <w:fldChar w:fldCharType="end"/>
      </w:r>
      <w:r>
        <w:rPr>
          <w:rFonts w:ascii="Arial" w:hAnsi="Arial" w:cs="Arial"/>
          <w:b/>
          <w:bCs/>
          <w:i w:val="0"/>
          <w:iCs w:val="0"/>
          <w:color w:val="auto"/>
          <w:sz w:val="22"/>
          <w:szCs w:val="22"/>
        </w:rPr>
        <w:t xml:space="preserve"> A rich picture of patient safety challenges at Bristol Infirmary</w:t>
      </w:r>
    </w:p>
    <w:p w14:paraId="022424D5" w14:textId="77777777" w:rsidR="00962815" w:rsidRDefault="00ED0532">
      <w:pPr>
        <w:pStyle w:val="Heading2"/>
        <w:rPr>
          <w:rFonts w:ascii="Arial" w:hAnsi="Arial" w:cs="Arial"/>
          <w:b/>
          <w:bCs/>
          <w:color w:val="auto"/>
          <w:sz w:val="22"/>
          <w:szCs w:val="22"/>
        </w:rPr>
      </w:pPr>
      <w:bookmarkStart w:id="11" w:name="_Toc225456760"/>
      <w:r>
        <w:rPr>
          <w:rFonts w:ascii="Arial" w:hAnsi="Arial" w:cs="Arial"/>
          <w:b/>
          <w:bCs/>
          <w:color w:val="auto"/>
          <w:sz w:val="22"/>
          <w:szCs w:val="22"/>
        </w:rPr>
        <w:t>b. Decentralization or centralization</w:t>
      </w:r>
      <w:bookmarkEnd w:id="11"/>
    </w:p>
    <w:p w14:paraId="022424D6"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The Bristol Royal Infirmary Heart Surgery Scandal management system was typical of the highly centralised decision-making in the unit of paediatric cardiac surgery at Bristol Royal Infirmary (Scally, 2001). In a centralised system of governance, the number of senior professionals who dictate the strategic and operational decisions in the organisation is minimal. Centralisation also offers several strengths in healthcare organisations, such as transparency in accountability, consistency in clinical practices, and frequent leadership oversight of complex medical services (Williams &amp; Best, 2022). These advantages are also particularly relevant in highly specialised practice, such as paediatric cardiac surgery, where integrative multidisciplinary teams and adherence to clinical guidelines are of great importance to patient safety (Watters et al., 2001). The Bristol case, however, demonstrates how high centralisation can be a barrier to communication and inhibit organisational learning, and that frontline staff are not permitted to communicate effectively or raise concerns (Scally, 2001). A high degree of centralisation existed in the cardiothoracic surgical department, with a small group of senior surgeons influencing key aspects of patient care, including case selection, procedural allocation, and clinical management strategies (Bolsin, 1998). The accumulation of power meant that junior doctors, nurses, and other medical practitioners had little say in decision-making, even though they were directly involved with patients and post-surgery monitoring (Bolsin, 1998).</w:t>
      </w:r>
    </w:p>
    <w:p w14:paraId="022424D7"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As revealed in research on the Bristol scandal, a quite large number of junior clinicians and nursing staff were aware of the quite high mortality rates in particular procedures, but were not in a position to challenge senior surgeons due to the hierarchical culture within the hospital (Scally, 2001). Organisational hierarchies that fail to facilitate free-flowing communication can make healthcare professionals silent about safety concerns, leaving systemic problems unaddressed (Montgomery, Lainidi &amp; Georganta, 2024). This environment implied that informal communication among staff was more likely to replace formal reporting, thereby reducing employees' likelihood of directing questions about patient outcomes to upper management or regulators (Montgomery, Lainidi, a&amp; Georganta, 2024).</w:t>
      </w:r>
    </w:p>
    <w:p w14:paraId="022424D8"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As in the case of Stephen Bolsin, the centralised power can prevent whistleblowing in health care institutions. Bolsin was an anaesthetist in the cardiothoracic unit. He was worried about the high mortality rates in paediatric cardiac surgery and was attempting to uncover these issues within the hospital. He did provide evidence that the results were significantly worse than would be achieved in other UK cardiac centres. Still, it was subsequently disregarded by the senior clinicians who made decisions in the department. This response highlights how corporate management structures are bound to focus on professional subordination rather than transparency and accountability, particularly in circumstances where organisational image is believed to be under attack (Scally, 2001).</w:t>
      </w:r>
    </w:p>
    <w:p w14:paraId="022424D9"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Another form of governance is decentralisation, which entails decentralising authority and decision-making to various organisational levels rather than vesting them in a few leaders (Ferlie &amp; Shortell, 2001). In healthcare organisations operating under a decentralised governance system, clinicians at the frontline can identify risks, record adverse events, and even participate in decision-making that affects patient care (Williams &amp; Best, 2022). This kind of decentralised solution can improve patient safety, as clinicians working directly with residents are likely to notice early signs of conditions that fail them or unsafe practices sooner (Maake et al., 2025). Decentralised reporting systems, in particular, can be especially useful in modern healthcare governance, as they facilitate transparency and help identify safety risks at their initial stages (Montgomery, Lainidi &amp; Georganta, 2024). Research shows that organisations that encourage free communication and collective decision-making are more likely to establish strong safety cultures in which employees feel comfortable raising concerns without fear of retaliation (Tsapnidou et al., 2024). In such environments, healthcare organisations learn from negative events and develop quality improvement plans to prevent future patient harm (Williams &amp; Best, 2022). Nonetheless, despite these advantages, decentralisation must be practised appropriately in highly specialised clinical environments, where technical expertise and standardised investigations are required to maintain quality care (Watters et al., 2001). Intricate surgical specialties, such as paediatric cardiac surgery, may lead to atypical clinical practice, variation in treatment techniques, and risks to patient safety due to over-decentralisation (Watters et al., 2001). That is why healthcare governance schemes often aim to strike a balance between centralised control and decentralised communication and reporting. Many healthcare theorists are therefore introducing a hybrid form of governance that incorporates the benefits of both centralisation and decentralisation (Williams and Best). Healthcare models feature top-level leadership and a high level of responsibility for monitoring strategic processes, clinical standards, and organisational responsibilities. Frontline clinicians are also empowered to raise safety concerns, participate in quality improvement activities, and be part of decision-making processes that contribute to patient care (Maake et al., 2025). This would result in learning within the organisation and in maintaining complex clinical services in an orderly and well-controlled manner. The Bristol situation demonstrates the consequences of failure to put this balance between centralised power and decentralised communication. Given that the older clinicians had a vested interest in hospital surgical decision-making, systems that could have allowed frontline employees to report safety concerns were either underdeveloped or neglected (Scally, 2001). As a result, critical information on patient outcomes was not communicated to individuals who needed to make decisions, which could have been utilised to implement remedial actions, and systemic failures could continue for a few years before an external intervention occurred (Anders, 2025). This is a government failure that underscores the importance of integrating leadership accountability, an open reporting model, and collaborative organisational cultures within healthcare organisations to protect patient healthcare and maintain social confidence (Anders, 2025).</w:t>
      </w:r>
    </w:p>
    <w:p w14:paraId="022424DA" w14:textId="77777777" w:rsidR="00962815" w:rsidRDefault="00ED0532">
      <w:pPr>
        <w:pStyle w:val="Heading2"/>
        <w:rPr>
          <w:rFonts w:ascii="Arial" w:hAnsi="Arial" w:cs="Arial"/>
          <w:b/>
          <w:bCs/>
          <w:color w:val="auto"/>
          <w:sz w:val="22"/>
          <w:szCs w:val="22"/>
        </w:rPr>
      </w:pPr>
      <w:bookmarkStart w:id="12" w:name="_Toc225456761"/>
      <w:r>
        <w:rPr>
          <w:rFonts w:ascii="Arial" w:hAnsi="Arial" w:cs="Arial"/>
          <w:b/>
          <w:bCs/>
          <w:color w:val="auto"/>
          <w:sz w:val="22"/>
          <w:szCs w:val="22"/>
        </w:rPr>
        <w:t>c. Leadership Theories and Practice</w:t>
      </w:r>
      <w:bookmarkEnd w:id="12"/>
    </w:p>
    <w:p w14:paraId="022424DB"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The critical role of leadership behaviour failure in the Bristol Royal Infirmary Heart Surgery Scandal had contributed to the overall failure in the system in terms of patient safety, clinical governance, and the organisational culture. The leadership decisions and practices were critical in generating adverse clinical results and institutionalised shortcomings in the long term. The ability to affect individuals and teams to achieve shared goals where tolerance to patient safety, quality of care, and organisational learning is present can be regarded as healthcare leadership. The Bristol Royal Infirmary case leader was largely a task-oriented and authoritarian leader whose main concern was with the performance of the surgical practice, the organization, and professional hierarchy, instead of communication and transparency, and patient safety (Montgomery, Lainidi, and Georganta, 2024). In the Bristol Royal Infirmary Inquiry (1984-1995), the mortality rates were constantly higher than the national rates in paediatric cardiac surgery. Mortality under the age of one year was between 30 and 35 % in the open-heart surgery compared to 10-15 %national mortality, and even in other operations such as arterial switch surgery, Bristol was more than in the rest of the country (Scally, 2001). The inquiry found that there were thirty to thirty-five deaths that could have been prevented, and over 170 children were slain during the period covered by the investigation, which turned out to be a monumental failure of leadership and governance. The leadership failed to act when it should have acted despite being cautioned of the same on many occasions, both in-house and outside, and this is why the leadership theory is applicable, besides the system failure in terms of patient safety.</w:t>
      </w:r>
    </w:p>
    <w:p w14:paraId="022424DC" w14:textId="77777777" w:rsidR="00962815" w:rsidRDefault="00ED0532">
      <w:pPr>
        <w:pStyle w:val="Heading3"/>
        <w:jc w:val="both"/>
        <w:rPr>
          <w:rFonts w:ascii="Arial" w:hAnsi="Arial" w:cs="Arial"/>
          <w:b/>
          <w:bCs/>
          <w:color w:val="auto"/>
          <w:sz w:val="22"/>
          <w:szCs w:val="22"/>
        </w:rPr>
      </w:pPr>
      <w:bookmarkStart w:id="13" w:name="_Toc225456762"/>
      <w:r>
        <w:rPr>
          <w:rFonts w:ascii="Arial" w:hAnsi="Arial" w:cs="Arial"/>
          <w:b/>
          <w:bCs/>
          <w:color w:val="auto"/>
          <w:sz w:val="22"/>
          <w:szCs w:val="22"/>
        </w:rPr>
        <w:t>Theory of Behavioural Leadership</w:t>
      </w:r>
      <w:bookmarkEnd w:id="13"/>
    </w:p>
    <w:p w14:paraId="022424DD"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The behavioural Theory of leadership is premised on the behaviours that the leaders can be witnessed, yet not the demands, rather than the traits, and the necessity to strike a balance between the task-oriented leadership behaviours and the people-oriented ones (Northouse, 2019). Effective leadership in healthcare organisations entails clinical performance management and high-level staff involvement in an attempt to provide safe and efficient care. The Bristol case leadership behaviour was principally task-based, with the top surgeons giving a lot of consideration to surgical throughput, operational productivity, and professional integrity (Bolsin, 1998). For example, surgeons were still able to conduct complex paediatric heart procedures even though the outcomes were poor and experience levels were low, which indicates that they were highly oriented towards the technical performance and not the team and safety measures decision-making process.</w:t>
      </w:r>
    </w:p>
    <w:p w14:paraId="022424DE"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The Bristol Inquiry exposed statistics that disclosed that the mortality rates were high over a period of more than 10 years, and internal audits and external comparisons were also clear signs of poor performance (Scally, 2001). However, the leadership did not establish organized mortality review meetings, multidisciplinary case review, or performance evaluation. Junior clinicians and anaesthetists already reported the issues of poor surgical outcomes in 1987, and the warnings were ignored by the leadership that continued working without any serious alterations (Montgomery, Lainidi, and Georganta, 2024). The literature about healthcare leadership suggests that healthcare organisations with high people-oriented leadership report incidents at a rate of 25 and superior patient safety results since the employees have the psychological empowerment to report problems to the leader (Tsapnidou et al., 2024).</w:t>
      </w:r>
    </w:p>
    <w:p w14:paraId="022424DF"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Most importantly, the behavioural leadership usage in Bristol was inappropriate in a high-risk clinical environment because the leadership prioritised task performance without making sure that communication, teamwork, and organisational learning were embraced. The leadership was reactive and not proactive since the management acted only after the problem was revealed to society, and the government implemented solutions. A more balanced behavioural leadership approach would have comprised more frequent mortality assessments, systems of clinical governance, and open lines of communication that would have resulted in the detection of safety hazards earlier and improved patient outcomes. No support and emotional intelligence towards the staff existed, and the culture of discussion rather than the culture of suppression of concerns was created.</w:t>
      </w:r>
    </w:p>
    <w:p w14:paraId="022424E0" w14:textId="77777777" w:rsidR="00962815" w:rsidRDefault="00ED0532">
      <w:pPr>
        <w:pStyle w:val="Heading3"/>
        <w:jc w:val="both"/>
        <w:rPr>
          <w:rFonts w:ascii="Arial" w:hAnsi="Arial" w:cs="Arial"/>
          <w:b/>
          <w:bCs/>
          <w:color w:val="auto"/>
          <w:sz w:val="22"/>
          <w:szCs w:val="22"/>
        </w:rPr>
      </w:pPr>
      <w:bookmarkStart w:id="14" w:name="_Toc225456763"/>
      <w:r>
        <w:rPr>
          <w:rFonts w:ascii="Arial" w:hAnsi="Arial" w:cs="Arial"/>
          <w:b/>
          <w:bCs/>
          <w:color w:val="auto"/>
          <w:sz w:val="22"/>
          <w:szCs w:val="22"/>
        </w:rPr>
        <w:t>Tannenbaum Schmidt Leadership Continuum</w:t>
      </w:r>
      <w:bookmarkEnd w:id="14"/>
    </w:p>
    <w:p w14:paraId="022424E1"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Another account of leadership practice in Bristol can be narrated using the Leadership Continuum by Tannenbaum and Schmidt, who dwell on the degree of power and influence on the decision-making process (Tannenbaum &amp; Schmidt, 1958). These spectrums consist of authoritarian leadership, where leaders make decisions individually, to participative leadership, where the employee is involved in the decision-making process in the organisation. Bristol leadership was placed on the authoritarian side of the scale, and the clinical decision-making was made by senior surgeons and hospital administrators, limiting the input of the staff in the process (Scally, 2001).</w:t>
      </w:r>
    </w:p>
    <w:p w14:paraId="022424E2"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The probe determined that no apparent actions of sharing mortality information across departments and performance, once compared with other hospitals, were blatantly done so. Junior clinicians were not able to challenge the senior clinicians and talk about safety concerns. In other cases, caring clinicians were not listened to or ostracised, which prevented organisational learning and delayed remedial action (Montgomery, Lainidi and Georganta, 2024). The current literature on healthcare governance suggests that hospital participative leadership models are associated with 20-30% greater staff engagement, safer reporting, and fewer mortality rates since frontline personnel take part in the process of decision making and quality improvement (Williams &amp; Best, 2022). Important, the authoritarian leadership style in Bristol produced a culture of silence and fear, whereby employees were not bold enough to oppose authority. The leadership style was dictatorial and focused on the setting of professional hierarchy and image of the institution rather than patient safety. Some of the aspects that could have been incorporated in the more participative form of leadership were clinical governance committees, multidisciplinary team meetings, and open performance observation systems. This would have given a chance to identify the poor surgical results at an earlier stage and reduce avoidable mortalities. This lack of participative leadership depicts the lack of ability to exercise proactive and goal-oriented leadership styles.</w:t>
      </w:r>
    </w:p>
    <w:p w14:paraId="022424E3" w14:textId="77777777" w:rsidR="00962815" w:rsidRDefault="00ED0532">
      <w:pPr>
        <w:pStyle w:val="Heading3"/>
        <w:rPr>
          <w:rFonts w:ascii="Arial" w:hAnsi="Arial" w:cs="Arial"/>
          <w:b/>
          <w:bCs/>
          <w:color w:val="auto"/>
          <w:sz w:val="22"/>
          <w:szCs w:val="22"/>
        </w:rPr>
      </w:pPr>
      <w:bookmarkStart w:id="15" w:name="_Toc225456764"/>
      <w:r>
        <w:rPr>
          <w:rFonts w:ascii="Arial" w:hAnsi="Arial" w:cs="Arial"/>
          <w:b/>
          <w:bCs/>
          <w:color w:val="auto"/>
          <w:sz w:val="22"/>
          <w:szCs w:val="22"/>
        </w:rPr>
        <w:t>Theory X and Theory Y of McGregor</w:t>
      </w:r>
      <w:bookmarkEnd w:id="15"/>
    </w:p>
    <w:p w14:paraId="022424E4"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The Theory X and Theory Y provide further insight into the leadership attitude by the leaders and organisational culture of Bristol (McGregor, 1960). Theory X assumes that employees must be controlled and monitored, but Theory Y assumes that employees are self-motivated and can make a contribution to the betterment of organisations. The Bristol management was extreme theory X, with the leader consolidating power in the few senior surgeons and little autonomy in the junior employees (Bolsin, 1998). This top-down system discouraged free communication and staff participation in the decision-making process.</w:t>
      </w:r>
    </w:p>
    <w:p w14:paraId="022424E5"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The inquiry has shown that Dr. Stephen Bolsin had also reported on several occasions about high mortality rates and poor surgery results. However, the lead management failed to intervene and did not assist him in his whistleblowing (Scally, 2001). It is a sign that there is no psychological safety and trust within the organisation. Research indicates that employees at Theory X organizations will have a reduced tendency to report safety events by up to 40 % due to a fear of blame and retaliation that will only increase the likelihood of adverse clinical outcomes (Maake et al., 2025). In addition, they did not possess any clinical governance systems, suggesting that the monitoring of performance and the improvement of the quality did not have any priority, which resulted in years of tolerating unsafe practices. Theory Y Leadership, critically, should have been embraced in order to improve patient safety, as well as organisational performance, to a significant level. Theory Y promotes empowerment of staff, working as a team, and accountability that are required within the healthcare facility. As long as Bristol leadership empowered the junior clinicians and nurses, encouraged open communication and whistleblowing, the death rates would have been reduced, and the safety risks could have been addressed earlier. Distributed leadership and emotionally intelligent leadership have positively contributed to teamwork and organisational learning, which prevented systemic failure.</w:t>
      </w:r>
    </w:p>
    <w:p w14:paraId="022424E6" w14:textId="77777777" w:rsidR="00962815" w:rsidRDefault="00ED0532">
      <w:pPr>
        <w:pStyle w:val="Heading3"/>
        <w:rPr>
          <w:rFonts w:ascii="Arial" w:hAnsi="Arial" w:cs="Arial"/>
          <w:b/>
          <w:bCs/>
          <w:color w:val="auto"/>
          <w:sz w:val="22"/>
          <w:szCs w:val="22"/>
        </w:rPr>
      </w:pPr>
      <w:bookmarkStart w:id="16" w:name="_Toc225456765"/>
      <w:r>
        <w:rPr>
          <w:rFonts w:ascii="Arial" w:hAnsi="Arial" w:cs="Arial"/>
          <w:b/>
          <w:bCs/>
          <w:color w:val="auto"/>
          <w:sz w:val="22"/>
          <w:szCs w:val="22"/>
        </w:rPr>
        <w:t>Critical Evaluation</w:t>
      </w:r>
      <w:bookmarkEnd w:id="16"/>
    </w:p>
    <w:p w14:paraId="022424E7"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Overall, the Bristol Royal Infirmary scandal was authoritarian with a task-oriented and reactive leadership style that resulted in low patient safety and organisational collapse. The mortality rates of cardiac surgery paediatric units measured 30-35 % against the national rate of 10-15%, and over 170 deaths of children and 30-35 preventable deaths had been discovered during the investigation (Scally, 2001). The lack of strong clinical governance and participation by a small number of personnel was demonstrated in the fact that the early warnings regarding the dangers that were being raised between 1987 and 2013 had not been heeded. The behavioural Theory shows the lack of balance between task and people orientation, and Tannenbaum and Theory X focus on excessive centralisation and lack of empowerment. As a result of the investigation, the clinical governance, CHI, and national audit systems were adopted, which are lessons of the failure of leadership.</w:t>
      </w:r>
    </w:p>
    <w:p w14:paraId="022424E8" w14:textId="77777777" w:rsidR="00962815" w:rsidRDefault="00ED0532">
      <w:pPr>
        <w:pStyle w:val="Heading2"/>
        <w:jc w:val="both"/>
        <w:rPr>
          <w:rFonts w:ascii="Arial" w:hAnsi="Arial" w:cs="Arial"/>
          <w:b/>
          <w:bCs/>
          <w:color w:val="auto"/>
          <w:sz w:val="22"/>
          <w:szCs w:val="22"/>
        </w:rPr>
      </w:pPr>
      <w:bookmarkStart w:id="17" w:name="_Toc225456766"/>
      <w:r>
        <w:rPr>
          <w:rFonts w:ascii="Arial" w:hAnsi="Arial" w:cs="Arial"/>
          <w:b/>
          <w:bCs/>
          <w:color w:val="auto"/>
          <w:sz w:val="22"/>
          <w:szCs w:val="22"/>
        </w:rPr>
        <w:t>d. Lesson Learned and Improvement</w:t>
      </w:r>
      <w:bookmarkEnd w:id="17"/>
    </w:p>
    <w:p w14:paraId="022424E9"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The Bristol Royal Infirmary heart surgery scandal has provided several lessons pertinent to healthcare leadership, organisational governance, and patient safety. One of the most notable lessons is that without adequate clinical governance systems, healthcare performance cannot be tracked, and patient risks cannot be defined. The frameworks of clinical governance ensure the continued evaluation of the quality and safety of clinical services by healthcare organisations through formal monitoring, such as clinical audits, performance benchmarking, and transparent reporting of outcomes (Mohammed et al., 2001; Team, 2019). In the Bristol case, due to the absence of effective clinical governance systems, the failure to achieve the desired results in the surgery became a prolonged, investigated issue with no remedies. Leadership responsibility would have supported effective governance structures that would have prompted earlier notice of the abnormality in the mortality pattern and prevented long-term harm to patients (Scally, 2001; Mohammed et al., 2001). The other valuable lesson that emerges from the Bristol case is the power of organisational culture in patient safety. Healthcare organisations ought to cultivate a Culture that encourages openness, transparency, and the reporting of safety concerns without intimidation or fear of punishment or professional ramifications. Research has also indicated that when healthcare professionals have a high level of safety, they report incidents and concerns and contribute to enhancing safety (Mannion &amp; Davies, 2018). At Bristol, there was a hierarchical nature of senior staff and senior nurses, and the senior surgeons did not permit subordinate staff and nurses to question their high status, even when they understood that patient outcomes were humiliating. This form of cultural resistance implied that much critical information was not flowing to be investigated earlier and acted upon (Mannion et al., 2018).</w:t>
      </w:r>
    </w:p>
    <w:p w14:paraId="022424EA"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The leadership style is also a critical factor that can influence the development of organisational behaviour and patient safety outcomes. Studies on leadership in healthcare have shown that participative and healthcare leadership styles can help healthcare teams work collaboratively, become innovative, and build collective responsibility (Restivo et al., 2022). Managers who encourage teamwork and openness create an environment where medical staff feel empowered to raise concerns and participate in quality improvement initiatives. Instead, autocratic leadership is more likely to inhibit communication and prevent employees from reporting safety risks, thereby increasing the likelihood of preventable errors (Restivo et al., 2022; Montgomery et al., 2024). Another lesson to mention is that effective feedback systems and incident-reporting mechanisms in healthcare organisations are important. Effective healthcare systems can help the healthcare organisation identify trends in healthcare costs, analyse underlying causes, and initiate necessary corrective measures to prevent their recurrence (Montgomery et al., 2024). The absence of such systems may contribute to situations in which healthcare organisations fail to identify risks or are unable to respond to them once significant damage has already been inflicted. Finally, the Bristol case proves the importance of applying systems thinking to healthcare improvement. Failure in patient safety results from complex interactions among leadership behaviour, organisational culture, governance structures, and communication processes. The system-wide learning strategies and methods of continuous improvement should be applied together when addressing interrelated factors (Scally, 2001; Team, 2019). Bristol experiences have therefore helped develop the present models of patient safety in the National Health Service, emphasising accountability, transparency, and learning within organisations as essential components of effective, safe healthcare.</w:t>
      </w:r>
    </w:p>
    <w:p w14:paraId="022424EB" w14:textId="77777777" w:rsidR="00962815" w:rsidRDefault="00ED0532">
      <w:pPr>
        <w:pStyle w:val="Heading1"/>
        <w:rPr>
          <w:rFonts w:ascii="Arial" w:hAnsi="Arial" w:cs="Arial"/>
          <w:b/>
          <w:bCs/>
          <w:color w:val="auto"/>
          <w:sz w:val="22"/>
          <w:szCs w:val="22"/>
        </w:rPr>
      </w:pPr>
      <w:bookmarkStart w:id="18" w:name="_Toc225456767"/>
      <w:r>
        <w:rPr>
          <w:rFonts w:ascii="Arial" w:hAnsi="Arial" w:cs="Arial"/>
          <w:b/>
          <w:bCs/>
          <w:color w:val="auto"/>
          <w:sz w:val="22"/>
          <w:szCs w:val="22"/>
        </w:rPr>
        <w:t>Recommendations</w:t>
      </w:r>
      <w:bookmarkEnd w:id="18"/>
    </w:p>
    <w:p w14:paraId="022424EC" w14:textId="77777777" w:rsidR="00962815" w:rsidRDefault="00ED0532">
      <w:pPr>
        <w:pStyle w:val="Heading2"/>
        <w:rPr>
          <w:rFonts w:ascii="Arial" w:hAnsi="Arial" w:cs="Arial"/>
          <w:b/>
          <w:bCs/>
          <w:color w:val="auto"/>
          <w:sz w:val="22"/>
          <w:szCs w:val="22"/>
        </w:rPr>
      </w:pPr>
      <w:bookmarkStart w:id="19" w:name="_Toc225456768"/>
      <w:r>
        <w:rPr>
          <w:rFonts w:ascii="Arial" w:hAnsi="Arial" w:cs="Arial"/>
          <w:b/>
          <w:bCs/>
          <w:color w:val="auto"/>
          <w:sz w:val="22"/>
          <w:szCs w:val="22"/>
        </w:rPr>
        <w:t>Leadership Style</w:t>
      </w:r>
      <w:bookmarkEnd w:id="19"/>
    </w:p>
    <w:p w14:paraId="022424ED"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Healthcare organisations should consider participative and transformational leadership to prevent errors, as was witnessed in the Bristol Royal Infirmary heart surgery case. The leaders are supposed to act as mentors in that they will inspire the employees and guide them towards sharing a common vision, innovativeness, accountability, and unity of the healthcare teams (Tumala, 2025). The decision-making process should be actively involved in the frontline clinicians and nursing staff, with consideration of the patient safety issues taken by them at the earliest opportune time. An empowered workforce will be able to foster knowledge exchange, enhance communication, encourage staff engagement, and reduce the amount of preventable clinical errors (Williams &amp; Best, 2022).</w:t>
      </w:r>
    </w:p>
    <w:p w14:paraId="022424EE" w14:textId="77777777" w:rsidR="00962815" w:rsidRDefault="00ED0532">
      <w:pPr>
        <w:pStyle w:val="Heading2"/>
        <w:rPr>
          <w:rFonts w:ascii="Arial" w:hAnsi="Arial" w:cs="Arial"/>
          <w:b/>
          <w:bCs/>
          <w:color w:val="auto"/>
          <w:sz w:val="22"/>
          <w:szCs w:val="22"/>
        </w:rPr>
      </w:pPr>
      <w:bookmarkStart w:id="20" w:name="_Toc225456769"/>
      <w:r>
        <w:rPr>
          <w:rFonts w:ascii="Arial" w:hAnsi="Arial" w:cs="Arial"/>
          <w:b/>
          <w:bCs/>
          <w:color w:val="auto"/>
          <w:sz w:val="22"/>
          <w:szCs w:val="22"/>
        </w:rPr>
        <w:t>Governance Strengthening</w:t>
      </w:r>
      <w:bookmarkEnd w:id="20"/>
    </w:p>
    <w:p w14:paraId="022424EF"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Improvement of the clinical governance system is significant in improving patient safety and organisational accountability. Good governance includes regular auditing, measuring of results, and external control with the objective of detecting bad behaviors at the earliest stage and performing corrective action (Walshe, 2001). The Bristol case has suggested that risky surgical procedures replaced laxity with monitoring systems. The healthcare organisations are advised to develop resilient reporting, including incident-reporting systems, root cause analysis, and systematized follow-up, that will enable teams to identify systemic causes of errors rather than concentrating on individual errors (Weick &amp; Sutcliffe, 2012; Williams &amp; Best, 2022). Besides, digital health technology, such as electronic dashboards and automated outcome-monitoring systems, can be used to improve the accuracy, availability, and timeliness of performance information, which is beneficial in proactive risk management (Williams &amp; Best, 2022).</w:t>
      </w:r>
    </w:p>
    <w:p w14:paraId="022424F0" w14:textId="77777777" w:rsidR="00962815" w:rsidRDefault="00ED0532">
      <w:pPr>
        <w:pStyle w:val="Heading2"/>
        <w:rPr>
          <w:rFonts w:ascii="Arial" w:hAnsi="Arial" w:cs="Arial"/>
          <w:b/>
          <w:bCs/>
          <w:color w:val="auto"/>
          <w:sz w:val="22"/>
          <w:szCs w:val="22"/>
        </w:rPr>
      </w:pPr>
      <w:bookmarkStart w:id="21" w:name="_Toc225456770"/>
      <w:r>
        <w:rPr>
          <w:rFonts w:ascii="Arial" w:hAnsi="Arial" w:cs="Arial"/>
          <w:b/>
          <w:bCs/>
          <w:color w:val="auto"/>
          <w:sz w:val="22"/>
          <w:szCs w:val="22"/>
        </w:rPr>
        <w:t>Enhancing Efficiency</w:t>
      </w:r>
      <w:bookmarkEnd w:id="21"/>
    </w:p>
    <w:p w14:paraId="022424F1"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The governance models have to be founded upon centralised strategic control and decentralised clinical responsibility. The two structures have been identified as centralised and decentralised, respectively, whereby the former is characterised by standardisation of safety, regulations, and strategic control, and the latter by the possibility of frontline clinicians to solve local problems, report worries, and make safety improvements (Walshe, 2001; Weick &amp; Sutcliffe, 2012). Such a balance helps organisations to maintain continuity in the patient safety actions and, at the same time, be flexible to operational and clinical crises within specific units.</w:t>
      </w:r>
    </w:p>
    <w:p w14:paraId="022424F2" w14:textId="77777777" w:rsidR="00962815" w:rsidRDefault="00ED0532">
      <w:pPr>
        <w:pStyle w:val="Heading2"/>
        <w:rPr>
          <w:rFonts w:ascii="Arial" w:hAnsi="Arial" w:cs="Arial"/>
          <w:b/>
          <w:bCs/>
          <w:color w:val="auto"/>
          <w:sz w:val="22"/>
          <w:szCs w:val="22"/>
        </w:rPr>
      </w:pPr>
      <w:bookmarkStart w:id="22" w:name="_Toc225456771"/>
      <w:r>
        <w:rPr>
          <w:rFonts w:ascii="Arial" w:hAnsi="Arial" w:cs="Arial"/>
          <w:b/>
          <w:bCs/>
          <w:color w:val="auto"/>
          <w:sz w:val="22"/>
          <w:szCs w:val="22"/>
        </w:rPr>
        <w:t>Continuous Learning</w:t>
      </w:r>
      <w:bookmarkEnd w:id="22"/>
    </w:p>
    <w:p w14:paraId="022424F3"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The healthcare organisations should allocate investments in lifelong learning to enhance leadership and clinical skills. The abilities in the stressful environment of the clinical setting are honed through the training programmes of leadership, communication, teamwork, and healthcare values (Williams &amp; Best, 2022). Mentorship programs and simulation-based exercises provide the opportunity to practice decision-making, handling problems as a team, and crisis handling under supervision. This is supported by the culture of safety, which advocates good leadership, good governance, transparent reporting, balanced accountability, and continuous learning of the professionals involved in the healthcare provision, which increases the efficiency in the organisation (Tumala, 2025; Williams &amp; Best, 2022).</w:t>
      </w:r>
    </w:p>
    <w:p w14:paraId="022424F4" w14:textId="77777777" w:rsidR="00962815" w:rsidRDefault="00ED0532">
      <w:pPr>
        <w:pStyle w:val="Heading1"/>
        <w:rPr>
          <w:rFonts w:ascii="Arial" w:hAnsi="Arial" w:cs="Arial"/>
          <w:b/>
          <w:bCs/>
          <w:color w:val="auto"/>
          <w:sz w:val="22"/>
          <w:szCs w:val="22"/>
        </w:rPr>
      </w:pPr>
      <w:bookmarkStart w:id="23" w:name="_Toc225456772"/>
      <w:r>
        <w:rPr>
          <w:rFonts w:ascii="Arial" w:hAnsi="Arial" w:cs="Arial"/>
          <w:b/>
          <w:bCs/>
          <w:color w:val="auto"/>
          <w:sz w:val="22"/>
          <w:szCs w:val="22"/>
        </w:rPr>
        <w:t>Conclusion</w:t>
      </w:r>
      <w:bookmarkEnd w:id="23"/>
      <w:r>
        <w:rPr>
          <w:rFonts w:ascii="Arial" w:hAnsi="Arial" w:cs="Arial"/>
          <w:b/>
          <w:bCs/>
          <w:color w:val="auto"/>
          <w:sz w:val="22"/>
          <w:szCs w:val="22"/>
        </w:rPr>
        <w:t xml:space="preserve"> </w:t>
      </w:r>
    </w:p>
    <w:p w14:paraId="022424F5" w14:textId="77777777" w:rsidR="00962815" w:rsidRDefault="00ED0532">
      <w:pPr>
        <w:spacing w:after="0" w:line="360" w:lineRule="auto"/>
        <w:contextualSpacing/>
        <w:jc w:val="both"/>
        <w:rPr>
          <w:rFonts w:ascii="Arial" w:hAnsi="Arial" w:cs="Arial"/>
          <w:sz w:val="22"/>
          <w:szCs w:val="22"/>
        </w:rPr>
      </w:pPr>
      <w:r>
        <w:rPr>
          <w:rFonts w:ascii="Arial" w:hAnsi="Arial" w:cs="Arial"/>
          <w:sz w:val="22"/>
          <w:szCs w:val="22"/>
        </w:rPr>
        <w:t>The Bristol Royal Infirmary heart surgery scandal demonstrates that effective leadership can fail, as can governance and organisational culture, and that these can collide to cause extreme, preventable harm to patients. The magnitude of the high mortality rates at Bristol Royal Infirmary was unprecedented, not only in particular clinical errors but also in the fact that the entire system had a weakness in its organisational decision-making, its communication process, and its accountability at various levels of the healthcare system (Scally, 2001; Montgomery, Lainidi &amp; Georganta, 2024, 2024). The centralised power of the seniors within the clinical hierarchy was high, and the seniors lacked adequate mechanisms to facilitate feedback, monitoring, or the escalation of safety concerns. At the same time, junior clinicians and nursing par staff were often discouraged from questioning decisions made by senior staff due to hierarchical cultural norms and a fear of professional penalties (Bolsin, 1998). The dynamics highlight that leadership behaviour and organisational culture can play a crucial role in patient safety and in the overall performance of the health care system. The need to consider appropriate models of leadership and governance becomes clear when dealing with complex healthcare systems. Tight, task-oriented, authoritative leadership styles may ensure adherence to the procedure. Still, they may also obstruct teamwork, impede organisational learning, and delay the need to implement corrective action in the event of safety risks (Montgomery, Lainidi &amp; Georganta, 2024; Williams &amp; Best, 2022). Participative, transformational, and situational leadership styles, in turn, facilitate staff engagement, improve communication among professional crowds, and enable frontline professionals to take an active role in decision-making (Bass &amp; Avolio, 1994). The leadership styles presented are particularly useful in healthcare facilities, where multidisciplinary and rapid information transfer are essential to improving patient care and safety. The Bristol case demonstrates that there ought to be a balance between decentralisation and centralisation in healthcare organisations' governance. On the healthcare overcentralisation may constrain communication and prevent frontline employees from raising patient safety concerns; on the other hand, decentralisation may enable supervision and consistency in clinical practice (Williams &amp; Best, 2022). The hybrid governance structures that involve a high level of central control and a low level of clinical accountability can therefore increase responsiveness without organisations losing control over high-risk procedures. Lastly, long-term organisational changes for patient safety must focus on systems and integrate leadership behaviour, organisational culture, and governance structure. To avoid future failures, healthcare organisations need to do more than the healthcare blame game; they need to develop an integrated strategy that promotes transparency, learning, accountability, and continual improvement. The lessons of the Bristol scandal continue to affect policy reform and patient safety initiatives in the United Kingdom and other countries worldwide, underscoring the importance of effective leadership and governance in patient safety and healthcare quality (Kennedy, 2001; Leonardi et al., 2022).</w:t>
      </w:r>
    </w:p>
    <w:bookmarkEnd w:id="2"/>
    <w:p w14:paraId="022424F6" w14:textId="77777777" w:rsidR="00962815" w:rsidRDefault="00962815">
      <w:pPr>
        <w:spacing w:after="0" w:line="360" w:lineRule="auto"/>
        <w:contextualSpacing/>
        <w:jc w:val="both"/>
        <w:rPr>
          <w:rFonts w:ascii="Arial" w:hAnsi="Arial" w:cs="Arial"/>
          <w:sz w:val="22"/>
          <w:szCs w:val="22"/>
        </w:rPr>
      </w:pPr>
    </w:p>
    <w:p w14:paraId="022424F7" w14:textId="77777777" w:rsidR="00962815" w:rsidRDefault="00962815">
      <w:pPr>
        <w:rPr>
          <w:rFonts w:ascii="Times New Roman" w:hAnsi="Times New Roman" w:cs="Times New Roman"/>
        </w:rPr>
      </w:pPr>
    </w:p>
    <w:p w14:paraId="022424F8" w14:textId="77777777" w:rsidR="00962815" w:rsidRDefault="00962815">
      <w:pPr>
        <w:rPr>
          <w:rFonts w:ascii="Times New Roman" w:hAnsi="Times New Roman" w:cs="Times New Roman"/>
        </w:rPr>
      </w:pPr>
    </w:p>
    <w:p w14:paraId="022424F9" w14:textId="77777777" w:rsidR="00962815" w:rsidRDefault="00962815">
      <w:pPr>
        <w:rPr>
          <w:rFonts w:ascii="Times New Roman" w:hAnsi="Times New Roman" w:cs="Times New Roman"/>
        </w:rPr>
      </w:pPr>
    </w:p>
    <w:p w14:paraId="022424FA" w14:textId="77777777" w:rsidR="00962815" w:rsidRDefault="00962815">
      <w:pPr>
        <w:rPr>
          <w:rFonts w:ascii="Times New Roman" w:hAnsi="Times New Roman" w:cs="Times New Roman"/>
        </w:rPr>
      </w:pPr>
    </w:p>
    <w:p w14:paraId="022424FB" w14:textId="77777777" w:rsidR="00962815" w:rsidRDefault="00962815">
      <w:pPr>
        <w:rPr>
          <w:rFonts w:ascii="Times New Roman" w:hAnsi="Times New Roman" w:cs="Times New Roman"/>
        </w:rPr>
      </w:pPr>
    </w:p>
    <w:p w14:paraId="022424FC" w14:textId="77777777" w:rsidR="00962815" w:rsidRDefault="00962815">
      <w:pPr>
        <w:rPr>
          <w:rFonts w:ascii="Times New Roman" w:hAnsi="Times New Roman" w:cs="Times New Roman"/>
        </w:rPr>
      </w:pPr>
    </w:p>
    <w:p w14:paraId="022424FD" w14:textId="77777777" w:rsidR="00962815" w:rsidRDefault="00962815">
      <w:pPr>
        <w:rPr>
          <w:rFonts w:ascii="Times New Roman" w:hAnsi="Times New Roman" w:cs="Times New Roman"/>
        </w:rPr>
      </w:pPr>
    </w:p>
    <w:p w14:paraId="022424FE" w14:textId="77777777" w:rsidR="00962815" w:rsidRDefault="00962815">
      <w:pPr>
        <w:rPr>
          <w:rFonts w:ascii="Times New Roman" w:hAnsi="Times New Roman" w:cs="Times New Roman"/>
        </w:rPr>
      </w:pPr>
    </w:p>
    <w:p w14:paraId="022424FF" w14:textId="77777777" w:rsidR="00962815" w:rsidRDefault="00962815">
      <w:pPr>
        <w:rPr>
          <w:rFonts w:ascii="Times New Roman" w:hAnsi="Times New Roman" w:cs="Times New Roman"/>
        </w:rPr>
      </w:pPr>
    </w:p>
    <w:p w14:paraId="02242500" w14:textId="77777777" w:rsidR="00962815" w:rsidRDefault="00962815">
      <w:pPr>
        <w:rPr>
          <w:rFonts w:ascii="Times New Roman" w:hAnsi="Times New Roman" w:cs="Times New Roman"/>
        </w:rPr>
      </w:pPr>
    </w:p>
    <w:p w14:paraId="02242501" w14:textId="77777777" w:rsidR="00962815" w:rsidRDefault="00962815">
      <w:pPr>
        <w:rPr>
          <w:rFonts w:ascii="Times New Roman" w:hAnsi="Times New Roman" w:cs="Times New Roman"/>
        </w:rPr>
      </w:pPr>
    </w:p>
    <w:p w14:paraId="02242502" w14:textId="77777777" w:rsidR="00962815" w:rsidRDefault="00962815">
      <w:pPr>
        <w:rPr>
          <w:rFonts w:ascii="Times New Roman" w:hAnsi="Times New Roman" w:cs="Times New Roman"/>
        </w:rPr>
      </w:pPr>
    </w:p>
    <w:p w14:paraId="02242503" w14:textId="77777777" w:rsidR="00962815" w:rsidRDefault="00962815">
      <w:pPr>
        <w:rPr>
          <w:rFonts w:ascii="Times New Roman" w:hAnsi="Times New Roman" w:cs="Times New Roman"/>
        </w:rPr>
      </w:pPr>
    </w:p>
    <w:p w14:paraId="02242504" w14:textId="77777777" w:rsidR="00962815" w:rsidRDefault="00962815">
      <w:pPr>
        <w:rPr>
          <w:rFonts w:ascii="Times New Roman" w:hAnsi="Times New Roman" w:cs="Times New Roman"/>
        </w:rPr>
      </w:pPr>
    </w:p>
    <w:p w14:paraId="02242505" w14:textId="77777777" w:rsidR="00962815" w:rsidRDefault="00962815">
      <w:pPr>
        <w:rPr>
          <w:rFonts w:ascii="Times New Roman" w:hAnsi="Times New Roman" w:cs="Times New Roman"/>
        </w:rPr>
      </w:pPr>
    </w:p>
    <w:p w14:paraId="02242506" w14:textId="77777777" w:rsidR="00962815" w:rsidRDefault="00962815">
      <w:pPr>
        <w:rPr>
          <w:rFonts w:ascii="Times New Roman" w:hAnsi="Times New Roman" w:cs="Times New Roman"/>
        </w:rPr>
      </w:pPr>
    </w:p>
    <w:p w14:paraId="02242507" w14:textId="77777777" w:rsidR="00962815" w:rsidRDefault="00ED0532">
      <w:pPr>
        <w:pStyle w:val="Heading1"/>
        <w:rPr>
          <w:rFonts w:ascii="Arial" w:hAnsi="Arial" w:cs="Arial"/>
          <w:color w:val="auto"/>
          <w:sz w:val="22"/>
          <w:szCs w:val="22"/>
        </w:rPr>
      </w:pPr>
      <w:bookmarkStart w:id="24" w:name="_Toc225456773"/>
      <w:bookmarkStart w:id="25" w:name="_Hlk224297858"/>
      <w:r>
        <w:rPr>
          <w:rFonts w:ascii="Arial" w:hAnsi="Arial" w:cs="Arial"/>
          <w:color w:val="auto"/>
          <w:sz w:val="22"/>
          <w:szCs w:val="22"/>
        </w:rPr>
        <w:t>Reference list</w:t>
      </w:r>
      <w:bookmarkEnd w:id="24"/>
    </w:p>
    <w:p w14:paraId="02242508"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‘Stephen Bolsin: Whistleblower on the Bristol scandal’ 2016, </w:t>
      </w:r>
      <w:r>
        <w:rPr>
          <w:rFonts w:ascii="Arial" w:hAnsi="Arial" w:cs="Arial"/>
          <w:i/>
          <w:iCs/>
          <w:sz w:val="22"/>
          <w:szCs w:val="22"/>
        </w:rPr>
        <w:t>BMJ</w:t>
      </w:r>
      <w:r>
        <w:rPr>
          <w:rFonts w:ascii="Arial" w:hAnsi="Arial" w:cs="Arial"/>
          <w:sz w:val="22"/>
          <w:szCs w:val="22"/>
        </w:rPr>
        <w:t xml:space="preserve">, BMJ, p. i1328, viewed 10 March 2026, </w:t>
      </w:r>
      <w:hyperlink r:id="rId10" w:history="1">
        <w:r>
          <w:rPr>
            <w:rStyle w:val="Hyperlink"/>
            <w:rFonts w:ascii="Arial" w:hAnsi="Arial" w:cs="Arial"/>
            <w:sz w:val="22"/>
            <w:szCs w:val="22"/>
          </w:rPr>
          <w:t>https://www.bmj.com/content/352/bmj.i1328</w:t>
        </w:r>
      </w:hyperlink>
      <w:r>
        <w:rPr>
          <w:rFonts w:ascii="Arial" w:hAnsi="Arial" w:cs="Arial"/>
          <w:sz w:val="22"/>
          <w:szCs w:val="22"/>
        </w:rPr>
        <w:t>.</w:t>
      </w:r>
    </w:p>
    <w:p w14:paraId="02242509" w14:textId="77777777" w:rsidR="00962815" w:rsidRDefault="00ED0532">
      <w:pPr>
        <w:spacing w:after="0" w:line="360" w:lineRule="auto"/>
        <w:ind w:hanging="720"/>
        <w:contextualSpacing/>
        <w:jc w:val="both"/>
        <w:rPr>
          <w:rFonts w:ascii="Arial" w:eastAsia="Times New Roman" w:hAnsi="Arial" w:cs="Arial"/>
          <w:color w:val="000000"/>
          <w:kern w:val="0"/>
          <w:sz w:val="22"/>
          <w:szCs w:val="22"/>
          <w:lang w:eastAsia="zh-CN"/>
          <w14:ligatures w14:val="none"/>
        </w:rPr>
      </w:pPr>
      <w:r>
        <w:rPr>
          <w:rFonts w:ascii="Arial" w:eastAsia="Times New Roman" w:hAnsi="Arial" w:cs="Arial"/>
          <w:color w:val="000000"/>
          <w:kern w:val="0"/>
          <w:sz w:val="22"/>
          <w:szCs w:val="22"/>
          <w:lang w:eastAsia="zh-CN"/>
          <w14:ligatures w14:val="none"/>
        </w:rPr>
        <w:t>Adu, G &amp; Zuma, SM 2024, ‘Contributory factors related to patient safety incidence: A nursing perspective’, </w:t>
      </w:r>
      <w:r>
        <w:rPr>
          <w:rFonts w:ascii="Arial" w:eastAsia="Times New Roman" w:hAnsi="Arial" w:cs="Arial"/>
          <w:i/>
          <w:iCs/>
          <w:color w:val="000000"/>
          <w:kern w:val="0"/>
          <w:sz w:val="22"/>
          <w:szCs w:val="22"/>
          <w:lang w:eastAsia="zh-CN"/>
          <w14:ligatures w14:val="none"/>
        </w:rPr>
        <w:t>Health SA Gesondheid</w:t>
      </w:r>
      <w:r>
        <w:rPr>
          <w:rFonts w:ascii="Arial" w:eastAsia="Times New Roman" w:hAnsi="Arial" w:cs="Arial"/>
          <w:color w:val="000000"/>
          <w:kern w:val="0"/>
          <w:sz w:val="22"/>
          <w:szCs w:val="22"/>
          <w:lang w:eastAsia="zh-CN"/>
          <w14:ligatures w14:val="none"/>
        </w:rPr>
        <w:t xml:space="preserve">, vol. 29, AOSIS, viewed 13 March 2026, </w:t>
      </w:r>
      <w:hyperlink r:id="rId11" w:history="1">
        <w:r>
          <w:rPr>
            <w:rStyle w:val="Hyperlink"/>
            <w:rFonts w:ascii="Arial" w:eastAsia="Times New Roman" w:hAnsi="Arial" w:cs="Arial"/>
            <w:kern w:val="0"/>
            <w:sz w:val="22"/>
            <w:szCs w:val="22"/>
            <w:lang w:eastAsia="zh-CN"/>
            <w14:ligatures w14:val="none"/>
          </w:rPr>
          <w:t>https://pmc.ncbi.nlm.nih.gov/articles/PMC11151417/</w:t>
        </w:r>
      </w:hyperlink>
      <w:r>
        <w:rPr>
          <w:rFonts w:ascii="Arial" w:eastAsia="Times New Roman" w:hAnsi="Arial" w:cs="Arial"/>
          <w:color w:val="000000"/>
          <w:kern w:val="0"/>
          <w:sz w:val="22"/>
          <w:szCs w:val="22"/>
          <w:lang w:eastAsia="zh-CN"/>
          <w14:ligatures w14:val="none"/>
        </w:rPr>
        <w:t>.</w:t>
      </w:r>
    </w:p>
    <w:p w14:paraId="0224250A"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Alaszewski, A 2002, ‘The impact of the Bristol Royal Infirmary disaster and inquiry on public services in the UK’, </w:t>
      </w:r>
      <w:r>
        <w:rPr>
          <w:rFonts w:ascii="Arial" w:hAnsi="Arial" w:cs="Arial"/>
          <w:i/>
          <w:iCs/>
          <w:sz w:val="22"/>
          <w:szCs w:val="22"/>
        </w:rPr>
        <w:t>Journal of Interprofessional Care</w:t>
      </w:r>
      <w:r>
        <w:rPr>
          <w:rFonts w:ascii="Arial" w:hAnsi="Arial" w:cs="Arial"/>
          <w:sz w:val="22"/>
          <w:szCs w:val="22"/>
        </w:rPr>
        <w:t xml:space="preserve">, vol. 16, Informa UK Limited, no. 4, pp. 371–378, viewed 10 March 2026, </w:t>
      </w:r>
      <w:hyperlink r:id="rId12" w:history="1">
        <w:r>
          <w:rPr>
            <w:rStyle w:val="Hyperlink"/>
            <w:rFonts w:ascii="Arial" w:hAnsi="Arial" w:cs="Arial"/>
            <w:sz w:val="22"/>
            <w:szCs w:val="22"/>
          </w:rPr>
          <w:t>https://pubmed.ncbi.nlm.nih.gov/12487845/</w:t>
        </w:r>
      </w:hyperlink>
      <w:r>
        <w:rPr>
          <w:rFonts w:ascii="Arial" w:hAnsi="Arial" w:cs="Arial"/>
          <w:sz w:val="22"/>
          <w:szCs w:val="22"/>
        </w:rPr>
        <w:t>.</w:t>
      </w:r>
    </w:p>
    <w:p w14:paraId="0224250B"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Aldhmadi, BK, Kumar, R, Perera, B &amp; Algarni, MA 2025, ‘Leading with Integrity: Impact of Ethical Leadership on Performance of Healthcare Professionals in Saudi Arabia’, </w:t>
      </w:r>
      <w:r>
        <w:rPr>
          <w:rFonts w:ascii="Arial" w:hAnsi="Arial" w:cs="Arial"/>
          <w:i/>
          <w:iCs/>
          <w:sz w:val="22"/>
          <w:szCs w:val="22"/>
        </w:rPr>
        <w:t>Healthcare</w:t>
      </w:r>
      <w:r>
        <w:rPr>
          <w:rFonts w:ascii="Arial" w:hAnsi="Arial" w:cs="Arial"/>
          <w:sz w:val="22"/>
          <w:szCs w:val="22"/>
        </w:rPr>
        <w:t xml:space="preserve">, vol. 13, MDPI AG, no. 24, p. 3205, viewed 13 March 2026, </w:t>
      </w:r>
      <w:hyperlink r:id="rId13" w:history="1">
        <w:r>
          <w:rPr>
            <w:rStyle w:val="Hyperlink"/>
            <w:rFonts w:ascii="Arial" w:hAnsi="Arial" w:cs="Arial"/>
            <w:sz w:val="22"/>
            <w:szCs w:val="22"/>
          </w:rPr>
          <w:t>https://www.mdpi.com/2227-9032/13/24/3205</w:t>
        </w:r>
      </w:hyperlink>
      <w:r>
        <w:rPr>
          <w:rFonts w:ascii="Arial" w:hAnsi="Arial" w:cs="Arial"/>
          <w:sz w:val="22"/>
          <w:szCs w:val="22"/>
        </w:rPr>
        <w:t>.</w:t>
      </w:r>
    </w:p>
    <w:p w14:paraId="0224250C"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Anders, RL 2025, ‘Global Perspectives on Patient Safety: The Central Role of Nursing Management’, </w:t>
      </w:r>
      <w:r>
        <w:rPr>
          <w:rFonts w:ascii="Arial" w:hAnsi="Arial" w:cs="Arial"/>
          <w:i/>
          <w:iCs/>
          <w:sz w:val="22"/>
          <w:szCs w:val="22"/>
        </w:rPr>
        <w:t>Healthcare</w:t>
      </w:r>
      <w:r>
        <w:rPr>
          <w:rFonts w:ascii="Arial" w:hAnsi="Arial" w:cs="Arial"/>
          <w:sz w:val="22"/>
          <w:szCs w:val="22"/>
        </w:rPr>
        <w:t xml:space="preserve">, vol. 13, MDPI AG, no. 24, p. 3240, viewed 13 March 2026, </w:t>
      </w:r>
      <w:hyperlink r:id="rId14" w:history="1">
        <w:r>
          <w:rPr>
            <w:rStyle w:val="Hyperlink"/>
            <w:rFonts w:ascii="Arial" w:hAnsi="Arial" w:cs="Arial"/>
            <w:sz w:val="22"/>
            <w:szCs w:val="22"/>
          </w:rPr>
          <w:t>https://www.mdpi.com/2227-9032/13/24/3240</w:t>
        </w:r>
      </w:hyperlink>
      <w:r>
        <w:rPr>
          <w:rFonts w:ascii="Arial" w:hAnsi="Arial" w:cs="Arial"/>
          <w:sz w:val="22"/>
          <w:szCs w:val="22"/>
        </w:rPr>
        <w:t>.</w:t>
      </w:r>
    </w:p>
    <w:p w14:paraId="0224250D"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Bolsin, SN 1998, ‘Professional misconduct: the Bristol case’, </w:t>
      </w:r>
      <w:r>
        <w:rPr>
          <w:rFonts w:ascii="Arial" w:hAnsi="Arial" w:cs="Arial"/>
          <w:i/>
          <w:iCs/>
          <w:sz w:val="22"/>
          <w:szCs w:val="22"/>
        </w:rPr>
        <w:t>Medical Journal of Australia</w:t>
      </w:r>
      <w:r>
        <w:rPr>
          <w:rFonts w:ascii="Arial" w:hAnsi="Arial" w:cs="Arial"/>
          <w:sz w:val="22"/>
          <w:szCs w:val="22"/>
        </w:rPr>
        <w:t xml:space="preserve">, vol. 169, AMPCo, no. 7, pp. 369–372, viewed 10 March 2026, </w:t>
      </w:r>
      <w:hyperlink r:id="rId15" w:history="1">
        <w:r>
          <w:rPr>
            <w:rStyle w:val="Hyperlink"/>
            <w:rFonts w:ascii="Arial" w:hAnsi="Arial" w:cs="Arial"/>
            <w:sz w:val="22"/>
            <w:szCs w:val="22"/>
          </w:rPr>
          <w:t>https://pubmed.ncbi.nlm.nih.gov/9803249/</w:t>
        </w:r>
      </w:hyperlink>
      <w:r>
        <w:rPr>
          <w:rFonts w:ascii="Arial" w:hAnsi="Arial" w:cs="Arial"/>
          <w:sz w:val="22"/>
          <w:szCs w:val="22"/>
        </w:rPr>
        <w:t>.</w:t>
      </w:r>
    </w:p>
    <w:p w14:paraId="0224250E" w14:textId="77777777" w:rsidR="00962815" w:rsidRDefault="00ED0532">
      <w:pPr>
        <w:spacing w:after="0" w:line="360" w:lineRule="auto"/>
        <w:ind w:hanging="720"/>
        <w:contextualSpacing/>
        <w:jc w:val="both"/>
        <w:rPr>
          <w:rFonts w:ascii="Arial" w:eastAsia="Times New Roman" w:hAnsi="Arial" w:cs="Arial"/>
          <w:color w:val="000000"/>
          <w:kern w:val="0"/>
          <w:sz w:val="22"/>
          <w:szCs w:val="22"/>
          <w:lang w:eastAsia="zh-CN"/>
          <w14:ligatures w14:val="none"/>
        </w:rPr>
      </w:pPr>
      <w:r>
        <w:rPr>
          <w:rFonts w:ascii="Arial" w:eastAsia="Times New Roman" w:hAnsi="Arial" w:cs="Arial"/>
          <w:color w:val="000000"/>
          <w:kern w:val="0"/>
          <w:sz w:val="22"/>
          <w:szCs w:val="22"/>
          <w:lang w:eastAsia="zh-CN"/>
          <w14:ligatures w14:val="none"/>
        </w:rPr>
        <w:t>Brittain, AC &amp; Carrington, JM 2024, ‘Effective Communication of System-Level Events for Hospital System Health and Nurse Well-Being: A Qualitative Study’, </w:t>
      </w:r>
      <w:r>
        <w:rPr>
          <w:rFonts w:ascii="Arial" w:eastAsia="Times New Roman" w:hAnsi="Arial" w:cs="Arial"/>
          <w:i/>
          <w:iCs/>
          <w:color w:val="000000"/>
          <w:kern w:val="0"/>
          <w:sz w:val="22"/>
          <w:szCs w:val="22"/>
          <w:lang w:eastAsia="zh-CN"/>
          <w14:ligatures w14:val="none"/>
        </w:rPr>
        <w:t>Safety</w:t>
      </w:r>
      <w:r>
        <w:rPr>
          <w:rFonts w:ascii="Arial" w:eastAsia="Times New Roman" w:hAnsi="Arial" w:cs="Arial"/>
          <w:color w:val="000000"/>
          <w:kern w:val="0"/>
          <w:sz w:val="22"/>
          <w:szCs w:val="22"/>
          <w:lang w:eastAsia="zh-CN"/>
          <w14:ligatures w14:val="none"/>
        </w:rPr>
        <w:t xml:space="preserve">, vol. 10, MDPI AG, no. 4, p. 96, viewed 13 March 2026, </w:t>
      </w:r>
      <w:hyperlink r:id="rId16" w:history="1">
        <w:r>
          <w:rPr>
            <w:rStyle w:val="Hyperlink"/>
            <w:rFonts w:ascii="Arial" w:eastAsia="Times New Roman" w:hAnsi="Arial" w:cs="Arial"/>
            <w:kern w:val="0"/>
            <w:sz w:val="22"/>
            <w:szCs w:val="22"/>
            <w:lang w:eastAsia="zh-CN"/>
            <w14:ligatures w14:val="none"/>
          </w:rPr>
          <w:t>https://www.mdpi.com/2313-576X/10/4/96</w:t>
        </w:r>
      </w:hyperlink>
      <w:r>
        <w:rPr>
          <w:rFonts w:ascii="Arial" w:eastAsia="Times New Roman" w:hAnsi="Arial" w:cs="Arial"/>
          <w:color w:val="000000"/>
          <w:kern w:val="0"/>
          <w:sz w:val="22"/>
          <w:szCs w:val="22"/>
          <w:lang w:eastAsia="zh-CN"/>
          <w14:ligatures w14:val="none"/>
        </w:rPr>
        <w:t>.</w:t>
      </w:r>
    </w:p>
    <w:p w14:paraId="0224250F"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Business 2025, </w:t>
      </w:r>
      <w:r>
        <w:rPr>
          <w:rFonts w:ascii="Arial" w:hAnsi="Arial" w:cs="Arial"/>
          <w:i/>
          <w:iCs/>
          <w:sz w:val="22"/>
          <w:szCs w:val="22"/>
        </w:rPr>
        <w:t>Bristol Royal Infirmary 1984-1995 Public Inquiry</w:t>
      </w:r>
      <w:r>
        <w:rPr>
          <w:rFonts w:ascii="Arial" w:hAnsi="Arial" w:cs="Arial"/>
          <w:sz w:val="22"/>
          <w:szCs w:val="22"/>
        </w:rPr>
        <w:t xml:space="preserve">, Nursinganswers.net, NursingAnswers, viewed 13 March 2026, </w:t>
      </w:r>
      <w:hyperlink r:id="rId17" w:history="1">
        <w:r>
          <w:rPr>
            <w:rStyle w:val="Hyperlink"/>
            <w:rFonts w:ascii="Arial" w:hAnsi="Arial" w:cs="Arial"/>
            <w:sz w:val="22"/>
            <w:szCs w:val="22"/>
          </w:rPr>
          <w:t>https://nursinganswers.net/essays/bristol-royal-infirmary-19841995-public-3080.php</w:t>
        </w:r>
      </w:hyperlink>
    </w:p>
    <w:p w14:paraId="02242510"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Butler, P 2002, </w:t>
      </w:r>
      <w:r>
        <w:rPr>
          <w:rFonts w:ascii="Arial" w:hAnsi="Arial" w:cs="Arial"/>
          <w:i/>
          <w:iCs/>
          <w:sz w:val="22"/>
          <w:szCs w:val="22"/>
        </w:rPr>
        <w:t>The Bristol Royal infirmary inquiry: the issue explained</w:t>
      </w:r>
      <w:r>
        <w:rPr>
          <w:rFonts w:ascii="Arial" w:hAnsi="Arial" w:cs="Arial"/>
          <w:sz w:val="22"/>
          <w:szCs w:val="22"/>
        </w:rPr>
        <w:t xml:space="preserve">, the Guardian, The Guardian, viewed 10 March 2026, </w:t>
      </w:r>
      <w:hyperlink r:id="rId18" w:history="1">
        <w:r>
          <w:rPr>
            <w:rStyle w:val="Hyperlink"/>
            <w:rFonts w:ascii="Arial" w:hAnsi="Arial" w:cs="Arial"/>
            <w:sz w:val="22"/>
            <w:szCs w:val="22"/>
          </w:rPr>
          <w:t>https://www.theguardian.com/society/2002/jan/17/5</w:t>
        </w:r>
      </w:hyperlink>
      <w:r>
        <w:rPr>
          <w:rFonts w:ascii="Arial" w:hAnsi="Arial" w:cs="Arial"/>
          <w:sz w:val="22"/>
          <w:szCs w:val="22"/>
        </w:rPr>
        <w:t>.</w:t>
      </w:r>
    </w:p>
    <w:p w14:paraId="02242511"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Dyer, C 2001, ‘Bristol inquiry’, </w:t>
      </w:r>
      <w:r>
        <w:rPr>
          <w:rFonts w:ascii="Arial" w:hAnsi="Arial" w:cs="Arial"/>
          <w:i/>
          <w:iCs/>
          <w:sz w:val="22"/>
          <w:szCs w:val="22"/>
        </w:rPr>
        <w:t>BMJ</w:t>
      </w:r>
      <w:r>
        <w:rPr>
          <w:rFonts w:ascii="Arial" w:hAnsi="Arial" w:cs="Arial"/>
          <w:sz w:val="22"/>
          <w:szCs w:val="22"/>
        </w:rPr>
        <w:t xml:space="preserve">, vol. 323, BMJ, no. 7306, p. 181, viewed 10 March 2026, </w:t>
      </w:r>
      <w:hyperlink r:id="rId19" w:history="1">
        <w:r>
          <w:rPr>
            <w:rStyle w:val="Hyperlink"/>
            <w:rFonts w:ascii="Arial" w:hAnsi="Arial" w:cs="Arial"/>
            <w:color w:val="auto"/>
            <w:sz w:val="22"/>
            <w:szCs w:val="22"/>
          </w:rPr>
          <w:t>https://www.bmj.com/content/323/7306/181</w:t>
        </w:r>
      </w:hyperlink>
      <w:r>
        <w:rPr>
          <w:rFonts w:ascii="Arial" w:hAnsi="Arial" w:cs="Arial"/>
          <w:sz w:val="22"/>
          <w:szCs w:val="22"/>
        </w:rPr>
        <w:t>.</w:t>
      </w:r>
    </w:p>
    <w:p w14:paraId="02242512"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Health 2002, </w:t>
      </w:r>
      <w:r>
        <w:rPr>
          <w:rFonts w:ascii="Arial" w:hAnsi="Arial" w:cs="Arial"/>
          <w:i/>
          <w:iCs/>
          <w:sz w:val="22"/>
          <w:szCs w:val="22"/>
        </w:rPr>
        <w:t>The Department of Health’s response to the report of the Public Inquiry into children’s heart surgery at the Bristol Royal Infirmary</w:t>
      </w:r>
      <w:r>
        <w:rPr>
          <w:rFonts w:ascii="Arial" w:hAnsi="Arial" w:cs="Arial"/>
          <w:sz w:val="22"/>
          <w:szCs w:val="22"/>
        </w:rPr>
        <w:t xml:space="preserve">, GOV.UK, viewed 10 March 2026, </w:t>
      </w:r>
      <w:hyperlink r:id="rId20" w:history="1">
        <w:r>
          <w:rPr>
            <w:rStyle w:val="Hyperlink"/>
            <w:rFonts w:ascii="Arial" w:hAnsi="Arial" w:cs="Arial"/>
            <w:sz w:val="22"/>
            <w:szCs w:val="22"/>
          </w:rPr>
          <w:t>https://www.gov.uk/government/publications/the-department-of-healths-response-to-the-report-of-the-public-inquiry-into-childrens-heart-surgery-at-the-bristol-royal-infirmary</w:t>
        </w:r>
      </w:hyperlink>
      <w:r>
        <w:rPr>
          <w:rFonts w:ascii="Arial" w:hAnsi="Arial" w:cs="Arial"/>
          <w:sz w:val="22"/>
          <w:szCs w:val="22"/>
        </w:rPr>
        <w:t>.</w:t>
      </w:r>
    </w:p>
    <w:p w14:paraId="02242513"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Hilton, CJ 2005, ‘Effects of “Bristol” on surgical practice in the United Kingdom’, </w:t>
      </w:r>
      <w:r>
        <w:rPr>
          <w:rFonts w:ascii="Arial" w:hAnsi="Arial" w:cs="Arial"/>
          <w:i/>
          <w:iCs/>
          <w:sz w:val="22"/>
          <w:szCs w:val="22"/>
        </w:rPr>
        <w:t>Interactive CardioVascular and Thoracic Surgery</w:t>
      </w:r>
      <w:r>
        <w:rPr>
          <w:rFonts w:ascii="Arial" w:hAnsi="Arial" w:cs="Arial"/>
          <w:sz w:val="22"/>
          <w:szCs w:val="22"/>
        </w:rPr>
        <w:t xml:space="preserve">, vol. 4, Oxford University Press (OUP), no. 3, pp. 197–199, viewed 13 March 2026, </w:t>
      </w:r>
      <w:hyperlink r:id="rId21" w:history="1">
        <w:r>
          <w:rPr>
            <w:rStyle w:val="Hyperlink"/>
            <w:rFonts w:ascii="Arial" w:hAnsi="Arial" w:cs="Arial"/>
            <w:sz w:val="22"/>
            <w:szCs w:val="22"/>
          </w:rPr>
          <w:t>https://academic.oup.com/icvts/article/4/3/197/651368</w:t>
        </w:r>
      </w:hyperlink>
      <w:r>
        <w:rPr>
          <w:rFonts w:ascii="Arial" w:hAnsi="Arial" w:cs="Arial"/>
          <w:sz w:val="22"/>
          <w:szCs w:val="22"/>
        </w:rPr>
        <w:t>.</w:t>
      </w:r>
    </w:p>
    <w:p w14:paraId="02242514"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Fox, R 2001, ‘Bristol Scandal’, </w:t>
      </w:r>
      <w:r>
        <w:rPr>
          <w:rFonts w:ascii="Arial" w:hAnsi="Arial" w:cs="Arial"/>
          <w:i/>
          <w:iCs/>
          <w:sz w:val="22"/>
          <w:szCs w:val="22"/>
        </w:rPr>
        <w:t>Circulation</w:t>
      </w:r>
      <w:r>
        <w:rPr>
          <w:rFonts w:ascii="Arial" w:hAnsi="Arial" w:cs="Arial"/>
          <w:sz w:val="22"/>
          <w:szCs w:val="22"/>
        </w:rPr>
        <w:t xml:space="preserve">, vol. 104, Ovid Technologies (Wolters Kluwer Health), no. 7, viewed 13 March 2026, </w:t>
      </w:r>
      <w:hyperlink r:id="rId22" w:history="1">
        <w:r>
          <w:rPr>
            <w:rStyle w:val="Hyperlink"/>
            <w:rFonts w:ascii="Arial" w:hAnsi="Arial" w:cs="Arial"/>
            <w:color w:val="auto"/>
            <w:sz w:val="22"/>
            <w:szCs w:val="22"/>
          </w:rPr>
          <w:t>https://www.ahajournals.org/doi/10.1161/hc3201.097067</w:t>
        </w:r>
      </w:hyperlink>
      <w:r>
        <w:rPr>
          <w:rFonts w:ascii="Arial" w:hAnsi="Arial" w:cs="Arial"/>
          <w:sz w:val="22"/>
          <w:szCs w:val="22"/>
        </w:rPr>
        <w:t>.</w:t>
      </w:r>
    </w:p>
    <w:p w14:paraId="02242515"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‌Teasdale, GM 2002, ‘Learning from Bristol: report of the public inquiry into children’s heart surgery at Bristol Royal Infirmary 1984-1995’, </w:t>
      </w:r>
      <w:r>
        <w:rPr>
          <w:rFonts w:ascii="Arial" w:hAnsi="Arial" w:cs="Arial"/>
          <w:i/>
          <w:iCs/>
          <w:sz w:val="22"/>
          <w:szCs w:val="22"/>
        </w:rPr>
        <w:t>British Journal of Neurosurgery</w:t>
      </w:r>
      <w:r>
        <w:rPr>
          <w:rFonts w:ascii="Arial" w:hAnsi="Arial" w:cs="Arial"/>
          <w:sz w:val="22"/>
          <w:szCs w:val="22"/>
        </w:rPr>
        <w:t xml:space="preserve">, vol. 16, Informa UK Limited, no. 3, pp. 211–216, viewed 13 March 2026, </w:t>
      </w:r>
      <w:hyperlink r:id="rId23" w:history="1">
        <w:r>
          <w:rPr>
            <w:rStyle w:val="Hyperlink"/>
            <w:rFonts w:ascii="Arial" w:hAnsi="Arial" w:cs="Arial"/>
            <w:color w:val="auto"/>
            <w:sz w:val="22"/>
            <w:szCs w:val="22"/>
          </w:rPr>
          <w:t>https://pubmed.ncbi.nlm.nih.gov/12201391/</w:t>
        </w:r>
      </w:hyperlink>
      <w:r>
        <w:rPr>
          <w:rFonts w:ascii="Arial" w:hAnsi="Arial" w:cs="Arial"/>
          <w:sz w:val="22"/>
          <w:szCs w:val="22"/>
        </w:rPr>
        <w:t>.</w:t>
      </w:r>
    </w:p>
    <w:p w14:paraId="02242516" w14:textId="77777777" w:rsidR="00962815" w:rsidRDefault="00ED0532">
      <w:pPr>
        <w:spacing w:after="0" w:line="360" w:lineRule="auto"/>
        <w:ind w:hanging="720"/>
        <w:contextualSpacing/>
        <w:jc w:val="both"/>
        <w:rPr>
          <w:rFonts w:ascii="Arial" w:hAnsi="Arial" w:cs="Arial"/>
          <w:color w:val="0F9ED5" w:themeColor="accent4"/>
          <w:sz w:val="22"/>
          <w:szCs w:val="22"/>
        </w:rPr>
      </w:pPr>
      <w:r>
        <w:rPr>
          <w:rFonts w:ascii="Arial" w:hAnsi="Arial" w:cs="Arial"/>
          <w:color w:val="0F9ED5" w:themeColor="accent4"/>
          <w:sz w:val="22"/>
          <w:szCs w:val="22"/>
        </w:rPr>
        <w:t>‌</w:t>
      </w:r>
      <w:r>
        <w:rPr>
          <w:rFonts w:ascii="Arial" w:hAnsi="Arial" w:cs="Arial"/>
          <w:sz w:val="22"/>
          <w:szCs w:val="22"/>
        </w:rPr>
        <w:t>Leape, LL 2021, ‘Partners in Progress: Patient Safety in the UK’, </w:t>
      </w:r>
      <w:r>
        <w:rPr>
          <w:rFonts w:ascii="Arial" w:hAnsi="Arial" w:cs="Arial"/>
          <w:i/>
          <w:iCs/>
          <w:sz w:val="22"/>
          <w:szCs w:val="22"/>
        </w:rPr>
        <w:t>Making Healthcare Safe</w:t>
      </w:r>
      <w:r>
        <w:rPr>
          <w:rFonts w:ascii="Arial" w:hAnsi="Arial" w:cs="Arial"/>
          <w:sz w:val="22"/>
          <w:szCs w:val="22"/>
        </w:rPr>
        <w:t xml:space="preserve">, Springer International Publishing, Cham, pp. 203–213, viewed 13 March 2026, </w:t>
      </w:r>
      <w:hyperlink r:id="rId24" w:history="1">
        <w:r>
          <w:rPr>
            <w:rStyle w:val="Hyperlink"/>
            <w:rFonts w:ascii="Arial" w:hAnsi="Arial" w:cs="Arial"/>
            <w:sz w:val="22"/>
            <w:szCs w:val="22"/>
          </w:rPr>
          <w:t>https://link.springer.com/chapter/10.1007/978-3-030-71123-8_13</w:t>
        </w:r>
      </w:hyperlink>
      <w:r>
        <w:rPr>
          <w:rFonts w:ascii="Arial" w:hAnsi="Arial" w:cs="Arial"/>
          <w:sz w:val="22"/>
          <w:szCs w:val="22"/>
        </w:rPr>
        <w:t>.</w:t>
      </w:r>
    </w:p>
    <w:p w14:paraId="02242517"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Leonardi, S, Montalto, C, Carrara, G, Casella, G, Grosseto, D, Galazzi, M, Repetto, A, Tua, L, Portolan, M, Ottani, F, Galvani, M, Gentile, L, Cardelli, LS, De Servi, S, Antonelli, A, De Ferrari, GM, Visconti, LO, Campo, G, Gazmawi, R &amp; Valenza, FA 2022, ‘Clinical governance of patients with acute coronary syndromes’, </w:t>
      </w:r>
      <w:r>
        <w:rPr>
          <w:rFonts w:ascii="Arial" w:hAnsi="Arial" w:cs="Arial"/>
          <w:i/>
          <w:iCs/>
          <w:sz w:val="22"/>
          <w:szCs w:val="22"/>
        </w:rPr>
        <w:t>European Heart Journal. Acute Cardiovascular Care</w:t>
      </w:r>
      <w:r>
        <w:rPr>
          <w:rFonts w:ascii="Arial" w:hAnsi="Arial" w:cs="Arial"/>
          <w:sz w:val="22"/>
          <w:szCs w:val="22"/>
        </w:rPr>
        <w:t xml:space="preserve">, vol. 11, Oxford University Press (OUP), no. 11, pp. 797–805, viewed 10 March 2026, </w:t>
      </w:r>
      <w:hyperlink r:id="rId25" w:history="1">
        <w:r>
          <w:rPr>
            <w:rStyle w:val="Hyperlink"/>
            <w:rFonts w:ascii="Arial" w:hAnsi="Arial" w:cs="Arial"/>
            <w:sz w:val="22"/>
            <w:szCs w:val="22"/>
          </w:rPr>
          <w:t>https://pubmed.ncbi.nlm.nih.gov/36124872/</w:t>
        </w:r>
      </w:hyperlink>
      <w:r>
        <w:rPr>
          <w:rFonts w:ascii="Arial" w:hAnsi="Arial" w:cs="Arial"/>
          <w:sz w:val="22"/>
          <w:szCs w:val="22"/>
        </w:rPr>
        <w:t>.</w:t>
      </w:r>
    </w:p>
    <w:p w14:paraId="02242518"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Maake, K, Chitha, W, Nomatshila, SC &amp; Mabunda, SA 2025, ‘Exploring Clinical Governance Interventions and Organisational Learning in Public Hospitals in South Africa’s Eastern Cape and Mpumalanga Provinces: A Mixed-Methods Study Protocol’, </w:t>
      </w:r>
      <w:r>
        <w:rPr>
          <w:rFonts w:ascii="Arial" w:hAnsi="Arial" w:cs="Arial"/>
          <w:i/>
          <w:iCs/>
          <w:sz w:val="22"/>
          <w:szCs w:val="22"/>
        </w:rPr>
        <w:t>Healthcare</w:t>
      </w:r>
      <w:r>
        <w:rPr>
          <w:rFonts w:ascii="Arial" w:hAnsi="Arial" w:cs="Arial"/>
          <w:sz w:val="22"/>
          <w:szCs w:val="22"/>
        </w:rPr>
        <w:t xml:space="preserve">, vol. 13, MDPI AG, no. 19, p. 2430, viewed 10 March 2026, </w:t>
      </w:r>
      <w:hyperlink r:id="rId26" w:history="1">
        <w:r>
          <w:rPr>
            <w:rStyle w:val="Hyperlink"/>
            <w:rFonts w:ascii="Arial" w:hAnsi="Arial" w:cs="Arial"/>
            <w:sz w:val="22"/>
            <w:szCs w:val="22"/>
          </w:rPr>
          <w:t>https://www.mdpi.com/2227-9032/13/19/2430</w:t>
        </w:r>
      </w:hyperlink>
      <w:r>
        <w:rPr>
          <w:rFonts w:ascii="Arial" w:hAnsi="Arial" w:cs="Arial"/>
          <w:sz w:val="22"/>
          <w:szCs w:val="22"/>
        </w:rPr>
        <w:t>.</w:t>
      </w:r>
    </w:p>
    <w:p w14:paraId="02242519"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Mannion, R &amp; Davies, H 2018, ‘Understanding organisational culture for healthcare quality improvement’, </w:t>
      </w:r>
      <w:r>
        <w:rPr>
          <w:rFonts w:ascii="Arial" w:hAnsi="Arial" w:cs="Arial"/>
          <w:i/>
          <w:iCs/>
          <w:sz w:val="22"/>
          <w:szCs w:val="22"/>
        </w:rPr>
        <w:t>BMJ</w:t>
      </w:r>
      <w:r>
        <w:rPr>
          <w:rFonts w:ascii="Arial" w:hAnsi="Arial" w:cs="Arial"/>
          <w:sz w:val="22"/>
          <w:szCs w:val="22"/>
        </w:rPr>
        <w:t xml:space="preserve">, BMJ, p. k4907, viewed 13 March 2026, </w:t>
      </w:r>
      <w:hyperlink r:id="rId27" w:history="1">
        <w:r>
          <w:rPr>
            <w:rStyle w:val="Hyperlink"/>
            <w:rFonts w:ascii="Arial" w:hAnsi="Arial" w:cs="Arial"/>
            <w:sz w:val="22"/>
            <w:szCs w:val="22"/>
          </w:rPr>
          <w:t>https://www.bmj.com/content/363/bmj.k4907</w:t>
        </w:r>
      </w:hyperlink>
      <w:r>
        <w:rPr>
          <w:rFonts w:ascii="Arial" w:hAnsi="Arial" w:cs="Arial"/>
          <w:sz w:val="22"/>
          <w:szCs w:val="22"/>
        </w:rPr>
        <w:t>.</w:t>
      </w:r>
    </w:p>
    <w:p w14:paraId="0224251A"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Mannion, R, Blenkinsopp, J, Powell, M, McHale, J, Millar, R, Snowden, N &amp; Davies, H 2018, </w:t>
      </w:r>
      <w:r>
        <w:rPr>
          <w:rFonts w:ascii="Arial" w:hAnsi="Arial" w:cs="Arial"/>
          <w:i/>
          <w:iCs/>
          <w:sz w:val="22"/>
          <w:szCs w:val="22"/>
        </w:rPr>
        <w:t>The main whistleblowing inquiries and formal responses to inquiry recommendations</w:t>
      </w:r>
      <w:r>
        <w:rPr>
          <w:rFonts w:ascii="Arial" w:hAnsi="Arial" w:cs="Arial"/>
          <w:sz w:val="22"/>
          <w:szCs w:val="22"/>
        </w:rPr>
        <w:t xml:space="preserve">, Nih.gov, NIHR Journals Library, viewed 13 March 2026, </w:t>
      </w:r>
      <w:hyperlink r:id="rId28" w:history="1">
        <w:r>
          <w:rPr>
            <w:rStyle w:val="Hyperlink"/>
            <w:rFonts w:ascii="Arial" w:hAnsi="Arial" w:cs="Arial"/>
            <w:sz w:val="22"/>
            <w:szCs w:val="22"/>
          </w:rPr>
          <w:t>https://www.ncbi.nlm.nih.gov/books/NBK519620/</w:t>
        </w:r>
      </w:hyperlink>
      <w:r>
        <w:rPr>
          <w:rFonts w:ascii="Arial" w:hAnsi="Arial" w:cs="Arial"/>
          <w:sz w:val="22"/>
          <w:szCs w:val="22"/>
        </w:rPr>
        <w:t>.</w:t>
      </w:r>
    </w:p>
    <w:p w14:paraId="0224251B"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Mohammed, MA, Cheng, K, Rouse, A &amp; Marshall, T 2001, ‘Bristol, Shipman, and clinical governance: Shewhart’s forgotten lessons’, </w:t>
      </w:r>
      <w:r>
        <w:rPr>
          <w:rFonts w:ascii="Arial" w:hAnsi="Arial" w:cs="Arial"/>
          <w:i/>
          <w:iCs/>
          <w:sz w:val="22"/>
          <w:szCs w:val="22"/>
        </w:rPr>
        <w:t>The Lancet</w:t>
      </w:r>
      <w:r>
        <w:rPr>
          <w:rFonts w:ascii="Arial" w:hAnsi="Arial" w:cs="Arial"/>
          <w:sz w:val="22"/>
          <w:szCs w:val="22"/>
        </w:rPr>
        <w:t xml:space="preserve">, vol. 357, Elsevier BV, no. 9254, pp. 463–467, viewed 13 March 2026, </w:t>
      </w:r>
      <w:hyperlink r:id="rId29" w:history="1">
        <w:r>
          <w:rPr>
            <w:rStyle w:val="Hyperlink"/>
            <w:rFonts w:ascii="Arial" w:hAnsi="Arial" w:cs="Arial"/>
            <w:sz w:val="22"/>
            <w:szCs w:val="22"/>
          </w:rPr>
          <w:t>https://pubmed.ncbi.nlm.nih.gov/11273083/</w:t>
        </w:r>
      </w:hyperlink>
      <w:r>
        <w:rPr>
          <w:rFonts w:ascii="Arial" w:hAnsi="Arial" w:cs="Arial"/>
          <w:sz w:val="22"/>
          <w:szCs w:val="22"/>
        </w:rPr>
        <w:t>.</w:t>
      </w:r>
    </w:p>
    <w:p w14:paraId="0224251C"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Montgomery, A, Lainidi, O &amp; Georganta, K 2024, ‘Why Talking Is Not Cheap: Adverse Events and Informal Communication’, </w:t>
      </w:r>
      <w:r>
        <w:rPr>
          <w:rFonts w:ascii="Arial" w:hAnsi="Arial" w:cs="Arial"/>
          <w:i/>
          <w:iCs/>
          <w:sz w:val="22"/>
          <w:szCs w:val="22"/>
        </w:rPr>
        <w:t>Healthcare</w:t>
      </w:r>
      <w:r>
        <w:rPr>
          <w:rFonts w:ascii="Arial" w:hAnsi="Arial" w:cs="Arial"/>
          <w:sz w:val="22"/>
          <w:szCs w:val="22"/>
        </w:rPr>
        <w:t xml:space="preserve">, vol. 12, MDPI AG, no. 6, p. 635, viewed 10 March 2026, </w:t>
      </w:r>
      <w:hyperlink r:id="rId30" w:history="1">
        <w:r>
          <w:rPr>
            <w:rStyle w:val="Hyperlink"/>
            <w:rFonts w:ascii="Arial" w:hAnsi="Arial" w:cs="Arial"/>
            <w:sz w:val="22"/>
            <w:szCs w:val="22"/>
          </w:rPr>
          <w:t>https://www.mdpi.com/2227-9032/12/6/635</w:t>
        </w:r>
      </w:hyperlink>
      <w:r>
        <w:rPr>
          <w:rFonts w:ascii="Arial" w:hAnsi="Arial" w:cs="Arial"/>
          <w:sz w:val="22"/>
          <w:szCs w:val="22"/>
        </w:rPr>
        <w:t>.</w:t>
      </w:r>
    </w:p>
    <w:p w14:paraId="0224251D"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Restivo, V, Minutolo, G, Battaglini, A, Carli, A, Capraro, M, Gaeta, M, Odone, A, Trucchi, C, Favaretti, C, Vitale, F &amp; Casuccio, A 2022, ‘Leadership Effectiveness in Healthcare Settings: A Systematic Review and Meta-Analysis of Cross-Sectional and Before–After Studies’, </w:t>
      </w:r>
      <w:r>
        <w:rPr>
          <w:rFonts w:ascii="Arial" w:hAnsi="Arial" w:cs="Arial"/>
          <w:i/>
          <w:iCs/>
          <w:sz w:val="22"/>
          <w:szCs w:val="22"/>
        </w:rPr>
        <w:t>International Journal of Environmental Research and Public Health</w:t>
      </w:r>
      <w:r>
        <w:rPr>
          <w:rFonts w:ascii="Arial" w:hAnsi="Arial" w:cs="Arial"/>
          <w:sz w:val="22"/>
          <w:szCs w:val="22"/>
        </w:rPr>
        <w:t xml:space="preserve">, vol. 19, MDPI AG, no. 17, p. 10995, viewed 13 March 2026, </w:t>
      </w:r>
      <w:hyperlink r:id="rId31" w:history="1">
        <w:r>
          <w:rPr>
            <w:rStyle w:val="Hyperlink"/>
            <w:rFonts w:ascii="Arial" w:hAnsi="Arial" w:cs="Arial"/>
            <w:sz w:val="22"/>
            <w:szCs w:val="22"/>
          </w:rPr>
          <w:t>https://www.mdpi.com/1660-4601/19/17/10995</w:t>
        </w:r>
      </w:hyperlink>
      <w:r>
        <w:rPr>
          <w:rFonts w:ascii="Arial" w:hAnsi="Arial" w:cs="Arial"/>
          <w:sz w:val="22"/>
          <w:szCs w:val="22"/>
        </w:rPr>
        <w:t>.</w:t>
      </w:r>
    </w:p>
    <w:p w14:paraId="0224251E"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Scally, G 2001, ‘Deaths in Bristol have changed the face of British medicine’, </w:t>
      </w:r>
      <w:r>
        <w:rPr>
          <w:rFonts w:ascii="Arial" w:hAnsi="Arial" w:cs="Arial"/>
          <w:i/>
          <w:iCs/>
          <w:sz w:val="22"/>
          <w:szCs w:val="22"/>
        </w:rPr>
        <w:t>CMAJ: Canadian Medical Association Journal</w:t>
      </w:r>
      <w:r>
        <w:rPr>
          <w:rFonts w:ascii="Arial" w:hAnsi="Arial" w:cs="Arial"/>
          <w:sz w:val="22"/>
          <w:szCs w:val="22"/>
        </w:rPr>
        <w:t xml:space="preserve">, vol. 165, no. 5, p. 628, viewed 10 March 2026, </w:t>
      </w:r>
      <w:hyperlink r:id="rId32" w:history="1">
        <w:r>
          <w:rPr>
            <w:rStyle w:val="Hyperlink"/>
            <w:rFonts w:ascii="Arial" w:hAnsi="Arial" w:cs="Arial"/>
            <w:sz w:val="22"/>
            <w:szCs w:val="22"/>
          </w:rPr>
          <w:t>https://pmc.ncbi.nlm.nih.gov/articles/PMC81430</w:t>
        </w:r>
      </w:hyperlink>
      <w:r>
        <w:rPr>
          <w:rFonts w:ascii="Arial" w:hAnsi="Arial" w:cs="Arial"/>
          <w:sz w:val="22"/>
          <w:szCs w:val="22"/>
        </w:rPr>
        <w:t>.</w:t>
      </w:r>
    </w:p>
    <w:p w14:paraId="0224251F"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Team, P 2019, </w:t>
      </w:r>
      <w:r>
        <w:rPr>
          <w:rFonts w:ascii="Arial" w:hAnsi="Arial" w:cs="Arial"/>
          <w:i/>
          <w:iCs/>
          <w:sz w:val="22"/>
          <w:szCs w:val="22"/>
        </w:rPr>
        <w:t>Learning from Bristol: the report of the public inquiry into children’s heart surgery at the Bristol Royal Infirmary 1984 -1995 (July 2001)</w:t>
      </w:r>
      <w:r>
        <w:rPr>
          <w:rFonts w:ascii="Arial" w:hAnsi="Arial" w:cs="Arial"/>
          <w:sz w:val="22"/>
          <w:szCs w:val="22"/>
        </w:rPr>
        <w:t xml:space="preserve">, Patient Safety Learning - the hub, Patient Safety Leaning - the hub, viewed 13 March 2026, </w:t>
      </w:r>
      <w:hyperlink r:id="rId33" w:history="1">
        <w:r>
          <w:rPr>
            <w:rStyle w:val="Hyperlink"/>
            <w:rFonts w:ascii="Arial" w:hAnsi="Arial" w:cs="Arial"/>
            <w:sz w:val="22"/>
            <w:szCs w:val="22"/>
          </w:rPr>
          <w:t>https://www.pslhub.org/learn/investigations-risk-management-and-legal-issues/investigations-and-complaints/investigation-reports/other-reports-and-enquiries/learning-from-bristol-the-report-of-the-public-inquiry-into-childrens-heart-surgery-at-the-bristol-royal-infirmary-1984-1995-july-2001-r852/</w:t>
        </w:r>
      </w:hyperlink>
      <w:r>
        <w:rPr>
          <w:rFonts w:ascii="Arial" w:hAnsi="Arial" w:cs="Arial"/>
          <w:sz w:val="22"/>
          <w:szCs w:val="22"/>
        </w:rPr>
        <w:t>.</w:t>
      </w:r>
    </w:p>
    <w:p w14:paraId="02242520"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Tsapnidou, E, Kelesi, M, Rovithis, M, Katharakis, G, Gerogianni, G, Dafogianni, C, Toylia, G, Fasoi, G &amp; Stavropoulou, A 2024, ‘Transformational Leadership—Quality Achievements and Benefits for the Healthcare Organizations: A Scoping Review’, </w:t>
      </w:r>
      <w:r>
        <w:rPr>
          <w:rFonts w:ascii="Arial" w:hAnsi="Arial" w:cs="Arial"/>
          <w:i/>
          <w:iCs/>
          <w:sz w:val="22"/>
          <w:szCs w:val="22"/>
        </w:rPr>
        <w:t>Hospitals</w:t>
      </w:r>
      <w:r>
        <w:rPr>
          <w:rFonts w:ascii="Arial" w:hAnsi="Arial" w:cs="Arial"/>
          <w:sz w:val="22"/>
          <w:szCs w:val="22"/>
        </w:rPr>
        <w:t xml:space="preserve">, vol. 1, MDPI AG, no. 1, pp. 87–103, viewed 10 March 2026, </w:t>
      </w:r>
      <w:hyperlink r:id="rId34" w:history="1">
        <w:r>
          <w:rPr>
            <w:rStyle w:val="Hyperlink"/>
            <w:rFonts w:ascii="Arial" w:hAnsi="Arial" w:cs="Arial"/>
            <w:sz w:val="22"/>
            <w:szCs w:val="22"/>
          </w:rPr>
          <w:t>https://www.mdpi.com/2813-4524/1/1/8</w:t>
        </w:r>
      </w:hyperlink>
      <w:r>
        <w:rPr>
          <w:rFonts w:ascii="Arial" w:hAnsi="Arial" w:cs="Arial"/>
          <w:sz w:val="22"/>
          <w:szCs w:val="22"/>
        </w:rPr>
        <w:t>.</w:t>
      </w:r>
    </w:p>
    <w:p w14:paraId="02242521" w14:textId="77777777" w:rsidR="00962815" w:rsidRDefault="00ED0532">
      <w:pPr>
        <w:spacing w:after="0" w:line="360" w:lineRule="auto"/>
        <w:ind w:hanging="720"/>
        <w:contextualSpacing/>
        <w:jc w:val="both"/>
        <w:rPr>
          <w:rFonts w:ascii="Arial" w:eastAsia="Times New Roman" w:hAnsi="Arial" w:cs="Arial"/>
          <w:color w:val="000000"/>
          <w:kern w:val="0"/>
          <w:sz w:val="22"/>
          <w:szCs w:val="22"/>
          <w:lang w:eastAsia="zh-CN"/>
          <w14:ligatures w14:val="none"/>
        </w:rPr>
      </w:pPr>
      <w:r>
        <w:rPr>
          <w:rFonts w:ascii="Arial" w:eastAsia="Times New Roman" w:hAnsi="Arial" w:cs="Arial"/>
          <w:color w:val="000000"/>
          <w:kern w:val="0"/>
          <w:sz w:val="22"/>
          <w:szCs w:val="22"/>
          <w:lang w:eastAsia="zh-CN"/>
          <w14:ligatures w14:val="none"/>
        </w:rPr>
        <w:t>Tumala, RB 2025, ‘Clinical Nurses’ Involvement in Decision-Making Process at the Nursing Unit-Based Council Level: A Cross-Sectional Study of Shared Professional Governance in the Kingdom of Saudi Arabia’, </w:t>
      </w:r>
      <w:r>
        <w:rPr>
          <w:rFonts w:ascii="Arial" w:eastAsia="Times New Roman" w:hAnsi="Arial" w:cs="Arial"/>
          <w:i/>
          <w:iCs/>
          <w:color w:val="000000"/>
          <w:kern w:val="0"/>
          <w:sz w:val="22"/>
          <w:szCs w:val="22"/>
          <w:lang w:eastAsia="zh-CN"/>
          <w14:ligatures w14:val="none"/>
        </w:rPr>
        <w:t>Nursing Reports</w:t>
      </w:r>
      <w:r>
        <w:rPr>
          <w:rFonts w:ascii="Arial" w:eastAsia="Times New Roman" w:hAnsi="Arial" w:cs="Arial"/>
          <w:color w:val="000000"/>
          <w:kern w:val="0"/>
          <w:sz w:val="22"/>
          <w:szCs w:val="22"/>
          <w:lang w:eastAsia="zh-CN"/>
          <w14:ligatures w14:val="none"/>
        </w:rPr>
        <w:t xml:space="preserve">, vol. 15, MDPI AG, no. 12, p. 426, viewed 13 March 2026, </w:t>
      </w:r>
      <w:hyperlink r:id="rId35" w:history="1">
        <w:r>
          <w:rPr>
            <w:rStyle w:val="Hyperlink"/>
            <w:rFonts w:ascii="Arial" w:eastAsia="Times New Roman" w:hAnsi="Arial" w:cs="Arial"/>
            <w:kern w:val="0"/>
            <w:sz w:val="22"/>
            <w:szCs w:val="22"/>
            <w:lang w:eastAsia="zh-CN"/>
            <w14:ligatures w14:val="none"/>
          </w:rPr>
          <w:t>https://www.mdpi.com/2039-4403/15/12/426</w:t>
        </w:r>
      </w:hyperlink>
      <w:r>
        <w:rPr>
          <w:rFonts w:ascii="Arial" w:eastAsia="Times New Roman" w:hAnsi="Arial" w:cs="Arial"/>
          <w:color w:val="000000"/>
          <w:kern w:val="0"/>
          <w:sz w:val="22"/>
          <w:szCs w:val="22"/>
          <w:lang w:eastAsia="zh-CN"/>
          <w14:ligatures w14:val="none"/>
        </w:rPr>
        <w:t>.</w:t>
      </w:r>
    </w:p>
    <w:p w14:paraId="02242522"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Walshe, K 2001, ‘A very public failure: lessons for quality improvement in healthcare organisations from the Bristol Royal Infirmary’, </w:t>
      </w:r>
      <w:r>
        <w:rPr>
          <w:rFonts w:ascii="Arial" w:hAnsi="Arial" w:cs="Arial"/>
          <w:i/>
          <w:iCs/>
          <w:sz w:val="22"/>
          <w:szCs w:val="22"/>
        </w:rPr>
        <w:t>Quality in Health Care</w:t>
      </w:r>
      <w:r>
        <w:rPr>
          <w:rFonts w:ascii="Arial" w:hAnsi="Arial" w:cs="Arial"/>
          <w:sz w:val="22"/>
          <w:szCs w:val="22"/>
        </w:rPr>
        <w:t xml:space="preserve">, vol. 10, BMJ, no. 4, pp. 250–256, viewed 13 March 2026, </w:t>
      </w:r>
      <w:hyperlink r:id="rId36" w:history="1">
        <w:r>
          <w:rPr>
            <w:rStyle w:val="Hyperlink"/>
            <w:rFonts w:ascii="Arial" w:hAnsi="Arial" w:cs="Arial"/>
            <w:sz w:val="22"/>
            <w:szCs w:val="22"/>
          </w:rPr>
          <w:t>https://pubmed.ncbi.nlm.nih.gov/11743155/</w:t>
        </w:r>
      </w:hyperlink>
      <w:r>
        <w:rPr>
          <w:rFonts w:ascii="Arial" w:hAnsi="Arial" w:cs="Arial"/>
          <w:sz w:val="22"/>
          <w:szCs w:val="22"/>
        </w:rPr>
        <w:t>.</w:t>
      </w:r>
    </w:p>
    <w:p w14:paraId="02242523"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Watters, MPR, Ascione, R, Ryder, IG, Ciulli, F, Pitsis, AA &amp; Angelini, GD 2001, ‘Haemodynamic changes during beating heart coronary surgery with the “Bristol Technique”’, </w:t>
      </w:r>
      <w:r>
        <w:rPr>
          <w:rFonts w:ascii="Arial" w:hAnsi="Arial" w:cs="Arial"/>
          <w:i/>
          <w:iCs/>
          <w:sz w:val="22"/>
          <w:szCs w:val="22"/>
        </w:rPr>
        <w:t>European Journal of Cardio-Thoracic Surgery</w:t>
      </w:r>
      <w:r>
        <w:rPr>
          <w:rFonts w:ascii="Arial" w:hAnsi="Arial" w:cs="Arial"/>
          <w:sz w:val="22"/>
          <w:szCs w:val="22"/>
        </w:rPr>
        <w:t xml:space="preserve">, vol. 19, Oxford University Press (OUP), no. 1, pp. 34–40, viewed 10 March 2026, </w:t>
      </w:r>
      <w:hyperlink r:id="rId37" w:history="1">
        <w:r>
          <w:rPr>
            <w:rStyle w:val="Hyperlink"/>
            <w:rFonts w:ascii="Arial" w:hAnsi="Arial" w:cs="Arial"/>
            <w:sz w:val="22"/>
            <w:szCs w:val="22"/>
          </w:rPr>
          <w:t>https://pubmed.ncbi.nlm.nih.gov/11163558/</w:t>
        </w:r>
      </w:hyperlink>
      <w:r>
        <w:rPr>
          <w:rFonts w:ascii="Arial" w:hAnsi="Arial" w:cs="Arial"/>
          <w:sz w:val="22"/>
          <w:szCs w:val="22"/>
        </w:rPr>
        <w:t>.</w:t>
      </w:r>
    </w:p>
    <w:p w14:paraId="02242524"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Weick, KE &amp; Sutcliffe, KM 2012, ‘Hospitals as cultures of entrapment: a re-analysis of the Bristol Royal Infirmary.’, </w:t>
      </w:r>
      <w:r>
        <w:rPr>
          <w:rFonts w:ascii="Arial" w:hAnsi="Arial" w:cs="Arial"/>
          <w:i/>
          <w:iCs/>
          <w:sz w:val="22"/>
          <w:szCs w:val="22"/>
        </w:rPr>
        <w:t>Hospitals as Cultures of Entrapment: A Re-Analysis of the Bristol Royal Infirmary</w:t>
      </w:r>
      <w:r>
        <w:rPr>
          <w:rFonts w:ascii="Arial" w:hAnsi="Arial" w:cs="Arial"/>
          <w:sz w:val="22"/>
          <w:szCs w:val="22"/>
        </w:rPr>
        <w:t xml:space="preserve">, vol. 45, no. 2, pp. 73–84, viewed 13 March 2026, </w:t>
      </w:r>
      <w:hyperlink r:id="rId38" w:history="1">
        <w:r>
          <w:rPr>
            <w:rStyle w:val="Hyperlink"/>
            <w:rFonts w:ascii="Arial" w:hAnsi="Arial" w:cs="Arial"/>
            <w:sz w:val="22"/>
            <w:szCs w:val="22"/>
          </w:rPr>
          <w:t>https://psnet.ahrq.gov/issue/hospitals-cultures-entrapment-re-analysis-bristol-royal-infirmary</w:t>
        </w:r>
      </w:hyperlink>
      <w:r>
        <w:rPr>
          <w:rFonts w:ascii="Arial" w:hAnsi="Arial" w:cs="Arial"/>
          <w:sz w:val="22"/>
          <w:szCs w:val="22"/>
        </w:rPr>
        <w:t>.</w:t>
      </w:r>
    </w:p>
    <w:p w14:paraId="02242525" w14:textId="77777777" w:rsidR="00962815" w:rsidRDefault="00ED0532">
      <w:pPr>
        <w:spacing w:after="0" w:line="360" w:lineRule="auto"/>
        <w:ind w:hanging="720"/>
        <w:contextualSpacing/>
        <w:jc w:val="both"/>
        <w:rPr>
          <w:rFonts w:ascii="Arial" w:hAnsi="Arial" w:cs="Arial"/>
          <w:sz w:val="22"/>
          <w:szCs w:val="22"/>
        </w:rPr>
      </w:pPr>
      <w:r>
        <w:rPr>
          <w:rFonts w:ascii="Arial" w:hAnsi="Arial" w:cs="Arial"/>
          <w:sz w:val="22"/>
          <w:szCs w:val="22"/>
        </w:rPr>
        <w:t>Williams, SJ &amp; Best, S 2022, ‘What Does a Systems Approach to Quality Improvement Look Like in Practice?’, </w:t>
      </w:r>
      <w:r>
        <w:rPr>
          <w:rFonts w:ascii="Arial" w:hAnsi="Arial" w:cs="Arial"/>
          <w:i/>
          <w:iCs/>
          <w:sz w:val="22"/>
          <w:szCs w:val="22"/>
        </w:rPr>
        <w:t>International Journal of Environmental Research and Public Health</w:t>
      </w:r>
      <w:r>
        <w:rPr>
          <w:rFonts w:ascii="Arial" w:hAnsi="Arial" w:cs="Arial"/>
          <w:sz w:val="22"/>
          <w:szCs w:val="22"/>
        </w:rPr>
        <w:t xml:space="preserve">, vol. 19, MDPI AG, no. 2, p. 747, viewed 10 March 2026, </w:t>
      </w:r>
      <w:hyperlink r:id="rId39" w:history="1">
        <w:r>
          <w:rPr>
            <w:rStyle w:val="Hyperlink"/>
            <w:rFonts w:ascii="Arial" w:hAnsi="Arial" w:cs="Arial"/>
            <w:sz w:val="22"/>
            <w:szCs w:val="22"/>
          </w:rPr>
          <w:t>https://www.mdpi.com/1660-4601/19/2/747</w:t>
        </w:r>
      </w:hyperlink>
      <w:r>
        <w:rPr>
          <w:rFonts w:ascii="Arial" w:hAnsi="Arial" w:cs="Arial"/>
          <w:sz w:val="22"/>
          <w:szCs w:val="22"/>
        </w:rPr>
        <w:t>.</w:t>
      </w:r>
    </w:p>
    <w:bookmarkEnd w:id="25"/>
    <w:p w14:paraId="02242526" w14:textId="77777777" w:rsidR="00962815" w:rsidRDefault="00962815">
      <w:pPr>
        <w:pStyle w:val="ListParagraph"/>
        <w:spacing w:after="0" w:line="360" w:lineRule="auto"/>
        <w:ind w:left="0"/>
        <w:jc w:val="both"/>
        <w:rPr>
          <w:rFonts w:ascii="Arial" w:hAnsi="Arial" w:cs="Arial"/>
          <w:sz w:val="22"/>
          <w:szCs w:val="22"/>
        </w:rPr>
      </w:pPr>
    </w:p>
    <w:p w14:paraId="02242527" w14:textId="77777777" w:rsidR="00962815" w:rsidRDefault="00962815">
      <w:pPr>
        <w:spacing w:after="0" w:line="360" w:lineRule="auto"/>
        <w:ind w:hanging="720"/>
        <w:contextualSpacing/>
        <w:jc w:val="both"/>
        <w:rPr>
          <w:rFonts w:ascii="Arial" w:hAnsi="Arial" w:cs="Arial"/>
          <w:sz w:val="22"/>
          <w:szCs w:val="22"/>
        </w:rPr>
      </w:pPr>
    </w:p>
    <w:p w14:paraId="02242528" w14:textId="77777777" w:rsidR="00962815" w:rsidRDefault="00ED0532">
      <w:pPr>
        <w:spacing w:after="0" w:line="360" w:lineRule="auto"/>
        <w:ind w:left="720" w:hanging="720"/>
        <w:contextualSpacing/>
        <w:rPr>
          <w:rFonts w:ascii="Arial" w:hAnsi="Arial" w:cs="Arial"/>
        </w:rPr>
      </w:pPr>
      <w:r>
        <w:rPr>
          <w:rFonts w:ascii="Arial" w:hAnsi="Arial" w:cs="Arial"/>
        </w:rPr>
        <w:t>‌</w:t>
      </w:r>
    </w:p>
    <w:p w14:paraId="02242529" w14:textId="77777777" w:rsidR="00962815" w:rsidRDefault="00962815">
      <w:pPr>
        <w:spacing w:after="0" w:line="360" w:lineRule="auto"/>
        <w:ind w:left="720" w:hanging="720"/>
        <w:contextualSpacing/>
        <w:rPr>
          <w:rFonts w:ascii="Arial" w:hAnsi="Arial" w:cs="Arial"/>
        </w:rPr>
      </w:pPr>
    </w:p>
    <w:sectPr w:rsidR="00962815">
      <w:headerReference w:type="default" r:id="rId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6ED5F1" w14:textId="77777777" w:rsidR="00ED0532" w:rsidRDefault="00ED0532">
      <w:pPr>
        <w:spacing w:line="240" w:lineRule="auto"/>
      </w:pPr>
      <w:r>
        <w:separator/>
      </w:r>
    </w:p>
  </w:endnote>
  <w:endnote w:type="continuationSeparator" w:id="0">
    <w:p w14:paraId="05A20855" w14:textId="77777777" w:rsidR="00ED0532" w:rsidRDefault="00ED053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098862" w14:textId="77777777" w:rsidR="00ED0532" w:rsidRDefault="00ED0532">
      <w:pPr>
        <w:spacing w:after="0"/>
      </w:pPr>
      <w:r>
        <w:separator/>
      </w:r>
    </w:p>
  </w:footnote>
  <w:footnote w:type="continuationSeparator" w:id="0">
    <w:p w14:paraId="3E48E94F" w14:textId="77777777" w:rsidR="00ED0532" w:rsidRDefault="00ED0532">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Fonts w:ascii="Arial" w:hAnsi="Arial" w:cs="Arial"/>
      </w:rPr>
      <w:id w:val="-621530047"/>
      <w:docPartObj>
        <w:docPartGallery w:val="AutoText"/>
      </w:docPartObj>
    </w:sdtPr>
    <w:sdtEndPr/>
    <w:sdtContent>
      <w:p w14:paraId="02242532" w14:textId="77777777" w:rsidR="00962815" w:rsidRDefault="00ED0532">
        <w:pPr>
          <w:pStyle w:val="Header"/>
          <w:jc w:val="right"/>
          <w:rPr>
            <w:rFonts w:ascii="Arial" w:hAnsi="Arial" w:cs="Arial"/>
          </w:rPr>
        </w:pPr>
        <w:r>
          <w:rPr>
            <w:rFonts w:ascii="Arial" w:hAnsi="Arial" w:cs="Arial"/>
          </w:rPr>
          <w:fldChar w:fldCharType="begin"/>
        </w:r>
        <w:r>
          <w:rPr>
            <w:rFonts w:ascii="Arial" w:hAnsi="Arial" w:cs="Arial"/>
          </w:rPr>
          <w:instrText xml:space="preserve"> PAGE   \* MERGEFORMAT </w:instrText>
        </w:r>
        <w:r>
          <w:rPr>
            <w:rFonts w:ascii="Arial" w:hAnsi="Arial" w:cs="Arial"/>
          </w:rPr>
          <w:fldChar w:fldCharType="separate"/>
        </w:r>
        <w:r>
          <w:rPr>
            <w:rFonts w:ascii="Arial" w:hAnsi="Arial" w:cs="Arial"/>
          </w:rPr>
          <w:t>2</w:t>
        </w:r>
        <w:r>
          <w:rPr>
            <w:rFonts w:ascii="Arial" w:hAnsi="Arial" w:cs="Arial"/>
          </w:rPr>
          <w:fldChar w:fldCharType="end"/>
        </w:r>
      </w:p>
    </w:sdtContent>
  </w:sdt>
  <w:p w14:paraId="02242533" w14:textId="77777777" w:rsidR="00962815" w:rsidRDefault="0096281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6"/>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32C7"/>
    <w:rsid w:val="000438D4"/>
    <w:rsid w:val="00075130"/>
    <w:rsid w:val="00137AE5"/>
    <w:rsid w:val="0016458C"/>
    <w:rsid w:val="00194B5C"/>
    <w:rsid w:val="001971C7"/>
    <w:rsid w:val="00265441"/>
    <w:rsid w:val="002B4381"/>
    <w:rsid w:val="002D1DC4"/>
    <w:rsid w:val="003255A2"/>
    <w:rsid w:val="004126BC"/>
    <w:rsid w:val="00414564"/>
    <w:rsid w:val="004152F0"/>
    <w:rsid w:val="004A470F"/>
    <w:rsid w:val="004E7272"/>
    <w:rsid w:val="00523228"/>
    <w:rsid w:val="00527F8C"/>
    <w:rsid w:val="00542FE8"/>
    <w:rsid w:val="00557BC9"/>
    <w:rsid w:val="005722E9"/>
    <w:rsid w:val="00575B74"/>
    <w:rsid w:val="00575D9B"/>
    <w:rsid w:val="005827A3"/>
    <w:rsid w:val="005867D9"/>
    <w:rsid w:val="005A1CBC"/>
    <w:rsid w:val="0061074D"/>
    <w:rsid w:val="006732C7"/>
    <w:rsid w:val="00692271"/>
    <w:rsid w:val="006B731B"/>
    <w:rsid w:val="007626E5"/>
    <w:rsid w:val="007727BF"/>
    <w:rsid w:val="007C23EE"/>
    <w:rsid w:val="007C5F25"/>
    <w:rsid w:val="007D2D29"/>
    <w:rsid w:val="00890307"/>
    <w:rsid w:val="008B7494"/>
    <w:rsid w:val="008E6EC7"/>
    <w:rsid w:val="00903B08"/>
    <w:rsid w:val="0091047D"/>
    <w:rsid w:val="009464D3"/>
    <w:rsid w:val="00962815"/>
    <w:rsid w:val="00962831"/>
    <w:rsid w:val="00993965"/>
    <w:rsid w:val="009A7D20"/>
    <w:rsid w:val="00A076F1"/>
    <w:rsid w:val="00A45807"/>
    <w:rsid w:val="00A67763"/>
    <w:rsid w:val="00A95D5C"/>
    <w:rsid w:val="00B21695"/>
    <w:rsid w:val="00B40A09"/>
    <w:rsid w:val="00B46317"/>
    <w:rsid w:val="00B61550"/>
    <w:rsid w:val="00B87B00"/>
    <w:rsid w:val="00B922F9"/>
    <w:rsid w:val="00BC5130"/>
    <w:rsid w:val="00C32154"/>
    <w:rsid w:val="00C425CF"/>
    <w:rsid w:val="00C83B98"/>
    <w:rsid w:val="00D14E08"/>
    <w:rsid w:val="00D15B91"/>
    <w:rsid w:val="00E45AA7"/>
    <w:rsid w:val="00E6070D"/>
    <w:rsid w:val="00EB72B1"/>
    <w:rsid w:val="00ED0532"/>
    <w:rsid w:val="00EF2AD3"/>
    <w:rsid w:val="719A5C7C"/>
  </w:rsids>
  <m:mathPr>
    <m:mathFont m:val="Cambria Math"/>
    <m:brkBin m:val="before"/>
    <m:brkBinSub m:val="--"/>
    <m:smallFrac m:val="0"/>
    <m:dispDef/>
    <m:lMargin m:val="0"/>
    <m:rMargin m:val="0"/>
    <m:defJc m:val="centerGroup"/>
    <m:wrapIndent m:val="1440"/>
    <m:intLim m:val="subSup"/>
    <m:naryLim m:val="undOvr"/>
  </m:mathPr>
  <w:themeFontLang w:val="zh-C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242475"/>
  <w15:docId w15:val="{7521A97C-A32A-459E-B458-39D9DA2AB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val="zh-CN" w:eastAsia="en-US"/>
      <w14:ligatures w14:val="standardContextual"/>
    </w:rPr>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pPr>
      <w:keepNext/>
      <w:keepLines/>
      <w:spacing w:after="0"/>
      <w:outlineLvl w:val="7"/>
    </w:pPr>
    <w:rPr>
      <w:rFonts w:eastAsiaTheme="majorEastAsia" w:cstheme="majorBidi"/>
      <w:i/>
      <w:iCs/>
      <w:color w:val="262626" w:themeColor="text1" w:themeTint="D9"/>
    </w:rPr>
  </w:style>
  <w:style w:type="paragraph" w:styleId="Heading9">
    <w:name w:val="heading 9"/>
    <w:basedOn w:val="Normal"/>
    <w:next w:val="Normal"/>
    <w:link w:val="Heading9Char"/>
    <w:uiPriority w:val="9"/>
    <w:semiHidden/>
    <w:unhideWhenUsed/>
    <w:qFormat/>
    <w:pPr>
      <w:keepNext/>
      <w:keepLines/>
      <w:spacing w:after="0"/>
      <w:outlineLvl w:val="8"/>
    </w:pPr>
    <w:rPr>
      <w:rFonts w:eastAsiaTheme="majorEastAsia" w:cstheme="majorBidi"/>
      <w:color w:val="262626" w:themeColor="text1" w:themeTint="D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Pr>
      <w:color w:val="96607D" w:themeColor="followedHyperlink"/>
      <w:u w:val="single"/>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pPr>
      <w:tabs>
        <w:tab w:val="center" w:pos="4513"/>
        <w:tab w:val="right" w:pos="9026"/>
      </w:tabs>
      <w:spacing w:after="0" w:line="240" w:lineRule="auto"/>
    </w:pPr>
  </w:style>
  <w:style w:type="character" w:styleId="Hyperlink">
    <w:name w:val="Hyperlink"/>
    <w:basedOn w:val="DefaultParagraphFont"/>
    <w:uiPriority w:val="99"/>
    <w:unhideWhenUsed/>
    <w:qFormat/>
    <w:rPr>
      <w:color w:val="467886" w:themeColor="hyperlink"/>
      <w:u w:val="single"/>
    </w:rPr>
  </w:style>
  <w:style w:type="paragraph" w:styleId="NormalWeb">
    <w:name w:val="Normal (Web)"/>
    <w:basedOn w:val="Normal"/>
    <w:uiPriority w:val="99"/>
    <w:semiHidden/>
    <w:unhideWhenUsed/>
    <w:qFormat/>
    <w:rPr>
      <w:rFonts w:ascii="Times New Roman" w:hAnsi="Times New Roman" w:cs="Times New Roman"/>
    </w:rPr>
  </w:style>
  <w:style w:type="paragraph" w:styleId="Subtitle">
    <w:name w:val="Subtitle"/>
    <w:basedOn w:val="Normal"/>
    <w:next w:val="Normal"/>
    <w:link w:val="SubtitleChar"/>
    <w:uiPriority w:val="11"/>
    <w:qFormat/>
    <w:rPr>
      <w:rFonts w:eastAsiaTheme="majorEastAsia" w:cstheme="majorBidi"/>
      <w:color w:val="595959" w:themeColor="text1" w:themeTint="A6"/>
      <w:spacing w:val="15"/>
      <w:sz w:val="28"/>
      <w:szCs w:val="28"/>
    </w:rPr>
  </w:style>
  <w:style w:type="table" w:styleId="TableGrid">
    <w:name w:val="Table Grid"/>
    <w:basedOn w:val="TableNormal"/>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qFormat/>
    <w:pPr>
      <w:spacing w:after="100"/>
    </w:pPr>
  </w:style>
  <w:style w:type="paragraph" w:styleId="TOC2">
    <w:name w:val="toc 2"/>
    <w:basedOn w:val="Normal"/>
    <w:next w:val="Normal"/>
    <w:autoRedefine/>
    <w:uiPriority w:val="39"/>
    <w:unhideWhenUsed/>
    <w:pPr>
      <w:spacing w:after="100"/>
      <w:ind w:left="240"/>
    </w:pPr>
  </w:style>
  <w:style w:type="paragraph" w:styleId="TOC3">
    <w:name w:val="toc 3"/>
    <w:basedOn w:val="Normal"/>
    <w:next w:val="Normal"/>
    <w:autoRedefine/>
    <w:uiPriority w:val="39"/>
    <w:unhideWhenUsed/>
    <w:qFormat/>
    <w:pPr>
      <w:spacing w:after="100"/>
      <w:ind w:left="480"/>
    </w:pPr>
  </w:style>
  <w:style w:type="character" w:customStyle="1" w:styleId="Heading1Char">
    <w:name w:val="Heading 1 Char"/>
    <w:basedOn w:val="DefaultParagraphFont"/>
    <w:link w:val="Heading1"/>
    <w:uiPriority w:val="9"/>
    <w:qFormat/>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Pr>
      <w:rFonts w:eastAsiaTheme="majorEastAsia" w:cstheme="majorBidi"/>
      <w:i/>
      <w:iCs/>
      <w:color w:val="262626" w:themeColor="text1" w:themeTint="D9"/>
    </w:rPr>
  </w:style>
  <w:style w:type="character" w:customStyle="1" w:styleId="Heading9Char">
    <w:name w:val="Heading 9 Char"/>
    <w:basedOn w:val="DefaultParagraphFont"/>
    <w:link w:val="Heading9"/>
    <w:uiPriority w:val="9"/>
    <w:semiHidden/>
    <w:rPr>
      <w:rFonts w:eastAsiaTheme="majorEastAsia" w:cstheme="majorBidi"/>
      <w:color w:val="262626" w:themeColor="text1" w:themeTint="D9"/>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qFormat/>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QuoteChar">
    <w:name w:val="Quote Char"/>
    <w:basedOn w:val="DefaultParagraphFont"/>
    <w:link w:val="Quote"/>
    <w:uiPriority w:val="29"/>
    <w:qFormat/>
    <w:rPr>
      <w:i/>
      <w:iCs/>
      <w:color w:val="404040" w:themeColor="text1" w:themeTint="BF"/>
    </w:rPr>
  </w:style>
  <w:style w:type="paragraph" w:styleId="ListParagraph">
    <w:name w:val="List Paragraph"/>
    <w:basedOn w:val="Normal"/>
    <w:uiPriority w:val="34"/>
    <w:qFormat/>
    <w:pPr>
      <w:ind w:left="720"/>
      <w:contextualSpacing/>
    </w:pPr>
  </w:style>
  <w:style w:type="character" w:customStyle="1" w:styleId="IntenseEmphasis1">
    <w:name w:val="Intense Emphasis1"/>
    <w:basedOn w:val="DefaultParagraphFont"/>
    <w:uiPriority w:val="21"/>
    <w:qFormat/>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Pr>
      <w:i/>
      <w:iCs/>
      <w:color w:val="0F4761" w:themeColor="accent1" w:themeShade="BF"/>
    </w:rPr>
  </w:style>
  <w:style w:type="character" w:customStyle="1" w:styleId="IntenseReference1">
    <w:name w:val="Intense Reference1"/>
    <w:basedOn w:val="DefaultParagraphFont"/>
    <w:uiPriority w:val="32"/>
    <w:qFormat/>
    <w:rPr>
      <w:b/>
      <w:bCs/>
      <w:smallCaps/>
      <w:color w:val="0F4761" w:themeColor="accent1" w:themeShade="BF"/>
      <w:spacing w:val="5"/>
    </w:r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style>
  <w:style w:type="character" w:customStyle="1" w:styleId="UnresolvedMention1">
    <w:name w:val="Unresolved Mention1"/>
    <w:basedOn w:val="DefaultParagraphFont"/>
    <w:uiPriority w:val="99"/>
    <w:semiHidden/>
    <w:unhideWhenUsed/>
    <w:rPr>
      <w:color w:val="605E5C"/>
      <w:shd w:val="clear" w:color="auto" w:fill="E1DFDD"/>
    </w:rPr>
  </w:style>
  <w:style w:type="paragraph" w:customStyle="1" w:styleId="TOCHeading1">
    <w:name w:val="TOC Heading1"/>
    <w:basedOn w:val="Heading1"/>
    <w:next w:val="Normal"/>
    <w:uiPriority w:val="39"/>
    <w:unhideWhenUsed/>
    <w:qFormat/>
    <w:pPr>
      <w:spacing w:before="240" w:after="0" w:line="259" w:lineRule="auto"/>
      <w:outlineLvl w:val="9"/>
    </w:pPr>
    <w:rPr>
      <w:kern w:val="0"/>
      <w:sz w:val="32"/>
      <w:szCs w:val="3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mdpi.com/2227-9032/13/24/3205" TargetMode="External" /><Relationship Id="rId18" Type="http://schemas.openxmlformats.org/officeDocument/2006/relationships/hyperlink" Target="https://www.theguardian.com/society/2002/jan/17/5" TargetMode="External" /><Relationship Id="rId26" Type="http://schemas.openxmlformats.org/officeDocument/2006/relationships/hyperlink" Target="https://www.mdpi.com/2227-9032/13/19/2430" TargetMode="External" /><Relationship Id="rId39" Type="http://schemas.openxmlformats.org/officeDocument/2006/relationships/hyperlink" Target="https://www.mdpi.com/1660-4601/19/2/747" TargetMode="External" /><Relationship Id="rId3" Type="http://schemas.openxmlformats.org/officeDocument/2006/relationships/settings" Target="settings.xml" /><Relationship Id="rId21" Type="http://schemas.openxmlformats.org/officeDocument/2006/relationships/hyperlink" Target="https://academic.oup.com/icvts/article/4/3/197/651368" TargetMode="External" /><Relationship Id="rId34" Type="http://schemas.openxmlformats.org/officeDocument/2006/relationships/hyperlink" Target="https://www.mdpi.com/2813-4524/1/1/8" TargetMode="External" /><Relationship Id="rId42" Type="http://schemas.openxmlformats.org/officeDocument/2006/relationships/theme" Target="theme/theme1.xml" /><Relationship Id="rId7" Type="http://schemas.openxmlformats.org/officeDocument/2006/relationships/image" Target="media/image1.png" /><Relationship Id="rId12" Type="http://schemas.openxmlformats.org/officeDocument/2006/relationships/hyperlink" Target="https://pubmed.ncbi.nlm.nih.gov/12487845/" TargetMode="External" /><Relationship Id="rId17" Type="http://schemas.openxmlformats.org/officeDocument/2006/relationships/hyperlink" Target="https://nursinganswers.net/essays/bristol-royal-infirmary-19841995-public-3080.php" TargetMode="External" /><Relationship Id="rId25" Type="http://schemas.openxmlformats.org/officeDocument/2006/relationships/hyperlink" Target="https://pubmed.ncbi.nlm.nih.gov/36124872/" TargetMode="External" /><Relationship Id="rId33" Type="http://schemas.openxmlformats.org/officeDocument/2006/relationships/hyperlink" Target="https://www.pslhub.org/learn/investigations-risk-management-and-legal-issues/investigations-and-complaints/investigation-reports/other-reports-and-enquiries/learning-from-bristol-the-report-of-the-public-inquiry-into-childrens-heart-surgery-at-the-bristol-royal-infirmary-1984-1995-july-2001-r852/" TargetMode="External" /><Relationship Id="rId38" Type="http://schemas.openxmlformats.org/officeDocument/2006/relationships/hyperlink" Target="https://psnet.ahrq.gov/issue/hospitals-cultures-entrapment-re-analysis-bristol-royal-infirmary" TargetMode="External" /><Relationship Id="rId2" Type="http://schemas.openxmlformats.org/officeDocument/2006/relationships/styles" Target="styles.xml" /><Relationship Id="rId16" Type="http://schemas.openxmlformats.org/officeDocument/2006/relationships/hyperlink" Target="https://www.mdpi.com/2313-576X/10/4/96" TargetMode="External" /><Relationship Id="rId20" Type="http://schemas.openxmlformats.org/officeDocument/2006/relationships/hyperlink" Target="https://www.gov.uk/government/publications/the-department-of-healths-response-to-the-report-of-the-public-inquiry-into-childrens-heart-surgery-at-the-bristol-royal-infirmary" TargetMode="External" /><Relationship Id="rId29" Type="http://schemas.openxmlformats.org/officeDocument/2006/relationships/hyperlink" Target="https://pubmed.ncbi.nlm.nih.gov/11273083/" TargetMode="External" /><Relationship Id="rId41"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pmc.ncbi.nlm.nih.gov/articles/PMC11151417/" TargetMode="External" /><Relationship Id="rId24" Type="http://schemas.openxmlformats.org/officeDocument/2006/relationships/hyperlink" Target="https://link.springer.com/chapter/10.1007/978-3-030-71123-8_13" TargetMode="External" /><Relationship Id="rId32" Type="http://schemas.openxmlformats.org/officeDocument/2006/relationships/hyperlink" Target="https://pmc.ncbi.nlm.nih.gov/articles/PMC81430" TargetMode="External" /><Relationship Id="rId37" Type="http://schemas.openxmlformats.org/officeDocument/2006/relationships/hyperlink" Target="https://pubmed.ncbi.nlm.nih.gov/11163558/" TargetMode="External" /><Relationship Id="rId40" Type="http://schemas.openxmlformats.org/officeDocument/2006/relationships/header" Target="header1.xml" /><Relationship Id="rId5" Type="http://schemas.openxmlformats.org/officeDocument/2006/relationships/footnotes" Target="footnotes.xml" /><Relationship Id="rId15" Type="http://schemas.openxmlformats.org/officeDocument/2006/relationships/hyperlink" Target="https://pubmed.ncbi.nlm.nih.gov/9803249/" TargetMode="External" /><Relationship Id="rId23" Type="http://schemas.openxmlformats.org/officeDocument/2006/relationships/hyperlink" Target="https://pubmed.ncbi.nlm.nih.gov/12201391/" TargetMode="External" /><Relationship Id="rId28" Type="http://schemas.openxmlformats.org/officeDocument/2006/relationships/hyperlink" Target="https://www.ncbi.nlm.nih.gov/books/NBK519620/" TargetMode="External" /><Relationship Id="rId36" Type="http://schemas.openxmlformats.org/officeDocument/2006/relationships/hyperlink" Target="https://pubmed.ncbi.nlm.nih.gov/11743155/" TargetMode="External" /><Relationship Id="rId10" Type="http://schemas.openxmlformats.org/officeDocument/2006/relationships/hyperlink" Target="https://www.bmj.com/content/352/bmj.i1328" TargetMode="External" /><Relationship Id="rId19" Type="http://schemas.openxmlformats.org/officeDocument/2006/relationships/hyperlink" Target="https://www.bmj.com/content/323/7306/181" TargetMode="External" /><Relationship Id="rId31" Type="http://schemas.openxmlformats.org/officeDocument/2006/relationships/hyperlink" Target="https://www.mdpi.com/1660-4601/19/17/10995" TargetMode="Externa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yperlink" Target="https://www.mdpi.com/2227-9032/13/24/3240" TargetMode="External" /><Relationship Id="rId22" Type="http://schemas.openxmlformats.org/officeDocument/2006/relationships/hyperlink" Target="https://www.ahajournals.org/doi/10.1161/hc3201.097067" TargetMode="External" /><Relationship Id="rId27" Type="http://schemas.openxmlformats.org/officeDocument/2006/relationships/hyperlink" Target="https://www.bmj.com/content/363/bmj.k4907" TargetMode="External" /><Relationship Id="rId30" Type="http://schemas.openxmlformats.org/officeDocument/2006/relationships/hyperlink" Target="https://www.mdpi.com/2227-9032/12/6/635" TargetMode="External" /><Relationship Id="rId35" Type="http://schemas.openxmlformats.org/officeDocument/2006/relationships/hyperlink" Target="https://www.mdpi.com/2039-4403/15/12/42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00E712-93EA-4545-8B54-33605405F8B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8427</Words>
  <Characters>48038</Characters>
  <Application>Microsoft Office Word</Application>
  <DocSecurity>0</DocSecurity>
  <Lines>400</Lines>
  <Paragraphs>112</Paragraphs>
  <ScaleCrop>false</ScaleCrop>
  <Company/>
  <LinksUpToDate>false</LinksUpToDate>
  <CharactersWithSpaces>56353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PRIYANKA</dc:creator>
  <cp:lastModifiedBy>Krisha Ahir</cp:lastModifiedBy>
  <cp:revision>2</cp:revision>
  <dcterms:created xsi:type="dcterms:W3CDTF">2026-03-26T22:42:00Z</dcterms:created>
  <dcterms:modified xsi:type="dcterms:W3CDTF">2026-03-26T22:42:00Z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5651D844942747A598B7CB2B052C458B_13</vt:lpwstr>
  </property>
</Properties>
</file>