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hint="default" w:ascii="Arial" w:hAnsi="Arial" w:eastAsia="宋体" w:cs="Arial"/>
                <w:sz w:val="22"/>
                <w:szCs w:val="22"/>
                <w:lang w:val="en-US" w:eastAsia="zh-CN"/>
              </w:rPr>
            </w:pPr>
            <w:r>
              <w:rPr>
                <w:rFonts w:hint="default" w:ascii="Arial" w:hAnsi="Arial" w:cs="Arial"/>
                <w:sz w:val="22"/>
                <w:szCs w:val="22"/>
                <w:lang w:val="en-US"/>
              </w:rPr>
              <w:t>Z</w:t>
            </w:r>
            <w:r>
              <w:rPr>
                <w:rFonts w:hint="eastAsia" w:ascii="Arial" w:hAnsi="Arial" w:eastAsia="宋体" w:cs="Arial"/>
                <w:sz w:val="22"/>
                <w:szCs w:val="22"/>
                <w:lang w:val="en-US" w:eastAsia="zh-CN"/>
              </w:rPr>
              <w:t xml:space="preserve">huoying </w:t>
            </w:r>
            <w:r>
              <w:rPr>
                <w:rFonts w:hint="default" w:ascii="Arial" w:hAnsi="Arial" w:eastAsia="宋体" w:cs="Arial"/>
                <w:sz w:val="22"/>
                <w:szCs w:val="22"/>
                <w:lang w:val="en-US" w:eastAsia="zh-CN"/>
              </w:rPr>
              <w:t>H</w:t>
            </w:r>
            <w:r>
              <w:rPr>
                <w:rFonts w:hint="eastAsia" w:ascii="Arial" w:hAnsi="Arial" w:eastAsia="宋体" w:cs="Arial"/>
                <w:sz w:val="22"/>
                <w:szCs w:val="22"/>
                <w:lang w:val="en-US" w:eastAsia="zh-CN"/>
              </w:rPr>
              <w:t>an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3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rPr>
                <w:rFonts w:hint="default" w:ascii="Arial" w:hAnsi="Arial" w:cs="Arial"/>
                <w:sz w:val="22"/>
                <w:szCs w:val="22"/>
                <w:lang w:val="en-US"/>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Campus:</w:t>
            </w:r>
          </w:p>
        </w:tc>
        <w:tc>
          <w:tcPr>
            <w:tcW w:w="6636" w:type="dxa"/>
            <w:vAlign w:val="center"/>
          </w:tcPr>
          <w:p>
            <w:pPr>
              <w:rPr>
                <w:rFonts w:ascii="Arial" w:hAnsi="Arial" w:cs="Arial"/>
                <w:sz w:val="22"/>
                <w:szCs w:val="22"/>
              </w:rPr>
            </w:pPr>
            <w:r>
              <w:rPr>
                <w:rFonts w:hint="default" w:ascii="Arial" w:hAnsi="Arial" w:cs="Arial"/>
                <w:sz w:val="22"/>
                <w:szCs w:val="22"/>
                <w:lang w:val="en-US"/>
              </w:rPr>
              <w:t>S</w:t>
            </w:r>
            <w:r>
              <w:rPr>
                <w:rFonts w:hint="eastAsia" w:ascii="Arial" w:hAnsi="Arial" w:eastAsia="宋体" w:cs="Arial"/>
                <w:sz w:val="22"/>
                <w:szCs w:val="22"/>
                <w:lang w:val="en-US" w:eastAsia="zh-CN"/>
              </w:rPr>
              <w:t>wansea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2408614@student</w:t>
            </w:r>
            <w:r>
              <w:rPr>
                <w:rFonts w:hint="default" w:ascii="Arial" w:hAnsi="Arial" w:eastAsia="宋体" w:cs="Arial"/>
                <w:sz w:val="22"/>
                <w:szCs w:val="22"/>
                <w:lang w:val="en-US" w:eastAsia="zh-CN"/>
              </w:rPr>
              <w: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ascii="Arial" w:hAnsi="Arial" w:cs="Arial"/>
                <w:sz w:val="22"/>
                <w:szCs w:val="22"/>
              </w:rPr>
            </w:pPr>
            <w:r>
              <w:rPr>
                <w:rFonts w:hint="default" w:ascii="Arial" w:hAnsi="Arial" w:cs="Arial"/>
                <w:sz w:val="22"/>
                <w:szCs w:val="22"/>
                <w:lang w:val="en-US"/>
              </w:rPr>
              <w:t>07410626248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hint="default" w:ascii="Arial" w:hAnsi="Arial" w:cs="Arial"/>
                <w:sz w:val="22"/>
                <w:szCs w:val="22"/>
                <w:lang w:val="en-US"/>
              </w:rPr>
            </w:pPr>
            <w:r>
              <w:rPr>
                <w:rFonts w:hint="default" w:ascii="Arial" w:hAnsi="Arial" w:cs="Arial"/>
                <w:sz w:val="22"/>
                <w:szCs w:val="22"/>
                <w:lang w:val="en-US"/>
              </w:rPr>
              <w:t>2408614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Doctor of education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ascii="Arial" w:hAnsi="Arial" w:cs="Arial"/>
                <w:sz w:val="22"/>
                <w:szCs w:val="22"/>
              </w:rPr>
            </w:pPr>
            <w:r>
              <w:rPr>
                <w:rFonts w:hint="eastAsia" w:ascii="Arial" w:hAnsi="Arial" w:cs="Arial"/>
                <w:sz w:val="22"/>
                <w:szCs w:val="22"/>
              </w:rPr>
              <w:t>Catherine Morgan</w:t>
            </w:r>
            <w:bookmarkStart w:id="0" w:name="_GoBack"/>
            <w:bookmarkEnd w:id="0"/>
          </w:p>
        </w:tc>
      </w:tr>
    </w:tbl>
    <w:p>
      <w:pPr>
        <w:rPr>
          <w:rFonts w:ascii="Arial" w:hAnsi="Arial" w:cs="Arial"/>
          <w:bCs/>
          <w:iCs/>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Pr>
              <w:rPr>
                <w:rFonts w:ascii="Arial" w:hAnsi="Arial" w:cs="Arial"/>
              </w:rPr>
            </w:pPr>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vMerge w:val="restart"/>
            <w:shd w:val="clear" w:color="auto" w:fill="F1F1F1" w:themeFill="background1" w:themeFillShade="F2"/>
            <w:vAlign w:val="center"/>
          </w:tcPr>
          <w:p>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1"/>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participants:</w:t>
            </w:r>
          </w:p>
          <w:p>
            <w:pPr>
              <w:rPr>
                <w:rFonts w:ascii="Arial" w:hAnsi="Arial" w:cs="Arial"/>
                <w:sz w:val="22"/>
                <w:szCs w:val="22"/>
              </w:rPr>
            </w:pPr>
            <w:r>
              <w:rPr>
                <w:rFonts w:hint="eastAsia" w:ascii="Arial" w:hAnsi="Arial" w:cs="Arial"/>
                <w:sz w:val="22"/>
                <w:szCs w:val="22"/>
              </w:rPr>
              <w:t>This is a study on the effect of broadcasting and vocalization courses in China, which may involve different teachers' and students' positions and views on different teaching methods, and the understanding of participants' previous learning experiences and feelings, such as the course score of the course, which may bring some emotional distress.</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i/>
                <w:sz w:val="18"/>
                <w:szCs w:val="18"/>
              </w:rPr>
              <w:t>How you will mitigate the risk to participants:</w:t>
            </w:r>
          </w:p>
          <w:p>
            <w:pPr>
              <w:rPr>
                <w:rFonts w:ascii="Arial" w:hAnsi="Arial" w:cs="Arial"/>
                <w:sz w:val="22"/>
                <w:szCs w:val="22"/>
              </w:rPr>
            </w:pPr>
            <w:r>
              <w:rPr>
                <w:rFonts w:hint="eastAsia" w:ascii="Arial" w:hAnsi="Arial" w:cs="Arial"/>
                <w:sz w:val="22"/>
                <w:szCs w:val="22"/>
              </w:rPr>
              <w:t>Commitment to the anonymous nature of the study increases participants' sense of security. The participants' past experience was not evaluated.</w:t>
            </w:r>
          </w:p>
          <w:p>
            <w:pPr>
              <w:rPr>
                <w:rFonts w:ascii="Arial" w:hAnsi="Arial" w:cs="Arial"/>
                <w:sz w:val="22"/>
                <w:szCs w:val="22"/>
              </w:rPr>
            </w:pPr>
          </w:p>
          <w:p>
            <w:pPr>
              <w:autoSpaceDE w:val="0"/>
              <w:autoSpaceDN w:val="0"/>
              <w:adjustRightInd w:val="0"/>
              <w:rPr>
                <w:rFonts w:ascii="Arial" w:hAnsi="Arial" w:cs="Arial"/>
                <w: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rPr>
            </w:pPr>
            <w:r>
              <w:rPr>
                <w:rFonts w:hint="eastAsia" w:ascii="Arial" w:hAnsi="Arial" w:cs="Arial"/>
                <w:sz w:val="22"/>
                <w:szCs w:val="22"/>
              </w:rPr>
              <w:t>The study did not include criminal, drug or sexual activity. Participants were only interviewed about their learning experiences and feelings.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investigator:</w:t>
            </w:r>
          </w:p>
          <w:p>
            <w:pPr>
              <w:rPr>
                <w:rFonts w:hint="eastAsia" w:ascii="Arial" w:hAnsi="Arial" w:cs="Arial"/>
                <w:sz w:val="22"/>
                <w:szCs w:val="22"/>
              </w:rPr>
            </w:pPr>
            <w:r>
              <w:rPr>
                <w:rFonts w:hint="eastAsia" w:ascii="Arial" w:hAnsi="Arial" w:cs="Arial"/>
                <w:sz w:val="22"/>
                <w:szCs w:val="22"/>
              </w:rPr>
              <w:t>Risks to researchers:</w:t>
            </w:r>
          </w:p>
          <w:p>
            <w:pPr>
              <w:rPr>
                <w:rFonts w:hint="eastAsia" w:ascii="Arial" w:hAnsi="Arial" w:cs="Arial"/>
                <w:sz w:val="22"/>
                <w:szCs w:val="22"/>
              </w:rPr>
            </w:pPr>
            <w:r>
              <w:rPr>
                <w:rFonts w:hint="eastAsia" w:ascii="Arial" w:hAnsi="Arial" w:cs="Arial"/>
                <w:sz w:val="22"/>
                <w:szCs w:val="22"/>
              </w:rPr>
              <w:t>1. Time pressure for research completion,</w:t>
            </w:r>
          </w:p>
          <w:p>
            <w:pPr>
              <w:rPr>
                <w:rFonts w:hint="eastAsia" w:ascii="Arial" w:hAnsi="Arial" w:cs="Arial"/>
                <w:sz w:val="22"/>
                <w:szCs w:val="22"/>
              </w:rPr>
            </w:pPr>
            <w:r>
              <w:rPr>
                <w:rFonts w:hint="eastAsia" w:ascii="Arial" w:hAnsi="Arial" w:cs="Arial"/>
                <w:sz w:val="22"/>
                <w:szCs w:val="22"/>
              </w:rPr>
              <w:t>2. The pressure of data collection and sample analysis. It is estimated that 330 valid questionnaires will be collected, plus the data from interviews and focus groups</w:t>
            </w:r>
          </w:p>
          <w:p>
            <w:pPr>
              <w:rPr>
                <w:rFonts w:ascii="Arial" w:hAnsi="Arial" w:cs="Arial"/>
                <w:sz w:val="22"/>
                <w:szCs w:val="22"/>
              </w:rPr>
            </w:pPr>
            <w:r>
              <w:rPr>
                <w:rFonts w:hint="eastAsia" w:ascii="Arial" w:hAnsi="Arial" w:cs="Arial"/>
                <w:sz w:val="22"/>
                <w:szCs w:val="22"/>
              </w:rPr>
              <w:t>3. The pressure of research data mishandling</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Make a reasonable weekly plan and monthly schedule to ensure the standardization of data processing process</w:t>
            </w:r>
          </w:p>
          <w:p>
            <w:pPr>
              <w:rPr>
                <w:rFonts w:ascii="Arial" w:hAnsi="Arial" w:cs="Arial"/>
                <w:sz w:val="22"/>
                <w:szCs w:val="22"/>
              </w:rPr>
            </w:pP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University:</w:t>
            </w:r>
          </w:p>
          <w:p>
            <w:pPr>
              <w:autoSpaceDE w:val="0"/>
              <w:autoSpaceDN w:val="0"/>
              <w:adjustRightInd w:val="0"/>
              <w:rPr>
                <w:rFonts w:ascii="Arial" w:hAnsi="Arial" w:cs="Arial"/>
                <w:sz w:val="22"/>
                <w:szCs w:val="22"/>
              </w:rPr>
            </w:pPr>
            <w:r>
              <w:rPr>
                <w:rFonts w:hint="eastAsia" w:ascii="Arial" w:hAnsi="Arial" w:cs="Arial"/>
                <w:sz w:val="22"/>
                <w:szCs w:val="22"/>
              </w:rPr>
              <w:t>The risks to schools are minimal</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pPr>
              <w:rPr>
                <w:rFonts w:ascii="Arial" w:hAnsi="Arial" w:cs="Arial"/>
                <w:sz w:val="22"/>
                <w:szCs w:val="22"/>
              </w:rPr>
            </w:pPr>
            <w:r>
              <w:rPr>
                <w:rFonts w:hint="eastAsia" w:ascii="Arial" w:hAnsi="Arial" w:cs="Arial"/>
                <w:sz w:val="22"/>
                <w:szCs w:val="22"/>
              </w:rPr>
              <w:t>Conduct research in strict accordance with moral and ethical requirements</w:t>
            </w: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environment:</w:t>
            </w:r>
          </w:p>
          <w:p>
            <w:pPr>
              <w:rPr>
                <w:rFonts w:ascii="Arial" w:hAnsi="Arial" w:cs="Arial"/>
                <w:sz w:val="22"/>
                <w:szCs w:val="22"/>
              </w:rPr>
            </w:pPr>
            <w:r>
              <w:rPr>
                <w:rFonts w:hint="eastAsia" w:ascii="Arial" w:hAnsi="Arial" w:cs="Arial"/>
                <w:sz w:val="22"/>
                <w:szCs w:val="22"/>
              </w:rPr>
              <w:t>There are no environmental risks involved</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pPr>
              <w:autoSpaceDE w:val="0"/>
              <w:autoSpaceDN w:val="0"/>
              <w:adjustRightInd w:val="0"/>
              <w:rPr>
                <w:rFonts w:ascii="Arial" w:hAnsi="Arial" w:cs="Arial"/>
              </w:rPr>
            </w:pPr>
          </w:p>
        </w:tc>
      </w:tr>
    </w:tbl>
    <w:p>
      <w:pPr>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hint="eastAsia" w:ascii="Arial" w:hAnsi="Arial" w:cs="Arial"/>
                <w:sz w:val="22"/>
                <w:szCs w:val="22"/>
              </w:rPr>
            </w:pPr>
            <w:r>
              <w:rPr>
                <w:rFonts w:hint="eastAsia" w:ascii="Arial" w:hAnsi="Arial" w:cs="Arial"/>
                <w:sz w:val="22"/>
                <w:szCs w:val="22"/>
              </w:rPr>
              <w:t>Questionnaire survey: This study does not involve the issuance and retrieval of paper questionnaires, and the informed consent and questionnaire contents are expected to be conducted by sending emails and network links. A summary of the survey will be sent by email or electronic message to the survey participants, especially those who wish to know the results of the study.</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In-Depth Interview Process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Before the interview, participants will receive the interview outline and results for confirmation. They will be asked about their willingness to participate and any sensitive topics they wish to avoid. Participants can withdraw their information or change their opinions at any time during this process.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After the interview, a summary of the content and key views will be provided, along with individualized feedback, such as personal data analysis on learning effects or classroom experiences. Participants will receive their analysis results for review and final confirmation of data usage rights.</w:t>
            </w:r>
          </w:p>
          <w:p>
            <w:pPr>
              <w:rPr>
                <w:rFonts w:hint="eastAsia" w:ascii="Arial" w:hAnsi="Arial" w:cs="Arial"/>
                <w:sz w:val="22"/>
                <w:szCs w:val="22"/>
              </w:rPr>
            </w:pPr>
          </w:p>
          <w:p>
            <w:pPr>
              <w:rPr>
                <w:rFonts w:hint="eastAsia" w:ascii="Arial" w:hAnsi="Arial" w:cs="Arial"/>
                <w:sz w:val="22"/>
                <w:szCs w:val="22"/>
              </w:rPr>
            </w:pPr>
            <w:r>
              <w:rPr>
                <w:rFonts w:hint="default" w:ascii="Arial" w:hAnsi="Arial" w:cs="Arial"/>
                <w:sz w:val="22"/>
                <w:szCs w:val="22"/>
                <w:lang w:val="en-US"/>
              </w:rPr>
              <w:t>T</w:t>
            </w:r>
            <w:r>
              <w:rPr>
                <w:rFonts w:hint="eastAsia" w:ascii="Arial" w:hAnsi="Arial" w:cs="Arial"/>
                <w:sz w:val="22"/>
                <w:szCs w:val="22"/>
                <w:lang w:val="en-US" w:eastAsia="zh-CN"/>
              </w:rPr>
              <w:t>ime of d</w:t>
            </w:r>
            <w:r>
              <w:rPr>
                <w:rFonts w:hint="eastAsia" w:ascii="Arial" w:hAnsi="Arial" w:cs="Arial"/>
                <w:sz w:val="22"/>
                <w:szCs w:val="22"/>
              </w:rPr>
              <w:t>ebriefing and Feedback:</w:t>
            </w:r>
          </w:p>
          <w:p>
            <w:pPr>
              <w:rPr>
                <w:rFonts w:hint="eastAsia" w:ascii="Arial" w:hAnsi="Arial" w:cs="Arial"/>
                <w:sz w:val="22"/>
                <w:szCs w:val="22"/>
              </w:rPr>
            </w:pPr>
            <w:r>
              <w:rPr>
                <w:rFonts w:hint="eastAsia" w:ascii="Arial" w:hAnsi="Arial" w:cs="Arial"/>
                <w:sz w:val="22"/>
                <w:szCs w:val="22"/>
              </w:rPr>
              <w:t>- Initial Feedback: After the questionnaires and interviews, participants will receive a preliminary update on research progress, including data analysis status and estimated completion time.</w:t>
            </w:r>
          </w:p>
          <w:p>
            <w:pPr>
              <w:rPr>
                <w:rFonts w:hint="eastAsia" w:ascii="Arial" w:hAnsi="Arial" w:cs="Arial"/>
                <w:sz w:val="22"/>
                <w:szCs w:val="22"/>
              </w:rPr>
            </w:pPr>
            <w:r>
              <w:rPr>
                <w:rFonts w:hint="eastAsia" w:ascii="Arial" w:hAnsi="Arial" w:cs="Arial"/>
                <w:sz w:val="22"/>
                <w:szCs w:val="22"/>
              </w:rPr>
              <w:t>- Final Feedback: A formal debriefing will occur after the study report is completed, typically within 1-3 months.</w:t>
            </w:r>
          </w:p>
          <w:p>
            <w:pPr>
              <w:rPr>
                <w:rFonts w:hint="eastAsia" w:ascii="Arial" w:hAnsi="Arial" w:cs="Arial"/>
                <w:sz w:val="22"/>
                <w:szCs w:val="22"/>
              </w:rPr>
            </w:pPr>
            <w:r>
              <w:rPr>
                <w:rFonts w:hint="eastAsia" w:ascii="Arial" w:hAnsi="Arial" w:cs="Arial"/>
                <w:sz w:val="22"/>
                <w:szCs w:val="22"/>
              </w:rPr>
              <w:t>- Continuous Communication: If the research involves follow-up practices, participants will receive ongoing feedback and be invited to discussions related to course design improvements.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This process ensures participants are informed and engaged throughout the study.</w:t>
            </w:r>
          </w:p>
          <w:p>
            <w:pPr>
              <w:rPr>
                <w:rFonts w:ascii="Arial" w:hAnsi="Arial" w:cs="Arial"/>
                <w:sz w:val="22"/>
                <w:szCs w:val="22"/>
              </w:rPr>
            </w:pPr>
            <w:r>
              <w:rPr>
                <w:rFonts w:hint="eastAsia" w:ascii="Arial" w:hAnsi="Arial" w:cs="Arial"/>
                <w:sz w:val="22"/>
                <w:szCs w:val="22"/>
              </w:rPr>
              <w:t>At the same time, the feedback was received on a voluntary basis, and the researchers did not force the participants to read or participate in the reporting activities. Reports and feedback on research are equally available to all, regardless of the background, identity or level of participation of the participants.</w:t>
            </w: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hint="eastAsia" w:ascii="Arial" w:hAnsi="Arial" w:cs="Arial"/>
                <w:sz w:val="22"/>
                <w:szCs w:val="22"/>
              </w:rPr>
            </w:pPr>
            <w:r>
              <w:rPr>
                <w:rFonts w:hint="eastAsia" w:ascii="Arial" w:hAnsi="Arial" w:cs="Arial"/>
                <w:sz w:val="22"/>
                <w:szCs w:val="22"/>
              </w:rPr>
              <w:t>1. Inform the arrangement before agreeing</w:t>
            </w:r>
          </w:p>
          <w:p>
            <w:pPr>
              <w:rPr>
                <w:rFonts w:hint="eastAsia" w:ascii="Arial" w:hAnsi="Arial" w:cs="Arial"/>
                <w:sz w:val="22"/>
                <w:szCs w:val="22"/>
              </w:rPr>
            </w:pPr>
            <w:r>
              <w:rPr>
                <w:rFonts w:hint="eastAsia" w:ascii="Arial" w:hAnsi="Arial" w:cs="Arial"/>
                <w:sz w:val="22"/>
                <w:szCs w:val="22"/>
              </w:rPr>
              <w:t>The following will be detailed in writing to potential participants prior to the start of the study to ensure they fully understand what participation involves. Explain to the participants that the topic of the study is a study on the classroom effectiveness of broadcast vocalization courses in Chinese universities, and explain that the purpose of the study is to evaluate the curriculum effectiveness and teaching methods to improve teaching practice.</w:t>
            </w:r>
          </w:p>
          <w:p>
            <w:pPr>
              <w:rPr>
                <w:rFonts w:hint="eastAsia" w:ascii="Arial" w:hAnsi="Arial" w:cs="Arial"/>
                <w:sz w:val="22"/>
                <w:szCs w:val="22"/>
              </w:rPr>
            </w:pPr>
            <w:r>
              <w:rPr>
                <w:rFonts w:hint="eastAsia" w:ascii="Arial" w:hAnsi="Arial" w:cs="Arial"/>
                <w:sz w:val="22"/>
                <w:szCs w:val="22"/>
              </w:rPr>
              <w:t>At the same time, describe the specific forms of participation. The research includes questionnaire survey and in-depth interview. Explain the approximate duration of each type of participation, the questionnaire should take about 15 minutes, and the interview should take about 30-60 minutes.</w:t>
            </w:r>
          </w:p>
          <w:p>
            <w:pPr>
              <w:rPr>
                <w:rFonts w:hint="eastAsia" w:ascii="Arial" w:hAnsi="Arial" w:cs="Arial"/>
                <w:sz w:val="22"/>
                <w:szCs w:val="22"/>
              </w:rPr>
            </w:pPr>
            <w:r>
              <w:rPr>
                <w:rFonts w:hint="eastAsia" w:ascii="Arial" w:hAnsi="Arial" w:cs="Arial"/>
                <w:sz w:val="22"/>
                <w:szCs w:val="22"/>
              </w:rPr>
              <w:t>Provide a description of the nature of the question. For example, the questionnaire mainly involves the basic academic background of the individual, the score interval of the course, the classroom experience, and the evaluation of the teaching effect; the interview may involve more detailed opinions and feelings.</w:t>
            </w:r>
          </w:p>
          <w:p>
            <w:pPr>
              <w:rPr>
                <w:rFonts w:hint="eastAsia" w:ascii="Arial" w:hAnsi="Arial" w:cs="Arial"/>
                <w:sz w:val="22"/>
                <w:szCs w:val="22"/>
              </w:rPr>
            </w:pPr>
            <w:r>
              <w:rPr>
                <w:rFonts w:hint="eastAsia" w:ascii="Arial" w:hAnsi="Arial" w:cs="Arial"/>
                <w:sz w:val="22"/>
                <w:szCs w:val="22"/>
              </w:rPr>
              <w:t>Participants will be collected and asked about their willingness to participate in the in-depth interview. If they are willing to participate in the in-depth interview, they will be issued a commitment letter and interview outline agreeing to accept the survey after the questionnaire is issued, so that they can understand the problems and potential hidden dangers that the interview may face, and ensure the anonymity of this research.</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Explain to participants that there is virtually no risk associated with participating in the study, emphasizing that there are no sensitivities involved. Participants were also asked to explain the possible benefits, such as helping to improve the design of university broadcast and sound courses, while providing participants with opportunities for self-reflection on the curriculum).</w:t>
            </w:r>
          </w:p>
          <w:p>
            <w:pPr>
              <w:rPr>
                <w:rFonts w:hint="eastAsia" w:ascii="Arial" w:hAnsi="Arial" w:cs="Arial"/>
                <w:sz w:val="22"/>
                <w:szCs w:val="22"/>
              </w:rPr>
            </w:pPr>
            <w:r>
              <w:rPr>
                <w:rFonts w:hint="eastAsia" w:ascii="Arial" w:hAnsi="Arial" w:cs="Arial"/>
                <w:sz w:val="22"/>
                <w:szCs w:val="22"/>
              </w:rPr>
              <w:t>Participants will be informed that their data will be used solely for academic research, anonymized, and kept confidential. Personally identifiable information will be stored securely for five years after the study, then destroyed. Participation is entirely voluntary; participants can withdraw at any time without explanation. Contact information for the researcher will be provided for any questions.</w:t>
            </w:r>
          </w:p>
          <w:p>
            <w:pPr>
              <w:rPr>
                <w:rFonts w:hint="eastAsia" w:ascii="Arial" w:hAnsi="Arial" w:cs="Arial"/>
                <w:sz w:val="22"/>
                <w:szCs w:val="22"/>
              </w:rPr>
            </w:pP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w:t>
            </w:r>
            <w:r>
              <w:rPr>
                <w:rFonts w:hint="default" w:ascii="Arial" w:hAnsi="Arial" w:eastAsia="宋体" w:cs="Arial"/>
                <w:sz w:val="22"/>
                <w:szCs w:val="22"/>
                <w:lang w:val="en-US" w:eastAsia="zh-CN"/>
              </w:rPr>
              <w:t>F</w:t>
            </w:r>
            <w:r>
              <w:rPr>
                <w:rFonts w:hint="eastAsia" w:ascii="Arial" w:hAnsi="Arial" w:eastAsia="宋体" w:cs="Arial"/>
                <w:sz w:val="22"/>
                <w:szCs w:val="22"/>
                <w:lang w:val="en-US" w:eastAsia="zh-CN"/>
              </w:rPr>
              <w:t>ully agreed arrangements</w:t>
            </w:r>
          </w:p>
          <w:p>
            <w:pPr>
              <w:rPr>
                <w:rFonts w:hint="eastAsia" w:ascii="Arial" w:hAnsi="Arial" w:cs="Arial"/>
                <w:sz w:val="22"/>
                <w:szCs w:val="22"/>
              </w:rPr>
            </w:pPr>
            <w:r>
              <w:rPr>
                <w:rFonts w:hint="eastAsia" w:ascii="Arial" w:hAnsi="Arial" w:cs="Arial"/>
                <w:sz w:val="22"/>
                <w:szCs w:val="22"/>
              </w:rPr>
              <w:t>- Online Questionnaire: An electronic consent page will be presented at the start, requiring participants to check "I have read and agree to participate" to proceed.</w:t>
            </w:r>
          </w:p>
          <w:p>
            <w:pPr>
              <w:rPr>
                <w:rFonts w:hint="eastAsia" w:ascii="Arial" w:hAnsi="Arial" w:cs="Arial"/>
                <w:sz w:val="22"/>
                <w:szCs w:val="22"/>
              </w:rPr>
            </w:pPr>
            <w:r>
              <w:rPr>
                <w:rFonts w:hint="eastAsia" w:ascii="Arial" w:hAnsi="Arial" w:cs="Arial"/>
                <w:sz w:val="22"/>
                <w:szCs w:val="22"/>
              </w:rPr>
              <w:t>- In-Depth Interview: Participants will receive an electronic consent form outlining the study details, which they must sign to indicate consent. If written consent isn't available, verbal consent will be recorded at the interview's start.</w:t>
            </w:r>
          </w:p>
          <w:p>
            <w:pPr>
              <w:rPr>
                <w:rFonts w:hint="eastAsia" w:ascii="Arial" w:hAnsi="Arial" w:cs="Arial"/>
                <w:sz w:val="22"/>
                <w:szCs w:val="22"/>
              </w:rPr>
            </w:pPr>
          </w:p>
          <w:p>
            <w:pPr>
              <w:rPr>
                <w:rFonts w:ascii="Arial" w:hAnsi="Arial" w:cs="Arial"/>
                <w:sz w:val="22"/>
                <w:szCs w:val="22"/>
              </w:rPr>
            </w:pPr>
            <w:r>
              <w:rPr>
                <w:rFonts w:hint="eastAsia" w:ascii="Arial" w:hAnsi="Arial" w:cs="Arial"/>
                <w:sz w:val="22"/>
                <w:szCs w:val="22"/>
              </w:rPr>
              <w:t>Privacy measures will be clearly stated, ensuring participants understand how their data will be handled. Transparency regarding data processing and consent scope will be maintained throughout.</w:t>
            </w: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hint="eastAsia" w:ascii="Arial" w:hAnsi="Arial" w:cs="Arial"/>
                <w:sz w:val="22"/>
                <w:szCs w:val="22"/>
              </w:rPr>
            </w:pPr>
            <w:r>
              <w:rPr>
                <w:rFonts w:hint="eastAsia" w:ascii="Arial" w:hAnsi="Arial" w:cs="Arial"/>
                <w:sz w:val="22"/>
                <w:szCs w:val="22"/>
              </w:rPr>
              <w:t>1. Anonymity guarantee</w:t>
            </w:r>
          </w:p>
          <w:p>
            <w:pPr>
              <w:rPr>
                <w:rFonts w:hint="eastAsia" w:ascii="Arial" w:hAnsi="Arial" w:cs="Arial"/>
                <w:sz w:val="22"/>
                <w:szCs w:val="22"/>
              </w:rPr>
            </w:pPr>
            <w:r>
              <w:rPr>
                <w:rFonts w:hint="eastAsia" w:ascii="Arial" w:hAnsi="Arial" w:cs="Arial"/>
                <w:sz w:val="22"/>
                <w:szCs w:val="22"/>
              </w:rPr>
              <w:t>- No personally identifiable information: During the questionnaire and interview, any information that may identify the participant is not collected, such as name, student number, contact information, etc.</w:t>
            </w:r>
          </w:p>
          <w:p>
            <w:pPr>
              <w:rPr>
                <w:rFonts w:hint="eastAsia" w:ascii="Arial" w:hAnsi="Arial" w:cs="Arial"/>
                <w:sz w:val="22"/>
                <w:szCs w:val="22"/>
              </w:rPr>
            </w:pPr>
            <w:r>
              <w:rPr>
                <w:rFonts w:hint="eastAsia" w:ascii="Arial" w:hAnsi="Arial" w:cs="Arial"/>
                <w:sz w:val="22"/>
                <w:szCs w:val="22"/>
              </w:rPr>
              <w:t>- Coding system: Each participant is assigned a unique code, rather than using a real name, to ensure that data analysis cannot be traced back to a specific person.</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2. Data collection and storage</w:t>
            </w:r>
          </w:p>
          <w:p>
            <w:pPr>
              <w:rPr>
                <w:rFonts w:hint="eastAsia" w:ascii="Arial" w:hAnsi="Arial" w:cs="Arial"/>
                <w:sz w:val="22"/>
                <w:szCs w:val="22"/>
              </w:rPr>
            </w:pPr>
            <w:r>
              <w:rPr>
                <w:rFonts w:hint="eastAsia" w:ascii="Arial" w:hAnsi="Arial" w:cs="Arial"/>
                <w:sz w:val="22"/>
                <w:szCs w:val="22"/>
              </w:rPr>
              <w:t>- Secure storage: All collected data (questionnaire and interview records) should be stored in a secure digital environment, and currently consider applying to use the Academy administration or digital tool OneDrive, while encrypted databases or password-protected folders.</w:t>
            </w:r>
          </w:p>
          <w:p>
            <w:pPr>
              <w:rPr>
                <w:rFonts w:hint="eastAsia" w:ascii="Arial" w:hAnsi="Arial" w:cs="Arial"/>
                <w:sz w:val="22"/>
                <w:szCs w:val="22"/>
              </w:rPr>
            </w:pPr>
            <w:r>
              <w:rPr>
                <w:rFonts w:hint="eastAsia" w:ascii="Arial" w:hAnsi="Arial" w:cs="Arial"/>
                <w:sz w:val="22"/>
                <w:szCs w:val="22"/>
              </w:rPr>
              <w:t>- Restricted access: Cannot be accessed by unauthorized persons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3. Output confidentiality</w:t>
            </w:r>
          </w:p>
          <w:p>
            <w:pPr>
              <w:rPr>
                <w:rFonts w:hint="eastAsia" w:ascii="Arial" w:hAnsi="Arial" w:cs="Arial"/>
                <w:sz w:val="22"/>
                <w:szCs w:val="22"/>
              </w:rPr>
            </w:pPr>
            <w:r>
              <w:rPr>
                <w:rFonts w:hint="eastAsia" w:ascii="Arial" w:hAnsi="Arial" w:cs="Arial"/>
                <w:sz w:val="22"/>
                <w:szCs w:val="22"/>
              </w:rPr>
              <w:t>- Summary data presentation: In research reports, data should be presented in summary form, avoiding specific feedback from any individual participant.</w:t>
            </w:r>
          </w:p>
          <w:p>
            <w:pPr>
              <w:rPr>
                <w:rFonts w:ascii="Arial" w:hAnsi="Arial" w:cs="Arial"/>
              </w:rPr>
            </w:pPr>
            <w:r>
              <w:rPr>
                <w:rFonts w:hint="eastAsia" w:ascii="Arial" w:hAnsi="Arial" w:cs="Arial"/>
                <w:sz w:val="22"/>
                <w:szCs w:val="22"/>
              </w:rPr>
              <w:t>Review published content: Before publishing research results, ensure that no information can identify participants, and make changes to sensitive information if necessary.</w:t>
            </w:r>
          </w:p>
        </w:tc>
      </w:tr>
    </w:tbl>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eastAsia="MS Gothic" w:cs="Arial"/>
                <w:sz w:val="22"/>
                <w:szCs w:val="22"/>
                <w:lang w:val="en-US"/>
              </w:rPr>
            </w:pPr>
            <w:r>
              <w:rPr>
                <w:rFonts w:hint="default" w:ascii="Arial" w:hAnsi="Arial"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Arial" w:hAnsi="Arial" w:cs="Arial"/>
                <w:sz w:val="22"/>
                <w:szCs w:val="22"/>
              </w:rPr>
            </w:pPr>
            <w:r>
              <w:rPr>
                <w:rFonts w:hint="eastAsia" w:ascii="Arial" w:hAnsi="Arial" w:cs="Arial"/>
                <w:sz w:val="22"/>
                <w:szCs w:val="22"/>
              </w:rPr>
              <w:t>The personal data involved in the study of the classroom effect of the broadcast voice course in Chinese universities include the audio and video recordings of the participants. The collection and use of this data is subject to strict ethical and legal regulations. The following is a description of the data and an explanation of the purpose for which it was collected:</w:t>
            </w:r>
          </w:p>
          <w:p>
            <w:pPr>
              <w:rPr>
                <w:rFonts w:hint="default" w:ascii="Arial Bold" w:hAnsi="Arial Bold" w:cs="Arial Bold"/>
                <w:b/>
                <w:bCs/>
                <w:sz w:val="22"/>
                <w:szCs w:val="22"/>
              </w:rPr>
            </w:pPr>
            <w:r>
              <w:rPr>
                <w:rFonts w:hint="default" w:ascii="Arial Bold" w:hAnsi="Arial Bold" w:cs="Arial Bold"/>
                <w:b/>
                <w:bCs/>
                <w:sz w:val="22"/>
                <w:szCs w:val="22"/>
              </w:rPr>
              <w:t>Data description</w:t>
            </w:r>
          </w:p>
          <w:p>
            <w:pPr>
              <w:rPr>
                <w:rFonts w:hint="eastAsia" w:ascii="Arial" w:hAnsi="Arial" w:cs="Arial"/>
                <w:sz w:val="22"/>
                <w:szCs w:val="22"/>
              </w:rPr>
            </w:pPr>
            <w:r>
              <w:rPr>
                <w:rFonts w:hint="eastAsia" w:ascii="Arial" w:hAnsi="Arial" w:cs="Arial"/>
                <w:sz w:val="22"/>
                <w:szCs w:val="22"/>
              </w:rPr>
              <w:t>1. Audio recording:</w:t>
            </w:r>
          </w:p>
          <w:p>
            <w:pPr>
              <w:rPr>
                <w:rFonts w:hint="eastAsia" w:ascii="Arial" w:hAnsi="Arial" w:cs="Arial"/>
                <w:sz w:val="22"/>
                <w:szCs w:val="22"/>
              </w:rPr>
            </w:pPr>
            <w:r>
              <w:rPr>
                <w:rFonts w:hint="eastAsia" w:ascii="Arial" w:hAnsi="Arial" w:cs="Arial"/>
                <w:sz w:val="22"/>
                <w:szCs w:val="22"/>
              </w:rPr>
              <w:t>- Includes audio files of participants' vocal exercises, speeches, conversations, etc., in class.</w:t>
            </w:r>
          </w:p>
          <w:p>
            <w:pPr>
              <w:rPr>
                <w:rFonts w:hint="eastAsia" w:ascii="Arial" w:hAnsi="Arial" w:cs="Arial"/>
                <w:sz w:val="22"/>
                <w:szCs w:val="22"/>
              </w:rPr>
            </w:pPr>
            <w:r>
              <w:rPr>
                <w:rFonts w:hint="eastAsia" w:ascii="Arial" w:hAnsi="Arial" w:cs="Arial"/>
                <w:sz w:val="22"/>
                <w:szCs w:val="22"/>
              </w:rPr>
              <w:t>- May contain information about the participant's voice characteristics, voice intonation, speech speed, etc.</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2. Video recording:</w:t>
            </w:r>
          </w:p>
          <w:p>
            <w:pPr>
              <w:rPr>
                <w:rFonts w:hint="eastAsia" w:ascii="Arial" w:hAnsi="Arial" w:cs="Arial"/>
                <w:sz w:val="22"/>
                <w:szCs w:val="22"/>
              </w:rPr>
            </w:pPr>
            <w:r>
              <w:rPr>
                <w:rFonts w:hint="eastAsia" w:ascii="Arial" w:hAnsi="Arial" w:cs="Arial"/>
                <w:sz w:val="22"/>
                <w:szCs w:val="22"/>
              </w:rPr>
              <w:t>- Includes video files of participants engaging in vocal exercises, performances, interactions and other activities in class.</w:t>
            </w:r>
          </w:p>
          <w:p>
            <w:pPr>
              <w:rPr>
                <w:rFonts w:hint="eastAsia" w:ascii="Arial" w:hAnsi="Arial" w:cs="Arial"/>
                <w:sz w:val="22"/>
                <w:szCs w:val="22"/>
              </w:rPr>
            </w:pPr>
            <w:r>
              <w:rPr>
                <w:rFonts w:hint="eastAsia" w:ascii="Arial" w:hAnsi="Arial" w:cs="Arial"/>
                <w:sz w:val="22"/>
                <w:szCs w:val="22"/>
              </w:rPr>
              <w:t>- May show participants' body language, expressions, ways of interacting, etc.</w:t>
            </w:r>
          </w:p>
          <w:p>
            <w:pPr>
              <w:rPr>
                <w:rFonts w:hint="eastAsia" w:ascii="Arial" w:hAnsi="Arial" w:cs="Arial"/>
                <w:sz w:val="22"/>
                <w:szCs w:val="22"/>
              </w:rPr>
            </w:pPr>
          </w:p>
          <w:p>
            <w:pPr>
              <w:rPr>
                <w:rFonts w:hint="default" w:ascii="Arial Bold" w:hAnsi="Arial Bold" w:cs="Arial Bold"/>
                <w:b/>
                <w:bCs/>
                <w:sz w:val="22"/>
                <w:szCs w:val="22"/>
              </w:rPr>
            </w:pPr>
            <w:r>
              <w:rPr>
                <w:rFonts w:hint="default" w:ascii="Arial Bold" w:hAnsi="Arial Bold" w:cs="Arial Bold"/>
                <w:b/>
                <w:bCs/>
                <w:sz w:val="22"/>
                <w:szCs w:val="22"/>
              </w:rPr>
              <w:t>Purpose of collection</w:t>
            </w:r>
          </w:p>
          <w:p>
            <w:pPr>
              <w:rPr>
                <w:rFonts w:hint="eastAsia" w:ascii="Arial" w:hAnsi="Arial" w:cs="Arial"/>
                <w:sz w:val="22"/>
                <w:szCs w:val="22"/>
              </w:rPr>
            </w:pPr>
            <w:r>
              <w:rPr>
                <w:rFonts w:hint="eastAsia" w:ascii="Arial" w:hAnsi="Arial" w:cs="Arial"/>
                <w:sz w:val="22"/>
                <w:szCs w:val="22"/>
              </w:rPr>
              <w:t>1. Classroom effect evaluation:</w:t>
            </w:r>
          </w:p>
          <w:p>
            <w:pPr>
              <w:rPr>
                <w:rFonts w:hint="eastAsia" w:ascii="Arial" w:hAnsi="Arial" w:cs="Arial"/>
                <w:sz w:val="22"/>
                <w:szCs w:val="22"/>
              </w:rPr>
            </w:pPr>
            <w:r>
              <w:rPr>
                <w:rFonts w:hint="eastAsia" w:ascii="Arial" w:hAnsi="Arial" w:cs="Arial"/>
                <w:sz w:val="22"/>
                <w:szCs w:val="22"/>
              </w:rPr>
              <w:t>- Through audio and video recording, it is possible to evaluate the effect of classroom teaching more objectively, compare the influence of the course on the pronunciation accuracy of the participants, and analyze the progress and shortcomings of the participants in vocal skills.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2. Improvement of teaching methods:</w:t>
            </w:r>
          </w:p>
          <w:p>
            <w:pPr>
              <w:rPr>
                <w:rFonts w:hint="eastAsia" w:ascii="Arial" w:hAnsi="Arial" w:cs="Arial"/>
                <w:sz w:val="22"/>
                <w:szCs w:val="22"/>
              </w:rPr>
            </w:pPr>
            <w:r>
              <w:rPr>
                <w:rFonts w:hint="eastAsia" w:ascii="Arial" w:hAnsi="Arial" w:cs="Arial"/>
                <w:sz w:val="22"/>
                <w:szCs w:val="22"/>
              </w:rPr>
              <w:t>Analyzing audio and video recordings helps teachers identify which teaching methods work and which need to be adjusted to improve the quality of their lessons.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3. Research on individual differences:</w:t>
            </w:r>
          </w:p>
          <w:p>
            <w:pPr>
              <w:rPr>
                <w:rFonts w:hint="eastAsia" w:ascii="Arial" w:hAnsi="Arial" w:cs="Arial"/>
                <w:sz w:val="22"/>
                <w:szCs w:val="22"/>
              </w:rPr>
            </w:pPr>
            <w:r>
              <w:rPr>
                <w:rFonts w:hint="eastAsia" w:ascii="Arial" w:hAnsi="Arial" w:cs="Arial"/>
                <w:sz w:val="22"/>
                <w:szCs w:val="22"/>
              </w:rPr>
              <w:t>- Through the analysis of the participants' performance, the differences in vocal performance of different individuals can be studied to provide personalized recommendations for future teaching.</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4. Provide feedback:</w:t>
            </w:r>
          </w:p>
          <w:p>
            <w:pPr>
              <w:rPr>
                <w:rFonts w:ascii="Arial" w:hAnsi="Arial" w:cs="Arial"/>
                <w:i/>
              </w:rPr>
            </w:pPr>
            <w:r>
              <w:rPr>
                <w:rFonts w:hint="eastAsia" w:ascii="Arial" w:hAnsi="Arial" w:cs="Arial"/>
                <w:sz w:val="22"/>
                <w:szCs w:val="22"/>
              </w:rPr>
              <w:t>The recorded audio and video data can be used as an important basis for participants' self-assessment and teacher feedback to help students understand their strengths and weaknesses.</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jc w:val="center"/>
              <w:rPr>
                <w:rStyle w:val="14"/>
                <w:rFonts w:ascii="Arial" w:hAnsi="Arial" w:cs="Arial"/>
                <w:b w:val="0"/>
                <w:iCs/>
                <w:color w:val="000000"/>
                <w:sz w:val="20"/>
                <w:szCs w:val="23"/>
              </w:rPr>
            </w:pPr>
            <w:r>
              <w:rPr>
                <w:rStyle w:val="1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rPr>
                <w:rFonts w:ascii="Arial" w:hAnsi="Arial" w:cs="Arial"/>
              </w:rPr>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rPr>
                <w:rFonts w:ascii="Arial" w:hAnsi="Arial" w:cs="Arial"/>
              </w:rPr>
            </w:pPr>
            <w:r>
              <w:rPr>
                <w:rFonts w:ascii="Arial" w:hAnsi="Arial" w:cs="Arial"/>
                <w:i/>
                <w:iCs/>
                <w:color w:val="000000"/>
                <w:sz w:val="20"/>
                <w:szCs w:val="23"/>
              </w:rPr>
              <w:t>(a) racial or ethnic origin,</w:t>
            </w:r>
          </w:p>
          <w:p>
            <w:pPr>
              <w:pStyle w:val="9"/>
              <w:spacing w:before="0" w:beforeAutospacing="0" w:after="0" w:afterAutospacing="0"/>
              <w:rPr>
                <w:rFonts w:ascii="Arial" w:hAnsi="Arial" w:cs="Arial"/>
              </w:rPr>
            </w:pPr>
            <w:r>
              <w:rPr>
                <w:rFonts w:ascii="Arial" w:hAnsi="Arial" w:cs="Arial"/>
                <w:i/>
                <w:iCs/>
                <w:color w:val="000000"/>
                <w:sz w:val="20"/>
                <w:szCs w:val="23"/>
              </w:rPr>
              <w:t>(b) political opinions,</w:t>
            </w:r>
          </w:p>
          <w:p>
            <w:pPr>
              <w:pStyle w:val="9"/>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pPr>
              <w:pStyle w:val="9"/>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pPr>
              <w:pStyle w:val="9"/>
              <w:spacing w:before="0" w:beforeAutospacing="0" w:after="0" w:afterAutospacing="0"/>
              <w:rPr>
                <w:rFonts w:ascii="Arial" w:hAnsi="Arial" w:cs="Arial"/>
              </w:rPr>
            </w:pPr>
            <w:r>
              <w:rPr>
                <w:rFonts w:ascii="Arial" w:hAnsi="Arial" w:cs="Arial"/>
                <w:i/>
                <w:iCs/>
                <w:color w:val="000000"/>
                <w:sz w:val="20"/>
                <w:szCs w:val="23"/>
              </w:rPr>
              <w:t>(f) sexual life,</w:t>
            </w:r>
          </w:p>
          <w:p>
            <w:pPr>
              <w:pStyle w:val="9"/>
              <w:spacing w:before="0" w:beforeAutospacing="0" w:after="0" w:afterAutospacing="0"/>
              <w:rPr>
                <w:rFonts w:ascii="Arial" w:hAnsi="Arial" w:cs="Arial"/>
              </w:rPr>
            </w:pPr>
            <w:r>
              <w:rPr>
                <w:rFonts w:ascii="Arial" w:hAnsi="Arial" w:cs="Arial"/>
                <w:i/>
                <w:iCs/>
                <w:color w:val="000000"/>
                <w:sz w:val="20"/>
                <w:szCs w:val="23"/>
              </w:rPr>
              <w:t>(g) genetics,</w:t>
            </w:r>
          </w:p>
          <w:p>
            <w:pPr>
              <w:pStyle w:val="9"/>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r>
              <w:rPr>
                <w:rFonts w:hint="default" w:ascii="Arial" w:hAnsi="Arial" w:eastAsia="MS Gothic" w:cs="Arial"/>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rPr>
            </w:pP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jc w:val="center"/>
              <w:rPr>
                <w:rFonts w:ascii="Arial" w:hAnsi="Arial" w:cs="Arial"/>
                <w:sz w:val="22"/>
                <w:szCs w:val="22"/>
              </w:rPr>
            </w:pPr>
          </w:p>
        </w:tc>
        <w:tc>
          <w:tcPr>
            <w:tcW w:w="9923" w:type="dxa"/>
            <w:gridSpan w:val="3"/>
          </w:tcPr>
          <w:p>
            <w:pPr>
              <w:autoSpaceDE w:val="0"/>
              <w:autoSpaceDN w:val="0"/>
              <w:adjustRightInd w:val="0"/>
              <w:rPr>
                <w:rFonts w:hint="eastAsia" w:ascii="Arial" w:hAnsi="Arial" w:cs="Arial"/>
                <w:b w:val="0"/>
                <w:bCs w:val="0"/>
                <w:sz w:val="22"/>
                <w:szCs w:val="22"/>
              </w:rPr>
            </w:pPr>
            <w:r>
              <w:rPr>
                <w:rFonts w:hint="eastAsia" w:ascii="Arial" w:hAnsi="Arial" w:cs="Arial"/>
                <w:b w:val="0"/>
                <w:bCs w:val="0"/>
                <w:sz w:val="22"/>
                <w:szCs w:val="22"/>
              </w:rPr>
              <w:t>1. Data backup program</w:t>
            </w:r>
          </w:p>
          <w:p>
            <w:pPr>
              <w:autoSpaceDE w:val="0"/>
              <w:autoSpaceDN w:val="0"/>
              <w:adjustRightInd w:val="0"/>
              <w:rPr>
                <w:rFonts w:hint="eastAsia" w:ascii="Arial" w:hAnsi="Arial" w:cs="Arial"/>
                <w:b w:val="0"/>
                <w:bCs w:val="0"/>
                <w:sz w:val="22"/>
                <w:szCs w:val="22"/>
              </w:rPr>
            </w:pPr>
            <w:r>
              <w:rPr>
                <w:rFonts w:hint="eastAsia" w:ascii="Arial" w:hAnsi="Arial" w:cs="Arial"/>
                <w:b w:val="0"/>
                <w:bCs w:val="0"/>
                <w:sz w:val="22"/>
                <w:szCs w:val="22"/>
              </w:rPr>
              <w:t>- Periodic Automatic backup: Set a regular automatic backup schedule (such as daily or weekly) to ensure that all data is backed up at different points in time to prevent data loss.</w:t>
            </w:r>
          </w:p>
          <w:p>
            <w:pPr>
              <w:autoSpaceDE w:val="0"/>
              <w:autoSpaceDN w:val="0"/>
              <w:adjustRightInd w:val="0"/>
              <w:rPr>
                <w:rFonts w:hint="eastAsia" w:ascii="Arial" w:hAnsi="Arial" w:cs="Arial"/>
                <w:b w:val="0"/>
                <w:bCs w:val="0"/>
                <w:sz w:val="22"/>
                <w:szCs w:val="22"/>
              </w:rPr>
            </w:pPr>
            <w:r>
              <w:rPr>
                <w:rFonts w:hint="eastAsia" w:ascii="Arial" w:hAnsi="Arial" w:cs="Arial"/>
                <w:b w:val="0"/>
                <w:bCs w:val="0"/>
                <w:sz w:val="22"/>
                <w:szCs w:val="22"/>
              </w:rPr>
              <w:t>Off-site backup: Backup data will be stored in different geographic locations (such as off-site servers or cloud storage) to prevent data loss due to natural disasters, hardware failures, or other unexpected events.</w:t>
            </w:r>
          </w:p>
          <w:p>
            <w:pPr>
              <w:autoSpaceDE w:val="0"/>
              <w:autoSpaceDN w:val="0"/>
              <w:adjustRightInd w:val="0"/>
              <w:rPr>
                <w:rFonts w:hint="eastAsia" w:ascii="Arial" w:hAnsi="Arial" w:cs="Arial"/>
                <w:b w:val="0"/>
                <w:bCs w:val="0"/>
                <w:sz w:val="22"/>
                <w:szCs w:val="22"/>
              </w:rPr>
            </w:pPr>
            <w:r>
              <w:rPr>
                <w:rFonts w:hint="eastAsia" w:ascii="Arial" w:hAnsi="Arial" w:cs="Arial"/>
                <w:b w:val="0"/>
                <w:bCs w:val="0"/>
                <w:sz w:val="22"/>
                <w:szCs w:val="22"/>
              </w:rPr>
              <w:t>2. Password protection</w:t>
            </w:r>
          </w:p>
          <w:p>
            <w:pPr>
              <w:autoSpaceDE w:val="0"/>
              <w:autoSpaceDN w:val="0"/>
              <w:adjustRightInd w:val="0"/>
              <w:rPr>
                <w:rFonts w:hint="eastAsia" w:ascii="Arial" w:hAnsi="Arial" w:cs="Arial"/>
                <w:b w:val="0"/>
                <w:bCs w:val="0"/>
                <w:sz w:val="22"/>
                <w:szCs w:val="22"/>
              </w:rPr>
            </w:pPr>
            <w:r>
              <w:rPr>
                <w:rFonts w:hint="eastAsia" w:ascii="Arial" w:hAnsi="Arial" w:cs="Arial"/>
                <w:b w:val="0"/>
                <w:bCs w:val="0"/>
                <w:sz w:val="22"/>
                <w:szCs w:val="22"/>
              </w:rPr>
              <w:t>Strong Password Policy: All accounts are required to use strong passwords (containing at least uppercase and lowercase letters, numbers, and special characters) and to change passwords regularly (for example, every three months).</w:t>
            </w:r>
          </w:p>
          <w:p>
            <w:pPr>
              <w:autoSpaceDE w:val="0"/>
              <w:autoSpaceDN w:val="0"/>
              <w:adjustRightInd w:val="0"/>
              <w:rPr>
                <w:rFonts w:hint="eastAsia" w:ascii="Arial" w:hAnsi="Arial" w:cs="Arial"/>
                <w:b w:val="0"/>
                <w:bCs w:val="0"/>
                <w:sz w:val="22"/>
                <w:szCs w:val="22"/>
              </w:rPr>
            </w:pPr>
            <w:r>
              <w:rPr>
                <w:rFonts w:hint="eastAsia" w:ascii="Arial" w:hAnsi="Arial" w:cs="Arial"/>
                <w:b w:val="0"/>
                <w:bCs w:val="0"/>
                <w:sz w:val="22"/>
                <w:szCs w:val="22"/>
              </w:rPr>
              <w:t>- Account lock mechanism: After multiple incorrect password entries, the account is automatically locked and the administrator is notified to prevent unauthorized access.</w:t>
            </w:r>
          </w:p>
          <w:p>
            <w:pPr>
              <w:autoSpaceDE w:val="0"/>
              <w:autoSpaceDN w:val="0"/>
              <w:adjustRightInd w:val="0"/>
              <w:rPr>
                <w:rFonts w:hint="eastAsia" w:ascii="Arial" w:hAnsi="Arial" w:cs="Arial"/>
                <w:b w:val="0"/>
                <w:bCs w:val="0"/>
                <w:sz w:val="22"/>
                <w:szCs w:val="22"/>
              </w:rPr>
            </w:pPr>
            <w:r>
              <w:rPr>
                <w:rFonts w:hint="eastAsia" w:ascii="Arial" w:hAnsi="Arial" w:cs="Arial"/>
                <w:b w:val="0"/>
                <w:bCs w:val="0"/>
                <w:sz w:val="22"/>
                <w:szCs w:val="22"/>
              </w:rPr>
              <w:t>Multi-factor authentication: When accessing sensitive data, enable multi-factor authentication (such as SMS verification codes or authentication apps), adding an extra layer of security.</w:t>
            </w:r>
          </w:p>
          <w:p>
            <w:pPr>
              <w:autoSpaceDE w:val="0"/>
              <w:autoSpaceDN w:val="0"/>
              <w:adjustRightInd w:val="0"/>
              <w:rPr>
                <w:rFonts w:hint="eastAsia" w:ascii="Arial" w:hAnsi="Arial" w:cs="Arial"/>
                <w:b w:val="0"/>
                <w:bCs w:val="0"/>
                <w:sz w:val="22"/>
                <w:szCs w:val="22"/>
              </w:rPr>
            </w:pPr>
            <w:r>
              <w:rPr>
                <w:rFonts w:hint="eastAsia" w:ascii="Arial" w:hAnsi="Arial" w:eastAsia="宋体" w:cs="Arial"/>
                <w:b w:val="0"/>
                <w:bCs w:val="0"/>
                <w:sz w:val="22"/>
                <w:szCs w:val="22"/>
                <w:lang w:val="en-US" w:eastAsia="zh-CN"/>
              </w:rPr>
              <w:t>3</w:t>
            </w:r>
            <w:r>
              <w:rPr>
                <w:rFonts w:hint="eastAsia" w:ascii="Arial" w:hAnsi="Arial" w:cs="Arial"/>
                <w:b w:val="0"/>
                <w:bCs w:val="0"/>
                <w:sz w:val="22"/>
                <w:szCs w:val="22"/>
              </w:rPr>
              <w:t>. Anonymization and pseudonymisation</w:t>
            </w:r>
          </w:p>
          <w:p>
            <w:pPr>
              <w:autoSpaceDE w:val="0"/>
              <w:autoSpaceDN w:val="0"/>
              <w:adjustRightInd w:val="0"/>
              <w:rPr>
                <w:rFonts w:hint="eastAsia" w:ascii="Arial" w:hAnsi="Arial" w:cs="Arial"/>
                <w:b w:val="0"/>
                <w:bCs w:val="0"/>
                <w:sz w:val="22"/>
                <w:szCs w:val="22"/>
              </w:rPr>
            </w:pPr>
            <w:r>
              <w:rPr>
                <w:rFonts w:hint="eastAsia" w:ascii="Arial" w:hAnsi="Arial" w:cs="Arial"/>
                <w:b w:val="0"/>
                <w:bCs w:val="0"/>
                <w:sz w:val="22"/>
                <w:szCs w:val="22"/>
              </w:rPr>
              <w:t>- Data anonymization: Before analyzing and reporting data, remove all information that may identify participants (such as name, student number, etc.) to ensure data anonymity and prevent personal information leakage.</w:t>
            </w:r>
          </w:p>
          <w:p>
            <w:pPr>
              <w:autoSpaceDE w:val="0"/>
              <w:autoSpaceDN w:val="0"/>
              <w:adjustRightInd w:val="0"/>
              <w:rPr>
                <w:rFonts w:hint="eastAsia" w:ascii="Arial" w:hAnsi="Arial" w:cs="Arial"/>
                <w:b w:val="0"/>
                <w:bCs w:val="0"/>
                <w:sz w:val="22"/>
                <w:szCs w:val="22"/>
              </w:rPr>
            </w:pPr>
            <w:r>
              <w:rPr>
                <w:rFonts w:hint="eastAsia" w:ascii="Arial" w:hAnsi="Arial" w:cs="Arial"/>
                <w:b w:val="0"/>
                <w:bCs w:val="0"/>
                <w:sz w:val="22"/>
                <w:szCs w:val="22"/>
              </w:rPr>
              <w:t>- Pseudonym processing: Participants are assigned pseudonyms or codes in place of real identity information. In this way, data aggregation analysis can still be performed at the analysis stage without exposing the true identity of the participants.</w:t>
            </w:r>
          </w:p>
          <w:p>
            <w:pPr>
              <w:autoSpaceDE w:val="0"/>
              <w:autoSpaceDN w:val="0"/>
              <w:adjustRightInd w:val="0"/>
              <w:rPr>
                <w:rFonts w:hint="eastAsia" w:ascii="Arial" w:hAnsi="Arial" w:cs="Arial"/>
                <w:b w:val="0"/>
                <w:bCs w:val="0"/>
                <w:sz w:val="22"/>
                <w:szCs w:val="22"/>
              </w:rPr>
            </w:pPr>
            <w:r>
              <w:rPr>
                <w:rFonts w:hint="eastAsia" w:ascii="Arial" w:hAnsi="Arial" w:eastAsia="宋体" w:cs="Arial"/>
                <w:b w:val="0"/>
                <w:bCs w:val="0"/>
                <w:sz w:val="22"/>
                <w:szCs w:val="22"/>
                <w:lang w:val="en-US" w:eastAsia="zh-CN"/>
              </w:rPr>
              <w:t>4.</w:t>
            </w:r>
            <w:r>
              <w:rPr>
                <w:rFonts w:hint="eastAsia" w:ascii="Arial" w:hAnsi="Arial" w:cs="Arial"/>
                <w:b w:val="0"/>
                <w:bCs w:val="0"/>
                <w:sz w:val="22"/>
                <w:szCs w:val="22"/>
              </w:rPr>
              <w:t>. Regular security audits</w:t>
            </w:r>
          </w:p>
          <w:p>
            <w:pPr>
              <w:autoSpaceDE w:val="0"/>
              <w:autoSpaceDN w:val="0"/>
              <w:adjustRightInd w:val="0"/>
              <w:rPr>
                <w:rFonts w:hint="eastAsia" w:ascii="Arial" w:hAnsi="Arial" w:cs="Arial"/>
                <w:b w:val="0"/>
                <w:bCs w:val="0"/>
                <w:sz w:val="22"/>
                <w:szCs w:val="22"/>
              </w:rPr>
            </w:pPr>
            <w:r>
              <w:rPr>
                <w:rFonts w:hint="eastAsia" w:ascii="Arial" w:hAnsi="Arial" w:cs="Arial"/>
                <w:b w:val="0"/>
                <w:bCs w:val="0"/>
                <w:sz w:val="22"/>
                <w:szCs w:val="22"/>
              </w:rPr>
              <w:t>- Security checks and assessments: Regular security audits and risk assessments are conducted to assess the effectiveness of data protection measures and to identify and remediate potential security vulnerabilities in a timely manner.</w:t>
            </w:r>
          </w:p>
          <w:p>
            <w:pPr>
              <w:autoSpaceDE w:val="0"/>
              <w:autoSpaceDN w:val="0"/>
              <w:adjustRightInd w:val="0"/>
              <w:rPr>
                <w:rFonts w:ascii="Arial" w:hAnsi="Arial" w:cs="Arial"/>
                <w:b/>
                <w:bCs/>
                <w:sz w:val="22"/>
                <w:szCs w:val="22"/>
              </w:rPr>
            </w:pPr>
            <w:r>
              <w:rPr>
                <w:rFonts w:hint="eastAsia" w:ascii="Arial" w:hAnsi="Arial" w:cs="Arial"/>
                <w:b w:val="0"/>
                <w:bCs w:val="0"/>
                <w:sz w:val="22"/>
                <w:szCs w:val="22"/>
              </w:rPr>
              <w:t>The above measures can effectively guarantee the security and confidentiality of the collected data, protect the privacy of participants, and meet ethical and legal requirements.</w:t>
            </w: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hint="eastAsia" w:ascii="Arial" w:hAnsi="Arial" w:eastAsia="宋体" w:cs="Arial"/>
                <w:lang w:eastAsia="zh-CN"/>
              </w:rPr>
            </w:pPr>
            <w:r>
              <w:rPr>
                <w:rFonts w:hint="eastAsia" w:ascii="Arial" w:hAnsi="Arial" w:eastAsia="宋体" w:cs="Arial"/>
                <w:lang w:eastAsia="zh-CN"/>
              </w:rPr>
              <w:t>The study was carried out for broadcasting and hosting majors at Chinese universities, and the data collected will be transmitted from China to the UK via the Internet and mail. In the stage of in-depth interview, in order to increase the sense of security of participants and solve the problems of participants participating in the research, the researcher will provide the participants with personal phone numbers and email addresses to answer their questions. At the same time, in the in-depth interview stage, researchers will obtain audio or video of previous courses or personal learning experiences to better prove their experiences and opinions, which requires online electronic data transmission.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hint="eastAsia" w:ascii="Arial" w:hAnsi="Arial" w:cs="Arial"/>
                <w:sz w:val="22"/>
                <w:szCs w:val="22"/>
              </w:rPr>
            </w:pPr>
          </w:p>
          <w:p>
            <w:pPr>
              <w:autoSpaceDE w:val="0"/>
              <w:autoSpaceDN w:val="0"/>
              <w:adjustRightInd w:val="0"/>
              <w:rPr>
                <w:rFonts w:hint="eastAsia" w:ascii="Arial" w:hAnsi="Arial" w:cs="Arial"/>
                <w:sz w:val="22"/>
                <w:szCs w:val="22"/>
              </w:rPr>
            </w:pPr>
            <w:r>
              <w:rPr>
                <w:rFonts w:hint="eastAsia" w:ascii="Arial" w:hAnsi="Arial" w:cs="Arial"/>
                <w:sz w:val="22"/>
                <w:szCs w:val="22"/>
              </w:rPr>
              <w:t>Persons authorized by the investigator to allow access and the investigator's instructor</w:t>
            </w:r>
          </w:p>
          <w:p>
            <w:pPr>
              <w:autoSpaceDE w:val="0"/>
              <w:autoSpaceDN w:val="0"/>
              <w:adjustRightInd w:val="0"/>
              <w:rPr>
                <w:rFonts w:hint="eastAsia"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hint="default" w:ascii="Arial" w:hAnsi="Arial" w:cs="Arial"/>
                <w:sz w:val="22"/>
                <w:szCs w:val="22"/>
                <w:lang w:val="en-US"/>
              </w:rPr>
            </w:pPr>
            <w:r>
              <w:rPr>
                <w:rFonts w:hint="eastAsia" w:ascii="Arial" w:hAnsi="Arial" w:cs="Arial"/>
                <w:sz w:val="22"/>
                <w:szCs w:val="22"/>
              </w:rPr>
              <w:t xml:space="preserve">Researcher </w:t>
            </w:r>
            <w:r>
              <w:rPr>
                <w:rFonts w:hint="default" w:ascii="Arial" w:hAnsi="Arial" w:cs="Arial"/>
                <w:sz w:val="22"/>
                <w:szCs w:val="22"/>
                <w:lang w:val="en-US"/>
              </w:rPr>
              <w:t>(Zhuoying Han)</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hint="eastAsia" w:ascii="Arial" w:hAnsi="Arial" w:cs="Arial"/>
                <w:sz w:val="22"/>
                <w:szCs w:val="22"/>
              </w:rPr>
            </w:pPr>
            <w:r>
              <w:rPr>
                <w:rFonts w:hint="eastAsia" w:ascii="Arial" w:hAnsi="Arial" w:cs="Arial"/>
                <w:sz w:val="22"/>
                <w:szCs w:val="22"/>
              </w:rPr>
              <w:t>1. Data store location</w:t>
            </w:r>
          </w:p>
          <w:p>
            <w:pPr>
              <w:autoSpaceDE w:val="0"/>
              <w:autoSpaceDN w:val="0"/>
              <w:adjustRightInd w:val="0"/>
              <w:rPr>
                <w:rFonts w:hint="eastAsia" w:ascii="Arial" w:hAnsi="Arial" w:cs="Arial"/>
                <w:sz w:val="22"/>
                <w:szCs w:val="22"/>
              </w:rPr>
            </w:pPr>
            <w:r>
              <w:rPr>
                <w:rFonts w:hint="eastAsia" w:ascii="Arial" w:hAnsi="Arial" w:cs="Arial"/>
                <w:sz w:val="22"/>
                <w:szCs w:val="22"/>
              </w:rPr>
              <w:t>Local servers: The data will be stored on local servers at the university or research institution, which are located in a protected environment with security measures.</w:t>
            </w:r>
          </w:p>
          <w:p>
            <w:pPr>
              <w:autoSpaceDE w:val="0"/>
              <w:autoSpaceDN w:val="0"/>
              <w:adjustRightInd w:val="0"/>
              <w:rPr>
                <w:rFonts w:hint="eastAsia" w:ascii="Arial" w:hAnsi="Arial" w:cs="Arial"/>
                <w:sz w:val="22"/>
                <w:szCs w:val="22"/>
              </w:rPr>
            </w:pPr>
            <w:r>
              <w:rPr>
                <w:rFonts w:hint="eastAsia" w:ascii="Arial" w:hAnsi="Arial" w:cs="Arial"/>
                <w:sz w:val="22"/>
                <w:szCs w:val="22"/>
              </w:rPr>
              <w:t>Cloud Storage services: Some data will be stored in a reliable cloud storage service provider (such as AWS, Google Cloud or Microsoft Azure) to ensure data security and accessibility.</w:t>
            </w:r>
          </w:p>
          <w:p>
            <w:pPr>
              <w:autoSpaceDE w:val="0"/>
              <w:autoSpaceDN w:val="0"/>
              <w:adjustRightInd w:val="0"/>
              <w:rPr>
                <w:rFonts w:hint="eastAsia" w:ascii="Arial" w:hAnsi="Arial" w:cs="Arial"/>
                <w:sz w:val="22"/>
                <w:szCs w:val="22"/>
              </w:rPr>
            </w:pPr>
          </w:p>
          <w:p>
            <w:pPr>
              <w:autoSpaceDE w:val="0"/>
              <w:autoSpaceDN w:val="0"/>
              <w:adjustRightInd w:val="0"/>
              <w:rPr>
                <w:rFonts w:hint="eastAsia" w:ascii="Arial" w:hAnsi="Arial" w:cs="Arial"/>
                <w:sz w:val="22"/>
                <w:szCs w:val="22"/>
              </w:rPr>
            </w:pPr>
            <w:r>
              <w:rPr>
                <w:rFonts w:hint="eastAsia" w:ascii="Arial" w:hAnsi="Arial" w:cs="Arial"/>
                <w:sz w:val="22"/>
                <w:szCs w:val="22"/>
              </w:rPr>
              <w:t>2. Storage form</w:t>
            </w:r>
          </w:p>
          <w:p>
            <w:pPr>
              <w:autoSpaceDE w:val="0"/>
              <w:autoSpaceDN w:val="0"/>
              <w:adjustRightInd w:val="0"/>
              <w:rPr>
                <w:rFonts w:hint="eastAsia" w:ascii="Arial" w:hAnsi="Arial" w:cs="Arial"/>
                <w:sz w:val="22"/>
                <w:szCs w:val="22"/>
              </w:rPr>
            </w:pPr>
            <w:r>
              <w:rPr>
                <w:rFonts w:hint="eastAsia" w:ascii="Arial" w:hAnsi="Arial" w:cs="Arial"/>
                <w:sz w:val="22"/>
                <w:szCs w:val="22"/>
              </w:rPr>
              <w:t>- Raw data files ** : Audio and video recordings will be stored in their original format (mp3, mov, etc.) and survey results will be organized as doc. The audio will be transcribed and proofread in the format of doc.</w:t>
            </w:r>
          </w:p>
          <w:p>
            <w:pPr>
              <w:autoSpaceDE w:val="0"/>
              <w:autoSpaceDN w:val="0"/>
              <w:adjustRightInd w:val="0"/>
              <w:rPr>
                <w:rFonts w:hint="eastAsia" w:ascii="Arial" w:hAnsi="Arial" w:cs="Arial"/>
                <w:sz w:val="22"/>
                <w:szCs w:val="22"/>
              </w:rPr>
            </w:pPr>
          </w:p>
          <w:p>
            <w:pPr>
              <w:autoSpaceDE w:val="0"/>
              <w:autoSpaceDN w:val="0"/>
              <w:adjustRightInd w:val="0"/>
              <w:rPr>
                <w:rFonts w:hint="eastAsia" w:ascii="Arial" w:hAnsi="Arial" w:cs="Arial"/>
                <w:sz w:val="22"/>
                <w:szCs w:val="22"/>
              </w:rPr>
            </w:pPr>
            <w:r>
              <w:rPr>
                <w:rFonts w:hint="eastAsia" w:ascii="Arial" w:hAnsi="Arial" w:cs="Arial"/>
                <w:sz w:val="22"/>
                <w:szCs w:val="22"/>
              </w:rPr>
              <w:t>3. Data storage duration</w:t>
            </w:r>
          </w:p>
          <w:p>
            <w:pPr>
              <w:autoSpaceDE w:val="0"/>
              <w:autoSpaceDN w:val="0"/>
              <w:adjustRightInd w:val="0"/>
              <w:rPr>
                <w:rFonts w:hint="eastAsia" w:ascii="Arial" w:hAnsi="Arial" w:cs="Arial"/>
                <w:sz w:val="22"/>
                <w:szCs w:val="22"/>
              </w:rPr>
            </w:pPr>
            <w:r>
              <w:rPr>
                <w:rFonts w:hint="eastAsia" w:ascii="Arial" w:hAnsi="Arial" w:cs="Arial"/>
                <w:sz w:val="22"/>
                <w:szCs w:val="22"/>
              </w:rPr>
              <w:t>- Short-term storage: Data will be stored continuously for the duration of the study to facilitate analysis and feedback.</w:t>
            </w:r>
          </w:p>
          <w:p>
            <w:pPr>
              <w:autoSpaceDE w:val="0"/>
              <w:autoSpaceDN w:val="0"/>
              <w:adjustRightInd w:val="0"/>
              <w:rPr>
                <w:rFonts w:hint="eastAsia" w:ascii="Arial" w:hAnsi="Arial" w:cs="Arial"/>
                <w:sz w:val="22"/>
                <w:szCs w:val="22"/>
              </w:rPr>
            </w:pPr>
            <w:r>
              <w:rPr>
                <w:rFonts w:hint="eastAsia" w:ascii="Arial" w:hAnsi="Arial" w:cs="Arial"/>
                <w:sz w:val="22"/>
                <w:szCs w:val="22"/>
              </w:rPr>
              <w:t>Long-term storage: After the end of the research project, the data will be stored for at least five years for future research or audit use.</w:t>
            </w:r>
          </w:p>
          <w:p>
            <w:pPr>
              <w:autoSpaceDE w:val="0"/>
              <w:autoSpaceDN w:val="0"/>
              <w:adjustRightInd w:val="0"/>
              <w:rPr>
                <w:rFonts w:hint="eastAsia" w:ascii="Arial" w:hAnsi="Arial" w:cs="Arial"/>
                <w:sz w:val="22"/>
                <w:szCs w:val="22"/>
              </w:rPr>
            </w:pPr>
          </w:p>
          <w:p>
            <w:pPr>
              <w:autoSpaceDE w:val="0"/>
              <w:autoSpaceDN w:val="0"/>
              <w:adjustRightInd w:val="0"/>
              <w:rPr>
                <w:rFonts w:hint="eastAsia" w:ascii="Arial" w:hAnsi="Arial" w:cs="Arial"/>
                <w:sz w:val="22"/>
                <w:szCs w:val="22"/>
              </w:rPr>
            </w:pPr>
            <w:r>
              <w:rPr>
                <w:rFonts w:hint="eastAsia" w:ascii="Arial" w:hAnsi="Arial" w:cs="Arial"/>
                <w:sz w:val="22"/>
                <w:szCs w:val="22"/>
              </w:rPr>
              <w:t>4. Data protection security measures</w:t>
            </w:r>
          </w:p>
          <w:p>
            <w:pPr>
              <w:autoSpaceDE w:val="0"/>
              <w:autoSpaceDN w:val="0"/>
              <w:adjustRightInd w:val="0"/>
              <w:rPr>
                <w:rFonts w:hint="eastAsia" w:ascii="Arial" w:hAnsi="Arial" w:cs="Arial"/>
                <w:sz w:val="22"/>
                <w:szCs w:val="22"/>
              </w:rPr>
            </w:pPr>
            <w:r>
              <w:rPr>
                <w:rFonts w:hint="eastAsia" w:ascii="Arial" w:hAnsi="Arial" w:cs="Arial"/>
                <w:sz w:val="22"/>
                <w:szCs w:val="22"/>
              </w:rPr>
              <w:t>- Encryption: All stored data is encrypted using a strong encryption algorithm (such as AES-256) to protect data security.</w:t>
            </w:r>
          </w:p>
          <w:p>
            <w:pPr>
              <w:autoSpaceDE w:val="0"/>
              <w:autoSpaceDN w:val="0"/>
              <w:adjustRightInd w:val="0"/>
              <w:rPr>
                <w:rFonts w:hint="eastAsia" w:ascii="Arial" w:hAnsi="Arial" w:cs="Arial"/>
                <w:sz w:val="22"/>
                <w:szCs w:val="22"/>
              </w:rPr>
            </w:pPr>
            <w:r>
              <w:rPr>
                <w:rFonts w:hint="eastAsia" w:ascii="Arial" w:hAnsi="Arial" w:cs="Arial"/>
                <w:sz w:val="22"/>
                <w:szCs w:val="22"/>
              </w:rPr>
              <w:t>- Access control: only authorized researchers and persons authorized by the researcher have access to the stored data,</w:t>
            </w:r>
          </w:p>
          <w:p>
            <w:pPr>
              <w:autoSpaceDE w:val="0"/>
              <w:autoSpaceDN w:val="0"/>
              <w:adjustRightInd w:val="0"/>
              <w:rPr>
                <w:rFonts w:hint="eastAsia" w:ascii="Arial" w:hAnsi="Arial" w:cs="Arial"/>
                <w:sz w:val="22"/>
                <w:szCs w:val="22"/>
              </w:rPr>
            </w:pPr>
            <w:r>
              <w:rPr>
                <w:rFonts w:hint="eastAsia" w:ascii="Arial" w:hAnsi="Arial" w:cs="Arial"/>
                <w:sz w:val="22"/>
                <w:szCs w:val="22"/>
              </w:rPr>
              <w:t>- Periodic backup: Implement periodic automatic backup procedures to ensure that data is backed up at different points in time to prevent data loss.</w:t>
            </w:r>
          </w:p>
          <w:p>
            <w:pPr>
              <w:autoSpaceDE w:val="0"/>
              <w:autoSpaceDN w:val="0"/>
              <w:adjustRightInd w:val="0"/>
              <w:rPr>
                <w:rFonts w:hint="eastAsia" w:ascii="Arial" w:hAnsi="Arial" w:cs="Arial"/>
                <w:sz w:val="22"/>
                <w:szCs w:val="22"/>
              </w:rPr>
            </w:pPr>
            <w:r>
              <w:rPr>
                <w:rFonts w:hint="eastAsia" w:ascii="Arial" w:hAnsi="Arial" w:cs="Arial"/>
                <w:sz w:val="22"/>
                <w:szCs w:val="22"/>
              </w:rPr>
              <w:t>Security audits: Regular security checks and risk assessments are carried out to ensure the effectiveness of data protection measures.</w:t>
            </w:r>
          </w:p>
          <w:p>
            <w:pPr>
              <w:autoSpaceDE w:val="0"/>
              <w:autoSpaceDN w:val="0"/>
              <w:adjustRightInd w:val="0"/>
              <w:rPr>
                <w:rFonts w:hint="eastAsia" w:ascii="Arial" w:hAnsi="Arial" w:cs="Arial"/>
                <w:sz w:val="22"/>
                <w:szCs w:val="22"/>
              </w:rPr>
            </w:pPr>
          </w:p>
          <w:p>
            <w:pPr>
              <w:autoSpaceDE w:val="0"/>
              <w:autoSpaceDN w:val="0"/>
              <w:adjustRightInd w:val="0"/>
              <w:rPr>
                <w:rFonts w:hint="eastAsia" w:ascii="Arial" w:hAnsi="Arial" w:cs="Arial"/>
                <w:sz w:val="22"/>
                <w:szCs w:val="22"/>
              </w:rPr>
            </w:pPr>
            <w:r>
              <w:rPr>
                <w:rFonts w:hint="eastAsia" w:ascii="Arial" w:hAnsi="Arial" w:cs="Arial"/>
                <w:sz w:val="22"/>
                <w:szCs w:val="22"/>
              </w:rPr>
              <w:t>5. Data archive</w:t>
            </w:r>
          </w:p>
          <w:p>
            <w:pPr>
              <w:autoSpaceDE w:val="0"/>
              <w:autoSpaceDN w:val="0"/>
              <w:adjustRightInd w:val="0"/>
              <w:rPr>
                <w:rFonts w:hint="eastAsia" w:ascii="Arial" w:hAnsi="Arial" w:cs="Arial"/>
                <w:sz w:val="22"/>
                <w:szCs w:val="22"/>
              </w:rPr>
            </w:pPr>
            <w:r>
              <w:rPr>
                <w:rFonts w:hint="eastAsia" w:ascii="Arial" w:hAnsi="Arial" w:cs="Arial"/>
                <w:sz w:val="22"/>
                <w:szCs w:val="22"/>
              </w:rPr>
              <w:t>Data archiving: After the study, all data collected will be archived for reference and verification in future studies.</w:t>
            </w:r>
          </w:p>
          <w:p>
            <w:pPr>
              <w:autoSpaceDE w:val="0"/>
              <w:autoSpaceDN w:val="0"/>
              <w:adjustRightInd w:val="0"/>
              <w:rPr>
                <w:rFonts w:hint="eastAsia" w:ascii="Arial" w:hAnsi="Arial" w:cs="Arial"/>
                <w:sz w:val="22"/>
                <w:szCs w:val="22"/>
              </w:rPr>
            </w:pPr>
            <w:r>
              <w:rPr>
                <w:rFonts w:hint="eastAsia" w:ascii="Arial" w:hAnsi="Arial" w:cs="Arial"/>
                <w:sz w:val="22"/>
                <w:szCs w:val="22"/>
              </w:rPr>
              <w:t>- Archived form: Archived data will include original data files and processed data, which will be encrypted and anonymized appropriately when archived.</w:t>
            </w:r>
          </w:p>
          <w:p>
            <w:pPr>
              <w:autoSpaceDE w:val="0"/>
              <w:autoSpaceDN w:val="0"/>
              <w:adjustRightInd w:val="0"/>
              <w:rPr>
                <w:rFonts w:hint="eastAsia" w:ascii="Arial" w:hAnsi="Arial" w:cs="Arial"/>
                <w:sz w:val="22"/>
                <w:szCs w:val="22"/>
              </w:rPr>
            </w:pPr>
            <w:r>
              <w:rPr>
                <w:rFonts w:hint="eastAsia" w:ascii="Arial" w:hAnsi="Arial" w:cs="Arial"/>
                <w:sz w:val="22"/>
                <w:szCs w:val="22"/>
              </w:rPr>
              <w:t>Archived location: Archived data will be stored on a secure server or cloud storage, ensuring its long-term accessibility and security.</w:t>
            </w:r>
          </w:p>
          <w:p>
            <w:pPr>
              <w:autoSpaceDE w:val="0"/>
              <w:autoSpaceDN w:val="0"/>
              <w:adjustRightInd w:val="0"/>
              <w:rPr>
                <w:rFonts w:hint="eastAsia" w:ascii="Arial" w:hAnsi="Arial" w:cs="Arial"/>
                <w:sz w:val="22"/>
                <w:szCs w:val="22"/>
              </w:rPr>
            </w:pPr>
          </w:p>
          <w:p>
            <w:pPr>
              <w:autoSpaceDE w:val="0"/>
              <w:autoSpaceDN w:val="0"/>
              <w:adjustRightInd w:val="0"/>
              <w:rPr>
                <w:rFonts w:hint="eastAsia" w:ascii="Arial" w:hAnsi="Arial" w:cs="Arial"/>
                <w:sz w:val="22"/>
                <w:szCs w:val="22"/>
              </w:rPr>
            </w:pPr>
            <w:r>
              <w:rPr>
                <w:rFonts w:hint="eastAsia" w:ascii="Arial" w:hAnsi="Arial" w:cs="Arial"/>
                <w:sz w:val="22"/>
                <w:szCs w:val="22"/>
              </w:rPr>
              <w:t>Non-archiving: If research data is not archived, reasons may include: The data involves highly sensitive personal information and is not suitable for long-term storage due to privacy concerns. The nature of the research project requires that the data be deleted immediately after completion to protect the anonymity of the participants.</w:t>
            </w:r>
          </w:p>
          <w:p>
            <w:pPr>
              <w:autoSpaceDE w:val="0"/>
              <w:autoSpaceDN w:val="0"/>
              <w:adjustRightInd w:val="0"/>
              <w:rPr>
                <w:rFonts w:hint="eastAsia" w:ascii="Arial" w:hAnsi="Arial" w:cs="Arial"/>
                <w:sz w:val="22"/>
                <w:szCs w:val="22"/>
              </w:rPr>
            </w:pPr>
          </w:p>
          <w:p>
            <w:pPr>
              <w:autoSpaceDE w:val="0"/>
              <w:autoSpaceDN w:val="0"/>
              <w:adjustRightInd w:val="0"/>
              <w:rPr>
                <w:rFonts w:ascii="Arial" w:hAnsi="Arial" w:cs="Arial"/>
                <w:sz w:val="22"/>
                <w:szCs w:val="22"/>
              </w:rPr>
            </w:pPr>
            <w:r>
              <w:rPr>
                <w:rFonts w:hint="eastAsia" w:ascii="Arial" w:hAnsi="Arial" w:cs="Arial"/>
                <w:sz w:val="22"/>
                <w:szCs w:val="22"/>
              </w:rPr>
              <w:t>Through these arrangements, data can be securely stored throughout the study, protecting the privacy of participants and providing a sustainable resource for future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hint="default" w:ascii="Arial" w:hAnsi="Arial" w:cs="Arial"/>
                <w:sz w:val="22"/>
                <w:szCs w:val="22"/>
                <w:lang w:val="en-US"/>
              </w:rPr>
            </w:pPr>
            <w:r>
              <w:rPr>
                <w:rFonts w:hint="default" w:ascii="Arial" w:hAnsi="Arial" w:cs="Arial"/>
                <w:sz w:val="22"/>
                <w:szCs w:val="22"/>
                <w:lang w:val="en-US"/>
              </w:rPr>
              <w:t>NO</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bl>
    <w:p>
      <w:pPr>
        <w:rPr>
          <w:rFonts w:ascii="Arial" w:hAnsi="Arial" w:cs="Arial"/>
          <w:b/>
          <w:bCs/>
          <w:sz w:val="22"/>
          <w:szCs w:val="22"/>
        </w:rPr>
      </w:pPr>
    </w:p>
    <w:p>
      <w:pPr>
        <w:rPr>
          <w:rFonts w:ascii="Arial" w:hAnsi="Arial" w:cs="Arial"/>
          <w:b/>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mbria">
    <w:altName w:val="苹方-简"/>
    <w:panose1 w:val="02040503050406030204"/>
    <w:charset w:val="00"/>
    <w:family w:val="roman"/>
    <w:pitch w:val="default"/>
    <w:sig w:usb0="00000000" w:usb1="00000000" w:usb2="02000000" w:usb3="00000000" w:csb0="0000019F" w:csb1="00000000"/>
  </w:font>
  <w:font w:name="Tahoma">
    <w:panose1 w:val="020B0604030504040204"/>
    <w:charset w:val="00"/>
    <w:family w:val="swiss"/>
    <w:pitch w:val="default"/>
    <w:sig w:usb0="E1002AFF" w:usb1="C000605B" w:usb2="00000029" w:usb3="00000000" w:csb0="200101FF" w:csb1="20280000"/>
  </w:font>
  <w:font w:name="Arial">
    <w:panose1 w:val="020B0604020202090204"/>
    <w:charset w:val="00"/>
    <w:family w:val="swiss"/>
    <w:pitch w:val="default"/>
    <w:sig w:usb0="E0000AFF" w:usb1="00007843" w:usb2="00000001" w:usb3="00000000" w:csb0="400001BF" w:csb1="DFF70000"/>
  </w:font>
  <w:font w:name="Segoe UI Symbol">
    <w:altName w:val="苹方-简"/>
    <w:panose1 w:val="020B0502040204020203"/>
    <w:charset w:val="00"/>
    <w:family w:val="swiss"/>
    <w:pitch w:val="default"/>
    <w:sig w:usb0="00000000" w:usb1="00000000" w:usb2="00040000" w:usb3="00000000" w:csb0="00000001" w:csb1="00000000"/>
  </w:font>
  <w:font w:name="MS Gothic">
    <w:altName w:val="Hiragino Sans"/>
    <w:panose1 w:val="020B0609070205080204"/>
    <w:charset w:val="80"/>
    <w:family w:val="modern"/>
    <w:pitch w:val="default"/>
    <w:sig w:usb0="00000000" w:usb1="00000000" w:usb2="08000012" w:usb3="00000000" w:csb0="0002009F"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Arial Unicode MS">
    <w:panose1 w:val="020B0604020202020204"/>
    <w:charset w:val="86"/>
    <w:family w:val="auto"/>
    <w:pitch w:val="default"/>
    <w:sig w:usb0="FFFFFFFF" w:usb1="E9FFFFFF" w:usb2="0000003F" w:usb3="00000000" w:csb0="603F01FF" w:csb1="FFFF0000"/>
  </w:font>
  <w:font w:name="冬青黑体简体中文">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PingFang SC">
    <w:panose1 w:val="020B0400000000000000"/>
    <w:charset w:val="86"/>
    <w:family w:val="auto"/>
    <w:pitch w:val="default"/>
    <w:sig w:usb0="A00002FF" w:usb1="7ACFFDFB" w:usb2="00000017"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Arial Bold">
    <w:panose1 w:val="020B0604020202090204"/>
    <w:charset w:val="00"/>
    <w:family w:val="auto"/>
    <w:pitch w:val="default"/>
    <w:sig w:usb0="E0000AFF" w:usb1="00007843" w:usb2="00000001" w:usb3="00000000" w:csb0="400001BF" w:csb1="DFF70000"/>
  </w:font>
  <w:font w:name="MS Gothic">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ECDE7018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Theme="minorHAnsi" w:hAnsiTheme="minorHAnsi" w:cstheme="minorHAnsi"/>
        <w:b/>
        <w:bCs/>
        <w:sz w:val="22"/>
        <w:szCs w:val="22"/>
      </w:rPr>
    </w:pPr>
    <w:r>
      <w:rPr>
        <w:rFonts w:asciiTheme="minorHAnsi" w:hAnsiTheme="minorHAnsi" w:cstheme="minorHAnsi"/>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Theme="minorHAnsi" w:hAnsiTheme="minorHAnsi" w:cstheme="minorHAnsi"/>
        <w:lang w:eastAsia="en-GB"/>
      </w:rPr>
      <w:t>ECDE7018 Ethical Approval Form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05"/>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9CB"/>
    <w:rsid w:val="003A5C91"/>
    <w:rsid w:val="003A712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889"/>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3D7E"/>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A3C"/>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73C"/>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A17A2"/>
    <w:rsid w:val="00FA1C94"/>
    <w:rsid w:val="00FB4F7A"/>
    <w:rsid w:val="00FB58A3"/>
    <w:rsid w:val="00FB6B35"/>
    <w:rsid w:val="00FD436F"/>
    <w:rsid w:val="00FD5A26"/>
    <w:rsid w:val="00FE3EC4"/>
    <w:rsid w:val="00FF25C7"/>
    <w:rsid w:val="00FF3E46"/>
    <w:rsid w:val="00FF5A58"/>
    <w:rsid w:val="36FB9F24"/>
    <w:rsid w:val="3795725C"/>
    <w:rsid w:val="56FE1F39"/>
    <w:rsid w:val="7CC67C1B"/>
    <w:rsid w:val="BFF96564"/>
    <w:rsid w:val="D775F94B"/>
    <w:rsid w:val="E5EF348B"/>
    <w:rsid w:val="EFD98F18"/>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0"/>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qFormat/>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
    <w:basedOn w:val="1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UoW Trinity Saint David</Company>
  <Pages>5</Pages>
  <Words>1449</Words>
  <Characters>8265</Characters>
  <Lines>68</Lines>
  <Paragraphs>19</Paragraphs>
  <TotalTime>28</TotalTime>
  <ScaleCrop>false</ScaleCrop>
  <LinksUpToDate>false</LinksUpToDate>
  <CharactersWithSpaces>9695</CharactersWithSpaces>
  <Application>WPS Office_6.2.0.8299_F1E327BC-269C-435d-A152-05C5408002CA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2024-10-30T15:43:00Z</dcterms:created>
  <dc:creator>Kevin Brice</dc:creator>
  <cp:lastModifiedBy>join</cp:lastModifiedBy>
  <cp:lastPrinted>2016-10-24T13:21:00Z</cp:lastPrinted>
  <dcterms:modified xsi:type="dcterms:W3CDTF">2025-01-06T22:18:42Z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2052-6.2.0.8299</vt:lpwstr>
  </property>
  <property fmtid="{D5CDD505-2E9C-101B-9397-08002B2CF9AE}" pid="5" name="ICV">
    <vt:lpwstr>FCCE93CB17B11766A82F7C6761D1A49C_43</vt:lpwstr>
  </property>
</Properties>
</file>