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8E8E8" w:themeColor="background2"/>
  <w:body>
    <w:p w14:paraId="7C1CB5AF" w14:textId="77094439" w:rsidR="00325DEC" w:rsidRPr="00325DEC" w:rsidRDefault="00EA07CD" w:rsidP="00157269">
      <w:pPr>
        <w:ind w:firstLine="720"/>
        <w:jc w:val="center"/>
        <w:rPr>
          <w:rFonts w:ascii="Arial" w:hAnsi="Arial" w:cs="Arial"/>
          <w:b/>
          <w:bCs/>
          <w:i/>
          <w:iCs/>
          <w:sz w:val="23"/>
          <w:szCs w:val="23"/>
        </w:rPr>
      </w:pPr>
      <w:r>
        <w:rPr>
          <w:rFonts w:ascii="Arial" w:hAnsi="Arial" w:cs="Arial"/>
          <w:b/>
          <w:bCs/>
          <w:i/>
          <w:iCs/>
          <w:sz w:val="23"/>
          <w:szCs w:val="23"/>
        </w:rPr>
        <w:t xml:space="preserve"> </w:t>
      </w:r>
      <w:r w:rsidR="00171E93" w:rsidRPr="00325DEC">
        <w:rPr>
          <w:rFonts w:ascii="Arial" w:hAnsi="Arial" w:cs="Arial"/>
          <w:b/>
          <w:bCs/>
          <w:i/>
          <w:iCs/>
          <w:sz w:val="23"/>
          <w:szCs w:val="23"/>
        </w:rPr>
        <w:t>Name: Saireen Mahmood</w:t>
      </w:r>
    </w:p>
    <w:p w14:paraId="3E3853CA" w14:textId="486C4194" w:rsidR="00171E93" w:rsidRPr="00325DEC" w:rsidRDefault="00325DEC" w:rsidP="00325DEC">
      <w:pPr>
        <w:jc w:val="center"/>
        <w:rPr>
          <w:rFonts w:ascii="Arial" w:hAnsi="Arial" w:cs="Arial"/>
          <w:b/>
          <w:bCs/>
          <w:i/>
          <w:iCs/>
          <w:sz w:val="23"/>
          <w:szCs w:val="23"/>
        </w:rPr>
      </w:pPr>
      <w:r w:rsidRPr="00325DEC">
        <w:rPr>
          <w:rFonts w:ascii="Arial" w:hAnsi="Arial" w:cs="Arial"/>
          <w:b/>
          <w:bCs/>
          <w:i/>
          <w:iCs/>
          <w:sz w:val="23"/>
          <w:szCs w:val="23"/>
        </w:rPr>
        <w:t>Student ID: 228897</w:t>
      </w:r>
    </w:p>
    <w:p w14:paraId="7B3388CA" w14:textId="0108B510" w:rsidR="00325DEC" w:rsidRPr="00325DEC" w:rsidRDefault="00325DEC" w:rsidP="00325DEC">
      <w:pPr>
        <w:jc w:val="center"/>
        <w:rPr>
          <w:rFonts w:ascii="Arial" w:hAnsi="Arial" w:cs="Arial"/>
          <w:b/>
          <w:bCs/>
          <w:i/>
          <w:iCs/>
          <w:sz w:val="23"/>
          <w:szCs w:val="23"/>
        </w:rPr>
      </w:pPr>
      <w:r w:rsidRPr="00325DEC">
        <w:rPr>
          <w:rFonts w:ascii="Arial" w:hAnsi="Arial" w:cs="Arial"/>
          <w:b/>
          <w:bCs/>
          <w:i/>
          <w:iCs/>
          <w:sz w:val="23"/>
          <w:szCs w:val="23"/>
        </w:rPr>
        <w:t xml:space="preserve">Module: Health, wellbeing and sustainable development </w:t>
      </w:r>
    </w:p>
    <w:p w14:paraId="76735289" w14:textId="1617245C" w:rsidR="00325DEC" w:rsidRPr="00325DEC" w:rsidRDefault="00325DEC" w:rsidP="00325DEC">
      <w:pPr>
        <w:jc w:val="center"/>
        <w:rPr>
          <w:rFonts w:ascii="Arial" w:hAnsi="Arial" w:cs="Arial"/>
          <w:b/>
          <w:bCs/>
          <w:i/>
          <w:iCs/>
          <w:sz w:val="23"/>
          <w:szCs w:val="23"/>
        </w:rPr>
      </w:pPr>
      <w:r w:rsidRPr="00325DEC">
        <w:rPr>
          <w:rFonts w:ascii="Arial" w:hAnsi="Arial" w:cs="Arial"/>
          <w:b/>
          <w:bCs/>
          <w:i/>
          <w:iCs/>
          <w:sz w:val="23"/>
          <w:szCs w:val="23"/>
        </w:rPr>
        <w:t>Lecture: Parese Ahmed</w:t>
      </w:r>
    </w:p>
    <w:p w14:paraId="2BDE9A43" w14:textId="77777777" w:rsidR="00325DEC" w:rsidRPr="00325DEC" w:rsidRDefault="00325DEC" w:rsidP="00325DEC">
      <w:pPr>
        <w:jc w:val="center"/>
        <w:rPr>
          <w:rFonts w:ascii="Arial" w:hAnsi="Arial" w:cs="Arial"/>
          <w:b/>
          <w:bCs/>
          <w:i/>
          <w:iCs/>
          <w:sz w:val="23"/>
          <w:szCs w:val="23"/>
        </w:rPr>
      </w:pPr>
    </w:p>
    <w:p w14:paraId="06D53E79" w14:textId="77777777" w:rsidR="00325DEC" w:rsidRDefault="00325DEC" w:rsidP="00325DEC">
      <w:pPr>
        <w:jc w:val="center"/>
        <w:rPr>
          <w:rFonts w:ascii="Arial" w:hAnsi="Arial" w:cs="Arial"/>
          <w:sz w:val="23"/>
          <w:szCs w:val="23"/>
        </w:rPr>
      </w:pPr>
    </w:p>
    <w:p w14:paraId="193EEAAF" w14:textId="77777777" w:rsidR="00325DEC" w:rsidRDefault="00325DEC" w:rsidP="00325DEC">
      <w:pPr>
        <w:jc w:val="center"/>
        <w:rPr>
          <w:rFonts w:ascii="Arial" w:hAnsi="Arial" w:cs="Arial"/>
          <w:sz w:val="23"/>
          <w:szCs w:val="23"/>
        </w:rPr>
      </w:pPr>
    </w:p>
    <w:p w14:paraId="1F17A2E4" w14:textId="77777777" w:rsidR="00325DEC" w:rsidRDefault="00325DEC" w:rsidP="00325DEC">
      <w:pPr>
        <w:jc w:val="center"/>
        <w:rPr>
          <w:rFonts w:ascii="Arial" w:hAnsi="Arial" w:cs="Arial"/>
          <w:sz w:val="23"/>
          <w:szCs w:val="23"/>
        </w:rPr>
      </w:pPr>
    </w:p>
    <w:p w14:paraId="2C63412E" w14:textId="77777777" w:rsidR="00325DEC" w:rsidRDefault="00325DEC" w:rsidP="00325DEC">
      <w:pPr>
        <w:jc w:val="center"/>
        <w:rPr>
          <w:rFonts w:ascii="Arial" w:hAnsi="Arial" w:cs="Arial"/>
          <w:sz w:val="23"/>
          <w:szCs w:val="23"/>
        </w:rPr>
      </w:pPr>
    </w:p>
    <w:p w14:paraId="7BC3EC0D" w14:textId="77777777" w:rsidR="00325DEC" w:rsidRDefault="00325DEC" w:rsidP="00325DEC">
      <w:pPr>
        <w:jc w:val="center"/>
        <w:rPr>
          <w:rFonts w:ascii="Arial" w:hAnsi="Arial" w:cs="Arial"/>
          <w:sz w:val="23"/>
          <w:szCs w:val="23"/>
        </w:rPr>
      </w:pPr>
    </w:p>
    <w:p w14:paraId="0DA60B55" w14:textId="77777777" w:rsidR="00325DEC" w:rsidRDefault="00325DEC" w:rsidP="00325DEC">
      <w:pPr>
        <w:jc w:val="center"/>
        <w:rPr>
          <w:rFonts w:ascii="Arial" w:hAnsi="Arial" w:cs="Arial"/>
          <w:sz w:val="23"/>
          <w:szCs w:val="23"/>
        </w:rPr>
      </w:pPr>
    </w:p>
    <w:p w14:paraId="3AF778EE" w14:textId="77777777" w:rsidR="00325DEC" w:rsidRDefault="00325DEC" w:rsidP="00325DEC">
      <w:pPr>
        <w:jc w:val="center"/>
        <w:rPr>
          <w:rFonts w:ascii="Arial" w:hAnsi="Arial" w:cs="Arial"/>
          <w:sz w:val="23"/>
          <w:szCs w:val="23"/>
        </w:rPr>
      </w:pPr>
    </w:p>
    <w:p w14:paraId="38CAD569" w14:textId="77777777" w:rsidR="00325DEC" w:rsidRDefault="00325DEC" w:rsidP="00325DEC">
      <w:pPr>
        <w:jc w:val="center"/>
        <w:rPr>
          <w:rFonts w:ascii="Arial" w:hAnsi="Arial" w:cs="Arial"/>
          <w:sz w:val="23"/>
          <w:szCs w:val="23"/>
        </w:rPr>
      </w:pPr>
    </w:p>
    <w:p w14:paraId="734C1DB1" w14:textId="77777777" w:rsidR="00325DEC" w:rsidRDefault="00325DEC" w:rsidP="00325DEC">
      <w:pPr>
        <w:jc w:val="center"/>
        <w:rPr>
          <w:rFonts w:ascii="Arial" w:hAnsi="Arial" w:cs="Arial"/>
          <w:sz w:val="23"/>
          <w:szCs w:val="23"/>
        </w:rPr>
      </w:pPr>
    </w:p>
    <w:p w14:paraId="2FC28E19" w14:textId="77777777" w:rsidR="00325DEC" w:rsidRDefault="00325DEC" w:rsidP="00325DEC">
      <w:pPr>
        <w:jc w:val="center"/>
        <w:rPr>
          <w:rFonts w:ascii="Arial" w:hAnsi="Arial" w:cs="Arial"/>
          <w:sz w:val="23"/>
          <w:szCs w:val="23"/>
        </w:rPr>
      </w:pPr>
    </w:p>
    <w:p w14:paraId="7BC380E0" w14:textId="77777777" w:rsidR="00325DEC" w:rsidRDefault="00325DEC" w:rsidP="00325DEC">
      <w:pPr>
        <w:jc w:val="center"/>
        <w:rPr>
          <w:rFonts w:ascii="Arial" w:hAnsi="Arial" w:cs="Arial"/>
          <w:sz w:val="23"/>
          <w:szCs w:val="23"/>
        </w:rPr>
      </w:pPr>
    </w:p>
    <w:p w14:paraId="67E37D4E" w14:textId="77777777" w:rsidR="00325DEC" w:rsidRDefault="00325DEC" w:rsidP="00325DEC">
      <w:pPr>
        <w:jc w:val="center"/>
        <w:rPr>
          <w:rFonts w:ascii="Arial" w:hAnsi="Arial" w:cs="Arial"/>
          <w:sz w:val="23"/>
          <w:szCs w:val="23"/>
        </w:rPr>
      </w:pPr>
    </w:p>
    <w:p w14:paraId="61C9DB36" w14:textId="77777777" w:rsidR="00325DEC" w:rsidRDefault="00325DEC" w:rsidP="00325DEC">
      <w:pPr>
        <w:jc w:val="center"/>
        <w:rPr>
          <w:rFonts w:ascii="Arial" w:hAnsi="Arial" w:cs="Arial"/>
          <w:sz w:val="23"/>
          <w:szCs w:val="23"/>
        </w:rPr>
      </w:pPr>
    </w:p>
    <w:p w14:paraId="45CD7F13" w14:textId="77777777" w:rsidR="00325DEC" w:rsidRDefault="00325DEC" w:rsidP="00325DEC">
      <w:pPr>
        <w:jc w:val="center"/>
        <w:rPr>
          <w:rFonts w:ascii="Arial" w:hAnsi="Arial" w:cs="Arial"/>
          <w:sz w:val="23"/>
          <w:szCs w:val="23"/>
        </w:rPr>
      </w:pPr>
    </w:p>
    <w:p w14:paraId="09CC528E" w14:textId="77777777" w:rsidR="00325DEC" w:rsidRDefault="00325DEC" w:rsidP="00325DEC">
      <w:pPr>
        <w:jc w:val="center"/>
        <w:rPr>
          <w:rFonts w:ascii="Arial" w:hAnsi="Arial" w:cs="Arial"/>
          <w:sz w:val="23"/>
          <w:szCs w:val="23"/>
        </w:rPr>
      </w:pPr>
    </w:p>
    <w:p w14:paraId="37CE1D70" w14:textId="77777777" w:rsidR="00325DEC" w:rsidRDefault="00325DEC" w:rsidP="00325DEC">
      <w:pPr>
        <w:jc w:val="center"/>
        <w:rPr>
          <w:rFonts w:ascii="Arial" w:hAnsi="Arial" w:cs="Arial"/>
          <w:sz w:val="23"/>
          <w:szCs w:val="23"/>
        </w:rPr>
      </w:pPr>
    </w:p>
    <w:p w14:paraId="76ADD410" w14:textId="77777777" w:rsidR="00325DEC" w:rsidRDefault="00325DEC" w:rsidP="00325DEC">
      <w:pPr>
        <w:jc w:val="center"/>
        <w:rPr>
          <w:rFonts w:ascii="Arial" w:hAnsi="Arial" w:cs="Arial"/>
          <w:sz w:val="23"/>
          <w:szCs w:val="23"/>
        </w:rPr>
      </w:pPr>
    </w:p>
    <w:p w14:paraId="65F48DCA" w14:textId="77777777" w:rsidR="00325DEC" w:rsidRDefault="00325DEC" w:rsidP="00325DEC">
      <w:pPr>
        <w:jc w:val="center"/>
        <w:rPr>
          <w:rFonts w:ascii="Arial" w:hAnsi="Arial" w:cs="Arial"/>
          <w:sz w:val="23"/>
          <w:szCs w:val="23"/>
        </w:rPr>
      </w:pPr>
    </w:p>
    <w:p w14:paraId="2DD6E479" w14:textId="77777777" w:rsidR="00325DEC" w:rsidRDefault="00325DEC" w:rsidP="00325DEC">
      <w:pPr>
        <w:jc w:val="center"/>
        <w:rPr>
          <w:rFonts w:ascii="Arial" w:hAnsi="Arial" w:cs="Arial"/>
          <w:sz w:val="23"/>
          <w:szCs w:val="23"/>
        </w:rPr>
      </w:pPr>
    </w:p>
    <w:p w14:paraId="4D73E586" w14:textId="77777777" w:rsidR="00325DEC" w:rsidRDefault="00325DEC" w:rsidP="00325DEC">
      <w:pPr>
        <w:jc w:val="center"/>
        <w:rPr>
          <w:rFonts w:ascii="Arial" w:hAnsi="Arial" w:cs="Arial"/>
          <w:sz w:val="23"/>
          <w:szCs w:val="23"/>
        </w:rPr>
      </w:pPr>
    </w:p>
    <w:p w14:paraId="15D3F379" w14:textId="77777777" w:rsidR="00325DEC" w:rsidRDefault="00325DEC" w:rsidP="00325DEC">
      <w:pPr>
        <w:jc w:val="center"/>
        <w:rPr>
          <w:rFonts w:ascii="Arial" w:hAnsi="Arial" w:cs="Arial"/>
          <w:sz w:val="23"/>
          <w:szCs w:val="23"/>
        </w:rPr>
      </w:pPr>
    </w:p>
    <w:p w14:paraId="74551945" w14:textId="77777777" w:rsidR="00325DEC" w:rsidRDefault="00325DEC" w:rsidP="00325DEC">
      <w:pPr>
        <w:jc w:val="center"/>
        <w:rPr>
          <w:rFonts w:ascii="Arial" w:hAnsi="Arial" w:cs="Arial"/>
          <w:sz w:val="23"/>
          <w:szCs w:val="23"/>
        </w:rPr>
      </w:pPr>
    </w:p>
    <w:p w14:paraId="37578C21" w14:textId="77777777" w:rsidR="00325DEC" w:rsidRDefault="00325DEC" w:rsidP="00325DEC">
      <w:pPr>
        <w:jc w:val="center"/>
        <w:rPr>
          <w:rFonts w:ascii="Arial" w:hAnsi="Arial" w:cs="Arial"/>
          <w:sz w:val="23"/>
          <w:szCs w:val="23"/>
        </w:rPr>
      </w:pPr>
    </w:p>
    <w:p w14:paraId="1DE14D12" w14:textId="77777777" w:rsidR="00325DEC" w:rsidRDefault="00325DEC" w:rsidP="00325DEC">
      <w:pPr>
        <w:jc w:val="center"/>
        <w:rPr>
          <w:rFonts w:ascii="Arial" w:hAnsi="Arial" w:cs="Arial"/>
          <w:sz w:val="23"/>
          <w:szCs w:val="23"/>
        </w:rPr>
      </w:pPr>
    </w:p>
    <w:p w14:paraId="7A1190E5" w14:textId="77777777" w:rsidR="00325DEC" w:rsidRDefault="00325DEC" w:rsidP="00325DEC">
      <w:pPr>
        <w:jc w:val="center"/>
        <w:rPr>
          <w:rFonts w:ascii="Arial" w:hAnsi="Arial" w:cs="Arial"/>
          <w:sz w:val="23"/>
          <w:szCs w:val="23"/>
        </w:rPr>
      </w:pPr>
    </w:p>
    <w:p w14:paraId="4581CDAE" w14:textId="77777777" w:rsidR="00325DEC" w:rsidRDefault="00325DEC" w:rsidP="00325DEC">
      <w:pPr>
        <w:rPr>
          <w:rFonts w:ascii="Arial" w:hAnsi="Arial" w:cs="Arial"/>
          <w:sz w:val="23"/>
          <w:szCs w:val="23"/>
        </w:rPr>
      </w:pPr>
    </w:p>
    <w:p w14:paraId="6BCFB4B9" w14:textId="5DDB19CE" w:rsidR="00325DEC" w:rsidRPr="00325DEC" w:rsidRDefault="00325DEC" w:rsidP="00325DEC">
      <w:pPr>
        <w:jc w:val="center"/>
        <w:rPr>
          <w:rFonts w:ascii="Arial" w:hAnsi="Arial" w:cs="Arial"/>
          <w:b/>
          <w:bCs/>
          <w:i/>
          <w:iCs/>
          <w:sz w:val="23"/>
          <w:szCs w:val="23"/>
          <w:u w:val="single"/>
        </w:rPr>
      </w:pPr>
      <w:r w:rsidRPr="00325DEC">
        <w:rPr>
          <w:rFonts w:ascii="Arial" w:hAnsi="Arial" w:cs="Arial"/>
          <w:b/>
          <w:bCs/>
          <w:i/>
          <w:iCs/>
          <w:sz w:val="23"/>
          <w:szCs w:val="23"/>
          <w:u w:val="single"/>
        </w:rPr>
        <w:lastRenderedPageBreak/>
        <w:t>Topic:</w:t>
      </w:r>
    </w:p>
    <w:p w14:paraId="7393804F" w14:textId="7CAE5F24" w:rsidR="00325DEC" w:rsidRDefault="00325DEC" w:rsidP="00325DEC">
      <w:pPr>
        <w:jc w:val="center"/>
        <w:rPr>
          <w:rFonts w:ascii="Arial" w:hAnsi="Arial" w:cs="Arial"/>
          <w:b/>
          <w:bCs/>
          <w:i/>
          <w:iCs/>
          <w:sz w:val="23"/>
          <w:szCs w:val="23"/>
          <w:u w:val="single"/>
        </w:rPr>
      </w:pPr>
      <w:r w:rsidRPr="00325DEC">
        <w:rPr>
          <w:rFonts w:ascii="Arial" w:hAnsi="Arial" w:cs="Arial"/>
          <w:b/>
          <w:bCs/>
          <w:i/>
          <w:iCs/>
          <w:sz w:val="23"/>
          <w:szCs w:val="23"/>
          <w:u w:val="single"/>
        </w:rPr>
        <w:t xml:space="preserve">Critical evaluation of SDG 3: Good health and wellbeing and SDG 11: sustainable cities and communities. </w:t>
      </w:r>
    </w:p>
    <w:p w14:paraId="2C7CB32A" w14:textId="77777777" w:rsidR="00325DEC" w:rsidRDefault="00325DEC" w:rsidP="00325DEC">
      <w:pPr>
        <w:jc w:val="center"/>
        <w:rPr>
          <w:rFonts w:ascii="Arial" w:hAnsi="Arial" w:cs="Arial"/>
          <w:b/>
          <w:bCs/>
          <w:i/>
          <w:iCs/>
          <w:sz w:val="23"/>
          <w:szCs w:val="23"/>
          <w:u w:val="single"/>
        </w:rPr>
      </w:pPr>
    </w:p>
    <w:p w14:paraId="52AF76F8" w14:textId="1FAEE94C" w:rsidR="00325DEC" w:rsidRDefault="00325DEC" w:rsidP="00325DEC">
      <w:pPr>
        <w:rPr>
          <w:rFonts w:ascii="Arial" w:hAnsi="Arial" w:cs="Arial"/>
          <w:b/>
          <w:bCs/>
          <w:i/>
          <w:iCs/>
          <w:sz w:val="23"/>
          <w:szCs w:val="23"/>
          <w:u w:val="single"/>
        </w:rPr>
      </w:pPr>
      <w:r w:rsidRPr="00325DEC">
        <w:rPr>
          <w:rFonts w:ascii="Arial" w:hAnsi="Arial" w:cs="Arial"/>
          <w:b/>
          <w:bCs/>
          <w:i/>
          <w:iCs/>
          <w:sz w:val="23"/>
          <w:szCs w:val="23"/>
          <w:u w:val="single"/>
        </w:rPr>
        <w:t xml:space="preserve">Introduction: </w:t>
      </w:r>
    </w:p>
    <w:p w14:paraId="61889329" w14:textId="2E226831" w:rsidR="00325DEC" w:rsidRDefault="00325DEC" w:rsidP="00325DEC">
      <w:pPr>
        <w:rPr>
          <w:rFonts w:ascii="Arial" w:hAnsi="Arial" w:cs="Arial"/>
          <w:sz w:val="23"/>
          <w:szCs w:val="23"/>
        </w:rPr>
      </w:pPr>
      <w:r>
        <w:rPr>
          <w:rFonts w:ascii="Arial" w:hAnsi="Arial" w:cs="Arial"/>
          <w:sz w:val="23"/>
          <w:szCs w:val="23"/>
        </w:rPr>
        <w:t xml:space="preserve">The United Nations 2030 </w:t>
      </w:r>
      <w:r w:rsidR="00C06574">
        <w:rPr>
          <w:rFonts w:ascii="Arial" w:hAnsi="Arial" w:cs="Arial"/>
          <w:sz w:val="23"/>
          <w:szCs w:val="23"/>
        </w:rPr>
        <w:t xml:space="preserve">Agenda for sustainable development sets out 17 interlinked sustainable development goals (SDGs), are designed to address the global challenges including inequality, poverty, climate change and poor health </w:t>
      </w:r>
      <w:r w:rsidR="00C06574" w:rsidRPr="00C06574">
        <w:rPr>
          <w:rFonts w:ascii="Arial" w:hAnsi="Arial" w:cs="Arial"/>
          <w:b/>
          <w:bCs/>
          <w:sz w:val="23"/>
          <w:szCs w:val="23"/>
        </w:rPr>
        <w:t xml:space="preserve">(United Nations,2015). </w:t>
      </w:r>
      <w:r w:rsidR="00C06574">
        <w:rPr>
          <w:rFonts w:ascii="Arial" w:hAnsi="Arial" w:cs="Arial"/>
          <w:sz w:val="23"/>
          <w:szCs w:val="23"/>
        </w:rPr>
        <w:t xml:space="preserve">Central to this framework is </w:t>
      </w:r>
      <w:r w:rsidR="00C06574" w:rsidRPr="00C06574">
        <w:rPr>
          <w:rFonts w:ascii="Arial" w:hAnsi="Arial" w:cs="Arial"/>
          <w:b/>
          <w:bCs/>
          <w:sz w:val="23"/>
          <w:szCs w:val="23"/>
        </w:rPr>
        <w:t xml:space="preserve">SDG 3: good health and wellbeing, </w:t>
      </w:r>
      <w:r w:rsidR="00C06574">
        <w:rPr>
          <w:rFonts w:ascii="Arial" w:hAnsi="Arial" w:cs="Arial"/>
          <w:sz w:val="23"/>
          <w:szCs w:val="23"/>
        </w:rPr>
        <w:t xml:space="preserve">which aims to ensure healthy lives and promote wellbeing for all at all ages </w:t>
      </w:r>
      <w:r w:rsidR="00C06574" w:rsidRPr="00B7797F">
        <w:rPr>
          <w:rFonts w:ascii="Arial" w:hAnsi="Arial" w:cs="Arial"/>
          <w:b/>
          <w:bCs/>
          <w:i/>
          <w:iCs/>
          <w:sz w:val="23"/>
          <w:szCs w:val="23"/>
        </w:rPr>
        <w:t>(World Health Organization (WHO), 2023).</w:t>
      </w:r>
      <w:r w:rsidR="00C06574">
        <w:rPr>
          <w:rFonts w:ascii="Arial" w:hAnsi="Arial" w:cs="Arial"/>
          <w:sz w:val="23"/>
          <w:szCs w:val="23"/>
        </w:rPr>
        <w:t xml:space="preserve"> To demonstrate the interconnected nature of the goals, this report also examines </w:t>
      </w:r>
      <w:r w:rsidR="00BB5472" w:rsidRPr="00BB5472">
        <w:rPr>
          <w:rFonts w:ascii="Arial" w:hAnsi="Arial" w:cs="Arial"/>
          <w:b/>
          <w:bCs/>
          <w:sz w:val="23"/>
          <w:szCs w:val="23"/>
        </w:rPr>
        <w:t xml:space="preserve">SDG 11: sustainable cities and communities, </w:t>
      </w:r>
      <w:r w:rsidR="00BB5472">
        <w:rPr>
          <w:rFonts w:ascii="Arial" w:hAnsi="Arial" w:cs="Arial"/>
          <w:sz w:val="23"/>
          <w:szCs w:val="23"/>
        </w:rPr>
        <w:t xml:space="preserve">which seeks to make cities inclusive, safe, resilient and sustainable. </w:t>
      </w:r>
    </w:p>
    <w:p w14:paraId="27A54E5D" w14:textId="40707A28" w:rsidR="00E4197A" w:rsidRDefault="00BB5472" w:rsidP="00325DEC">
      <w:pPr>
        <w:rPr>
          <w:rFonts w:ascii="Arial" w:hAnsi="Arial" w:cs="Arial"/>
          <w:sz w:val="23"/>
          <w:szCs w:val="23"/>
        </w:rPr>
      </w:pPr>
      <w:r>
        <w:rPr>
          <w:rFonts w:ascii="Arial" w:hAnsi="Arial" w:cs="Arial"/>
          <w:sz w:val="23"/>
          <w:szCs w:val="23"/>
        </w:rPr>
        <w:t>Health and urban environment are fundamentally linked</w:t>
      </w:r>
      <w:r w:rsidR="002B1329">
        <w:rPr>
          <w:rFonts w:ascii="Arial" w:hAnsi="Arial" w:cs="Arial"/>
          <w:sz w:val="23"/>
          <w:szCs w:val="23"/>
        </w:rPr>
        <w:t>,</w:t>
      </w:r>
      <w:r>
        <w:rPr>
          <w:rFonts w:ascii="Arial" w:hAnsi="Arial" w:cs="Arial"/>
          <w:sz w:val="23"/>
          <w:szCs w:val="23"/>
        </w:rPr>
        <w:t xml:space="preserve"> which means the places where people live, work, and spend their time directly shape their physical and mental health</w:t>
      </w:r>
      <w:r w:rsidR="002B1329">
        <w:rPr>
          <w:rFonts w:ascii="Arial" w:hAnsi="Arial" w:cs="Arial"/>
          <w:sz w:val="23"/>
          <w:szCs w:val="23"/>
        </w:rPr>
        <w:t xml:space="preserve"> </w:t>
      </w:r>
      <w:r w:rsidR="002B1329" w:rsidRPr="00E4197A">
        <w:rPr>
          <w:rFonts w:ascii="Arial" w:hAnsi="Arial" w:cs="Arial"/>
          <w:b/>
          <w:bCs/>
          <w:sz w:val="23"/>
          <w:szCs w:val="23"/>
        </w:rPr>
        <w:t>(Rydin et al, 2022).</w:t>
      </w:r>
      <w:r w:rsidR="002B1329">
        <w:rPr>
          <w:rFonts w:ascii="Arial" w:hAnsi="Arial" w:cs="Arial"/>
          <w:sz w:val="23"/>
          <w:szCs w:val="23"/>
        </w:rPr>
        <w:t xml:space="preserve"> This report critically evaluates policies and initiatives across the global, national (UK), and the local (Birmingham) levels. </w:t>
      </w:r>
      <w:r w:rsidR="00E4197A">
        <w:rPr>
          <w:rFonts w:ascii="Arial" w:hAnsi="Arial" w:cs="Arial"/>
          <w:sz w:val="23"/>
          <w:szCs w:val="23"/>
        </w:rPr>
        <w:t>And</w:t>
      </w:r>
      <w:r w:rsidR="002B1329">
        <w:rPr>
          <w:rFonts w:ascii="Arial" w:hAnsi="Arial" w:cs="Arial"/>
          <w:sz w:val="23"/>
          <w:szCs w:val="23"/>
        </w:rPr>
        <w:t xml:space="preserve"> it applies key theoretical frameworks including the social determinants of the health model </w:t>
      </w:r>
      <w:r w:rsidR="002B1329" w:rsidRPr="00E4197A">
        <w:rPr>
          <w:rFonts w:ascii="Arial" w:hAnsi="Arial" w:cs="Arial"/>
          <w:b/>
          <w:bCs/>
          <w:sz w:val="23"/>
          <w:szCs w:val="23"/>
        </w:rPr>
        <w:t>(Marmot,2021)</w:t>
      </w:r>
      <w:r w:rsidR="002B1329">
        <w:rPr>
          <w:rFonts w:ascii="Arial" w:hAnsi="Arial" w:cs="Arial"/>
          <w:sz w:val="23"/>
          <w:szCs w:val="23"/>
        </w:rPr>
        <w:t xml:space="preserve"> and the health belief model </w:t>
      </w:r>
      <w:r w:rsidR="002B1329" w:rsidRPr="00E4197A">
        <w:rPr>
          <w:rFonts w:ascii="Arial" w:hAnsi="Arial" w:cs="Arial"/>
          <w:b/>
          <w:bCs/>
          <w:sz w:val="23"/>
          <w:szCs w:val="23"/>
        </w:rPr>
        <w:t>(Rosenstock et al,1988)</w:t>
      </w:r>
      <w:r w:rsidR="002B1329">
        <w:rPr>
          <w:rFonts w:ascii="Arial" w:hAnsi="Arial" w:cs="Arial"/>
          <w:sz w:val="23"/>
          <w:szCs w:val="23"/>
        </w:rPr>
        <w:t xml:space="preserve"> to analyse progress to identify the gaps </w:t>
      </w:r>
      <w:r w:rsidR="00E4197A">
        <w:rPr>
          <w:rFonts w:ascii="Arial" w:hAnsi="Arial" w:cs="Arial"/>
          <w:sz w:val="23"/>
          <w:szCs w:val="23"/>
        </w:rPr>
        <w:t xml:space="preserve">and develop the evidence-based recommendations. This report is structured to first explore SDG 3, followed by the SDG 11, before discussing their interconnections and concluding with the clear conclusions. </w:t>
      </w:r>
    </w:p>
    <w:p w14:paraId="4ED4740C" w14:textId="7A2505E9" w:rsidR="00E4197A" w:rsidRPr="00E4197A" w:rsidRDefault="00E4197A" w:rsidP="00325DEC">
      <w:pPr>
        <w:rPr>
          <w:rFonts w:ascii="Arial" w:hAnsi="Arial" w:cs="Arial"/>
          <w:b/>
          <w:bCs/>
          <w:sz w:val="23"/>
          <w:szCs w:val="23"/>
        </w:rPr>
      </w:pPr>
      <w:r w:rsidRPr="00E4197A">
        <w:rPr>
          <w:rFonts w:ascii="Arial" w:hAnsi="Arial" w:cs="Arial"/>
          <w:b/>
          <w:bCs/>
          <w:sz w:val="23"/>
          <w:szCs w:val="23"/>
        </w:rPr>
        <w:t xml:space="preserve">Section 1: SDG 3- good health and wellbeing </w:t>
      </w:r>
    </w:p>
    <w:p w14:paraId="0F3E63B8" w14:textId="6F730386" w:rsidR="00E4197A" w:rsidRDefault="00E4197A" w:rsidP="00325DEC">
      <w:pPr>
        <w:rPr>
          <w:rFonts w:ascii="Arial" w:hAnsi="Arial" w:cs="Arial"/>
          <w:b/>
          <w:bCs/>
          <w:sz w:val="23"/>
          <w:szCs w:val="23"/>
        </w:rPr>
      </w:pPr>
      <w:r w:rsidRPr="00E4197A">
        <w:rPr>
          <w:rFonts w:ascii="Arial" w:hAnsi="Arial" w:cs="Arial"/>
          <w:b/>
          <w:bCs/>
          <w:sz w:val="23"/>
          <w:szCs w:val="23"/>
        </w:rPr>
        <w:t xml:space="preserve">Overview of SDG 3: </w:t>
      </w:r>
    </w:p>
    <w:p w14:paraId="5BFEE3AE" w14:textId="0BCAE56A" w:rsidR="00E4197A" w:rsidRDefault="00E4197A" w:rsidP="00325DEC">
      <w:pPr>
        <w:rPr>
          <w:rFonts w:ascii="Arial" w:hAnsi="Arial" w:cs="Arial"/>
          <w:b/>
          <w:bCs/>
          <w:sz w:val="23"/>
          <w:szCs w:val="23"/>
        </w:rPr>
      </w:pPr>
      <w:r>
        <w:rPr>
          <w:rFonts w:ascii="Arial" w:hAnsi="Arial" w:cs="Arial"/>
          <w:sz w:val="23"/>
          <w:szCs w:val="23"/>
        </w:rPr>
        <w:t>SDG 3</w:t>
      </w:r>
      <w:r w:rsidR="006E376B">
        <w:rPr>
          <w:rFonts w:ascii="Arial" w:hAnsi="Arial" w:cs="Arial"/>
          <w:sz w:val="23"/>
          <w:szCs w:val="23"/>
        </w:rPr>
        <w:t xml:space="preserve"> </w:t>
      </w:r>
      <w:r>
        <w:rPr>
          <w:rFonts w:ascii="Arial" w:hAnsi="Arial" w:cs="Arial"/>
          <w:sz w:val="23"/>
          <w:szCs w:val="23"/>
        </w:rPr>
        <w:t xml:space="preserve">comprises 13 </w:t>
      </w:r>
      <w:r w:rsidR="006E376B">
        <w:rPr>
          <w:rFonts w:ascii="Arial" w:hAnsi="Arial" w:cs="Arial"/>
          <w:sz w:val="23"/>
          <w:szCs w:val="23"/>
        </w:rPr>
        <w:t>specific</w:t>
      </w:r>
      <w:r>
        <w:rPr>
          <w:rFonts w:ascii="Arial" w:hAnsi="Arial" w:cs="Arial"/>
          <w:sz w:val="23"/>
          <w:szCs w:val="23"/>
        </w:rPr>
        <w:t xml:space="preserve"> targets covering universal health coverage, maternal and child health, infectious diseases, non-communicable diseases </w:t>
      </w:r>
      <w:r w:rsidR="006E376B">
        <w:rPr>
          <w:rFonts w:ascii="Arial" w:hAnsi="Arial" w:cs="Arial"/>
          <w:sz w:val="23"/>
          <w:szCs w:val="23"/>
        </w:rPr>
        <w:t xml:space="preserve">(NCDs), mental health, and the health system strengthening. A particularly relevant target is 3.4, which tells us that for one-third reduction in premature mortality from NCDs and the promotion of mental health and wellbeing by 2030 </w:t>
      </w:r>
      <w:r w:rsidR="006E376B" w:rsidRPr="006E376B">
        <w:rPr>
          <w:rFonts w:ascii="Arial" w:hAnsi="Arial" w:cs="Arial"/>
          <w:b/>
          <w:bCs/>
          <w:sz w:val="23"/>
          <w:szCs w:val="23"/>
        </w:rPr>
        <w:t>(</w:t>
      </w:r>
      <w:r w:rsidR="00C9619D">
        <w:rPr>
          <w:rFonts w:ascii="Arial" w:hAnsi="Arial" w:cs="Arial"/>
          <w:b/>
          <w:bCs/>
          <w:sz w:val="23"/>
          <w:szCs w:val="23"/>
        </w:rPr>
        <w:t>U</w:t>
      </w:r>
      <w:r w:rsidR="006E376B" w:rsidRPr="006E376B">
        <w:rPr>
          <w:rFonts w:ascii="Arial" w:hAnsi="Arial" w:cs="Arial"/>
          <w:b/>
          <w:bCs/>
          <w:sz w:val="23"/>
          <w:szCs w:val="23"/>
        </w:rPr>
        <w:t xml:space="preserve">nited </w:t>
      </w:r>
      <w:r w:rsidR="00C9619D">
        <w:rPr>
          <w:rFonts w:ascii="Arial" w:hAnsi="Arial" w:cs="Arial"/>
          <w:b/>
          <w:bCs/>
          <w:sz w:val="23"/>
          <w:szCs w:val="23"/>
        </w:rPr>
        <w:t>N</w:t>
      </w:r>
      <w:r w:rsidR="006E376B" w:rsidRPr="006E376B">
        <w:rPr>
          <w:rFonts w:ascii="Arial" w:hAnsi="Arial" w:cs="Arial"/>
          <w:b/>
          <w:bCs/>
          <w:sz w:val="23"/>
          <w:szCs w:val="23"/>
        </w:rPr>
        <w:t>ation,2023)</w:t>
      </w:r>
      <w:r w:rsidR="006E376B">
        <w:rPr>
          <w:rFonts w:ascii="Arial" w:hAnsi="Arial" w:cs="Arial"/>
          <w:b/>
          <w:bCs/>
          <w:sz w:val="23"/>
          <w:szCs w:val="23"/>
        </w:rPr>
        <w:t xml:space="preserve">. </w:t>
      </w:r>
      <w:r w:rsidR="006E376B">
        <w:rPr>
          <w:rFonts w:ascii="Arial" w:hAnsi="Arial" w:cs="Arial"/>
          <w:sz w:val="23"/>
          <w:szCs w:val="23"/>
        </w:rPr>
        <w:t xml:space="preserve">The goal is rooted in the principle that health is a fundamental human right, not a privilege, and that equitable access to care is essential for sustainable development </w:t>
      </w:r>
      <w:r w:rsidR="006E376B" w:rsidRPr="006E376B">
        <w:rPr>
          <w:rFonts w:ascii="Arial" w:hAnsi="Arial" w:cs="Arial"/>
          <w:b/>
          <w:bCs/>
          <w:sz w:val="23"/>
          <w:szCs w:val="23"/>
        </w:rPr>
        <w:t xml:space="preserve">(WHO,2021). </w:t>
      </w:r>
    </w:p>
    <w:p w14:paraId="1ED33A32" w14:textId="48399EA7" w:rsidR="006E376B" w:rsidRDefault="006E376B" w:rsidP="00325DEC">
      <w:pPr>
        <w:rPr>
          <w:rFonts w:ascii="Arial" w:hAnsi="Arial" w:cs="Arial"/>
          <w:b/>
          <w:bCs/>
          <w:sz w:val="23"/>
          <w:szCs w:val="23"/>
        </w:rPr>
      </w:pPr>
      <w:r>
        <w:rPr>
          <w:rFonts w:ascii="Arial" w:hAnsi="Arial" w:cs="Arial"/>
          <w:sz w:val="23"/>
          <w:szCs w:val="23"/>
        </w:rPr>
        <w:t xml:space="preserve">Using the social determinants of health model, it is understood that the health outcomes are shaped not only by medical </w:t>
      </w:r>
      <w:r w:rsidR="006C7455">
        <w:rPr>
          <w:rFonts w:ascii="Arial" w:hAnsi="Arial" w:cs="Arial"/>
          <w:sz w:val="23"/>
          <w:szCs w:val="23"/>
        </w:rPr>
        <w:t>care,</w:t>
      </w:r>
      <w:r>
        <w:rPr>
          <w:rFonts w:ascii="Arial" w:hAnsi="Arial" w:cs="Arial"/>
          <w:sz w:val="23"/>
          <w:szCs w:val="23"/>
        </w:rPr>
        <w:t xml:space="preserve"> but it is also by the wider factors such as housing, educatio</w:t>
      </w:r>
      <w:r w:rsidR="006C7455">
        <w:rPr>
          <w:rFonts w:ascii="Arial" w:hAnsi="Arial" w:cs="Arial"/>
          <w:sz w:val="23"/>
          <w:szCs w:val="23"/>
        </w:rPr>
        <w:t>n,</w:t>
      </w:r>
      <w:r>
        <w:rPr>
          <w:rFonts w:ascii="Arial" w:hAnsi="Arial" w:cs="Arial"/>
          <w:sz w:val="23"/>
          <w:szCs w:val="23"/>
        </w:rPr>
        <w:t xml:space="preserve"> employ</w:t>
      </w:r>
      <w:r w:rsidR="006C7455">
        <w:rPr>
          <w:rFonts w:ascii="Arial" w:hAnsi="Arial" w:cs="Arial"/>
          <w:sz w:val="23"/>
          <w:szCs w:val="23"/>
        </w:rPr>
        <w:t>ment and environment. This framework helps explain why progress in</w:t>
      </w:r>
      <w:r w:rsidR="00C9619D">
        <w:rPr>
          <w:rFonts w:ascii="Arial" w:hAnsi="Arial" w:cs="Arial"/>
          <w:sz w:val="23"/>
          <w:szCs w:val="23"/>
        </w:rPr>
        <w:t xml:space="preserve"> </w:t>
      </w:r>
      <w:r w:rsidR="006C7455">
        <w:rPr>
          <w:rFonts w:ascii="Arial" w:hAnsi="Arial" w:cs="Arial"/>
          <w:sz w:val="23"/>
          <w:szCs w:val="23"/>
        </w:rPr>
        <w:t xml:space="preserve">SDG 3 varies significantly between and within the countries </w:t>
      </w:r>
      <w:r w:rsidR="006C7455" w:rsidRPr="006C7455">
        <w:rPr>
          <w:rFonts w:ascii="Arial" w:hAnsi="Arial" w:cs="Arial"/>
          <w:b/>
          <w:bCs/>
          <w:sz w:val="23"/>
          <w:szCs w:val="23"/>
        </w:rPr>
        <w:t xml:space="preserve">(Marmot,2021). </w:t>
      </w:r>
    </w:p>
    <w:p w14:paraId="4F250B7F" w14:textId="77777777" w:rsidR="006C7455" w:rsidRDefault="006C7455" w:rsidP="00325DEC">
      <w:pPr>
        <w:rPr>
          <w:rFonts w:ascii="Arial" w:hAnsi="Arial" w:cs="Arial"/>
          <w:b/>
          <w:bCs/>
          <w:sz w:val="23"/>
          <w:szCs w:val="23"/>
        </w:rPr>
      </w:pPr>
      <w:r>
        <w:rPr>
          <w:rFonts w:ascii="Arial" w:hAnsi="Arial" w:cs="Arial"/>
          <w:b/>
          <w:bCs/>
          <w:sz w:val="23"/>
          <w:szCs w:val="23"/>
        </w:rPr>
        <w:t>Critical evaluation: global polices and initiatives:</w:t>
      </w:r>
    </w:p>
    <w:p w14:paraId="28B07CAD" w14:textId="651B2316" w:rsidR="006C7455" w:rsidRPr="008353C2" w:rsidRDefault="006C7455" w:rsidP="00325DEC">
      <w:pPr>
        <w:rPr>
          <w:rFonts w:ascii="Arial" w:hAnsi="Arial" w:cs="Arial"/>
          <w:sz w:val="23"/>
          <w:szCs w:val="23"/>
        </w:rPr>
      </w:pPr>
      <w:r>
        <w:rPr>
          <w:rFonts w:ascii="Arial" w:hAnsi="Arial" w:cs="Arial"/>
          <w:sz w:val="23"/>
          <w:szCs w:val="23"/>
        </w:rPr>
        <w:t xml:space="preserve">At a glob level, the global action plan for the healthy lives and wellbeing </w:t>
      </w:r>
      <w:r w:rsidRPr="00C9619D">
        <w:rPr>
          <w:rFonts w:ascii="Arial" w:hAnsi="Arial" w:cs="Arial"/>
          <w:b/>
          <w:bCs/>
          <w:sz w:val="23"/>
          <w:szCs w:val="23"/>
        </w:rPr>
        <w:t xml:space="preserve">(2019) </w:t>
      </w:r>
      <w:r>
        <w:rPr>
          <w:rFonts w:ascii="Arial" w:hAnsi="Arial" w:cs="Arial"/>
          <w:sz w:val="23"/>
          <w:szCs w:val="23"/>
        </w:rPr>
        <w:t xml:space="preserve">was launched to coordinate efforts across the </w:t>
      </w:r>
      <w:r w:rsidR="00C9619D">
        <w:rPr>
          <w:rFonts w:ascii="Arial" w:hAnsi="Arial" w:cs="Arial"/>
          <w:sz w:val="23"/>
          <w:szCs w:val="23"/>
        </w:rPr>
        <w:t>UN agencies</w:t>
      </w:r>
      <w:r>
        <w:rPr>
          <w:rFonts w:ascii="Arial" w:hAnsi="Arial" w:cs="Arial"/>
          <w:sz w:val="23"/>
          <w:szCs w:val="23"/>
        </w:rPr>
        <w:t xml:space="preserve"> and align </w:t>
      </w:r>
      <w:r w:rsidR="00C9619D">
        <w:rPr>
          <w:rFonts w:ascii="Arial" w:hAnsi="Arial" w:cs="Arial"/>
          <w:sz w:val="23"/>
          <w:szCs w:val="23"/>
        </w:rPr>
        <w:t>resources for SDG 3</w:t>
      </w:r>
      <w:r w:rsidR="00CA58B2">
        <w:rPr>
          <w:rFonts w:ascii="Arial" w:hAnsi="Arial" w:cs="Arial"/>
          <w:sz w:val="23"/>
          <w:szCs w:val="23"/>
        </w:rPr>
        <w:t xml:space="preserve"> targets. And, a core component is the drive for Universal health coverage (UHC), which aims to ensure all the people have access to essential health services without financial hardship </w:t>
      </w:r>
      <w:r w:rsidR="00CA58B2" w:rsidRPr="00CA58B2">
        <w:rPr>
          <w:rFonts w:ascii="Arial" w:hAnsi="Arial" w:cs="Arial"/>
          <w:b/>
          <w:bCs/>
          <w:sz w:val="23"/>
          <w:szCs w:val="23"/>
        </w:rPr>
        <w:t>(WHO,2024).</w:t>
      </w:r>
      <w:r w:rsidR="00CA58B2">
        <w:rPr>
          <w:rFonts w:ascii="Arial" w:hAnsi="Arial" w:cs="Arial"/>
          <w:b/>
          <w:bCs/>
          <w:sz w:val="23"/>
          <w:szCs w:val="23"/>
        </w:rPr>
        <w:t xml:space="preserve"> </w:t>
      </w:r>
      <w:r w:rsidR="008353C2">
        <w:rPr>
          <w:rFonts w:ascii="Arial" w:hAnsi="Arial" w:cs="Arial"/>
          <w:b/>
          <w:bCs/>
          <w:sz w:val="23"/>
          <w:szCs w:val="23"/>
        </w:rPr>
        <w:t xml:space="preserve"> </w:t>
      </w:r>
      <w:r w:rsidR="006C78E4">
        <w:rPr>
          <w:rFonts w:ascii="Arial" w:hAnsi="Arial" w:cs="Arial"/>
          <w:sz w:val="23"/>
          <w:szCs w:val="23"/>
        </w:rPr>
        <w:t xml:space="preserve">Alongside the global policy the WHO mental health gap action </w:t>
      </w:r>
      <w:r w:rsidR="006C78E4">
        <w:rPr>
          <w:rFonts w:ascii="Arial" w:hAnsi="Arial" w:cs="Arial"/>
          <w:sz w:val="23"/>
          <w:szCs w:val="23"/>
        </w:rPr>
        <w:lastRenderedPageBreak/>
        <w:t xml:space="preserve">programme (mhGAP) which is a key global initiative delivering training and community mental health support in the low resources regions </w:t>
      </w:r>
      <w:r w:rsidR="006C78E4" w:rsidRPr="006C78E4">
        <w:rPr>
          <w:rFonts w:ascii="Arial" w:hAnsi="Arial" w:cs="Arial"/>
          <w:b/>
          <w:bCs/>
          <w:sz w:val="23"/>
          <w:szCs w:val="23"/>
        </w:rPr>
        <w:t>(World health organization, 2023).</w:t>
      </w:r>
      <w:r w:rsidR="006C78E4">
        <w:rPr>
          <w:rFonts w:ascii="Arial" w:hAnsi="Arial" w:cs="Arial"/>
          <w:sz w:val="23"/>
          <w:szCs w:val="23"/>
        </w:rPr>
        <w:t xml:space="preserve"> </w:t>
      </w:r>
    </w:p>
    <w:p w14:paraId="0DF36F7A" w14:textId="1545BA27" w:rsidR="00143DDB" w:rsidRDefault="00143DDB" w:rsidP="00325DEC">
      <w:pPr>
        <w:rPr>
          <w:rFonts w:ascii="Arial" w:hAnsi="Arial" w:cs="Arial"/>
          <w:b/>
          <w:bCs/>
          <w:sz w:val="23"/>
          <w:szCs w:val="23"/>
        </w:rPr>
      </w:pPr>
      <w:r>
        <w:rPr>
          <w:rFonts w:ascii="Arial" w:hAnsi="Arial" w:cs="Arial"/>
          <w:sz w:val="23"/>
          <w:szCs w:val="23"/>
        </w:rPr>
        <w:t xml:space="preserve">While these commitments are ambitious, independent evaluations highlight the significant limitations. As of the 2024, only around 30% of the global population has full access to the essential health </w:t>
      </w:r>
      <w:r w:rsidR="00DF09F9">
        <w:rPr>
          <w:rFonts w:ascii="Arial" w:hAnsi="Arial" w:cs="Arial"/>
          <w:sz w:val="23"/>
          <w:szCs w:val="23"/>
        </w:rPr>
        <w:t>services and</w:t>
      </w:r>
      <w:r>
        <w:rPr>
          <w:rFonts w:ascii="Arial" w:hAnsi="Arial" w:cs="Arial"/>
          <w:sz w:val="23"/>
          <w:szCs w:val="23"/>
        </w:rPr>
        <w:t xml:space="preserve"> has over 400 million people face the catas</w:t>
      </w:r>
      <w:r w:rsidR="00DF09F9">
        <w:rPr>
          <w:rFonts w:ascii="Arial" w:hAnsi="Arial" w:cs="Arial"/>
          <w:sz w:val="23"/>
          <w:szCs w:val="23"/>
        </w:rPr>
        <w:t xml:space="preserve">trophic health spending annually </w:t>
      </w:r>
      <w:r w:rsidR="00DF09F9" w:rsidRPr="00DF09F9">
        <w:rPr>
          <w:rFonts w:ascii="Arial" w:hAnsi="Arial" w:cs="Arial"/>
          <w:b/>
          <w:bCs/>
          <w:sz w:val="23"/>
          <w:szCs w:val="23"/>
        </w:rPr>
        <w:t>(world bank,2024).</w:t>
      </w:r>
      <w:r w:rsidR="00DF09F9">
        <w:rPr>
          <w:rFonts w:ascii="Arial" w:hAnsi="Arial" w:cs="Arial"/>
          <w:sz w:val="23"/>
          <w:szCs w:val="23"/>
        </w:rPr>
        <w:t xml:space="preserve"> </w:t>
      </w:r>
      <w:r w:rsidR="00DF09F9" w:rsidRPr="00B7797F">
        <w:rPr>
          <w:rFonts w:ascii="Arial" w:hAnsi="Arial" w:cs="Arial"/>
          <w:b/>
          <w:bCs/>
          <w:i/>
          <w:iCs/>
          <w:sz w:val="23"/>
          <w:szCs w:val="23"/>
        </w:rPr>
        <w:t>The WHO (2024)</w:t>
      </w:r>
      <w:r w:rsidR="00DF09F9">
        <w:rPr>
          <w:rFonts w:ascii="Arial" w:hAnsi="Arial" w:cs="Arial"/>
          <w:sz w:val="23"/>
          <w:szCs w:val="23"/>
        </w:rPr>
        <w:t xml:space="preserve"> notes that progress is uneven, low- and middle-income countries face a shortage of approximately 10 million health workers, and the funding for primary healthcare remains insufficient. Furthermore, mental health is a key component of SDG 3 that remains chronically underfunded, while receiving less than 2% of the global health </w:t>
      </w:r>
      <w:r w:rsidR="00D33DD6">
        <w:rPr>
          <w:rFonts w:ascii="Arial" w:hAnsi="Arial" w:cs="Arial"/>
          <w:sz w:val="23"/>
          <w:szCs w:val="23"/>
        </w:rPr>
        <w:t>budgets</w:t>
      </w:r>
      <w:r w:rsidR="00DF09F9">
        <w:rPr>
          <w:rFonts w:ascii="Arial" w:hAnsi="Arial" w:cs="Arial"/>
          <w:sz w:val="23"/>
          <w:szCs w:val="23"/>
        </w:rPr>
        <w:t xml:space="preserve"> despite accounting for 14% of the </w:t>
      </w:r>
      <w:r w:rsidR="00D33DD6">
        <w:rPr>
          <w:rFonts w:ascii="Arial" w:hAnsi="Arial" w:cs="Arial"/>
          <w:sz w:val="23"/>
          <w:szCs w:val="23"/>
        </w:rPr>
        <w:t>global</w:t>
      </w:r>
      <w:r w:rsidR="00DF09F9">
        <w:rPr>
          <w:rFonts w:ascii="Arial" w:hAnsi="Arial" w:cs="Arial"/>
          <w:sz w:val="23"/>
          <w:szCs w:val="23"/>
        </w:rPr>
        <w:t xml:space="preserve"> burden of the disease </w:t>
      </w:r>
      <w:r w:rsidR="00D33DD6" w:rsidRPr="00D33DD6">
        <w:rPr>
          <w:rFonts w:ascii="Arial" w:hAnsi="Arial" w:cs="Arial"/>
          <w:b/>
          <w:bCs/>
          <w:sz w:val="23"/>
          <w:szCs w:val="23"/>
        </w:rPr>
        <w:t xml:space="preserve">(world health organization, 2022). </w:t>
      </w:r>
    </w:p>
    <w:p w14:paraId="60D027B7" w14:textId="776FC7D7" w:rsidR="00D33DD6" w:rsidRDefault="00D33DD6" w:rsidP="00325DEC">
      <w:pPr>
        <w:rPr>
          <w:rFonts w:ascii="Arial" w:hAnsi="Arial" w:cs="Arial"/>
          <w:b/>
          <w:bCs/>
          <w:sz w:val="23"/>
          <w:szCs w:val="23"/>
        </w:rPr>
      </w:pPr>
      <w:r>
        <w:rPr>
          <w:rFonts w:ascii="Arial" w:hAnsi="Arial" w:cs="Arial"/>
          <w:sz w:val="23"/>
          <w:szCs w:val="23"/>
        </w:rPr>
        <w:t xml:space="preserve">The health belief model helps to explain why global policy commitments do not always translate into action, even when the services exist, the individuals may not access them due to perceived stigma, lack of awareness and financial barriers. This also demonstrates that the policy alone is not enough, the interventions must address both system level and individual level factors </w:t>
      </w:r>
      <w:r w:rsidRPr="00D33DD6">
        <w:rPr>
          <w:rFonts w:ascii="Arial" w:hAnsi="Arial" w:cs="Arial"/>
          <w:b/>
          <w:bCs/>
          <w:sz w:val="23"/>
          <w:szCs w:val="23"/>
        </w:rPr>
        <w:t xml:space="preserve">(Jones et al,2021). </w:t>
      </w:r>
    </w:p>
    <w:p w14:paraId="75E346AF" w14:textId="02373ED7" w:rsidR="00D33DD6" w:rsidRDefault="000C02A1" w:rsidP="00325DEC">
      <w:pPr>
        <w:rPr>
          <w:rFonts w:ascii="Arial" w:hAnsi="Arial" w:cs="Arial"/>
          <w:b/>
          <w:bCs/>
          <w:sz w:val="23"/>
          <w:szCs w:val="23"/>
        </w:rPr>
      </w:pPr>
      <w:r>
        <w:rPr>
          <w:rFonts w:ascii="Arial" w:hAnsi="Arial" w:cs="Arial"/>
          <w:b/>
          <w:bCs/>
          <w:sz w:val="23"/>
          <w:szCs w:val="23"/>
        </w:rPr>
        <w:t>Critical evaluation: national and local examples:</w:t>
      </w:r>
    </w:p>
    <w:p w14:paraId="4522B66A" w14:textId="61E44E8D" w:rsidR="000C02A1" w:rsidRDefault="000C02A1" w:rsidP="00325DEC">
      <w:pPr>
        <w:rPr>
          <w:rFonts w:ascii="Arial" w:hAnsi="Arial" w:cs="Arial"/>
          <w:b/>
          <w:bCs/>
          <w:sz w:val="23"/>
          <w:szCs w:val="23"/>
        </w:rPr>
      </w:pPr>
      <w:r>
        <w:rPr>
          <w:rFonts w:ascii="Arial" w:hAnsi="Arial" w:cs="Arial"/>
          <w:b/>
          <w:bCs/>
          <w:sz w:val="23"/>
          <w:szCs w:val="23"/>
        </w:rPr>
        <w:t>National (UK)</w:t>
      </w:r>
    </w:p>
    <w:p w14:paraId="740AC51E" w14:textId="7E68CB94" w:rsidR="007977CD" w:rsidRDefault="000C02A1" w:rsidP="007977CD">
      <w:pPr>
        <w:pStyle w:val="NoSpacing"/>
        <w:rPr>
          <w:rFonts w:ascii="Arial" w:hAnsi="Arial" w:cs="Arial"/>
          <w:sz w:val="23"/>
          <w:szCs w:val="23"/>
        </w:rPr>
      </w:pPr>
      <w:r w:rsidRPr="007977CD">
        <w:rPr>
          <w:rFonts w:ascii="Arial" w:hAnsi="Arial" w:cs="Arial"/>
          <w:sz w:val="23"/>
          <w:szCs w:val="23"/>
        </w:rPr>
        <w:t xml:space="preserve">In the UK, the </w:t>
      </w:r>
      <w:r w:rsidR="007977CD">
        <w:rPr>
          <w:rFonts w:ascii="Arial" w:hAnsi="Arial" w:cs="Arial"/>
          <w:sz w:val="23"/>
          <w:szCs w:val="23"/>
        </w:rPr>
        <w:t>NHS</w:t>
      </w:r>
      <w:r w:rsidRPr="007977CD">
        <w:rPr>
          <w:rFonts w:ascii="Arial" w:hAnsi="Arial" w:cs="Arial"/>
          <w:sz w:val="23"/>
          <w:szCs w:val="23"/>
        </w:rPr>
        <w:t xml:space="preserve"> long term plan (2019) aligns directly </w:t>
      </w:r>
      <w:r w:rsidR="001E5566" w:rsidRPr="007977CD">
        <w:rPr>
          <w:rFonts w:ascii="Arial" w:hAnsi="Arial" w:cs="Arial"/>
          <w:sz w:val="23"/>
          <w:szCs w:val="23"/>
        </w:rPr>
        <w:t xml:space="preserve">with SDG 3, setting out priorities including improved mental health care, prevention of NCDs and reducing </w:t>
      </w:r>
      <w:r w:rsidR="007977CD" w:rsidRPr="007977CD">
        <w:rPr>
          <w:rFonts w:ascii="Arial" w:hAnsi="Arial" w:cs="Arial"/>
          <w:sz w:val="23"/>
          <w:szCs w:val="23"/>
        </w:rPr>
        <w:t>health inequalities</w:t>
      </w:r>
      <w:r w:rsidR="006C78E4">
        <w:rPr>
          <w:rFonts w:ascii="Arial" w:hAnsi="Arial" w:cs="Arial"/>
          <w:sz w:val="23"/>
          <w:szCs w:val="23"/>
        </w:rPr>
        <w:t>. A supporting national initiative is the NHS mental health support teams in the schools and providing free early mental health support in primary and secondary schools across the England (NHS England,2023).</w:t>
      </w:r>
      <w:r w:rsidR="007977CD" w:rsidRPr="007977CD">
        <w:rPr>
          <w:rFonts w:ascii="Arial" w:hAnsi="Arial" w:cs="Arial"/>
          <w:sz w:val="23"/>
          <w:szCs w:val="23"/>
        </w:rPr>
        <w:t xml:space="preserve"> The mental health act 2007 and the no health without mental health strategy further commit to parity between mental and physical health services. However, critical analysis reveals significant challenges, </w:t>
      </w:r>
      <w:r w:rsidR="007977CD" w:rsidRPr="00B7797F">
        <w:rPr>
          <w:rFonts w:ascii="Arial" w:hAnsi="Arial" w:cs="Arial"/>
          <w:b/>
          <w:bCs/>
          <w:i/>
          <w:iCs/>
          <w:sz w:val="23"/>
          <w:szCs w:val="23"/>
        </w:rPr>
        <w:t>the health foundation (2024)</w:t>
      </w:r>
      <w:r w:rsidR="007977CD" w:rsidRPr="007977CD">
        <w:rPr>
          <w:rFonts w:ascii="Arial" w:hAnsi="Arial" w:cs="Arial"/>
          <w:sz w:val="23"/>
          <w:szCs w:val="23"/>
        </w:rPr>
        <w:t xml:space="preserve"> reports that years of underfunding and workforce shortages have led to long waiting lists, particularly for mental health support. There is also a persistent “inverse care la</w:t>
      </w:r>
      <w:r w:rsidR="007977CD">
        <w:rPr>
          <w:rFonts w:ascii="Arial" w:hAnsi="Arial" w:cs="Arial"/>
          <w:sz w:val="23"/>
          <w:szCs w:val="23"/>
        </w:rPr>
        <w:t xml:space="preserve">w”, where those in greatest need often have the least access to high-quality services </w:t>
      </w:r>
      <w:r w:rsidR="007977CD" w:rsidRPr="007977CD">
        <w:rPr>
          <w:rFonts w:ascii="Arial" w:hAnsi="Arial" w:cs="Arial"/>
          <w:b/>
          <w:bCs/>
          <w:sz w:val="23"/>
          <w:szCs w:val="23"/>
        </w:rPr>
        <w:t>(Tudor Hart, 2021).</w:t>
      </w:r>
      <w:r w:rsidR="007977CD">
        <w:rPr>
          <w:rFonts w:ascii="Arial" w:hAnsi="Arial" w:cs="Arial"/>
          <w:sz w:val="23"/>
          <w:szCs w:val="23"/>
        </w:rPr>
        <w:t xml:space="preserve"> </w:t>
      </w:r>
    </w:p>
    <w:p w14:paraId="75CC467F" w14:textId="77777777" w:rsidR="007977CD" w:rsidRDefault="007977CD" w:rsidP="007977CD">
      <w:pPr>
        <w:pStyle w:val="NoSpacing"/>
        <w:rPr>
          <w:rFonts w:ascii="Arial" w:hAnsi="Arial" w:cs="Arial"/>
          <w:sz w:val="23"/>
          <w:szCs w:val="23"/>
        </w:rPr>
      </w:pPr>
    </w:p>
    <w:p w14:paraId="3EAFF156" w14:textId="76707ED7" w:rsidR="007977CD" w:rsidRDefault="007977CD" w:rsidP="007977CD">
      <w:pPr>
        <w:pStyle w:val="NoSpacing"/>
        <w:rPr>
          <w:rFonts w:ascii="Arial" w:hAnsi="Arial" w:cs="Arial"/>
          <w:b/>
          <w:bCs/>
          <w:i/>
          <w:iCs/>
          <w:sz w:val="23"/>
          <w:szCs w:val="23"/>
        </w:rPr>
      </w:pPr>
      <w:r w:rsidRPr="007977CD">
        <w:rPr>
          <w:rFonts w:ascii="Arial" w:hAnsi="Arial" w:cs="Arial"/>
          <w:b/>
          <w:bCs/>
          <w:i/>
          <w:iCs/>
          <w:sz w:val="23"/>
          <w:szCs w:val="23"/>
        </w:rPr>
        <w:t>Local (Birmingham):</w:t>
      </w:r>
    </w:p>
    <w:p w14:paraId="3C82A1CA" w14:textId="77777777" w:rsidR="007977CD" w:rsidRDefault="007977CD" w:rsidP="007977CD">
      <w:pPr>
        <w:pStyle w:val="NoSpacing"/>
        <w:rPr>
          <w:rFonts w:ascii="Arial" w:hAnsi="Arial" w:cs="Arial"/>
          <w:b/>
          <w:bCs/>
          <w:i/>
          <w:iCs/>
          <w:sz w:val="23"/>
          <w:szCs w:val="23"/>
        </w:rPr>
      </w:pPr>
    </w:p>
    <w:p w14:paraId="74D510B6" w14:textId="61926954" w:rsidR="007977CD" w:rsidRDefault="007977CD" w:rsidP="007977CD">
      <w:pPr>
        <w:pStyle w:val="NoSpacing"/>
        <w:rPr>
          <w:rFonts w:ascii="Arial" w:hAnsi="Arial" w:cs="Arial"/>
          <w:sz w:val="23"/>
          <w:szCs w:val="23"/>
        </w:rPr>
      </w:pPr>
      <w:r>
        <w:rPr>
          <w:rFonts w:ascii="Arial" w:hAnsi="Arial" w:cs="Arial"/>
          <w:sz w:val="23"/>
          <w:szCs w:val="23"/>
        </w:rPr>
        <w:t>Birmingham, as the Uks second largest city has a clear communication to the SDG 3 through its health and wellbeing strategy 2022-2030. The key initiatives include the best start for life</w:t>
      </w:r>
      <w:r w:rsidR="009663EA">
        <w:rPr>
          <w:rFonts w:ascii="Arial" w:hAnsi="Arial" w:cs="Arial"/>
          <w:sz w:val="23"/>
          <w:szCs w:val="23"/>
        </w:rPr>
        <w:t xml:space="preserve"> which leads to support parents and infants, and the Birmingham mental health transformation programme which aims to reduce the stigma and improve access to the care in diverse communities </w:t>
      </w:r>
      <w:r w:rsidR="009663EA" w:rsidRPr="0023231E">
        <w:rPr>
          <w:rFonts w:ascii="Arial" w:hAnsi="Arial" w:cs="Arial"/>
          <w:sz w:val="23"/>
          <w:szCs w:val="23"/>
        </w:rPr>
        <w:t>(Birmingham City Council, 2024).</w:t>
      </w:r>
      <w:r w:rsidR="009663EA">
        <w:rPr>
          <w:rFonts w:ascii="Arial" w:hAnsi="Arial" w:cs="Arial"/>
          <w:sz w:val="23"/>
          <w:szCs w:val="23"/>
        </w:rPr>
        <w:t xml:space="preserve"> </w:t>
      </w:r>
      <w:r w:rsidR="006C78E4">
        <w:rPr>
          <w:rFonts w:ascii="Arial" w:hAnsi="Arial" w:cs="Arial"/>
          <w:sz w:val="23"/>
          <w:szCs w:val="23"/>
        </w:rPr>
        <w:t xml:space="preserve">Birmingham’s health and wellbeing strategy 2022-2030 Is the policy framework which is delivered through the core initiatives and the best start </w:t>
      </w:r>
      <w:r w:rsidR="0023231E">
        <w:rPr>
          <w:rFonts w:ascii="Arial" w:hAnsi="Arial" w:cs="Arial"/>
          <w:sz w:val="23"/>
          <w:szCs w:val="23"/>
        </w:rPr>
        <w:t>for life for parent/ infant support and the Birmingham mental health transformation programme (community outreach to reduce stigma) (Birmingham city council, 2024).</w:t>
      </w:r>
    </w:p>
    <w:p w14:paraId="23B4A201" w14:textId="77777777" w:rsidR="009663EA" w:rsidRDefault="009663EA" w:rsidP="007977CD">
      <w:pPr>
        <w:pStyle w:val="NoSpacing"/>
        <w:rPr>
          <w:rFonts w:ascii="Arial" w:hAnsi="Arial" w:cs="Arial"/>
          <w:sz w:val="23"/>
          <w:szCs w:val="23"/>
        </w:rPr>
      </w:pPr>
    </w:p>
    <w:p w14:paraId="1C77AE61" w14:textId="5F0413FF" w:rsidR="009663EA" w:rsidRDefault="009663EA" w:rsidP="007977CD">
      <w:pPr>
        <w:pStyle w:val="NoSpacing"/>
        <w:rPr>
          <w:rFonts w:ascii="Arial" w:hAnsi="Arial" w:cs="Arial"/>
          <w:sz w:val="23"/>
          <w:szCs w:val="23"/>
        </w:rPr>
      </w:pPr>
      <w:r>
        <w:rPr>
          <w:rFonts w:ascii="Arial" w:hAnsi="Arial" w:cs="Arial"/>
          <w:sz w:val="23"/>
          <w:szCs w:val="23"/>
        </w:rPr>
        <w:t xml:space="preserve">However, evaluation of the local date highlights stark inequalities, which is life expectancy in the most deprived areas of Birmingham is up to 10 </w:t>
      </w:r>
    </w:p>
    <w:p w14:paraId="0B0ED100" w14:textId="55005546" w:rsidR="009663EA" w:rsidRDefault="009663EA" w:rsidP="007977CD">
      <w:pPr>
        <w:pStyle w:val="NoSpacing"/>
        <w:rPr>
          <w:rFonts w:ascii="Arial" w:hAnsi="Arial" w:cs="Arial"/>
          <w:sz w:val="23"/>
          <w:szCs w:val="23"/>
        </w:rPr>
      </w:pPr>
      <w:r>
        <w:rPr>
          <w:rFonts w:ascii="Arial" w:hAnsi="Arial" w:cs="Arial"/>
          <w:sz w:val="23"/>
          <w:szCs w:val="23"/>
        </w:rPr>
        <w:t xml:space="preserve">Years lower than in the most affluent areas, and the rates of childhood obesity and mental illness are significantly higher in low-income neighbourhoods </w:t>
      </w:r>
      <w:r w:rsidRPr="0023231E">
        <w:rPr>
          <w:rFonts w:ascii="Arial" w:hAnsi="Arial" w:cs="Arial"/>
          <w:sz w:val="23"/>
          <w:szCs w:val="23"/>
        </w:rPr>
        <w:t xml:space="preserve">(Public Health </w:t>
      </w:r>
      <w:r w:rsidRPr="0023231E">
        <w:rPr>
          <w:rFonts w:ascii="Arial" w:hAnsi="Arial" w:cs="Arial"/>
          <w:sz w:val="23"/>
          <w:szCs w:val="23"/>
        </w:rPr>
        <w:lastRenderedPageBreak/>
        <w:t>England, 2023).</w:t>
      </w:r>
      <w:r>
        <w:rPr>
          <w:rFonts w:ascii="Arial" w:hAnsi="Arial" w:cs="Arial"/>
          <w:b/>
          <w:bCs/>
          <w:i/>
          <w:iCs/>
          <w:sz w:val="23"/>
          <w:szCs w:val="23"/>
        </w:rPr>
        <w:t xml:space="preserve"> </w:t>
      </w:r>
      <w:r>
        <w:rPr>
          <w:rFonts w:ascii="Arial" w:hAnsi="Arial" w:cs="Arial"/>
          <w:sz w:val="23"/>
          <w:szCs w:val="23"/>
        </w:rPr>
        <w:t xml:space="preserve">This confirms that while initiatives exist, they are not yet sufficient to address the root causes of poor health. </w:t>
      </w:r>
    </w:p>
    <w:p w14:paraId="524E4BEA" w14:textId="77777777" w:rsidR="009663EA" w:rsidRDefault="009663EA" w:rsidP="007977CD">
      <w:pPr>
        <w:pStyle w:val="NoSpacing"/>
        <w:rPr>
          <w:rFonts w:ascii="Arial" w:hAnsi="Arial" w:cs="Arial"/>
          <w:sz w:val="23"/>
          <w:szCs w:val="23"/>
        </w:rPr>
      </w:pPr>
    </w:p>
    <w:p w14:paraId="7E25AD97" w14:textId="54DD3A06" w:rsidR="009663EA" w:rsidRDefault="00745B4F" w:rsidP="007977CD">
      <w:pPr>
        <w:pStyle w:val="NoSpacing"/>
        <w:rPr>
          <w:rFonts w:ascii="Arial" w:hAnsi="Arial" w:cs="Arial"/>
          <w:b/>
          <w:bCs/>
          <w:i/>
          <w:iCs/>
          <w:sz w:val="23"/>
          <w:szCs w:val="23"/>
        </w:rPr>
      </w:pPr>
      <w:r w:rsidRPr="00745B4F">
        <w:rPr>
          <w:rFonts w:ascii="Arial" w:hAnsi="Arial" w:cs="Arial"/>
          <w:b/>
          <w:bCs/>
          <w:i/>
          <w:iCs/>
          <w:sz w:val="23"/>
          <w:szCs w:val="23"/>
        </w:rPr>
        <w:t>Recommendations for SDG 3:</w:t>
      </w:r>
    </w:p>
    <w:p w14:paraId="32CA9AB6" w14:textId="77777777" w:rsidR="00745B4F" w:rsidRDefault="00745B4F" w:rsidP="007977CD">
      <w:pPr>
        <w:pStyle w:val="NoSpacing"/>
        <w:rPr>
          <w:rFonts w:ascii="Arial" w:hAnsi="Arial" w:cs="Arial"/>
          <w:b/>
          <w:bCs/>
          <w:i/>
          <w:iCs/>
          <w:sz w:val="23"/>
          <w:szCs w:val="23"/>
        </w:rPr>
      </w:pPr>
    </w:p>
    <w:p w14:paraId="496995EC" w14:textId="135F6F2B" w:rsidR="00745B4F" w:rsidRDefault="00745B4F" w:rsidP="007977CD">
      <w:pPr>
        <w:pStyle w:val="NoSpacing"/>
        <w:numPr>
          <w:ilvl w:val="0"/>
          <w:numId w:val="1"/>
        </w:numPr>
        <w:rPr>
          <w:rFonts w:ascii="Arial" w:hAnsi="Arial" w:cs="Arial"/>
          <w:sz w:val="23"/>
          <w:szCs w:val="23"/>
        </w:rPr>
      </w:pPr>
      <w:r>
        <w:rPr>
          <w:rFonts w:ascii="Arial" w:hAnsi="Arial" w:cs="Arial"/>
          <w:sz w:val="23"/>
          <w:szCs w:val="23"/>
        </w:rPr>
        <w:t xml:space="preserve">Increase health literacy: Use frameworks such as the health belief model to design the public education campaigns that reduce the stigma and encourage help seeking behaviour. </w:t>
      </w:r>
    </w:p>
    <w:p w14:paraId="45445EAB" w14:textId="5ED68218" w:rsidR="00745B4F" w:rsidRDefault="00745B4F" w:rsidP="007977CD">
      <w:pPr>
        <w:pStyle w:val="NoSpacing"/>
        <w:numPr>
          <w:ilvl w:val="0"/>
          <w:numId w:val="1"/>
        </w:numPr>
        <w:rPr>
          <w:rFonts w:ascii="Arial" w:hAnsi="Arial" w:cs="Arial"/>
          <w:sz w:val="23"/>
          <w:szCs w:val="23"/>
        </w:rPr>
      </w:pPr>
      <w:r>
        <w:rPr>
          <w:rFonts w:ascii="Arial" w:hAnsi="Arial" w:cs="Arial"/>
          <w:sz w:val="23"/>
          <w:szCs w:val="23"/>
        </w:rPr>
        <w:t xml:space="preserve">Improve meatal health funding: Allocate resources to achieve parity to esteem between mental and physical health, including the community based early intervention services. </w:t>
      </w:r>
    </w:p>
    <w:p w14:paraId="1989DE31" w14:textId="629DBEC5" w:rsidR="00745B4F" w:rsidRDefault="00745B4F" w:rsidP="00745B4F">
      <w:pPr>
        <w:pStyle w:val="NoSpacing"/>
        <w:numPr>
          <w:ilvl w:val="0"/>
          <w:numId w:val="1"/>
        </w:numPr>
        <w:rPr>
          <w:rFonts w:ascii="Arial" w:hAnsi="Arial" w:cs="Arial"/>
          <w:sz w:val="23"/>
          <w:szCs w:val="23"/>
        </w:rPr>
      </w:pPr>
      <w:r>
        <w:rPr>
          <w:rFonts w:ascii="Arial" w:hAnsi="Arial" w:cs="Arial"/>
          <w:sz w:val="23"/>
          <w:szCs w:val="23"/>
        </w:rPr>
        <w:t>Shift investment towards prevention: Align funding with the social determinants of the health model by investing in housing, education, and employment alongside the healthcare services.</w:t>
      </w:r>
    </w:p>
    <w:p w14:paraId="695C1135" w14:textId="77777777" w:rsidR="00745B4F" w:rsidRDefault="00745B4F" w:rsidP="00745B4F">
      <w:pPr>
        <w:pStyle w:val="NoSpacing"/>
        <w:ind w:left="360"/>
        <w:rPr>
          <w:rFonts w:ascii="Arial" w:hAnsi="Arial" w:cs="Arial"/>
          <w:sz w:val="23"/>
          <w:szCs w:val="23"/>
        </w:rPr>
      </w:pPr>
    </w:p>
    <w:p w14:paraId="6E2E01FC" w14:textId="21452AA1" w:rsidR="00745B4F" w:rsidRDefault="00745B4F" w:rsidP="00745B4F">
      <w:pPr>
        <w:pStyle w:val="NoSpacing"/>
        <w:ind w:left="360"/>
        <w:rPr>
          <w:rFonts w:ascii="Arial" w:hAnsi="Arial" w:cs="Arial"/>
          <w:b/>
          <w:bCs/>
          <w:i/>
          <w:iCs/>
          <w:sz w:val="23"/>
          <w:szCs w:val="23"/>
        </w:rPr>
      </w:pPr>
      <w:r>
        <w:rPr>
          <w:rFonts w:ascii="Arial" w:hAnsi="Arial" w:cs="Arial"/>
          <w:b/>
          <w:bCs/>
          <w:i/>
          <w:iCs/>
          <w:sz w:val="23"/>
          <w:szCs w:val="23"/>
        </w:rPr>
        <w:t>Section 2: SDG 11-sustainale cities and communities</w:t>
      </w:r>
    </w:p>
    <w:p w14:paraId="7750B293" w14:textId="77777777" w:rsidR="00745B4F" w:rsidRDefault="00745B4F" w:rsidP="00745B4F">
      <w:pPr>
        <w:pStyle w:val="NoSpacing"/>
        <w:ind w:left="360"/>
        <w:rPr>
          <w:rFonts w:ascii="Arial" w:hAnsi="Arial" w:cs="Arial"/>
          <w:b/>
          <w:bCs/>
          <w:i/>
          <w:iCs/>
          <w:sz w:val="23"/>
          <w:szCs w:val="23"/>
        </w:rPr>
      </w:pPr>
    </w:p>
    <w:p w14:paraId="3B064989" w14:textId="43E89B63" w:rsidR="00745B4F" w:rsidRDefault="00745B4F" w:rsidP="00745B4F">
      <w:pPr>
        <w:pStyle w:val="NoSpacing"/>
        <w:ind w:left="360"/>
        <w:rPr>
          <w:rFonts w:ascii="Arial" w:hAnsi="Arial" w:cs="Arial"/>
          <w:b/>
          <w:bCs/>
          <w:i/>
          <w:iCs/>
          <w:sz w:val="23"/>
          <w:szCs w:val="23"/>
        </w:rPr>
      </w:pPr>
      <w:r>
        <w:rPr>
          <w:rFonts w:ascii="Arial" w:hAnsi="Arial" w:cs="Arial"/>
          <w:b/>
          <w:bCs/>
          <w:i/>
          <w:iCs/>
          <w:sz w:val="23"/>
          <w:szCs w:val="23"/>
        </w:rPr>
        <w:t xml:space="preserve">Overview of SDG 11: </w:t>
      </w:r>
    </w:p>
    <w:p w14:paraId="4310E1D1" w14:textId="61A4BB41" w:rsidR="00745B4F" w:rsidRDefault="00745B4F" w:rsidP="00745B4F">
      <w:pPr>
        <w:pStyle w:val="NoSpacing"/>
        <w:rPr>
          <w:rFonts w:ascii="Arial" w:hAnsi="Arial" w:cs="Arial"/>
          <w:sz w:val="23"/>
          <w:szCs w:val="23"/>
        </w:rPr>
      </w:pPr>
    </w:p>
    <w:p w14:paraId="1D4A9D79" w14:textId="5DFA32B3" w:rsidR="00745B4F" w:rsidRDefault="00745B4F" w:rsidP="00745B4F">
      <w:pPr>
        <w:pStyle w:val="NoSpacing"/>
        <w:rPr>
          <w:rFonts w:ascii="Arial" w:hAnsi="Arial" w:cs="Arial"/>
          <w:b/>
          <w:bCs/>
          <w:i/>
          <w:iCs/>
          <w:sz w:val="23"/>
          <w:szCs w:val="23"/>
        </w:rPr>
      </w:pPr>
      <w:r>
        <w:rPr>
          <w:rFonts w:ascii="Arial" w:hAnsi="Arial" w:cs="Arial"/>
          <w:sz w:val="23"/>
          <w:szCs w:val="23"/>
        </w:rPr>
        <w:t>SDG 11 aims to make cities and human settlements inclusive, safe, resilient and susta</w:t>
      </w:r>
      <w:r w:rsidR="00EA606C">
        <w:rPr>
          <w:rFonts w:ascii="Arial" w:hAnsi="Arial" w:cs="Arial"/>
          <w:sz w:val="23"/>
          <w:szCs w:val="23"/>
        </w:rPr>
        <w:t xml:space="preserve">inable. It targets include providing access to the safe and affordable housing, sustainable transport and green public spaces and reducing the environmental impact of cities </w:t>
      </w:r>
      <w:r w:rsidR="00EA606C" w:rsidRPr="00EA606C">
        <w:rPr>
          <w:rFonts w:ascii="Arial" w:hAnsi="Arial" w:cs="Arial"/>
          <w:b/>
          <w:bCs/>
          <w:i/>
          <w:iCs/>
          <w:sz w:val="23"/>
          <w:szCs w:val="23"/>
        </w:rPr>
        <w:t>(United Nations, 2023).</w:t>
      </w:r>
      <w:r w:rsidR="00EA606C">
        <w:rPr>
          <w:rFonts w:ascii="Arial" w:hAnsi="Arial" w:cs="Arial"/>
          <w:b/>
          <w:bCs/>
          <w:i/>
          <w:iCs/>
          <w:sz w:val="23"/>
          <w:szCs w:val="23"/>
        </w:rPr>
        <w:t xml:space="preserve"> </w:t>
      </w:r>
      <w:r w:rsidR="00EA606C">
        <w:rPr>
          <w:rFonts w:ascii="Arial" w:hAnsi="Arial" w:cs="Arial"/>
          <w:sz w:val="23"/>
          <w:szCs w:val="23"/>
        </w:rPr>
        <w:t xml:space="preserve">This goal is highly relevant to the health studies because over 55% of the global population now lives in the urban areas, and </w:t>
      </w:r>
      <w:r w:rsidR="00B7797F">
        <w:rPr>
          <w:rFonts w:ascii="Arial" w:hAnsi="Arial" w:cs="Arial"/>
          <w:sz w:val="23"/>
          <w:szCs w:val="23"/>
        </w:rPr>
        <w:t>its</w:t>
      </w:r>
      <w:r w:rsidR="00EA606C">
        <w:rPr>
          <w:rFonts w:ascii="Arial" w:hAnsi="Arial" w:cs="Arial"/>
          <w:sz w:val="23"/>
          <w:szCs w:val="23"/>
        </w:rPr>
        <w:t xml:space="preserve"> figure is projected to rise to 68% by 2050 </w:t>
      </w:r>
      <w:r w:rsidR="00EA606C" w:rsidRPr="00EA606C">
        <w:rPr>
          <w:rFonts w:ascii="Arial" w:hAnsi="Arial" w:cs="Arial"/>
          <w:b/>
          <w:bCs/>
          <w:i/>
          <w:iCs/>
          <w:sz w:val="23"/>
          <w:szCs w:val="23"/>
        </w:rPr>
        <w:t xml:space="preserve">(United Department of economic and social affairs, 2024). </w:t>
      </w:r>
    </w:p>
    <w:p w14:paraId="3778236C" w14:textId="77777777" w:rsidR="00EA606C" w:rsidRDefault="00EA606C" w:rsidP="00745B4F">
      <w:pPr>
        <w:pStyle w:val="NoSpacing"/>
        <w:rPr>
          <w:rFonts w:ascii="Arial" w:hAnsi="Arial" w:cs="Arial"/>
          <w:sz w:val="23"/>
          <w:szCs w:val="23"/>
        </w:rPr>
      </w:pPr>
    </w:p>
    <w:p w14:paraId="5C5FE819" w14:textId="35A01C5F" w:rsidR="00EA606C" w:rsidRDefault="00EA606C" w:rsidP="00745B4F">
      <w:pPr>
        <w:pStyle w:val="NoSpacing"/>
        <w:rPr>
          <w:rFonts w:ascii="Arial" w:hAnsi="Arial" w:cs="Arial"/>
          <w:b/>
          <w:bCs/>
          <w:i/>
          <w:iCs/>
          <w:sz w:val="23"/>
          <w:szCs w:val="23"/>
        </w:rPr>
      </w:pPr>
      <w:r>
        <w:rPr>
          <w:rFonts w:ascii="Arial" w:hAnsi="Arial" w:cs="Arial"/>
          <w:sz w:val="23"/>
          <w:szCs w:val="23"/>
        </w:rPr>
        <w:t xml:space="preserve">The planetary health framework underpins this section, explaining that human health is embedded within the natural and built environments. Cities that are poorly designed with high pollution and limited green space, also overcrowded housing, which is an act as drivers of poor health, while well planned urban environments can actively promote wellbeing </w:t>
      </w:r>
      <w:r w:rsidRPr="00EA606C">
        <w:rPr>
          <w:rFonts w:ascii="Arial" w:hAnsi="Arial" w:cs="Arial"/>
          <w:b/>
          <w:bCs/>
          <w:i/>
          <w:iCs/>
          <w:sz w:val="23"/>
          <w:szCs w:val="23"/>
        </w:rPr>
        <w:t xml:space="preserve">(Myers et al,2021). </w:t>
      </w:r>
    </w:p>
    <w:p w14:paraId="305A83BF" w14:textId="77777777" w:rsidR="00EA606C" w:rsidRDefault="00EA606C" w:rsidP="00745B4F">
      <w:pPr>
        <w:pStyle w:val="NoSpacing"/>
        <w:rPr>
          <w:rFonts w:ascii="Arial" w:hAnsi="Arial" w:cs="Arial"/>
          <w:sz w:val="23"/>
          <w:szCs w:val="23"/>
        </w:rPr>
      </w:pPr>
    </w:p>
    <w:p w14:paraId="2629A6A9" w14:textId="03B38993" w:rsidR="00EA606C" w:rsidRDefault="00EA606C" w:rsidP="00745B4F">
      <w:pPr>
        <w:pStyle w:val="NoSpacing"/>
        <w:rPr>
          <w:rFonts w:ascii="Arial" w:hAnsi="Arial" w:cs="Arial"/>
          <w:b/>
          <w:bCs/>
          <w:i/>
          <w:iCs/>
          <w:sz w:val="23"/>
          <w:szCs w:val="23"/>
        </w:rPr>
      </w:pPr>
      <w:r w:rsidRPr="00EA606C">
        <w:rPr>
          <w:rFonts w:ascii="Arial" w:hAnsi="Arial" w:cs="Arial"/>
          <w:b/>
          <w:bCs/>
          <w:i/>
          <w:iCs/>
          <w:sz w:val="23"/>
          <w:szCs w:val="23"/>
        </w:rPr>
        <w:t>Critical evaluation: global policies and initiatives:</w:t>
      </w:r>
    </w:p>
    <w:p w14:paraId="48C8D4D1" w14:textId="77777777" w:rsidR="00EA606C" w:rsidRDefault="00EA606C" w:rsidP="00745B4F">
      <w:pPr>
        <w:pStyle w:val="NoSpacing"/>
        <w:rPr>
          <w:rFonts w:ascii="Arial" w:hAnsi="Arial" w:cs="Arial"/>
          <w:b/>
          <w:bCs/>
          <w:i/>
          <w:iCs/>
          <w:sz w:val="23"/>
          <w:szCs w:val="23"/>
        </w:rPr>
      </w:pPr>
    </w:p>
    <w:p w14:paraId="1E9F25D1" w14:textId="71C24765" w:rsidR="00EA606C" w:rsidRPr="006D3268" w:rsidRDefault="006D3268" w:rsidP="00745B4F">
      <w:pPr>
        <w:pStyle w:val="NoSpacing"/>
        <w:rPr>
          <w:rFonts w:ascii="Arial" w:hAnsi="Arial" w:cs="Arial"/>
          <w:b/>
          <w:bCs/>
          <w:i/>
          <w:iCs/>
          <w:sz w:val="23"/>
          <w:szCs w:val="23"/>
        </w:rPr>
      </w:pPr>
      <w:r>
        <w:rPr>
          <w:rFonts w:ascii="Arial" w:hAnsi="Arial" w:cs="Arial"/>
          <w:sz w:val="23"/>
          <w:szCs w:val="23"/>
        </w:rPr>
        <w:t xml:space="preserve">The new urban agenda, adopted at the UN habitat III conference in the 2016, that provides a global roadmap for sustainable urban development, explicitly linking city planning to health and equity. And it promotes “healthy cities” principles. Including mixed use development and active travel which access to the nature </w:t>
      </w:r>
      <w:r w:rsidRPr="006D3268">
        <w:rPr>
          <w:rFonts w:ascii="Arial" w:hAnsi="Arial" w:cs="Arial"/>
          <w:b/>
          <w:bCs/>
          <w:i/>
          <w:iCs/>
          <w:sz w:val="23"/>
          <w:szCs w:val="23"/>
        </w:rPr>
        <w:t xml:space="preserve">(UN-Habitat,2023). </w:t>
      </w:r>
    </w:p>
    <w:p w14:paraId="62D9E694" w14:textId="77777777" w:rsidR="00745B4F" w:rsidRDefault="00745B4F" w:rsidP="007977CD">
      <w:pPr>
        <w:pStyle w:val="NoSpacing"/>
        <w:rPr>
          <w:rFonts w:ascii="Arial" w:hAnsi="Arial" w:cs="Arial"/>
          <w:b/>
          <w:bCs/>
          <w:i/>
          <w:iCs/>
          <w:sz w:val="23"/>
          <w:szCs w:val="23"/>
        </w:rPr>
      </w:pPr>
    </w:p>
    <w:p w14:paraId="36588CBF" w14:textId="39017702" w:rsidR="00745B4F" w:rsidRPr="00652982" w:rsidRDefault="006D3268" w:rsidP="007977CD">
      <w:pPr>
        <w:pStyle w:val="NoSpacing"/>
        <w:rPr>
          <w:rFonts w:ascii="Arial" w:hAnsi="Arial" w:cs="Arial"/>
          <w:b/>
          <w:bCs/>
          <w:i/>
          <w:iCs/>
          <w:sz w:val="23"/>
          <w:szCs w:val="23"/>
        </w:rPr>
      </w:pPr>
      <w:r>
        <w:rPr>
          <w:rFonts w:ascii="Arial" w:hAnsi="Arial" w:cs="Arial"/>
          <w:sz w:val="23"/>
          <w:szCs w:val="23"/>
        </w:rPr>
        <w:t xml:space="preserve">However, the implementation remains </w:t>
      </w:r>
      <w:r w:rsidR="00A00968">
        <w:rPr>
          <w:rFonts w:ascii="Arial" w:hAnsi="Arial" w:cs="Arial"/>
          <w:sz w:val="23"/>
          <w:szCs w:val="23"/>
        </w:rPr>
        <w:t>challenging</w:t>
      </w:r>
      <w:r>
        <w:rPr>
          <w:rFonts w:ascii="Arial" w:hAnsi="Arial" w:cs="Arial"/>
          <w:sz w:val="23"/>
          <w:szCs w:val="23"/>
        </w:rPr>
        <w:t xml:space="preserve">. </w:t>
      </w:r>
      <w:r w:rsidRPr="00CF53C9">
        <w:rPr>
          <w:rFonts w:ascii="Arial" w:hAnsi="Arial" w:cs="Arial"/>
          <w:b/>
          <w:bCs/>
          <w:i/>
          <w:iCs/>
          <w:sz w:val="23"/>
          <w:szCs w:val="23"/>
        </w:rPr>
        <w:t xml:space="preserve">The </w:t>
      </w:r>
      <w:r w:rsidR="00A00968" w:rsidRPr="00CF53C9">
        <w:rPr>
          <w:rFonts w:ascii="Arial" w:hAnsi="Arial" w:cs="Arial"/>
          <w:b/>
          <w:bCs/>
          <w:i/>
          <w:iCs/>
          <w:sz w:val="23"/>
          <w:szCs w:val="23"/>
        </w:rPr>
        <w:t>United Nations</w:t>
      </w:r>
      <w:r w:rsidRPr="00CF53C9">
        <w:rPr>
          <w:rFonts w:ascii="Arial" w:hAnsi="Arial" w:cs="Arial"/>
          <w:b/>
          <w:bCs/>
          <w:i/>
          <w:iCs/>
          <w:sz w:val="23"/>
          <w:szCs w:val="23"/>
        </w:rPr>
        <w:t xml:space="preserve"> (2025)</w:t>
      </w:r>
      <w:r w:rsidR="00B7797F">
        <w:rPr>
          <w:rFonts w:ascii="Arial" w:hAnsi="Arial" w:cs="Arial"/>
          <w:b/>
          <w:bCs/>
          <w:i/>
          <w:iCs/>
          <w:sz w:val="23"/>
          <w:szCs w:val="23"/>
        </w:rPr>
        <w:t xml:space="preserve"> </w:t>
      </w:r>
      <w:r w:rsidR="00B7797F">
        <w:rPr>
          <w:rFonts w:ascii="Arial" w:hAnsi="Arial" w:cs="Arial"/>
          <w:sz w:val="23"/>
          <w:szCs w:val="23"/>
        </w:rPr>
        <w:t>reports that over 1</w:t>
      </w:r>
      <w:r w:rsidR="00F353A5">
        <w:rPr>
          <w:rFonts w:ascii="Arial" w:hAnsi="Arial" w:cs="Arial"/>
          <w:sz w:val="23"/>
          <w:szCs w:val="23"/>
        </w:rPr>
        <w:t xml:space="preserve"> billion people live in informal settlements worldwide, with limited access to clean water</w:t>
      </w:r>
      <w:r w:rsidR="00107373">
        <w:rPr>
          <w:rFonts w:ascii="Arial" w:hAnsi="Arial" w:cs="Arial"/>
          <w:sz w:val="23"/>
          <w:szCs w:val="23"/>
        </w:rPr>
        <w:t xml:space="preserve"> and healthcare. Even in the high-income countries, the urban planning has historically prioritised economic in growth over health and equity. The air pollution-largely caused by the urban transport and industry which is now the single largest </w:t>
      </w:r>
      <w:r w:rsidR="006C2BAD">
        <w:rPr>
          <w:rFonts w:ascii="Arial" w:hAnsi="Arial" w:cs="Arial"/>
          <w:sz w:val="23"/>
          <w:szCs w:val="23"/>
        </w:rPr>
        <w:t xml:space="preserve">environmental risk to health, contributing to 7 million premature deaths annually globally </w:t>
      </w:r>
      <w:r w:rsidR="006C2BAD" w:rsidRPr="00652982">
        <w:rPr>
          <w:rFonts w:ascii="Arial" w:hAnsi="Arial" w:cs="Arial"/>
          <w:b/>
          <w:bCs/>
          <w:i/>
          <w:iCs/>
          <w:sz w:val="23"/>
          <w:szCs w:val="23"/>
        </w:rPr>
        <w:t>(</w:t>
      </w:r>
      <w:r w:rsidR="00652982" w:rsidRPr="00652982">
        <w:rPr>
          <w:rFonts w:ascii="Arial" w:hAnsi="Arial" w:cs="Arial"/>
          <w:b/>
          <w:bCs/>
          <w:i/>
          <w:iCs/>
          <w:sz w:val="23"/>
          <w:szCs w:val="23"/>
        </w:rPr>
        <w:t xml:space="preserve">WHO,2022). </w:t>
      </w:r>
    </w:p>
    <w:p w14:paraId="1E82F4D1" w14:textId="77777777" w:rsidR="00745B4F" w:rsidRDefault="00745B4F" w:rsidP="007977CD">
      <w:pPr>
        <w:pStyle w:val="NoSpacing"/>
        <w:rPr>
          <w:rFonts w:ascii="Arial" w:hAnsi="Arial" w:cs="Arial"/>
          <w:sz w:val="23"/>
          <w:szCs w:val="23"/>
        </w:rPr>
      </w:pPr>
    </w:p>
    <w:p w14:paraId="38FD47B0" w14:textId="67B3EBE6" w:rsidR="00652982" w:rsidRPr="00652982" w:rsidRDefault="00652982" w:rsidP="00652982">
      <w:pPr>
        <w:pStyle w:val="NoSpacing"/>
        <w:rPr>
          <w:rFonts w:ascii="Arial" w:hAnsi="Arial" w:cs="Arial"/>
          <w:b/>
          <w:bCs/>
          <w:i/>
          <w:iCs/>
          <w:sz w:val="23"/>
          <w:szCs w:val="23"/>
        </w:rPr>
      </w:pPr>
      <w:r>
        <w:rPr>
          <w:rFonts w:ascii="Arial" w:hAnsi="Arial" w:cs="Arial"/>
          <w:sz w:val="23"/>
          <w:szCs w:val="23"/>
        </w:rPr>
        <w:t xml:space="preserve">Using the social cognitive theory, it is clear that the urban environments shape behaviour, that the cities designed around the cars which discourage physical activity, and while those with safe cycling lanes and parks encourage active lifestyles, reducing rates of obesity and cardiovascular disease </w:t>
      </w:r>
      <w:r w:rsidRPr="00652982">
        <w:rPr>
          <w:rFonts w:ascii="Arial" w:hAnsi="Arial" w:cs="Arial"/>
          <w:b/>
          <w:bCs/>
          <w:i/>
          <w:iCs/>
          <w:sz w:val="23"/>
          <w:szCs w:val="23"/>
        </w:rPr>
        <w:t>(Sallis et al</w:t>
      </w:r>
      <w:r>
        <w:rPr>
          <w:rFonts w:ascii="Arial" w:hAnsi="Arial" w:cs="Arial"/>
          <w:b/>
          <w:bCs/>
          <w:i/>
          <w:iCs/>
          <w:sz w:val="23"/>
          <w:szCs w:val="23"/>
        </w:rPr>
        <w:t>.</w:t>
      </w:r>
      <w:r w:rsidRPr="00652982">
        <w:rPr>
          <w:rFonts w:ascii="Arial" w:hAnsi="Arial" w:cs="Arial"/>
          <w:b/>
          <w:bCs/>
          <w:i/>
          <w:iCs/>
          <w:sz w:val="23"/>
          <w:szCs w:val="23"/>
        </w:rPr>
        <w:t xml:space="preserve">,2021). </w:t>
      </w:r>
    </w:p>
    <w:p w14:paraId="66FA9DF2" w14:textId="77777777" w:rsidR="00E4197A" w:rsidRDefault="00E4197A" w:rsidP="00325DEC">
      <w:pPr>
        <w:rPr>
          <w:rFonts w:ascii="Arial" w:hAnsi="Arial" w:cs="Arial"/>
          <w:b/>
          <w:bCs/>
          <w:sz w:val="23"/>
          <w:szCs w:val="23"/>
        </w:rPr>
      </w:pPr>
    </w:p>
    <w:p w14:paraId="19DAE46C" w14:textId="70F950CA" w:rsidR="00652982" w:rsidRDefault="00652982" w:rsidP="00325DEC">
      <w:pPr>
        <w:rPr>
          <w:rFonts w:ascii="Arial" w:hAnsi="Arial" w:cs="Arial"/>
          <w:b/>
          <w:bCs/>
          <w:sz w:val="23"/>
          <w:szCs w:val="23"/>
        </w:rPr>
      </w:pPr>
      <w:r>
        <w:rPr>
          <w:rFonts w:ascii="Arial" w:hAnsi="Arial" w:cs="Arial"/>
          <w:b/>
          <w:bCs/>
          <w:sz w:val="23"/>
          <w:szCs w:val="23"/>
        </w:rPr>
        <w:t>Critical evaluation: national and local examples</w:t>
      </w:r>
    </w:p>
    <w:p w14:paraId="7846BEF7" w14:textId="6379A031" w:rsidR="00652982" w:rsidRDefault="00652982" w:rsidP="00325DEC">
      <w:pPr>
        <w:rPr>
          <w:rFonts w:ascii="Arial" w:hAnsi="Arial" w:cs="Arial"/>
          <w:b/>
          <w:bCs/>
          <w:sz w:val="23"/>
          <w:szCs w:val="23"/>
        </w:rPr>
      </w:pPr>
      <w:r>
        <w:rPr>
          <w:rFonts w:ascii="Arial" w:hAnsi="Arial" w:cs="Arial"/>
          <w:b/>
          <w:bCs/>
          <w:sz w:val="23"/>
          <w:szCs w:val="23"/>
        </w:rPr>
        <w:t>National (UK)</w:t>
      </w:r>
    </w:p>
    <w:p w14:paraId="1E17417D" w14:textId="4D85E391" w:rsidR="007A711B" w:rsidRDefault="00652982" w:rsidP="00325DEC">
      <w:pPr>
        <w:rPr>
          <w:rFonts w:ascii="Arial" w:hAnsi="Arial" w:cs="Arial"/>
          <w:sz w:val="23"/>
          <w:szCs w:val="23"/>
        </w:rPr>
      </w:pPr>
      <w:r>
        <w:rPr>
          <w:rFonts w:ascii="Arial" w:hAnsi="Arial" w:cs="Arial"/>
          <w:sz w:val="23"/>
          <w:szCs w:val="23"/>
        </w:rPr>
        <w:t xml:space="preserve">The Uks national planning policy framework (2023) requires local authorities to consider health and wellbeing in all development plans. And the net zero </w:t>
      </w:r>
      <w:r w:rsidR="004016ED">
        <w:rPr>
          <w:rFonts w:ascii="Arial" w:hAnsi="Arial" w:cs="Arial"/>
          <w:sz w:val="23"/>
          <w:szCs w:val="23"/>
        </w:rPr>
        <w:t>strategy</w:t>
      </w:r>
      <w:r>
        <w:rPr>
          <w:rFonts w:ascii="Arial" w:hAnsi="Arial" w:cs="Arial"/>
          <w:sz w:val="23"/>
          <w:szCs w:val="23"/>
        </w:rPr>
        <w:t xml:space="preserve"> 2021 and clean air </w:t>
      </w:r>
      <w:r w:rsidR="004016ED">
        <w:rPr>
          <w:rFonts w:ascii="Arial" w:hAnsi="Arial" w:cs="Arial"/>
          <w:sz w:val="23"/>
          <w:szCs w:val="23"/>
        </w:rPr>
        <w:t>strategy</w:t>
      </w:r>
      <w:r>
        <w:rPr>
          <w:rFonts w:ascii="Arial" w:hAnsi="Arial" w:cs="Arial"/>
          <w:sz w:val="23"/>
          <w:szCs w:val="23"/>
        </w:rPr>
        <w:t xml:space="preserve"> 2019 also align with the SDG 11 by targeting emissions reductions </w:t>
      </w:r>
      <w:r w:rsidR="0066229B">
        <w:rPr>
          <w:rFonts w:ascii="Arial" w:hAnsi="Arial" w:cs="Arial"/>
          <w:sz w:val="23"/>
          <w:szCs w:val="23"/>
        </w:rPr>
        <w:t xml:space="preserve">and improved air quality. Furthermore, the NHSs greener NHS programme aims to make the health service carbon neutral </w:t>
      </w:r>
      <w:r w:rsidR="007A711B">
        <w:rPr>
          <w:rFonts w:ascii="Arial" w:hAnsi="Arial" w:cs="Arial"/>
          <w:sz w:val="23"/>
          <w:szCs w:val="23"/>
        </w:rPr>
        <w:t xml:space="preserve">by 2045, demonstrating how health and sustainability can be integrated </w:t>
      </w:r>
      <w:r w:rsidR="007A711B" w:rsidRPr="007A711B">
        <w:rPr>
          <w:rFonts w:ascii="Arial" w:hAnsi="Arial" w:cs="Arial"/>
          <w:b/>
          <w:bCs/>
          <w:i/>
          <w:iCs/>
          <w:sz w:val="23"/>
          <w:szCs w:val="23"/>
        </w:rPr>
        <w:t>(NHS England,2023).</w:t>
      </w:r>
    </w:p>
    <w:p w14:paraId="3E83002A" w14:textId="79AE9DD7" w:rsidR="007A711B" w:rsidRDefault="007A711B" w:rsidP="00325DEC">
      <w:pPr>
        <w:rPr>
          <w:rFonts w:ascii="Arial" w:hAnsi="Arial" w:cs="Arial"/>
          <w:sz w:val="23"/>
          <w:szCs w:val="23"/>
        </w:rPr>
      </w:pPr>
      <w:r>
        <w:rPr>
          <w:rFonts w:ascii="Arial" w:hAnsi="Arial" w:cs="Arial"/>
          <w:sz w:val="23"/>
          <w:szCs w:val="23"/>
        </w:rPr>
        <w:t>Despite these policies, the committee on climate change (2024)</w:t>
      </w:r>
      <w:r w:rsidR="00D87C77">
        <w:rPr>
          <w:rFonts w:ascii="Arial" w:hAnsi="Arial" w:cs="Arial"/>
          <w:sz w:val="23"/>
          <w:szCs w:val="23"/>
        </w:rPr>
        <w:t xml:space="preserve"> warns that progress is to slow. Many new developments still lack sufficient green space, and levels of air pollution remain the above legal limits in many </w:t>
      </w:r>
      <w:r w:rsidR="00205B23">
        <w:rPr>
          <w:rFonts w:ascii="Arial" w:hAnsi="Arial" w:cs="Arial"/>
          <w:sz w:val="23"/>
          <w:szCs w:val="23"/>
        </w:rPr>
        <w:t xml:space="preserve">major cities, contributing to thousands of preventable deaths each year. </w:t>
      </w:r>
    </w:p>
    <w:p w14:paraId="468514B5" w14:textId="3E0CD04A" w:rsidR="00205B23" w:rsidRDefault="00205B23" w:rsidP="00325DEC">
      <w:pPr>
        <w:rPr>
          <w:rFonts w:ascii="Arial" w:hAnsi="Arial" w:cs="Arial"/>
          <w:sz w:val="23"/>
          <w:szCs w:val="23"/>
        </w:rPr>
      </w:pPr>
      <w:r>
        <w:rPr>
          <w:rFonts w:ascii="Arial" w:hAnsi="Arial" w:cs="Arial"/>
          <w:sz w:val="23"/>
          <w:szCs w:val="23"/>
        </w:rPr>
        <w:t>Local (Birmingham)</w:t>
      </w:r>
    </w:p>
    <w:p w14:paraId="5C651E89" w14:textId="36246EC6" w:rsidR="00205B23" w:rsidRDefault="008D1BD6" w:rsidP="00325DEC">
      <w:pPr>
        <w:rPr>
          <w:rFonts w:ascii="Arial" w:hAnsi="Arial" w:cs="Arial"/>
          <w:b/>
          <w:bCs/>
          <w:sz w:val="23"/>
          <w:szCs w:val="23"/>
        </w:rPr>
      </w:pPr>
      <w:r>
        <w:rPr>
          <w:rFonts w:ascii="Arial" w:hAnsi="Arial" w:cs="Arial"/>
          <w:sz w:val="23"/>
          <w:szCs w:val="23"/>
        </w:rPr>
        <w:t>Birmingham’s</w:t>
      </w:r>
      <w:r w:rsidR="00205B23">
        <w:rPr>
          <w:rFonts w:ascii="Arial" w:hAnsi="Arial" w:cs="Arial"/>
          <w:sz w:val="23"/>
          <w:szCs w:val="23"/>
        </w:rPr>
        <w:t xml:space="preserve"> 2030 net zero plan and sustainable development strategy directly address SDG 11. The initiatives include the expansion of the </w:t>
      </w:r>
      <w:r>
        <w:rPr>
          <w:rFonts w:ascii="Arial" w:hAnsi="Arial" w:cs="Arial"/>
          <w:sz w:val="23"/>
          <w:szCs w:val="23"/>
        </w:rPr>
        <w:t>cities</w:t>
      </w:r>
      <w:r w:rsidR="00205B23">
        <w:rPr>
          <w:rFonts w:ascii="Arial" w:hAnsi="Arial" w:cs="Arial"/>
          <w:sz w:val="23"/>
          <w:szCs w:val="23"/>
        </w:rPr>
        <w:t xml:space="preserve"> cycling </w:t>
      </w:r>
      <w:r>
        <w:rPr>
          <w:rFonts w:ascii="Arial" w:hAnsi="Arial" w:cs="Arial"/>
          <w:sz w:val="23"/>
          <w:szCs w:val="23"/>
        </w:rPr>
        <w:t xml:space="preserve">network, and the creation of the new public parks and green corridors and a programme to retrofit energy-inefficient homes to reduce the fuel poverty and improve indoor health </w:t>
      </w:r>
      <w:r w:rsidRPr="008D1BD6">
        <w:rPr>
          <w:rFonts w:ascii="Arial" w:hAnsi="Arial" w:cs="Arial"/>
          <w:b/>
          <w:bCs/>
          <w:sz w:val="23"/>
          <w:szCs w:val="23"/>
        </w:rPr>
        <w:t xml:space="preserve">(Birmingham city council 2023). </w:t>
      </w:r>
    </w:p>
    <w:p w14:paraId="3FD10CCA" w14:textId="1EF0F84A" w:rsidR="003345D5" w:rsidRDefault="003345D5" w:rsidP="00325DEC">
      <w:pPr>
        <w:rPr>
          <w:rFonts w:ascii="Arial" w:hAnsi="Arial" w:cs="Arial"/>
          <w:b/>
          <w:bCs/>
          <w:sz w:val="23"/>
          <w:szCs w:val="23"/>
        </w:rPr>
      </w:pPr>
      <w:r>
        <w:rPr>
          <w:rFonts w:ascii="Arial" w:hAnsi="Arial" w:cs="Arial"/>
          <w:sz w:val="23"/>
          <w:szCs w:val="23"/>
        </w:rPr>
        <w:t xml:space="preserve">Research shows that these interventions have measurable benefits, such as access to the green space which is linked to lower levels of stress, and improved mental health, and also to reduce the rates of cardiovascular disease </w:t>
      </w:r>
      <w:r w:rsidRPr="003345D5">
        <w:rPr>
          <w:rFonts w:ascii="Arial" w:hAnsi="Arial" w:cs="Arial"/>
          <w:b/>
          <w:bCs/>
          <w:sz w:val="23"/>
          <w:szCs w:val="23"/>
        </w:rPr>
        <w:t xml:space="preserve">(Ward Thompson et al, 2022). </w:t>
      </w:r>
      <w:r>
        <w:rPr>
          <w:rFonts w:ascii="Arial" w:hAnsi="Arial" w:cs="Arial"/>
          <w:sz w:val="23"/>
          <w:szCs w:val="23"/>
        </w:rPr>
        <w:t xml:space="preserve">However, the evaluation of this reveals that the improvements are not evenly distributed to the most deprived areas of Birmingham that have 40% </w:t>
      </w:r>
      <w:r w:rsidR="00062978">
        <w:rPr>
          <w:rFonts w:ascii="Arial" w:hAnsi="Arial" w:cs="Arial"/>
          <w:sz w:val="23"/>
          <w:szCs w:val="23"/>
        </w:rPr>
        <w:t xml:space="preserve">less access to the quality green space than more affluent neighbourhoods and exacerbating that exists health inequalities </w:t>
      </w:r>
      <w:r w:rsidR="00062978" w:rsidRPr="00062978">
        <w:rPr>
          <w:rFonts w:ascii="Arial" w:hAnsi="Arial" w:cs="Arial"/>
          <w:b/>
          <w:bCs/>
          <w:sz w:val="23"/>
          <w:szCs w:val="23"/>
        </w:rPr>
        <w:t xml:space="preserve">(West Midlands Combined Authority, 2025). </w:t>
      </w:r>
    </w:p>
    <w:p w14:paraId="34987A02" w14:textId="77777777" w:rsidR="00062978" w:rsidRDefault="00062978" w:rsidP="00325DEC">
      <w:pPr>
        <w:rPr>
          <w:rFonts w:ascii="Arial" w:hAnsi="Arial" w:cs="Arial"/>
          <w:b/>
          <w:bCs/>
          <w:sz w:val="23"/>
          <w:szCs w:val="23"/>
        </w:rPr>
      </w:pPr>
    </w:p>
    <w:p w14:paraId="46BE9FB1" w14:textId="25C6BDB3" w:rsidR="00062978" w:rsidRDefault="00062978" w:rsidP="00325DEC">
      <w:pPr>
        <w:rPr>
          <w:rFonts w:ascii="Arial" w:hAnsi="Arial" w:cs="Arial"/>
          <w:b/>
          <w:bCs/>
          <w:sz w:val="23"/>
          <w:szCs w:val="23"/>
        </w:rPr>
      </w:pPr>
      <w:r>
        <w:rPr>
          <w:rFonts w:ascii="Arial" w:hAnsi="Arial" w:cs="Arial"/>
          <w:b/>
          <w:bCs/>
          <w:sz w:val="23"/>
          <w:szCs w:val="23"/>
        </w:rPr>
        <w:t>Recommendations for SDG 11:</w:t>
      </w:r>
    </w:p>
    <w:p w14:paraId="3DB0A4F6" w14:textId="6EA5CD8D" w:rsidR="00062978" w:rsidRDefault="00062978" w:rsidP="00062978">
      <w:pPr>
        <w:pStyle w:val="ListParagraph"/>
        <w:numPr>
          <w:ilvl w:val="0"/>
          <w:numId w:val="2"/>
        </w:numPr>
        <w:rPr>
          <w:rFonts w:ascii="Arial" w:hAnsi="Arial" w:cs="Arial"/>
          <w:sz w:val="23"/>
          <w:szCs w:val="23"/>
        </w:rPr>
      </w:pPr>
      <w:r>
        <w:rPr>
          <w:rFonts w:ascii="Arial" w:hAnsi="Arial" w:cs="Arial"/>
          <w:sz w:val="23"/>
          <w:szCs w:val="23"/>
        </w:rPr>
        <w:t xml:space="preserve">Prioritise in active travel and clean air: invest in the safe cycling infrastructure, public transport and low emission zones to reduce the pollution and increase the physical activity. </w:t>
      </w:r>
    </w:p>
    <w:p w14:paraId="3F6C61E6" w14:textId="40AE2180" w:rsidR="00062978" w:rsidRDefault="00062978" w:rsidP="00062978">
      <w:pPr>
        <w:pStyle w:val="ListParagraph"/>
        <w:numPr>
          <w:ilvl w:val="0"/>
          <w:numId w:val="2"/>
        </w:numPr>
        <w:rPr>
          <w:rFonts w:ascii="Arial" w:hAnsi="Arial" w:cs="Arial"/>
          <w:sz w:val="23"/>
          <w:szCs w:val="23"/>
        </w:rPr>
      </w:pPr>
      <w:r>
        <w:rPr>
          <w:rFonts w:ascii="Arial" w:hAnsi="Arial" w:cs="Arial"/>
          <w:sz w:val="23"/>
          <w:szCs w:val="23"/>
        </w:rPr>
        <w:t xml:space="preserve">Address housing quality: </w:t>
      </w:r>
      <w:r w:rsidR="008D3CD0">
        <w:rPr>
          <w:rFonts w:ascii="Arial" w:hAnsi="Arial" w:cs="Arial"/>
          <w:sz w:val="23"/>
          <w:szCs w:val="23"/>
        </w:rPr>
        <w:t xml:space="preserve">scale up programmes to improve </w:t>
      </w:r>
      <w:r w:rsidR="00CE5D12">
        <w:rPr>
          <w:rFonts w:ascii="Arial" w:hAnsi="Arial" w:cs="Arial"/>
          <w:sz w:val="23"/>
          <w:szCs w:val="23"/>
        </w:rPr>
        <w:t>energy efficiency and reduce the overcrowding, and particularly in the deprived areas.</w:t>
      </w:r>
    </w:p>
    <w:p w14:paraId="2B2A417D" w14:textId="413D16A7" w:rsidR="00CE5D12" w:rsidRDefault="00CE5D12" w:rsidP="00062978">
      <w:pPr>
        <w:pStyle w:val="ListParagraph"/>
        <w:numPr>
          <w:ilvl w:val="0"/>
          <w:numId w:val="2"/>
        </w:numPr>
        <w:rPr>
          <w:rFonts w:ascii="Arial" w:hAnsi="Arial" w:cs="Arial"/>
          <w:sz w:val="23"/>
          <w:szCs w:val="23"/>
        </w:rPr>
      </w:pPr>
      <w:r>
        <w:rPr>
          <w:rFonts w:ascii="Arial" w:hAnsi="Arial" w:cs="Arial"/>
          <w:sz w:val="23"/>
          <w:szCs w:val="23"/>
        </w:rPr>
        <w:t>Increase equitable access to green: ensure new parks and natural areas that are located in the neighbourhoods with the highest levels of health needs.</w:t>
      </w:r>
    </w:p>
    <w:p w14:paraId="1CFC465B" w14:textId="77777777" w:rsidR="00CE5D12" w:rsidRDefault="00CE5D12" w:rsidP="00CE5D12">
      <w:pPr>
        <w:rPr>
          <w:rFonts w:ascii="Arial" w:hAnsi="Arial" w:cs="Arial"/>
          <w:sz w:val="23"/>
          <w:szCs w:val="23"/>
        </w:rPr>
      </w:pPr>
    </w:p>
    <w:p w14:paraId="7E392D8D" w14:textId="2394C2A7" w:rsidR="00CE5D12" w:rsidRPr="007B6F91" w:rsidRDefault="00CE5D12" w:rsidP="00CE5D12">
      <w:pPr>
        <w:rPr>
          <w:rFonts w:ascii="Arial" w:hAnsi="Arial" w:cs="Arial"/>
          <w:b/>
          <w:bCs/>
          <w:i/>
          <w:iCs/>
          <w:sz w:val="23"/>
          <w:szCs w:val="23"/>
        </w:rPr>
      </w:pPr>
      <w:r w:rsidRPr="007B6F91">
        <w:rPr>
          <w:rFonts w:ascii="Arial" w:hAnsi="Arial" w:cs="Arial"/>
          <w:b/>
          <w:bCs/>
          <w:i/>
          <w:iCs/>
          <w:sz w:val="23"/>
          <w:szCs w:val="23"/>
        </w:rPr>
        <w:t xml:space="preserve">Conclusion: </w:t>
      </w:r>
    </w:p>
    <w:p w14:paraId="17CA525C" w14:textId="24D8FF99" w:rsidR="00CE5D12" w:rsidRDefault="00CE5D12" w:rsidP="00CE5D12">
      <w:pPr>
        <w:rPr>
          <w:rFonts w:ascii="Arial" w:hAnsi="Arial" w:cs="Arial"/>
          <w:sz w:val="23"/>
          <w:szCs w:val="23"/>
        </w:rPr>
      </w:pPr>
      <w:r>
        <w:rPr>
          <w:rFonts w:ascii="Arial" w:hAnsi="Arial" w:cs="Arial"/>
          <w:sz w:val="23"/>
          <w:szCs w:val="23"/>
        </w:rPr>
        <w:t xml:space="preserve">This report examined the SDG 3 and SDG 11, demonstrating that they are deeply interconnected which means healthy populations require sustainable, well-designed cities and the sustainable development cannot be achieved without ensuring good health for all. While the global commitments to the 2030 agenda is strong and the </w:t>
      </w:r>
      <w:r>
        <w:rPr>
          <w:rFonts w:ascii="Arial" w:hAnsi="Arial" w:cs="Arial"/>
          <w:sz w:val="23"/>
          <w:szCs w:val="23"/>
        </w:rPr>
        <w:lastRenderedPageBreak/>
        <w:t xml:space="preserve">evaluation reveals that the significant gaps are policy framework </w:t>
      </w:r>
      <w:r w:rsidR="0049017E">
        <w:rPr>
          <w:rFonts w:ascii="Arial" w:hAnsi="Arial" w:cs="Arial"/>
          <w:sz w:val="23"/>
          <w:szCs w:val="23"/>
        </w:rPr>
        <w:t>exists,</w:t>
      </w:r>
      <w:r>
        <w:rPr>
          <w:rFonts w:ascii="Arial" w:hAnsi="Arial" w:cs="Arial"/>
          <w:sz w:val="23"/>
          <w:szCs w:val="23"/>
        </w:rPr>
        <w:t xml:space="preserve"> but the implementation is often hindered by underfunding, political priorities and the persistent inequalities. </w:t>
      </w:r>
    </w:p>
    <w:p w14:paraId="59A11548" w14:textId="12B9CBBD" w:rsidR="00CE5D12" w:rsidRDefault="0049017E" w:rsidP="00CE5D12">
      <w:pPr>
        <w:rPr>
          <w:rFonts w:ascii="Arial" w:hAnsi="Arial" w:cs="Arial"/>
          <w:sz w:val="23"/>
          <w:szCs w:val="23"/>
        </w:rPr>
      </w:pPr>
      <w:r>
        <w:rPr>
          <w:rFonts w:ascii="Arial" w:hAnsi="Arial" w:cs="Arial"/>
          <w:sz w:val="23"/>
          <w:szCs w:val="23"/>
        </w:rPr>
        <w:t xml:space="preserve">At the national level, the UK have the robust to have the stragiess in place, but progress is uneven and often fails to address the root causes of poor health. Locally in Birmingham which has made the positive steps, but significant disparities remain between different communities.  The application of theories for social determinants of health, health belief model and social cognitive theory </w:t>
      </w:r>
      <w:proofErr w:type="gramStart"/>
      <w:r>
        <w:rPr>
          <w:rFonts w:ascii="Arial" w:hAnsi="Arial" w:cs="Arial"/>
          <w:sz w:val="23"/>
          <w:szCs w:val="23"/>
        </w:rPr>
        <w:t>has</w:t>
      </w:r>
      <w:proofErr w:type="gramEnd"/>
      <w:r>
        <w:rPr>
          <w:rFonts w:ascii="Arial" w:hAnsi="Arial" w:cs="Arial"/>
          <w:sz w:val="23"/>
          <w:szCs w:val="23"/>
        </w:rPr>
        <w:t xml:space="preserve"> shown us that </w:t>
      </w:r>
      <w:r w:rsidR="002F243F">
        <w:rPr>
          <w:rFonts w:ascii="Arial" w:hAnsi="Arial" w:cs="Arial"/>
          <w:sz w:val="23"/>
          <w:szCs w:val="23"/>
        </w:rPr>
        <w:t xml:space="preserve">purely medical or technical solutions are insufficient and systemic, cross sector collaboration which is essential. </w:t>
      </w:r>
    </w:p>
    <w:p w14:paraId="0222B113" w14:textId="71552A5F" w:rsidR="007B6F91" w:rsidRDefault="002F243F" w:rsidP="00CE5D12">
      <w:pPr>
        <w:rPr>
          <w:rFonts w:ascii="Arial" w:hAnsi="Arial" w:cs="Arial"/>
          <w:sz w:val="23"/>
          <w:szCs w:val="23"/>
        </w:rPr>
      </w:pPr>
      <w:r>
        <w:rPr>
          <w:rFonts w:ascii="Arial" w:hAnsi="Arial" w:cs="Arial"/>
          <w:sz w:val="23"/>
          <w:szCs w:val="23"/>
        </w:rPr>
        <w:t xml:space="preserve">To achieve this for the future, the policymakers must recognise that the health and sustainability are </w:t>
      </w:r>
      <w:r w:rsidR="003E4A5F">
        <w:rPr>
          <w:rFonts w:ascii="Arial" w:hAnsi="Arial" w:cs="Arial"/>
          <w:sz w:val="23"/>
          <w:szCs w:val="23"/>
        </w:rPr>
        <w:t xml:space="preserve">mutually reinforcing. And, investing in sustainable </w:t>
      </w:r>
      <w:r w:rsidR="007B6F91">
        <w:rPr>
          <w:rFonts w:ascii="Arial" w:hAnsi="Arial" w:cs="Arial"/>
          <w:sz w:val="23"/>
          <w:szCs w:val="23"/>
        </w:rPr>
        <w:t xml:space="preserve">urban design, which is reducing the inequality and prioritising prevention will not only improve health outcomes but will also create more resilient, and fair societies. The recommendations outlined in this report to provide a clear, evidence-based path forward to ensure progress that is equitable and long lasting. </w:t>
      </w:r>
    </w:p>
    <w:p w14:paraId="2CD89211" w14:textId="77777777" w:rsidR="007B6F91" w:rsidRDefault="007B6F91" w:rsidP="00CE5D12">
      <w:pPr>
        <w:rPr>
          <w:rFonts w:ascii="Arial" w:hAnsi="Arial" w:cs="Arial"/>
          <w:sz w:val="23"/>
          <w:szCs w:val="23"/>
        </w:rPr>
      </w:pPr>
    </w:p>
    <w:p w14:paraId="3B965510" w14:textId="77777777" w:rsidR="007B6F91" w:rsidRDefault="007B6F91" w:rsidP="00CE5D12">
      <w:pPr>
        <w:rPr>
          <w:rFonts w:ascii="Arial" w:hAnsi="Arial" w:cs="Arial"/>
          <w:sz w:val="23"/>
          <w:szCs w:val="23"/>
        </w:rPr>
      </w:pPr>
    </w:p>
    <w:p w14:paraId="647A30D6" w14:textId="77777777" w:rsidR="007B6F91" w:rsidRDefault="007B6F91" w:rsidP="00CE5D12">
      <w:pPr>
        <w:rPr>
          <w:rFonts w:ascii="Arial" w:hAnsi="Arial" w:cs="Arial"/>
          <w:sz w:val="23"/>
          <w:szCs w:val="23"/>
        </w:rPr>
      </w:pPr>
    </w:p>
    <w:p w14:paraId="131182A0" w14:textId="77777777" w:rsidR="007B6F91" w:rsidRDefault="007B6F91" w:rsidP="00CE5D12">
      <w:pPr>
        <w:rPr>
          <w:rFonts w:ascii="Arial" w:hAnsi="Arial" w:cs="Arial"/>
          <w:sz w:val="23"/>
          <w:szCs w:val="23"/>
        </w:rPr>
      </w:pPr>
    </w:p>
    <w:p w14:paraId="4EA3FC2F" w14:textId="77777777" w:rsidR="007B6F91" w:rsidRDefault="007B6F91" w:rsidP="00CE5D12">
      <w:pPr>
        <w:rPr>
          <w:rFonts w:ascii="Arial" w:hAnsi="Arial" w:cs="Arial"/>
          <w:sz w:val="23"/>
          <w:szCs w:val="23"/>
        </w:rPr>
      </w:pPr>
    </w:p>
    <w:p w14:paraId="392591A5" w14:textId="77777777" w:rsidR="007B6F91" w:rsidRDefault="007B6F91" w:rsidP="00CE5D12">
      <w:pPr>
        <w:rPr>
          <w:rFonts w:ascii="Arial" w:hAnsi="Arial" w:cs="Arial"/>
          <w:sz w:val="23"/>
          <w:szCs w:val="23"/>
        </w:rPr>
      </w:pPr>
    </w:p>
    <w:p w14:paraId="55ECC1CB" w14:textId="77777777" w:rsidR="007B6F91" w:rsidRDefault="007B6F91" w:rsidP="00CE5D12">
      <w:pPr>
        <w:rPr>
          <w:rFonts w:ascii="Arial" w:hAnsi="Arial" w:cs="Arial"/>
          <w:sz w:val="23"/>
          <w:szCs w:val="23"/>
        </w:rPr>
      </w:pPr>
    </w:p>
    <w:p w14:paraId="25E46CE4" w14:textId="77777777" w:rsidR="007B6F91" w:rsidRDefault="007B6F91" w:rsidP="00CE5D12">
      <w:pPr>
        <w:rPr>
          <w:rFonts w:ascii="Arial" w:hAnsi="Arial" w:cs="Arial"/>
          <w:sz w:val="23"/>
          <w:szCs w:val="23"/>
        </w:rPr>
      </w:pPr>
    </w:p>
    <w:p w14:paraId="6B7ACDBA" w14:textId="77777777" w:rsidR="007B6F91" w:rsidRDefault="007B6F91" w:rsidP="00CE5D12">
      <w:pPr>
        <w:rPr>
          <w:rFonts w:ascii="Arial" w:hAnsi="Arial" w:cs="Arial"/>
          <w:sz w:val="23"/>
          <w:szCs w:val="23"/>
        </w:rPr>
      </w:pPr>
    </w:p>
    <w:p w14:paraId="053B6B39" w14:textId="77777777" w:rsidR="007B6F91" w:rsidRDefault="007B6F91" w:rsidP="00CE5D12">
      <w:pPr>
        <w:rPr>
          <w:rFonts w:ascii="Arial" w:hAnsi="Arial" w:cs="Arial"/>
          <w:sz w:val="23"/>
          <w:szCs w:val="23"/>
        </w:rPr>
      </w:pPr>
    </w:p>
    <w:p w14:paraId="65975D69" w14:textId="77777777" w:rsidR="007B6F91" w:rsidRDefault="007B6F91" w:rsidP="00CE5D12">
      <w:pPr>
        <w:rPr>
          <w:rFonts w:ascii="Arial" w:hAnsi="Arial" w:cs="Arial"/>
          <w:sz w:val="23"/>
          <w:szCs w:val="23"/>
        </w:rPr>
      </w:pPr>
    </w:p>
    <w:p w14:paraId="1CEB306A" w14:textId="77777777" w:rsidR="007B6F91" w:rsidRDefault="007B6F91" w:rsidP="00CE5D12">
      <w:pPr>
        <w:rPr>
          <w:rFonts w:ascii="Arial" w:hAnsi="Arial" w:cs="Arial"/>
          <w:sz w:val="23"/>
          <w:szCs w:val="23"/>
        </w:rPr>
      </w:pPr>
    </w:p>
    <w:p w14:paraId="5C498982" w14:textId="77777777" w:rsidR="007B6F91" w:rsidRDefault="007B6F91" w:rsidP="00CE5D12">
      <w:pPr>
        <w:rPr>
          <w:rFonts w:ascii="Arial" w:hAnsi="Arial" w:cs="Arial"/>
          <w:sz w:val="23"/>
          <w:szCs w:val="23"/>
        </w:rPr>
      </w:pPr>
    </w:p>
    <w:p w14:paraId="3A1CC689" w14:textId="77777777" w:rsidR="007B6F91" w:rsidRDefault="007B6F91" w:rsidP="00CE5D12">
      <w:pPr>
        <w:rPr>
          <w:rFonts w:ascii="Arial" w:hAnsi="Arial" w:cs="Arial"/>
          <w:sz w:val="23"/>
          <w:szCs w:val="23"/>
        </w:rPr>
      </w:pPr>
    </w:p>
    <w:p w14:paraId="04E59489" w14:textId="77777777" w:rsidR="007B6F91" w:rsidRDefault="007B6F91" w:rsidP="00CE5D12">
      <w:pPr>
        <w:rPr>
          <w:rFonts w:ascii="Arial" w:hAnsi="Arial" w:cs="Arial"/>
          <w:sz w:val="23"/>
          <w:szCs w:val="23"/>
        </w:rPr>
      </w:pPr>
    </w:p>
    <w:p w14:paraId="27926402" w14:textId="77777777" w:rsidR="007B6F91" w:rsidRDefault="007B6F91" w:rsidP="00CE5D12">
      <w:pPr>
        <w:rPr>
          <w:rFonts w:ascii="Arial" w:hAnsi="Arial" w:cs="Arial"/>
          <w:sz w:val="23"/>
          <w:szCs w:val="23"/>
        </w:rPr>
      </w:pPr>
    </w:p>
    <w:p w14:paraId="229CF202" w14:textId="77777777" w:rsidR="007B6F91" w:rsidRDefault="007B6F91" w:rsidP="00CE5D12">
      <w:pPr>
        <w:rPr>
          <w:rFonts w:ascii="Arial" w:hAnsi="Arial" w:cs="Arial"/>
          <w:sz w:val="23"/>
          <w:szCs w:val="23"/>
        </w:rPr>
      </w:pPr>
    </w:p>
    <w:p w14:paraId="7883499C" w14:textId="77777777" w:rsidR="007B6F91" w:rsidRDefault="007B6F91" w:rsidP="00CE5D12">
      <w:pPr>
        <w:rPr>
          <w:rFonts w:ascii="Arial" w:hAnsi="Arial" w:cs="Arial"/>
          <w:sz w:val="23"/>
          <w:szCs w:val="23"/>
        </w:rPr>
      </w:pPr>
    </w:p>
    <w:p w14:paraId="5E3D2F8A" w14:textId="77777777" w:rsidR="007B6F91" w:rsidRDefault="007B6F91" w:rsidP="00CE5D12">
      <w:pPr>
        <w:rPr>
          <w:rFonts w:ascii="Arial" w:hAnsi="Arial" w:cs="Arial"/>
          <w:sz w:val="23"/>
          <w:szCs w:val="23"/>
        </w:rPr>
      </w:pPr>
    </w:p>
    <w:p w14:paraId="2AD3B7E2" w14:textId="77777777" w:rsidR="007B6F91" w:rsidRDefault="007B6F91" w:rsidP="00CE5D12">
      <w:pPr>
        <w:rPr>
          <w:rFonts w:ascii="Arial" w:hAnsi="Arial" w:cs="Arial"/>
          <w:sz w:val="23"/>
          <w:szCs w:val="23"/>
        </w:rPr>
      </w:pPr>
    </w:p>
    <w:p w14:paraId="5C849474" w14:textId="77777777" w:rsidR="007B6F91" w:rsidRDefault="007B6F91" w:rsidP="00CE5D12">
      <w:pPr>
        <w:rPr>
          <w:rFonts w:ascii="Arial" w:hAnsi="Arial" w:cs="Arial"/>
          <w:sz w:val="23"/>
          <w:szCs w:val="23"/>
        </w:rPr>
      </w:pPr>
    </w:p>
    <w:p w14:paraId="64600570" w14:textId="77777777" w:rsidR="007B6F91" w:rsidRDefault="007B6F91" w:rsidP="00CE5D12">
      <w:pPr>
        <w:rPr>
          <w:rFonts w:ascii="Arial" w:hAnsi="Arial" w:cs="Arial"/>
          <w:sz w:val="23"/>
          <w:szCs w:val="23"/>
        </w:rPr>
      </w:pPr>
    </w:p>
    <w:p w14:paraId="4CE866F8" w14:textId="77777777" w:rsidR="007B6F91" w:rsidRDefault="007B6F91" w:rsidP="00CE5D12">
      <w:pPr>
        <w:rPr>
          <w:rFonts w:ascii="Arial" w:hAnsi="Arial" w:cs="Arial"/>
          <w:sz w:val="23"/>
          <w:szCs w:val="23"/>
        </w:rPr>
      </w:pPr>
    </w:p>
    <w:p w14:paraId="778B5B64" w14:textId="77777777" w:rsidR="007B6F91" w:rsidRDefault="007B6F91" w:rsidP="00CE5D12">
      <w:pPr>
        <w:rPr>
          <w:rFonts w:ascii="Arial" w:hAnsi="Arial" w:cs="Arial"/>
          <w:sz w:val="23"/>
          <w:szCs w:val="23"/>
        </w:rPr>
      </w:pPr>
    </w:p>
    <w:p w14:paraId="3E8F7AB0" w14:textId="77777777" w:rsidR="007B6F91" w:rsidRDefault="007B6F91" w:rsidP="00CE5D12">
      <w:pPr>
        <w:rPr>
          <w:rFonts w:ascii="Arial" w:hAnsi="Arial" w:cs="Arial"/>
          <w:sz w:val="23"/>
          <w:szCs w:val="23"/>
        </w:rPr>
      </w:pPr>
    </w:p>
    <w:p w14:paraId="7D8A5991" w14:textId="3F9B199E" w:rsidR="007B6F91" w:rsidRDefault="007B6F91" w:rsidP="00CE5D12">
      <w:pPr>
        <w:rPr>
          <w:rFonts w:ascii="Arial" w:hAnsi="Arial" w:cs="Arial"/>
          <w:b/>
          <w:bCs/>
          <w:i/>
          <w:iCs/>
          <w:sz w:val="23"/>
          <w:szCs w:val="23"/>
        </w:rPr>
      </w:pPr>
      <w:r w:rsidRPr="007B6F91">
        <w:rPr>
          <w:rFonts w:ascii="Arial" w:hAnsi="Arial" w:cs="Arial"/>
          <w:b/>
          <w:bCs/>
          <w:i/>
          <w:iCs/>
          <w:sz w:val="23"/>
          <w:szCs w:val="23"/>
        </w:rPr>
        <w:t xml:space="preserve">References: </w:t>
      </w:r>
    </w:p>
    <w:p w14:paraId="21FC85F8" w14:textId="79FE0DA5" w:rsidR="007B6F91" w:rsidRDefault="007B6F91" w:rsidP="00CE5D12">
      <w:pPr>
        <w:rPr>
          <w:rFonts w:ascii="Arial" w:hAnsi="Arial" w:cs="Arial"/>
          <w:sz w:val="23"/>
          <w:szCs w:val="23"/>
        </w:rPr>
      </w:pPr>
      <w:r>
        <w:rPr>
          <w:rFonts w:ascii="Arial" w:hAnsi="Arial" w:cs="Arial"/>
          <w:sz w:val="23"/>
          <w:szCs w:val="23"/>
        </w:rPr>
        <w:t>Birmingham City Council. (2023). Birmingham 2030 Net Zero Plan. Birmingham: Birmingham City Council.</w:t>
      </w:r>
    </w:p>
    <w:p w14:paraId="1971C6DA" w14:textId="5E3E0C8C" w:rsidR="007B6F91" w:rsidRDefault="007B6F91" w:rsidP="00CE5D12">
      <w:pPr>
        <w:rPr>
          <w:rFonts w:ascii="Arial" w:hAnsi="Arial" w:cs="Arial"/>
          <w:sz w:val="23"/>
          <w:szCs w:val="23"/>
        </w:rPr>
      </w:pPr>
      <w:r>
        <w:rPr>
          <w:rFonts w:ascii="Arial" w:hAnsi="Arial" w:cs="Arial"/>
          <w:sz w:val="23"/>
          <w:szCs w:val="23"/>
        </w:rPr>
        <w:t xml:space="preserve">Birmingham City Council. (2024). Health and Wellbeing Strategy 2022-2030. Birmingham: Birmingham City Council. </w:t>
      </w:r>
    </w:p>
    <w:p w14:paraId="3E8588CD" w14:textId="5C94DF31" w:rsidR="007B6F91" w:rsidRDefault="007B6F91" w:rsidP="00CE5D12">
      <w:pPr>
        <w:rPr>
          <w:rFonts w:ascii="Arial" w:hAnsi="Arial" w:cs="Arial"/>
          <w:sz w:val="23"/>
          <w:szCs w:val="23"/>
        </w:rPr>
      </w:pPr>
      <w:r>
        <w:rPr>
          <w:rFonts w:ascii="Arial" w:hAnsi="Arial" w:cs="Arial"/>
          <w:sz w:val="23"/>
          <w:szCs w:val="23"/>
        </w:rPr>
        <w:t>Committee on Climate Change. (2024). Health and climate change: progress report. London: committee on climate change.</w:t>
      </w:r>
    </w:p>
    <w:p w14:paraId="6FB99609" w14:textId="41F446BB" w:rsidR="007B6F91" w:rsidRDefault="007B6F91" w:rsidP="00CE5D12">
      <w:pPr>
        <w:rPr>
          <w:rFonts w:ascii="Arial" w:hAnsi="Arial" w:cs="Arial"/>
          <w:sz w:val="23"/>
          <w:szCs w:val="23"/>
        </w:rPr>
      </w:pPr>
      <w:r>
        <w:rPr>
          <w:rFonts w:ascii="Arial" w:hAnsi="Arial" w:cs="Arial"/>
          <w:sz w:val="23"/>
          <w:szCs w:val="23"/>
        </w:rPr>
        <w:t xml:space="preserve">Health Foundation. (2024). NHS funding and workforce report 2024. London: the health foundation. </w:t>
      </w:r>
    </w:p>
    <w:p w14:paraId="66AA3EAD" w14:textId="41C072AA" w:rsidR="007B6F91" w:rsidRDefault="007B6F91" w:rsidP="00CE5D12">
      <w:pPr>
        <w:rPr>
          <w:rFonts w:ascii="Arial" w:hAnsi="Arial" w:cs="Arial"/>
          <w:sz w:val="23"/>
          <w:szCs w:val="23"/>
        </w:rPr>
      </w:pPr>
      <w:r>
        <w:rPr>
          <w:rFonts w:ascii="Arial" w:hAnsi="Arial" w:cs="Arial"/>
          <w:sz w:val="23"/>
          <w:szCs w:val="23"/>
        </w:rPr>
        <w:t xml:space="preserve">Jones, C, </w:t>
      </w:r>
      <w:r w:rsidR="00D705AD">
        <w:rPr>
          <w:rFonts w:ascii="Arial" w:hAnsi="Arial" w:cs="Arial"/>
          <w:sz w:val="23"/>
          <w:szCs w:val="23"/>
        </w:rPr>
        <w:t>et, al.</w:t>
      </w:r>
      <w:r>
        <w:rPr>
          <w:rFonts w:ascii="Arial" w:hAnsi="Arial" w:cs="Arial"/>
          <w:sz w:val="23"/>
          <w:szCs w:val="23"/>
        </w:rPr>
        <w:t xml:space="preserve"> (2021). Applying the health belief model to global health policy</w:t>
      </w:r>
      <w:r w:rsidR="00D705AD">
        <w:rPr>
          <w:rFonts w:ascii="Arial" w:hAnsi="Arial" w:cs="Arial"/>
          <w:sz w:val="23"/>
          <w:szCs w:val="23"/>
        </w:rPr>
        <w:t>, journal of public health, 43 (2), pp. 345-352.</w:t>
      </w:r>
    </w:p>
    <w:p w14:paraId="693578CE" w14:textId="655837C4" w:rsidR="00D705AD" w:rsidRDefault="00D705AD" w:rsidP="00CE5D12">
      <w:pPr>
        <w:rPr>
          <w:rFonts w:ascii="Arial" w:hAnsi="Arial" w:cs="Arial"/>
          <w:sz w:val="23"/>
          <w:szCs w:val="23"/>
        </w:rPr>
      </w:pPr>
      <w:r>
        <w:rPr>
          <w:rFonts w:ascii="Arial" w:hAnsi="Arial" w:cs="Arial"/>
          <w:sz w:val="23"/>
          <w:szCs w:val="23"/>
        </w:rPr>
        <w:t xml:space="preserve">Marmot, M. (2021). Build back fairer: the Marmot review post-covid. London: institute of health equity. </w:t>
      </w:r>
    </w:p>
    <w:p w14:paraId="7BFE018A" w14:textId="5C9CFB62" w:rsidR="00D705AD" w:rsidRDefault="00D705AD" w:rsidP="00CE5D12">
      <w:pPr>
        <w:rPr>
          <w:rFonts w:ascii="Arial" w:hAnsi="Arial" w:cs="Arial"/>
          <w:sz w:val="23"/>
          <w:szCs w:val="23"/>
        </w:rPr>
      </w:pPr>
      <w:r>
        <w:rPr>
          <w:rFonts w:ascii="Arial" w:hAnsi="Arial" w:cs="Arial"/>
          <w:sz w:val="23"/>
          <w:szCs w:val="23"/>
        </w:rPr>
        <w:t xml:space="preserve">Myers, S.S., et al. (2021). Planetary health: a new discipline for sustainable development’, Annual review of environment and resources, 46, pp. 1-28. </w:t>
      </w:r>
    </w:p>
    <w:p w14:paraId="6FF86B33" w14:textId="3433C4B2" w:rsidR="00D705AD" w:rsidRDefault="00D705AD" w:rsidP="00CE5D12">
      <w:pPr>
        <w:rPr>
          <w:rFonts w:ascii="Arial" w:hAnsi="Arial" w:cs="Arial"/>
          <w:sz w:val="23"/>
          <w:szCs w:val="23"/>
        </w:rPr>
      </w:pPr>
      <w:r>
        <w:rPr>
          <w:rFonts w:ascii="Arial" w:hAnsi="Arial" w:cs="Arial"/>
          <w:sz w:val="23"/>
          <w:szCs w:val="23"/>
        </w:rPr>
        <w:t>NHS England. (2019). The NHS long term plan. London: NHS England.</w:t>
      </w:r>
    </w:p>
    <w:p w14:paraId="46F7F5B1" w14:textId="52637D18" w:rsidR="00D705AD" w:rsidRDefault="00D705AD" w:rsidP="00CE5D12">
      <w:pPr>
        <w:rPr>
          <w:rFonts w:ascii="Arial" w:hAnsi="Arial" w:cs="Arial"/>
          <w:sz w:val="23"/>
          <w:szCs w:val="23"/>
        </w:rPr>
      </w:pPr>
      <w:r>
        <w:rPr>
          <w:rFonts w:ascii="Arial" w:hAnsi="Arial" w:cs="Arial"/>
          <w:sz w:val="23"/>
          <w:szCs w:val="23"/>
        </w:rPr>
        <w:t xml:space="preserve">NHS England. (2023). Delivering a net zero NHS. London: NHS England. </w:t>
      </w:r>
    </w:p>
    <w:p w14:paraId="47C12ADF" w14:textId="283AAD2B" w:rsidR="00D705AD" w:rsidRDefault="00D705AD" w:rsidP="00CE5D12">
      <w:pPr>
        <w:rPr>
          <w:rFonts w:ascii="Arial" w:hAnsi="Arial" w:cs="Arial"/>
          <w:sz w:val="23"/>
          <w:szCs w:val="23"/>
        </w:rPr>
      </w:pPr>
      <w:r>
        <w:rPr>
          <w:rFonts w:ascii="Arial" w:hAnsi="Arial" w:cs="Arial"/>
          <w:sz w:val="23"/>
          <w:szCs w:val="23"/>
        </w:rPr>
        <w:t xml:space="preserve">Public health England. (2023). Health inequalities in the west midlands. London: UK health security agency. </w:t>
      </w:r>
    </w:p>
    <w:p w14:paraId="3D83596B" w14:textId="730A2CEB" w:rsidR="00AF3CF6" w:rsidRDefault="00D705AD" w:rsidP="00CE5D12">
      <w:pPr>
        <w:rPr>
          <w:rFonts w:ascii="Arial" w:hAnsi="Arial" w:cs="Arial"/>
          <w:sz w:val="23"/>
          <w:szCs w:val="23"/>
        </w:rPr>
      </w:pPr>
      <w:r>
        <w:rPr>
          <w:rFonts w:ascii="Arial" w:hAnsi="Arial" w:cs="Arial"/>
          <w:sz w:val="23"/>
          <w:szCs w:val="23"/>
        </w:rPr>
        <w:t>Rosenst</w:t>
      </w:r>
      <w:r w:rsidR="00AF3CF6">
        <w:rPr>
          <w:rFonts w:ascii="Arial" w:hAnsi="Arial" w:cs="Arial"/>
          <w:sz w:val="23"/>
          <w:szCs w:val="23"/>
        </w:rPr>
        <w:t xml:space="preserve">ock, I.M., Strecher, V.J. and Becker, M.H. (1988). ‘Social learning theory and the health belief model’, health education quarterly, 15 (2), pp.175-183. </w:t>
      </w:r>
    </w:p>
    <w:p w14:paraId="4B2A18AB" w14:textId="7BF1EB42" w:rsidR="00AF3CF6" w:rsidRDefault="00AF3CF6" w:rsidP="00CE5D12">
      <w:pPr>
        <w:rPr>
          <w:rFonts w:ascii="Arial" w:hAnsi="Arial" w:cs="Arial"/>
          <w:sz w:val="23"/>
          <w:szCs w:val="23"/>
        </w:rPr>
      </w:pPr>
      <w:r>
        <w:rPr>
          <w:rFonts w:ascii="Arial" w:hAnsi="Arial" w:cs="Arial"/>
          <w:sz w:val="23"/>
          <w:szCs w:val="23"/>
        </w:rPr>
        <w:t xml:space="preserve">Rydin, Y., et al. (2022). Healthy cities: planning for health and wellbeing. Bristol: policy press. </w:t>
      </w:r>
    </w:p>
    <w:p w14:paraId="18A764A6" w14:textId="7F5AF3D8" w:rsidR="00AF3CF6" w:rsidRDefault="00AF3CF6" w:rsidP="00CE5D12">
      <w:pPr>
        <w:rPr>
          <w:rFonts w:ascii="Arial" w:hAnsi="Arial" w:cs="Arial"/>
          <w:sz w:val="23"/>
          <w:szCs w:val="23"/>
        </w:rPr>
      </w:pPr>
      <w:r>
        <w:rPr>
          <w:rFonts w:ascii="Arial" w:hAnsi="Arial" w:cs="Arial"/>
          <w:sz w:val="23"/>
          <w:szCs w:val="23"/>
        </w:rPr>
        <w:t>Sallis, J.F., et al. (2021). Built environment approaches to increase physical activity’, Annual review of public health, 42, pp. 219-237.</w:t>
      </w:r>
    </w:p>
    <w:p w14:paraId="25D03B8B" w14:textId="0F5F096C" w:rsidR="00AF3CF6" w:rsidRDefault="00AF3CF6" w:rsidP="00CE5D12">
      <w:pPr>
        <w:rPr>
          <w:rFonts w:ascii="Arial" w:hAnsi="Arial" w:cs="Arial"/>
          <w:sz w:val="23"/>
          <w:szCs w:val="23"/>
        </w:rPr>
      </w:pPr>
      <w:r>
        <w:rPr>
          <w:rFonts w:ascii="Arial" w:hAnsi="Arial" w:cs="Arial"/>
          <w:sz w:val="23"/>
          <w:szCs w:val="23"/>
        </w:rPr>
        <w:t xml:space="preserve">Tudor Hart, J. (2021). ‘The inverse care law: 50 years on’, the British journal of general practise, 71 (708), pp. 326-327. </w:t>
      </w:r>
    </w:p>
    <w:p w14:paraId="3207B0AF" w14:textId="0E8D099B" w:rsidR="00AF3CF6" w:rsidRDefault="00AF3CF6" w:rsidP="00CE5D12">
      <w:pPr>
        <w:rPr>
          <w:rFonts w:ascii="Arial" w:hAnsi="Arial" w:cs="Arial"/>
          <w:sz w:val="23"/>
          <w:szCs w:val="23"/>
        </w:rPr>
      </w:pPr>
      <w:r>
        <w:rPr>
          <w:rFonts w:ascii="Arial" w:hAnsi="Arial" w:cs="Arial"/>
          <w:sz w:val="23"/>
          <w:szCs w:val="23"/>
        </w:rPr>
        <w:t xml:space="preserve">United Nations, (2015). Transforming our world: the 2030 agenda for sustainable development. New York: united nations. </w:t>
      </w:r>
    </w:p>
    <w:p w14:paraId="134DBD96" w14:textId="3BF95745" w:rsidR="00AF3CF6" w:rsidRDefault="00AF3CF6" w:rsidP="00CE5D12">
      <w:pPr>
        <w:rPr>
          <w:rFonts w:ascii="Arial" w:hAnsi="Arial" w:cs="Arial"/>
          <w:sz w:val="23"/>
          <w:szCs w:val="23"/>
        </w:rPr>
      </w:pPr>
      <w:r>
        <w:rPr>
          <w:rFonts w:ascii="Arial" w:hAnsi="Arial" w:cs="Arial"/>
          <w:sz w:val="23"/>
          <w:szCs w:val="23"/>
        </w:rPr>
        <w:t xml:space="preserve">United Nations. (2023). SDG progress report 2023. New York: united nations department of economic and social affairs. </w:t>
      </w:r>
    </w:p>
    <w:p w14:paraId="78A835DB" w14:textId="376CC460" w:rsidR="00AF3CF6" w:rsidRDefault="00AF3CF6" w:rsidP="00CE5D12">
      <w:pPr>
        <w:rPr>
          <w:rFonts w:ascii="Arial" w:hAnsi="Arial" w:cs="Arial"/>
          <w:sz w:val="23"/>
          <w:szCs w:val="23"/>
        </w:rPr>
      </w:pPr>
      <w:r>
        <w:rPr>
          <w:rFonts w:ascii="Arial" w:hAnsi="Arial" w:cs="Arial"/>
          <w:sz w:val="23"/>
          <w:szCs w:val="23"/>
        </w:rPr>
        <w:lastRenderedPageBreak/>
        <w:t xml:space="preserve">United Nations. (2025). World cities report 2025. Nairobi: UN-Habitat. </w:t>
      </w:r>
    </w:p>
    <w:p w14:paraId="0CDDE4D8" w14:textId="2A6A9B6C" w:rsidR="00AF3CF6" w:rsidRDefault="00AF3CF6" w:rsidP="00CE5D12">
      <w:pPr>
        <w:rPr>
          <w:rFonts w:ascii="Arial" w:hAnsi="Arial" w:cs="Arial"/>
          <w:sz w:val="23"/>
          <w:szCs w:val="23"/>
        </w:rPr>
      </w:pPr>
      <w:r>
        <w:rPr>
          <w:rFonts w:ascii="Arial" w:hAnsi="Arial" w:cs="Arial"/>
          <w:sz w:val="23"/>
          <w:szCs w:val="23"/>
        </w:rPr>
        <w:t>United nations</w:t>
      </w:r>
      <w:r w:rsidR="00E1620D">
        <w:rPr>
          <w:rFonts w:ascii="Arial" w:hAnsi="Arial" w:cs="Arial"/>
          <w:sz w:val="23"/>
          <w:szCs w:val="23"/>
        </w:rPr>
        <w:t xml:space="preserve"> department of economic and social affair. (2024). World urbanization prospects. New York: united nations. </w:t>
      </w:r>
    </w:p>
    <w:p w14:paraId="6B0C02F6" w14:textId="4DBF2D39" w:rsidR="00E1620D" w:rsidRDefault="00E1620D" w:rsidP="00CE5D12">
      <w:pPr>
        <w:rPr>
          <w:rFonts w:ascii="Arial" w:hAnsi="Arial" w:cs="Arial"/>
          <w:sz w:val="23"/>
          <w:szCs w:val="23"/>
        </w:rPr>
      </w:pPr>
      <w:r>
        <w:rPr>
          <w:rFonts w:ascii="Arial" w:hAnsi="Arial" w:cs="Arial"/>
          <w:sz w:val="23"/>
          <w:szCs w:val="23"/>
        </w:rPr>
        <w:t xml:space="preserve">Ward Thompson, C., et al. (2022). Green space and health: evidence from UK cities’, Journal of environmental psychology, 81, 101892. </w:t>
      </w:r>
    </w:p>
    <w:p w14:paraId="60493E95" w14:textId="0A072D00" w:rsidR="00E1620D" w:rsidRDefault="00E1620D" w:rsidP="00CE5D12">
      <w:pPr>
        <w:rPr>
          <w:rFonts w:ascii="Arial" w:hAnsi="Arial" w:cs="Arial"/>
          <w:sz w:val="23"/>
          <w:szCs w:val="23"/>
        </w:rPr>
      </w:pPr>
      <w:r>
        <w:rPr>
          <w:rFonts w:ascii="Arial" w:hAnsi="Arial" w:cs="Arial"/>
          <w:sz w:val="23"/>
          <w:szCs w:val="23"/>
        </w:rPr>
        <w:t xml:space="preserve">West Midlands combined authority. (2025). Health and inequality in Birmingham. Birmingham: WMCA. </w:t>
      </w:r>
    </w:p>
    <w:p w14:paraId="12122003" w14:textId="724C6654" w:rsidR="00E1620D" w:rsidRDefault="00E1620D" w:rsidP="00CE5D12">
      <w:pPr>
        <w:rPr>
          <w:rFonts w:ascii="Arial" w:hAnsi="Arial" w:cs="Arial"/>
          <w:sz w:val="23"/>
          <w:szCs w:val="23"/>
        </w:rPr>
      </w:pPr>
      <w:r>
        <w:rPr>
          <w:rFonts w:ascii="Arial" w:hAnsi="Arial" w:cs="Arial"/>
          <w:sz w:val="23"/>
          <w:szCs w:val="23"/>
        </w:rPr>
        <w:t xml:space="preserve">World bank. (2024). Universal health coverage global monitoring report. Washington DC: world bank. </w:t>
      </w:r>
    </w:p>
    <w:p w14:paraId="7FDF4E8E" w14:textId="56FC65E0" w:rsidR="00E1620D" w:rsidRDefault="00E1620D" w:rsidP="00CE5D12">
      <w:pPr>
        <w:rPr>
          <w:rFonts w:ascii="Arial" w:hAnsi="Arial" w:cs="Arial"/>
          <w:sz w:val="23"/>
          <w:szCs w:val="23"/>
        </w:rPr>
      </w:pPr>
      <w:r>
        <w:rPr>
          <w:rFonts w:ascii="Arial" w:hAnsi="Arial" w:cs="Arial"/>
          <w:sz w:val="23"/>
          <w:szCs w:val="23"/>
        </w:rPr>
        <w:t xml:space="preserve">World health organization. (2021). health as a human right. Geneva: WHO. </w:t>
      </w:r>
    </w:p>
    <w:p w14:paraId="60C90B06" w14:textId="15D77944" w:rsidR="00E1620D" w:rsidRDefault="00E1620D" w:rsidP="00CE5D12">
      <w:pPr>
        <w:rPr>
          <w:rFonts w:ascii="Arial" w:hAnsi="Arial" w:cs="Arial"/>
          <w:sz w:val="23"/>
          <w:szCs w:val="23"/>
        </w:rPr>
      </w:pPr>
      <w:r>
        <w:rPr>
          <w:rFonts w:ascii="Arial" w:hAnsi="Arial" w:cs="Arial"/>
          <w:sz w:val="23"/>
          <w:szCs w:val="23"/>
        </w:rPr>
        <w:t>World health organization. (2022). Mental health atlas 2022. Geneva: WHO.</w:t>
      </w:r>
    </w:p>
    <w:p w14:paraId="590793A9" w14:textId="415F7B08" w:rsidR="00E1620D" w:rsidRDefault="00E1620D" w:rsidP="00CE5D12">
      <w:pPr>
        <w:rPr>
          <w:rFonts w:ascii="Arial" w:hAnsi="Arial" w:cs="Arial"/>
          <w:sz w:val="23"/>
          <w:szCs w:val="23"/>
        </w:rPr>
      </w:pPr>
      <w:r>
        <w:rPr>
          <w:rFonts w:ascii="Arial" w:hAnsi="Arial" w:cs="Arial"/>
          <w:sz w:val="23"/>
          <w:szCs w:val="23"/>
        </w:rPr>
        <w:t xml:space="preserve">World health organization. (2023). SDG 3: good health and wellbeing progress report. Geneva: WHO. </w:t>
      </w:r>
    </w:p>
    <w:p w14:paraId="1DA40B1C" w14:textId="6CFAB73C" w:rsidR="00E1620D" w:rsidRDefault="00E1620D" w:rsidP="00CE5D12">
      <w:pPr>
        <w:rPr>
          <w:rFonts w:ascii="Arial" w:hAnsi="Arial" w:cs="Arial"/>
          <w:sz w:val="23"/>
          <w:szCs w:val="23"/>
        </w:rPr>
      </w:pPr>
      <w:r>
        <w:rPr>
          <w:rFonts w:ascii="Arial" w:hAnsi="Arial" w:cs="Arial"/>
          <w:sz w:val="23"/>
          <w:szCs w:val="23"/>
        </w:rPr>
        <w:t xml:space="preserve">World health organization. (2024). Global report on universal health coverage. Geneva: WHO. </w:t>
      </w:r>
    </w:p>
    <w:p w14:paraId="7C8180E2" w14:textId="77777777" w:rsidR="000476F1" w:rsidRDefault="000476F1" w:rsidP="00CE5D12">
      <w:pPr>
        <w:rPr>
          <w:rFonts w:ascii="Arial" w:hAnsi="Arial" w:cs="Arial"/>
          <w:sz w:val="23"/>
          <w:szCs w:val="23"/>
        </w:rPr>
      </w:pPr>
    </w:p>
    <w:p w14:paraId="4D37E002" w14:textId="77777777" w:rsidR="00E1620D" w:rsidRDefault="00E1620D" w:rsidP="00CE5D12">
      <w:pPr>
        <w:rPr>
          <w:rFonts w:ascii="Arial" w:hAnsi="Arial" w:cs="Arial"/>
          <w:sz w:val="23"/>
          <w:szCs w:val="23"/>
        </w:rPr>
      </w:pPr>
    </w:p>
    <w:p w14:paraId="77A2B223" w14:textId="77777777" w:rsidR="00E1620D" w:rsidRDefault="00E1620D" w:rsidP="00CE5D12">
      <w:pPr>
        <w:rPr>
          <w:rFonts w:ascii="Arial" w:hAnsi="Arial" w:cs="Arial"/>
          <w:sz w:val="23"/>
          <w:szCs w:val="23"/>
        </w:rPr>
      </w:pPr>
    </w:p>
    <w:p w14:paraId="70D4AD8C" w14:textId="77777777" w:rsidR="00E1620D" w:rsidRDefault="00E1620D" w:rsidP="00CE5D12">
      <w:pPr>
        <w:rPr>
          <w:rFonts w:ascii="Arial" w:hAnsi="Arial" w:cs="Arial"/>
          <w:sz w:val="23"/>
          <w:szCs w:val="23"/>
        </w:rPr>
      </w:pPr>
    </w:p>
    <w:p w14:paraId="3D6471F5" w14:textId="77777777" w:rsidR="00AF3CF6" w:rsidRDefault="00AF3CF6" w:rsidP="00CE5D12">
      <w:pPr>
        <w:rPr>
          <w:rFonts w:ascii="Arial" w:hAnsi="Arial" w:cs="Arial"/>
          <w:sz w:val="23"/>
          <w:szCs w:val="23"/>
        </w:rPr>
      </w:pPr>
    </w:p>
    <w:p w14:paraId="6E730408" w14:textId="77777777" w:rsidR="00AF3CF6" w:rsidRDefault="00AF3CF6" w:rsidP="00CE5D12">
      <w:pPr>
        <w:rPr>
          <w:rFonts w:ascii="Arial" w:hAnsi="Arial" w:cs="Arial"/>
          <w:sz w:val="23"/>
          <w:szCs w:val="23"/>
        </w:rPr>
      </w:pPr>
    </w:p>
    <w:p w14:paraId="01A46279" w14:textId="77777777" w:rsidR="00AF3CF6" w:rsidRDefault="00AF3CF6" w:rsidP="00CE5D12">
      <w:pPr>
        <w:rPr>
          <w:rFonts w:ascii="Arial" w:hAnsi="Arial" w:cs="Arial"/>
          <w:sz w:val="23"/>
          <w:szCs w:val="23"/>
        </w:rPr>
      </w:pPr>
    </w:p>
    <w:p w14:paraId="7428AAB2" w14:textId="77777777" w:rsidR="00D705AD" w:rsidRDefault="00D705AD" w:rsidP="00CE5D12">
      <w:pPr>
        <w:rPr>
          <w:rFonts w:ascii="Arial" w:hAnsi="Arial" w:cs="Arial"/>
          <w:sz w:val="23"/>
          <w:szCs w:val="23"/>
        </w:rPr>
      </w:pPr>
    </w:p>
    <w:p w14:paraId="163070A7" w14:textId="77777777" w:rsidR="007B6F91" w:rsidRPr="007B6F91" w:rsidRDefault="007B6F91" w:rsidP="00CE5D12">
      <w:pPr>
        <w:rPr>
          <w:rFonts w:ascii="Arial" w:hAnsi="Arial" w:cs="Arial"/>
          <w:sz w:val="23"/>
          <w:szCs w:val="23"/>
        </w:rPr>
      </w:pPr>
    </w:p>
    <w:p w14:paraId="0010761E" w14:textId="77777777" w:rsidR="007B6F91" w:rsidRPr="007B6F91" w:rsidRDefault="007B6F91" w:rsidP="00CE5D12">
      <w:pPr>
        <w:rPr>
          <w:rFonts w:ascii="Arial" w:hAnsi="Arial" w:cs="Arial"/>
          <w:b/>
          <w:bCs/>
          <w:i/>
          <w:iCs/>
          <w:sz w:val="23"/>
          <w:szCs w:val="23"/>
        </w:rPr>
      </w:pPr>
    </w:p>
    <w:p w14:paraId="405B0897" w14:textId="77777777" w:rsidR="007B6F91" w:rsidRDefault="007B6F91" w:rsidP="00CE5D12">
      <w:pPr>
        <w:rPr>
          <w:rFonts w:ascii="Arial" w:hAnsi="Arial" w:cs="Arial"/>
          <w:sz w:val="23"/>
          <w:szCs w:val="23"/>
        </w:rPr>
      </w:pPr>
    </w:p>
    <w:p w14:paraId="6DED0AD4" w14:textId="77777777" w:rsidR="007B6F91" w:rsidRDefault="007B6F91" w:rsidP="00CE5D12">
      <w:pPr>
        <w:rPr>
          <w:rFonts w:ascii="Arial" w:hAnsi="Arial" w:cs="Arial"/>
          <w:sz w:val="23"/>
          <w:szCs w:val="23"/>
        </w:rPr>
      </w:pPr>
    </w:p>
    <w:p w14:paraId="615B4C06" w14:textId="77777777" w:rsidR="007B6F91" w:rsidRDefault="007B6F91" w:rsidP="00CE5D12">
      <w:pPr>
        <w:rPr>
          <w:rFonts w:ascii="Arial" w:hAnsi="Arial" w:cs="Arial"/>
          <w:sz w:val="23"/>
          <w:szCs w:val="23"/>
        </w:rPr>
      </w:pPr>
    </w:p>
    <w:p w14:paraId="0A226645" w14:textId="77777777" w:rsidR="007B6F91" w:rsidRDefault="007B6F91" w:rsidP="00CE5D12">
      <w:pPr>
        <w:rPr>
          <w:rFonts w:ascii="Arial" w:hAnsi="Arial" w:cs="Arial"/>
          <w:sz w:val="23"/>
          <w:szCs w:val="23"/>
        </w:rPr>
      </w:pPr>
    </w:p>
    <w:p w14:paraId="653D6EA2" w14:textId="06807C04" w:rsidR="002F243F" w:rsidRDefault="007B6F91" w:rsidP="00CE5D12">
      <w:pPr>
        <w:rPr>
          <w:rFonts w:ascii="Arial" w:hAnsi="Arial" w:cs="Arial"/>
          <w:sz w:val="23"/>
          <w:szCs w:val="23"/>
        </w:rPr>
      </w:pPr>
      <w:r>
        <w:rPr>
          <w:rFonts w:ascii="Arial" w:hAnsi="Arial" w:cs="Arial"/>
          <w:sz w:val="23"/>
          <w:szCs w:val="23"/>
        </w:rPr>
        <w:t xml:space="preserve"> </w:t>
      </w:r>
    </w:p>
    <w:p w14:paraId="12A6C9B4" w14:textId="77777777" w:rsidR="00CE5D12" w:rsidRPr="00CE5D12" w:rsidRDefault="00CE5D12" w:rsidP="00CE5D12">
      <w:pPr>
        <w:rPr>
          <w:rFonts w:ascii="Arial" w:hAnsi="Arial" w:cs="Arial"/>
          <w:sz w:val="23"/>
          <w:szCs w:val="23"/>
        </w:rPr>
      </w:pPr>
    </w:p>
    <w:p w14:paraId="42816DDE" w14:textId="77777777" w:rsidR="008D1BD6" w:rsidRPr="008D1BD6" w:rsidRDefault="008D1BD6" w:rsidP="00325DEC">
      <w:pPr>
        <w:rPr>
          <w:rFonts w:ascii="Arial" w:hAnsi="Arial" w:cs="Arial"/>
          <w:sz w:val="23"/>
          <w:szCs w:val="23"/>
        </w:rPr>
      </w:pPr>
    </w:p>
    <w:p w14:paraId="2EBFFD36" w14:textId="77777777" w:rsidR="007A711B" w:rsidRPr="007A711B" w:rsidRDefault="007A711B" w:rsidP="00325DEC">
      <w:pPr>
        <w:rPr>
          <w:rFonts w:ascii="Arial" w:hAnsi="Arial" w:cs="Arial"/>
          <w:b/>
          <w:bCs/>
          <w:i/>
          <w:iCs/>
          <w:sz w:val="23"/>
          <w:szCs w:val="23"/>
        </w:rPr>
      </w:pPr>
    </w:p>
    <w:p w14:paraId="0562DB10" w14:textId="77777777" w:rsidR="00325DEC" w:rsidRPr="00171E93" w:rsidRDefault="00325DEC" w:rsidP="00171E93">
      <w:pPr>
        <w:jc w:val="center"/>
        <w:rPr>
          <w:rFonts w:ascii="Arial" w:hAnsi="Arial" w:cs="Arial"/>
          <w:sz w:val="23"/>
          <w:szCs w:val="23"/>
        </w:rPr>
      </w:pPr>
    </w:p>
    <w:sectPr w:rsidR="00325DEC" w:rsidRPr="00171E93" w:rsidSect="00171E93">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D127C"/>
    <w:multiLevelType w:val="hybridMultilevel"/>
    <w:tmpl w:val="A074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961A1"/>
    <w:multiLevelType w:val="hybridMultilevel"/>
    <w:tmpl w:val="73BED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9549776">
    <w:abstractNumId w:val="1"/>
  </w:num>
  <w:num w:numId="2" w16cid:durableId="1529298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1D5"/>
    <w:rsid w:val="000476F1"/>
    <w:rsid w:val="00062978"/>
    <w:rsid w:val="00067870"/>
    <w:rsid w:val="000C02A1"/>
    <w:rsid w:val="00107373"/>
    <w:rsid w:val="00142530"/>
    <w:rsid w:val="00143DDB"/>
    <w:rsid w:val="00157269"/>
    <w:rsid w:val="00171E93"/>
    <w:rsid w:val="001E5566"/>
    <w:rsid w:val="00205B23"/>
    <w:rsid w:val="0023231E"/>
    <w:rsid w:val="002501D5"/>
    <w:rsid w:val="002956EE"/>
    <w:rsid w:val="002B1329"/>
    <w:rsid w:val="002F243F"/>
    <w:rsid w:val="00316252"/>
    <w:rsid w:val="00325DEC"/>
    <w:rsid w:val="003345D5"/>
    <w:rsid w:val="0036300F"/>
    <w:rsid w:val="003D18CB"/>
    <w:rsid w:val="003E4A5F"/>
    <w:rsid w:val="004016ED"/>
    <w:rsid w:val="0049017E"/>
    <w:rsid w:val="00571AB1"/>
    <w:rsid w:val="005A1062"/>
    <w:rsid w:val="00652982"/>
    <w:rsid w:val="0066229B"/>
    <w:rsid w:val="006C2BAD"/>
    <w:rsid w:val="006C7455"/>
    <w:rsid w:val="006C78E4"/>
    <w:rsid w:val="006D3268"/>
    <w:rsid w:val="006E376B"/>
    <w:rsid w:val="00745B4F"/>
    <w:rsid w:val="00785E3F"/>
    <w:rsid w:val="007977CD"/>
    <w:rsid w:val="007A711B"/>
    <w:rsid w:val="007B6F91"/>
    <w:rsid w:val="00806001"/>
    <w:rsid w:val="008353C2"/>
    <w:rsid w:val="008D1BD6"/>
    <w:rsid w:val="008D3CD0"/>
    <w:rsid w:val="009663EA"/>
    <w:rsid w:val="00A00968"/>
    <w:rsid w:val="00AF3CF6"/>
    <w:rsid w:val="00B36F1D"/>
    <w:rsid w:val="00B7797F"/>
    <w:rsid w:val="00BB5472"/>
    <w:rsid w:val="00C06574"/>
    <w:rsid w:val="00C74F63"/>
    <w:rsid w:val="00C76224"/>
    <w:rsid w:val="00C9619D"/>
    <w:rsid w:val="00CA58B2"/>
    <w:rsid w:val="00CC20B9"/>
    <w:rsid w:val="00CD36A9"/>
    <w:rsid w:val="00CE5D12"/>
    <w:rsid w:val="00CF53C9"/>
    <w:rsid w:val="00D33DD6"/>
    <w:rsid w:val="00D705AD"/>
    <w:rsid w:val="00D87C77"/>
    <w:rsid w:val="00DF09F9"/>
    <w:rsid w:val="00E1620D"/>
    <w:rsid w:val="00E40894"/>
    <w:rsid w:val="00E4197A"/>
    <w:rsid w:val="00EA07CD"/>
    <w:rsid w:val="00EA606C"/>
    <w:rsid w:val="00EC2953"/>
    <w:rsid w:val="00F353A5"/>
    <w:rsid w:val="00FB0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93985"/>
  <w15:chartTrackingRefBased/>
  <w15:docId w15:val="{35E75345-C820-4760-AA0B-68156BDCE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1D5"/>
    <w:rPr>
      <w:rFonts w:eastAsiaTheme="majorEastAsia" w:cstheme="majorBidi"/>
      <w:color w:val="272727" w:themeColor="text1" w:themeTint="D8"/>
    </w:rPr>
  </w:style>
  <w:style w:type="paragraph" w:styleId="Title">
    <w:name w:val="Title"/>
    <w:basedOn w:val="Normal"/>
    <w:next w:val="Normal"/>
    <w:link w:val="TitleChar"/>
    <w:uiPriority w:val="10"/>
    <w:qFormat/>
    <w:rsid w:val="00250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1D5"/>
    <w:pPr>
      <w:spacing w:before="160"/>
      <w:jc w:val="center"/>
    </w:pPr>
    <w:rPr>
      <w:i/>
      <w:iCs/>
      <w:color w:val="404040" w:themeColor="text1" w:themeTint="BF"/>
    </w:rPr>
  </w:style>
  <w:style w:type="character" w:customStyle="1" w:styleId="QuoteChar">
    <w:name w:val="Quote Char"/>
    <w:basedOn w:val="DefaultParagraphFont"/>
    <w:link w:val="Quote"/>
    <w:uiPriority w:val="29"/>
    <w:rsid w:val="002501D5"/>
    <w:rPr>
      <w:i/>
      <w:iCs/>
      <w:color w:val="404040" w:themeColor="text1" w:themeTint="BF"/>
    </w:rPr>
  </w:style>
  <w:style w:type="paragraph" w:styleId="ListParagraph">
    <w:name w:val="List Paragraph"/>
    <w:basedOn w:val="Normal"/>
    <w:uiPriority w:val="34"/>
    <w:qFormat/>
    <w:rsid w:val="002501D5"/>
    <w:pPr>
      <w:ind w:left="720"/>
      <w:contextualSpacing/>
    </w:pPr>
  </w:style>
  <w:style w:type="character" w:styleId="IntenseEmphasis">
    <w:name w:val="Intense Emphasis"/>
    <w:basedOn w:val="DefaultParagraphFont"/>
    <w:uiPriority w:val="21"/>
    <w:qFormat/>
    <w:rsid w:val="002501D5"/>
    <w:rPr>
      <w:i/>
      <w:iCs/>
      <w:color w:val="0F4761" w:themeColor="accent1" w:themeShade="BF"/>
    </w:rPr>
  </w:style>
  <w:style w:type="paragraph" w:styleId="IntenseQuote">
    <w:name w:val="Intense Quote"/>
    <w:basedOn w:val="Normal"/>
    <w:next w:val="Normal"/>
    <w:link w:val="IntenseQuoteChar"/>
    <w:uiPriority w:val="30"/>
    <w:qFormat/>
    <w:rsid w:val="00250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1D5"/>
    <w:rPr>
      <w:i/>
      <w:iCs/>
      <w:color w:val="0F4761" w:themeColor="accent1" w:themeShade="BF"/>
    </w:rPr>
  </w:style>
  <w:style w:type="character" w:styleId="IntenseReference">
    <w:name w:val="Intense Reference"/>
    <w:basedOn w:val="DefaultParagraphFont"/>
    <w:uiPriority w:val="32"/>
    <w:qFormat/>
    <w:rsid w:val="002501D5"/>
    <w:rPr>
      <w:b/>
      <w:bCs/>
      <w:smallCaps/>
      <w:color w:val="0F4761" w:themeColor="accent1" w:themeShade="BF"/>
      <w:spacing w:val="5"/>
    </w:rPr>
  </w:style>
  <w:style w:type="paragraph" w:styleId="NoSpacing">
    <w:name w:val="No Spacing"/>
    <w:uiPriority w:val="1"/>
    <w:qFormat/>
    <w:rsid w:val="007977C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2058</TotalTime>
  <Pages>9</Pages>
  <Words>2377</Words>
  <Characters>13552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Saireen Mahmood (2238897)</dc:creator>
  <cp:keywords/>
  <dc:description/>
  <cp:lastModifiedBy>Saireen Mahmood (2238897)</cp:lastModifiedBy>
  <cp:revision>10</cp:revision>
  <dcterms:created xsi:type="dcterms:W3CDTF">2026-06-07T18:03:00Z</dcterms:created>
  <dcterms:modified xsi:type="dcterms:W3CDTF">2026-07-30T23:04:00Z</dcterms:modified>
</cp:coreProperties>
</file>