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xmlns:a14="http://schemas.microsoft.com/office/drawing/2010/main" mc:Ignorable="w14 w15 w16se w16cid w16 w16cex w16sdtdh w16sdtfl w16du wp14">
  <w:body>
    <w:p w:rsidR="1A4CA903" w:rsidP="7E8302CD" w:rsidRDefault="1A4CA903" w14:paraId="27F97D48" w14:textId="056D0B87">
      <w:pPr>
        <w:pStyle w:val="Normal"/>
        <w:spacing w:line="360" w:lineRule="auto"/>
        <w:jc w:val="both"/>
      </w:pPr>
      <w:r w:rsidR="1A4CA903">
        <w:drawing>
          <wp:inline wp14:editId="55B0C66A" wp14:anchorId="54870760">
            <wp:extent cx="4629150" cy="1323975"/>
            <wp:effectExtent l="0" t="0" r="0" b="0"/>
            <wp:docPr id="10338021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33802189" name="Picture 1033802189"/>
                    <pic:cNvPicPr/>
                  </pic:nvPicPr>
                  <pic:blipFill>
                    <a:blip xmlns:r="http://schemas.openxmlformats.org/officeDocument/2006/relationships" r:embed="rId525649489">
                      <a:extLst>
                        <a:ext uri="{28A0092B-C50C-407E-A947-70E740481C1C}">
                          <a14:useLocalDpi xmlns:a14="http://schemas.microsoft.com/office/drawing/2010/main"/>
                        </a:ext>
                      </a:extLst>
                    </a:blip>
                    <a:stretch>
                      <a:fillRect/>
                    </a:stretch>
                  </pic:blipFill>
                  <pic:spPr>
                    <a:xfrm>
                      <a:off x="0" y="0"/>
                      <a:ext cx="4629150" cy="1323975"/>
                    </a:xfrm>
                    <a:prstGeom prst="rect">
                      <a:avLst/>
                    </a:prstGeom>
                  </pic:spPr>
                </pic:pic>
              </a:graphicData>
            </a:graphic>
          </wp:inline>
        </w:drawing>
      </w:r>
    </w:p>
    <w:p w:rsidR="7E8302CD" w:rsidP="7E8302CD" w:rsidRDefault="7E8302CD" w14:paraId="488A16C6" w14:textId="13012EC1">
      <w:pPr>
        <w:pStyle w:val="Normal"/>
        <w:spacing w:line="360" w:lineRule="auto"/>
        <w:jc w:val="center"/>
        <w:rPr>
          <w:b w:val="1"/>
          <w:bCs w:val="1"/>
          <w:sz w:val="40"/>
          <w:szCs w:val="40"/>
        </w:rPr>
      </w:pPr>
    </w:p>
    <w:p w:rsidR="1A4CA903" w:rsidP="7E8302CD" w:rsidRDefault="1A4CA903" w14:paraId="2A1F98AE" w14:textId="64BB5F03">
      <w:pPr>
        <w:pStyle w:val="Normal"/>
        <w:spacing w:line="360" w:lineRule="auto"/>
        <w:jc w:val="center"/>
        <w:rPr>
          <w:b w:val="1"/>
          <w:bCs w:val="1"/>
          <w:sz w:val="40"/>
          <w:szCs w:val="40"/>
        </w:rPr>
      </w:pPr>
      <w:r w:rsidRPr="7E8302CD" w:rsidR="1A4CA903">
        <w:rPr>
          <w:b w:val="1"/>
          <w:bCs w:val="1"/>
          <w:sz w:val="40"/>
          <w:szCs w:val="40"/>
        </w:rPr>
        <w:t>Student Name: Chizoma Awoyemi</w:t>
      </w:r>
    </w:p>
    <w:p w:rsidR="43E21977" w:rsidP="7E8302CD" w:rsidRDefault="43E21977" w14:paraId="447065F6" w14:textId="46704CE1">
      <w:pPr>
        <w:pStyle w:val="Normal"/>
        <w:spacing w:line="360" w:lineRule="auto"/>
        <w:jc w:val="center"/>
        <w:rPr>
          <w:b w:val="1"/>
          <w:bCs w:val="1"/>
          <w:sz w:val="40"/>
          <w:szCs w:val="40"/>
        </w:rPr>
      </w:pPr>
      <w:r w:rsidRPr="7E8302CD" w:rsidR="43E21977">
        <w:rPr>
          <w:b w:val="1"/>
          <w:bCs w:val="1"/>
          <w:sz w:val="40"/>
          <w:szCs w:val="40"/>
        </w:rPr>
        <w:t xml:space="preserve">Moodle: </w:t>
      </w:r>
      <w:r w:rsidRPr="7E8302CD" w:rsidR="661C3257">
        <w:rPr>
          <w:b w:val="1"/>
          <w:bCs w:val="1"/>
          <w:sz w:val="40"/>
          <w:szCs w:val="40"/>
        </w:rPr>
        <w:t>Social Epidemiology and Public Health Development</w:t>
      </w:r>
    </w:p>
    <w:p w:rsidR="574022F2" w:rsidP="7E8302CD" w:rsidRDefault="574022F2" w14:paraId="47DE1D4E" w14:textId="49E829F3">
      <w:pPr>
        <w:pStyle w:val="Normal"/>
        <w:spacing w:line="360" w:lineRule="auto"/>
        <w:jc w:val="center"/>
        <w:rPr>
          <w:b w:val="1"/>
          <w:bCs w:val="1"/>
          <w:sz w:val="40"/>
          <w:szCs w:val="40"/>
        </w:rPr>
      </w:pPr>
      <w:r w:rsidRPr="7E8302CD" w:rsidR="574022F2">
        <w:rPr>
          <w:b w:val="1"/>
          <w:bCs w:val="1"/>
          <w:sz w:val="40"/>
          <w:szCs w:val="40"/>
        </w:rPr>
        <w:t xml:space="preserve">Moodle code: </w:t>
      </w:r>
      <w:r w:rsidRPr="7E8302CD" w:rsidR="661C3257">
        <w:rPr>
          <w:b w:val="1"/>
          <w:bCs w:val="1"/>
          <w:sz w:val="40"/>
          <w:szCs w:val="40"/>
        </w:rPr>
        <w:t>LCHS70</w:t>
      </w:r>
      <w:r w:rsidRPr="7E8302CD" w:rsidR="2257EDAF">
        <w:rPr>
          <w:b w:val="1"/>
          <w:bCs w:val="1"/>
          <w:sz w:val="40"/>
          <w:szCs w:val="40"/>
        </w:rPr>
        <w:t>00</w:t>
      </w:r>
    </w:p>
    <w:p w:rsidR="7E8302CD" w:rsidP="7E8302CD" w:rsidRDefault="7E8302CD" w14:paraId="27707996" w14:textId="79AF7840">
      <w:pPr>
        <w:pStyle w:val="Normal"/>
        <w:rPr>
          <w:b w:val="1"/>
          <w:bCs w:val="1"/>
          <w:sz w:val="40"/>
          <w:szCs w:val="40"/>
        </w:rPr>
      </w:pPr>
    </w:p>
    <w:p w:rsidR="661C3257" w:rsidP="7E8302CD" w:rsidRDefault="661C3257" w14:paraId="65FE1053" w14:textId="63450F24">
      <w:pPr>
        <w:pStyle w:val="Normal"/>
        <w:spacing w:line="360" w:lineRule="auto"/>
        <w:jc w:val="center"/>
        <w:rPr>
          <w:b w:val="1"/>
          <w:bCs w:val="1"/>
          <w:sz w:val="40"/>
          <w:szCs w:val="40"/>
        </w:rPr>
      </w:pPr>
      <w:r w:rsidRPr="7E8302CD" w:rsidR="661C3257">
        <w:rPr>
          <w:b w:val="1"/>
          <w:bCs w:val="1"/>
          <w:sz w:val="40"/>
          <w:szCs w:val="40"/>
        </w:rPr>
        <w:t>Component</w:t>
      </w:r>
      <w:r w:rsidRPr="7E8302CD" w:rsidR="661C3257">
        <w:rPr>
          <w:b w:val="1"/>
          <w:bCs w:val="1"/>
          <w:sz w:val="40"/>
          <w:szCs w:val="40"/>
        </w:rPr>
        <w:t xml:space="preserve"> 2: Analytical Report</w:t>
      </w:r>
    </w:p>
    <w:p w:rsidR="284E01CD" w:rsidP="7E8302CD" w:rsidRDefault="284E01CD" w14:paraId="4DA69A99" w14:textId="410F5CEE">
      <w:pPr>
        <w:pStyle w:val="Normal"/>
        <w:spacing w:line="360" w:lineRule="auto"/>
        <w:jc w:val="center"/>
        <w:rPr>
          <w:b w:val="1"/>
          <w:bCs w:val="1"/>
          <w:sz w:val="40"/>
          <w:szCs w:val="40"/>
        </w:rPr>
      </w:pPr>
      <w:r w:rsidRPr="7E8302CD" w:rsidR="284E01CD">
        <w:rPr>
          <w:b w:val="1"/>
          <w:bCs w:val="1"/>
          <w:sz w:val="40"/>
          <w:szCs w:val="40"/>
        </w:rPr>
        <w:t xml:space="preserve">Lecturer: </w:t>
      </w:r>
      <w:r w:rsidRPr="7E8302CD" w:rsidR="7D25D3F4">
        <w:rPr>
          <w:b w:val="1"/>
          <w:bCs w:val="1"/>
          <w:sz w:val="40"/>
          <w:szCs w:val="40"/>
        </w:rPr>
        <w:t>Junaid Shaikh</w:t>
      </w:r>
    </w:p>
    <w:p w:rsidR="7E8302CD" w:rsidP="7E8302CD" w:rsidRDefault="7E8302CD" w14:paraId="138E83A9" w14:textId="0B6B2224">
      <w:pPr>
        <w:spacing w:line="360" w:lineRule="auto"/>
        <w:jc w:val="both"/>
        <w:rPr>
          <w:rStyle w:val="Strong"/>
          <w:rFonts w:ascii="Arial" w:hAnsi="Arial" w:eastAsia="Arial" w:cs="Arial"/>
          <w:color w:val="0A0A0A"/>
          <w:sz w:val="22"/>
          <w:szCs w:val="22"/>
        </w:rPr>
      </w:pPr>
    </w:p>
    <w:p w:rsidR="7E8302CD" w:rsidP="7E8302CD" w:rsidRDefault="7E8302CD" w14:paraId="1E6A13FB" w14:textId="2EC7D7FA">
      <w:pPr>
        <w:spacing w:line="360" w:lineRule="auto"/>
        <w:jc w:val="both"/>
        <w:rPr>
          <w:rStyle w:val="Strong"/>
          <w:rFonts w:ascii="Arial" w:hAnsi="Arial" w:eastAsia="Arial" w:cs="Arial"/>
          <w:color w:val="0A0A0A"/>
          <w:sz w:val="22"/>
          <w:szCs w:val="22"/>
        </w:rPr>
      </w:pPr>
    </w:p>
    <w:p w:rsidR="7E8302CD" w:rsidP="7E8302CD" w:rsidRDefault="7E8302CD" w14:paraId="29B25E44" w14:textId="19991D04">
      <w:pPr>
        <w:spacing w:line="360" w:lineRule="auto"/>
        <w:jc w:val="both"/>
        <w:rPr>
          <w:rStyle w:val="Strong"/>
          <w:rFonts w:ascii="Arial" w:hAnsi="Arial" w:eastAsia="Arial" w:cs="Arial"/>
          <w:color w:val="0A0A0A"/>
          <w:sz w:val="22"/>
          <w:szCs w:val="22"/>
        </w:rPr>
      </w:pPr>
    </w:p>
    <w:p w:rsidR="7E8302CD" w:rsidP="7E8302CD" w:rsidRDefault="7E8302CD" w14:paraId="75E63464" w14:textId="4849DE6C">
      <w:pPr>
        <w:spacing w:line="360" w:lineRule="auto"/>
        <w:jc w:val="both"/>
        <w:rPr>
          <w:rStyle w:val="Strong"/>
          <w:rFonts w:ascii="Arial" w:hAnsi="Arial" w:eastAsia="Arial" w:cs="Arial"/>
          <w:color w:val="0A0A0A"/>
          <w:sz w:val="22"/>
          <w:szCs w:val="22"/>
        </w:rPr>
      </w:pPr>
    </w:p>
    <w:p w:rsidR="7E8302CD" w:rsidP="7E8302CD" w:rsidRDefault="7E8302CD" w14:paraId="3B3FA658" w14:textId="034C5754">
      <w:pPr>
        <w:spacing w:line="360" w:lineRule="auto"/>
        <w:jc w:val="both"/>
        <w:rPr>
          <w:rStyle w:val="Strong"/>
          <w:rFonts w:ascii="Arial" w:hAnsi="Arial" w:eastAsia="Arial" w:cs="Arial"/>
          <w:color w:val="0A0A0A"/>
          <w:sz w:val="22"/>
          <w:szCs w:val="22"/>
        </w:rPr>
      </w:pPr>
    </w:p>
    <w:p w:rsidR="7E8302CD" w:rsidP="7E8302CD" w:rsidRDefault="7E8302CD" w14:paraId="2F945911" w14:textId="597A3E74">
      <w:pPr>
        <w:spacing w:line="360" w:lineRule="auto"/>
        <w:jc w:val="both"/>
        <w:rPr>
          <w:rStyle w:val="Strong"/>
          <w:rFonts w:ascii="Arial" w:hAnsi="Arial" w:eastAsia="Arial" w:cs="Arial"/>
          <w:color w:val="0A0A0A"/>
          <w:sz w:val="22"/>
          <w:szCs w:val="22"/>
        </w:rPr>
      </w:pPr>
    </w:p>
    <w:p w:rsidR="7E8302CD" w:rsidP="7E8302CD" w:rsidRDefault="7E8302CD" w14:paraId="54AD6F57" w14:textId="4F88A913">
      <w:pPr>
        <w:spacing w:line="360" w:lineRule="auto"/>
        <w:jc w:val="both"/>
        <w:rPr>
          <w:rStyle w:val="Strong"/>
          <w:rFonts w:ascii="Arial" w:hAnsi="Arial" w:eastAsia="Arial" w:cs="Arial"/>
          <w:color w:val="0A0A0A"/>
          <w:sz w:val="22"/>
          <w:szCs w:val="22"/>
        </w:rPr>
      </w:pPr>
    </w:p>
    <w:p w:rsidR="7E8302CD" w:rsidP="7E8302CD" w:rsidRDefault="7E8302CD" w14:paraId="2430CD23" w14:textId="337547A8">
      <w:pPr>
        <w:spacing w:line="360" w:lineRule="auto"/>
        <w:jc w:val="both"/>
        <w:rPr>
          <w:rStyle w:val="Strong"/>
          <w:rFonts w:ascii="Arial" w:hAnsi="Arial" w:eastAsia="Arial" w:cs="Arial"/>
          <w:color w:val="0A0A0A"/>
          <w:sz w:val="22"/>
          <w:szCs w:val="22"/>
        </w:rPr>
      </w:pPr>
    </w:p>
    <w:p w:rsidR="7E8302CD" w:rsidP="7E8302CD" w:rsidRDefault="7E8302CD" w14:paraId="79C30FEA" w14:textId="096D7F30">
      <w:pPr>
        <w:spacing w:line="360" w:lineRule="auto"/>
        <w:jc w:val="both"/>
        <w:rPr>
          <w:rStyle w:val="Strong"/>
          <w:rFonts w:ascii="Arial" w:hAnsi="Arial" w:eastAsia="Arial" w:cs="Arial"/>
          <w:color w:val="0A0A0A"/>
          <w:sz w:val="22"/>
          <w:szCs w:val="22"/>
        </w:rPr>
      </w:pPr>
    </w:p>
    <w:p w:rsidR="7E8302CD" w:rsidP="7E8302CD" w:rsidRDefault="7E8302CD" w14:paraId="75A05C92" w14:textId="75A0CB55">
      <w:pPr>
        <w:spacing w:line="360" w:lineRule="auto"/>
        <w:jc w:val="both"/>
        <w:rPr>
          <w:rStyle w:val="Strong"/>
          <w:rFonts w:ascii="Arial" w:hAnsi="Arial" w:eastAsia="Arial" w:cs="Arial"/>
          <w:color w:val="0A0A0A"/>
          <w:sz w:val="22"/>
          <w:szCs w:val="22"/>
        </w:rPr>
      </w:pPr>
    </w:p>
    <w:p w:rsidR="7E8302CD" w:rsidP="7E8302CD" w:rsidRDefault="7E8302CD" w14:paraId="3E6D95C4" w14:textId="2A8B7991">
      <w:pPr>
        <w:spacing w:line="360" w:lineRule="auto"/>
        <w:jc w:val="both"/>
        <w:rPr>
          <w:rStyle w:val="Strong"/>
          <w:rFonts w:ascii="Arial" w:hAnsi="Arial" w:eastAsia="Arial" w:cs="Arial"/>
          <w:color w:val="0A0A0A"/>
          <w:sz w:val="22"/>
          <w:szCs w:val="22"/>
        </w:rPr>
      </w:pPr>
    </w:p>
    <w:p w:rsidR="7E8302CD" w:rsidP="7E8302CD" w:rsidRDefault="7E8302CD" w14:paraId="7230ABD0" w14:textId="2E729C24">
      <w:pPr>
        <w:spacing w:line="360" w:lineRule="auto"/>
        <w:jc w:val="both"/>
        <w:rPr>
          <w:rStyle w:val="Strong"/>
          <w:rFonts w:ascii="Arial" w:hAnsi="Arial" w:eastAsia="Arial" w:cs="Arial"/>
          <w:color w:val="0A0A0A"/>
          <w:sz w:val="22"/>
          <w:szCs w:val="22"/>
        </w:rPr>
      </w:pPr>
    </w:p>
    <w:p w:rsidR="0024285E" w:rsidP="7E8302CD" w:rsidRDefault="0024285E" w14:paraId="6230C168" w14:textId="0DC301C7">
      <w:pPr>
        <w:spacing w:line="360" w:lineRule="auto"/>
        <w:jc w:val="both"/>
        <w:rPr>
          <w:rStyle w:val="Strong"/>
          <w:rFonts w:ascii="Arial" w:hAnsi="Arial" w:eastAsia="Arial" w:cs="Arial"/>
          <w:color w:val="0A0A0A"/>
          <w:spacing w:val="2"/>
          <w:sz w:val="22"/>
          <w:szCs w:val="22"/>
        </w:rPr>
      </w:pPr>
      <w:r w:rsidRPr="7E8302CD" w:rsidR="1D1F1F32">
        <w:rPr>
          <w:rStyle w:val="Strong"/>
          <w:rFonts w:ascii="Arial" w:hAnsi="Arial" w:eastAsia="Arial" w:cs="Arial"/>
          <w:color w:val="0A0A0A"/>
          <w:spacing w:val="2"/>
          <w:sz w:val="22"/>
          <w:szCs w:val="22"/>
        </w:rPr>
        <w:t>Title: Structural Vulnerability and Later Life: A Social Epidemiological Analysis of Age and Health Inequalities in the United Kingdom</w:t>
      </w:r>
    </w:p>
    <w:p w:rsidR="0024285E" w:rsidP="7E8302CD" w:rsidRDefault="0024285E" w14:paraId="4D95585A" w14:textId="77777777">
      <w:pPr>
        <w:spacing w:line="360" w:lineRule="auto"/>
        <w:jc w:val="both"/>
        <w:rPr>
          <w:rStyle w:val="Strong"/>
          <w:rFonts w:ascii="Arial" w:hAnsi="Arial" w:eastAsia="Arial" w:cs="Arial"/>
          <w:color w:val="0A0A0A"/>
          <w:spacing w:val="2"/>
          <w:sz w:val="22"/>
          <w:szCs w:val="22"/>
        </w:rPr>
      </w:pPr>
    </w:p>
    <w:p w:rsidR="00220F9E" w:rsidP="7E8302CD" w:rsidRDefault="00220F9E" w14:paraId="7AE7C583" w14:textId="32486FEF">
      <w:pPr>
        <w:spacing w:line="360" w:lineRule="auto"/>
        <w:jc w:val="both"/>
        <w:rPr>
          <w:rFonts w:ascii="Arial" w:hAnsi="Arial" w:eastAsia="Arial" w:cs="Arial"/>
          <w:b w:val="1"/>
          <w:bCs w:val="1"/>
          <w:color w:val="0A0A0A"/>
          <w:sz w:val="22"/>
          <w:szCs w:val="22"/>
          <w:shd w:val="clear" w:color="auto" w:fill="FFFFFF"/>
        </w:rPr>
      </w:pPr>
      <w:r w:rsidRPr="7E8302CD" w:rsidR="29E40017">
        <w:rPr>
          <w:rFonts w:ascii="Arial" w:hAnsi="Arial" w:eastAsia="Arial" w:cs="Arial"/>
          <w:b w:val="1"/>
          <w:bCs w:val="1"/>
          <w:color w:val="0A0A0A"/>
          <w:sz w:val="22"/>
          <w:szCs w:val="22"/>
          <w:shd w:val="clear" w:color="auto" w:fill="FFFFFF"/>
        </w:rPr>
        <w:t>Introduction</w:t>
      </w:r>
    </w:p>
    <w:p w:rsidR="00A63B4B" w:rsidP="7E8302CD" w:rsidRDefault="00E9171E" w14:paraId="576AE7CC" w14:textId="6C406D39">
      <w:pPr>
        <w:pStyle w:val="Normal"/>
        <w:spacing w:line="360" w:lineRule="auto"/>
        <w:jc w:val="both"/>
      </w:pPr>
      <w:r w:rsidRPr="7E8302CD" w:rsidR="76763828">
        <w:rPr>
          <w:rFonts w:ascii="Arial" w:hAnsi="Arial" w:eastAsia="Arial" w:cs="Arial"/>
          <w:color w:val="0A0A0A"/>
          <w:sz w:val="22"/>
          <w:szCs w:val="22"/>
          <w:shd w:val="clear" w:color="auto" w:fill="FFFFFF"/>
        </w:rPr>
        <w:t xml:space="preserve"> </w:t>
      </w:r>
      <w:r w:rsidRPr="7E8302CD" w:rsidR="6158AC37">
        <w:rPr>
          <w:rFonts w:ascii="Arial" w:hAnsi="Arial" w:eastAsia="Arial" w:cs="Arial"/>
          <w:noProof w:val="0"/>
          <w:color w:val="000000" w:themeColor="text1" w:themeTint="FF" w:themeShade="FF"/>
          <w:sz w:val="22"/>
          <w:szCs w:val="22"/>
          <w:lang w:val="en-GB"/>
        </w:rPr>
        <w:t>Health inequalities are avoidable, unfair, and systematic differences in health outcomes, life expectancy, and service accessibility between population cohorts (The King's Fund, 2026). Age UK (2024) reports that UK 65</w:t>
      </w:r>
      <w:r w:rsidRPr="7E8302CD" w:rsidR="0D17A367">
        <w:rPr>
          <w:rFonts w:ascii="Arial" w:hAnsi="Arial" w:eastAsia="Arial" w:cs="Arial"/>
          <w:noProof w:val="0"/>
          <w:color w:val="000000" w:themeColor="text1" w:themeTint="FF" w:themeShade="FF"/>
          <w:sz w:val="22"/>
          <w:szCs w:val="22"/>
          <w:lang w:val="en-GB"/>
        </w:rPr>
        <w:t xml:space="preserve">+ </w:t>
      </w:r>
      <w:r w:rsidRPr="7E8302CD" w:rsidR="6158AC37">
        <w:rPr>
          <w:rFonts w:ascii="Arial" w:hAnsi="Arial" w:eastAsia="Arial" w:cs="Arial"/>
          <w:noProof w:val="0"/>
          <w:color w:val="000000" w:themeColor="text1" w:themeTint="FF" w:themeShade="FF"/>
          <w:sz w:val="22"/>
          <w:szCs w:val="22"/>
          <w:lang w:val="en-GB"/>
        </w:rPr>
        <w:t>are increasingly at risk of these inequalities. Lifelong benefits and disadvantages affect health later in life, says social epidemiology. Healthcare ageism, job loss, restricted mobility, and “digital by default” changes in public and private social infrastructure cause health inequities in older people (Department of Health and Social Care, 2022). Linked vulnerabilities increase clinical failure, financial hardship, and institutional neglect. Population cohorts affect outcomes, lifespan, and services (King's Fund, 2026).</w:t>
      </w:r>
    </w:p>
    <w:p w:rsidR="00502951" w:rsidP="7E8302CD" w:rsidRDefault="00350F68" w14:paraId="79C4E237" w14:textId="2AA5BDB3">
      <w:pPr>
        <w:spacing w:line="360" w:lineRule="auto"/>
        <w:jc w:val="both"/>
      </w:pPr>
      <w:r w:rsidRPr="7E8302CD" w:rsidR="77985954">
        <w:rPr>
          <w:rFonts w:ascii="Arial" w:hAnsi="Arial" w:eastAsia="Arial" w:cs="Arial"/>
          <w:b w:val="1"/>
          <w:bCs w:val="1"/>
          <w:color w:val="0A0A0A"/>
          <w:sz w:val="22"/>
          <w:szCs w:val="22"/>
          <w:shd w:val="clear" w:color="auto" w:fill="FFFFFF"/>
        </w:rPr>
        <w:t>Higher Rates of Mental Illness</w:t>
      </w:r>
    </w:p>
    <w:p w:rsidR="4A9E4C97" w:rsidP="7E8302CD" w:rsidRDefault="4A9E4C97" w14:paraId="6A3C65FF" w14:textId="5F185E2F">
      <w:pPr>
        <w:pStyle w:val="Normal"/>
        <w:spacing w:line="360" w:lineRule="auto"/>
        <w:jc w:val="both"/>
      </w:pPr>
      <w:r w:rsidRPr="7E8302CD" w:rsidR="4A9E4C97">
        <w:rPr>
          <w:rFonts w:ascii="Arial" w:hAnsi="Arial" w:eastAsia="Arial" w:cs="Arial"/>
          <w:noProof w:val="0"/>
          <w:color w:val="000000" w:themeColor="text1" w:themeTint="FF" w:themeShade="FF"/>
          <w:sz w:val="22"/>
          <w:szCs w:val="22"/>
          <w:lang w:val="en-GB"/>
        </w:rPr>
        <w:t>Undiagnosed geriatric mental health issues are common in the UK (Centre for Mental Health, 2024). Mental Health Foundation (2023) reports 22% of men and 28% of women over 65 have depression. The Institute of Health Equity (2023) links biological transitions and psychosocial stressors including chronic pain, cognitive decline, and repeated bereavement to inequality. NHS ageism normalises sad symptoms as part of ageing, delaying diagnosis and treatment (Royal College of Psychiatrists, 2018). In 2024, primary care teams must understand geriatric psychiatry and community-based, non-digital psychological testing (Age International).</w:t>
      </w:r>
    </w:p>
    <w:p w:rsidR="00A26363" w:rsidP="7E8302CD" w:rsidRDefault="00DE56DE" w14:paraId="555FE7DF" w14:textId="3F0163E4">
      <w:pPr>
        <w:spacing w:line="360" w:lineRule="auto"/>
        <w:jc w:val="both"/>
        <w:rPr>
          <w:rFonts w:ascii="Arial" w:hAnsi="Arial" w:eastAsia="Arial" w:cs="Arial"/>
          <w:b w:val="1"/>
          <w:bCs w:val="1"/>
          <w:color w:val="000000"/>
          <w:sz w:val="22"/>
          <w:szCs w:val="22"/>
        </w:rPr>
      </w:pPr>
      <w:r w:rsidRPr="7E8302CD" w:rsidR="68C16211">
        <w:rPr>
          <w:rFonts w:ascii="Arial" w:hAnsi="Arial" w:eastAsia="Arial" w:cs="Arial"/>
          <w:b w:val="1"/>
          <w:bCs w:val="1"/>
          <w:color w:val="000000" w:themeColor="text1" w:themeTint="FF" w:themeShade="FF"/>
          <w:sz w:val="22"/>
          <w:szCs w:val="22"/>
        </w:rPr>
        <w:t>Low Rates of Access to Healthcare</w:t>
      </w:r>
    </w:p>
    <w:p w:rsidR="006656B8" w:rsidP="7E8302CD" w:rsidRDefault="00594CA0" w14:paraId="5528C8AA" w14:textId="017BBF58">
      <w:pPr>
        <w:spacing w:line="360" w:lineRule="auto"/>
        <w:jc w:val="both"/>
        <w:rPr>
          <w:rFonts w:ascii="Arial" w:hAnsi="Arial" w:eastAsia="Arial" w:cs="Arial"/>
          <w:color w:val="000000"/>
          <w:sz w:val="22"/>
          <w:szCs w:val="22"/>
        </w:rPr>
      </w:pPr>
      <w:r w:rsidRPr="7E8302CD" w:rsidR="32B4D620">
        <w:rPr>
          <w:rFonts w:ascii="Arial" w:hAnsi="Arial" w:eastAsia="Arial" w:cs="Arial"/>
          <w:color w:val="000000" w:themeColor="text1" w:themeTint="FF" w:themeShade="FF"/>
          <w:sz w:val="22"/>
          <w:szCs w:val="22"/>
        </w:rPr>
        <w:t xml:space="preserve">Although older adults have the greatest clinical burden, they frequently encounter significant barriers in navigating the contemporary healthcare system (The King’s Fund, 2026). Age UK (2025) reported that around 28% of people aged 65+ think </w:t>
      </w:r>
      <w:r w:rsidRPr="7E8302CD" w:rsidR="32B4D620">
        <w:rPr>
          <w:rFonts w:ascii="Arial" w:hAnsi="Arial" w:eastAsia="Arial" w:cs="Arial"/>
          <w:color w:val="000000" w:themeColor="text1" w:themeTint="FF" w:themeShade="FF"/>
          <w:sz w:val="22"/>
          <w:szCs w:val="22"/>
        </w:rPr>
        <w:t>it’s</w:t>
      </w:r>
      <w:r w:rsidRPr="7E8302CD" w:rsidR="32B4D620">
        <w:rPr>
          <w:rFonts w:ascii="Arial" w:hAnsi="Arial" w:eastAsia="Arial" w:cs="Arial"/>
          <w:color w:val="000000" w:themeColor="text1" w:themeTint="FF" w:themeShade="FF"/>
          <w:sz w:val="22"/>
          <w:szCs w:val="22"/>
        </w:rPr>
        <w:t xml:space="preserve"> unacceptable how long they have to wait to get an appointment with their General Practitioner (GP). This inequality is underpinned by the institutional shift to digital triage systems which inherently disadvantages older cohorts who lack technological literacy or hardware (Age UK, 2024). Physical mobility restrictions and underfunded non-emergency patient transport networks further complicate access to physical clinics (DHSC, 2022). To tackle this disparity, health services must implement specific telephone pathways and protect face-to-face appointment allocations for vulnerable elderly populations.</w:t>
      </w:r>
    </w:p>
    <w:p w:rsidR="00F043FD" w:rsidP="7E8302CD" w:rsidRDefault="00BB504B" w14:paraId="20E0C5BB" w14:textId="66570D16">
      <w:pPr>
        <w:spacing w:line="360" w:lineRule="auto"/>
        <w:jc w:val="both"/>
        <w:rPr>
          <w:rFonts w:ascii="Arial" w:hAnsi="Arial" w:eastAsia="Arial" w:cs="Arial"/>
          <w:b w:val="1"/>
          <w:bCs w:val="1"/>
          <w:color w:val="000000"/>
          <w:sz w:val="22"/>
          <w:szCs w:val="22"/>
        </w:rPr>
      </w:pPr>
      <w:r w:rsidRPr="7E8302CD" w:rsidR="4E24570F">
        <w:rPr>
          <w:rFonts w:ascii="Arial" w:hAnsi="Arial" w:eastAsia="Arial" w:cs="Arial"/>
          <w:b w:val="1"/>
          <w:bCs w:val="1"/>
          <w:color w:val="000000" w:themeColor="text1" w:themeTint="FF" w:themeShade="FF"/>
          <w:sz w:val="22"/>
          <w:szCs w:val="22"/>
        </w:rPr>
        <w:t xml:space="preserve">Mortality Rates Among the Elderly </w:t>
      </w:r>
    </w:p>
    <w:p w:rsidR="005E2EEA" w:rsidP="7E8302CD" w:rsidRDefault="00071261" w14:paraId="20F64525" w14:textId="0DBAD218">
      <w:pPr>
        <w:spacing w:line="360" w:lineRule="auto"/>
        <w:jc w:val="both"/>
        <w:rPr>
          <w:rFonts w:ascii="Arial" w:hAnsi="Arial" w:eastAsia="Arial" w:cs="Arial"/>
          <w:color w:val="000000"/>
          <w:sz w:val="22"/>
          <w:szCs w:val="22"/>
        </w:rPr>
      </w:pPr>
      <w:r w:rsidRPr="7E8302CD" w:rsidR="23E68E0C">
        <w:rPr>
          <w:rFonts w:ascii="Arial" w:hAnsi="Arial" w:eastAsia="Arial" w:cs="Arial"/>
          <w:color w:val="000000" w:themeColor="text1" w:themeTint="FF" w:themeShade="FF"/>
          <w:sz w:val="22"/>
          <w:szCs w:val="22"/>
        </w:rPr>
        <w:t xml:space="preserve">The UK elderly demographic </w:t>
      </w:r>
      <w:r w:rsidRPr="7E8302CD" w:rsidR="23E68E0C">
        <w:rPr>
          <w:rFonts w:ascii="Arial" w:hAnsi="Arial" w:eastAsia="Arial" w:cs="Arial"/>
          <w:color w:val="000000" w:themeColor="text1" w:themeTint="FF" w:themeShade="FF"/>
          <w:sz w:val="22"/>
          <w:szCs w:val="22"/>
        </w:rPr>
        <w:t>demonstrates</w:t>
      </w:r>
      <w:r w:rsidRPr="7E8302CD" w:rsidR="23E68E0C">
        <w:rPr>
          <w:rFonts w:ascii="Arial" w:hAnsi="Arial" w:eastAsia="Arial" w:cs="Arial"/>
          <w:color w:val="000000" w:themeColor="text1" w:themeTint="FF" w:themeShade="FF"/>
          <w:sz w:val="22"/>
          <w:szCs w:val="22"/>
        </w:rPr>
        <w:t xml:space="preserve"> profound socio-spatial inequalities in mortality profiles (The King’s Fund, 2026). Although life expectancy has improved over the past few decades, healthy life expectancy (HLE) has paradoxically decreased. At the age of 50, the HLE has dropped to 20.6 years for females and 19.4 years for males (Centre for Ageing Better, 2025). Crucially, older individuals in the most deprived socioeconomic deciles die </w:t>
      </w:r>
      <w:r w:rsidRPr="7E8302CD" w:rsidR="7DDE3E1F">
        <w:rPr>
          <w:rFonts w:ascii="Arial" w:hAnsi="Arial" w:eastAsia="Arial" w:cs="Arial"/>
          <w:color w:val="000000" w:themeColor="text1" w:themeTint="FF" w:themeShade="FF"/>
          <w:sz w:val="22"/>
          <w:szCs w:val="22"/>
        </w:rPr>
        <w:t>a</w:t>
      </w:r>
      <w:r w:rsidRPr="7E8302CD" w:rsidR="23E68E0C">
        <w:rPr>
          <w:rFonts w:ascii="Arial" w:hAnsi="Arial" w:eastAsia="Arial" w:cs="Arial"/>
          <w:color w:val="000000" w:themeColor="text1" w:themeTint="FF" w:themeShade="FF"/>
          <w:sz w:val="22"/>
          <w:szCs w:val="22"/>
        </w:rPr>
        <w:t xml:space="preserve"> decade earlier and experience </w:t>
      </w:r>
      <w:r w:rsidRPr="7E8302CD" w:rsidR="1CD5D321">
        <w:rPr>
          <w:rFonts w:ascii="Arial" w:hAnsi="Arial" w:eastAsia="Arial" w:cs="Arial"/>
          <w:color w:val="000000" w:themeColor="text1" w:themeTint="FF" w:themeShade="FF"/>
          <w:sz w:val="22"/>
          <w:szCs w:val="22"/>
        </w:rPr>
        <w:t>multi-morbidity</w:t>
      </w:r>
      <w:r w:rsidRPr="7E8302CD" w:rsidR="23E68E0C">
        <w:rPr>
          <w:rFonts w:ascii="Arial" w:hAnsi="Arial" w:eastAsia="Arial" w:cs="Arial"/>
          <w:color w:val="000000" w:themeColor="text1" w:themeTint="FF" w:themeShade="FF"/>
          <w:sz w:val="22"/>
          <w:szCs w:val="22"/>
        </w:rPr>
        <w:t xml:space="preserve"> up to 15 years sooner than their affluent counterparts (DHSC, 2022). This gap is </w:t>
      </w:r>
      <w:r w:rsidRPr="7E8302CD" w:rsidR="44748E19">
        <w:rPr>
          <w:rFonts w:ascii="Arial" w:hAnsi="Arial" w:eastAsia="Arial" w:cs="Arial"/>
          <w:color w:val="000000" w:themeColor="text1" w:themeTint="FF" w:themeShade="FF"/>
          <w:sz w:val="22"/>
          <w:szCs w:val="22"/>
        </w:rPr>
        <w:t>fuelle</w:t>
      </w:r>
      <w:r w:rsidRPr="7E8302CD" w:rsidR="44748E19">
        <w:rPr>
          <w:rFonts w:ascii="Arial" w:hAnsi="Arial" w:eastAsia="Arial" w:cs="Arial"/>
          <w:color w:val="000000" w:themeColor="text1" w:themeTint="FF" w:themeShade="FF"/>
          <w:sz w:val="22"/>
          <w:szCs w:val="22"/>
        </w:rPr>
        <w:t>d</w:t>
      </w:r>
      <w:r w:rsidRPr="7E8302CD" w:rsidR="23E68E0C">
        <w:rPr>
          <w:rFonts w:ascii="Arial" w:hAnsi="Arial" w:eastAsia="Arial" w:cs="Arial"/>
          <w:color w:val="000000" w:themeColor="text1" w:themeTint="FF" w:themeShade="FF"/>
          <w:sz w:val="22"/>
          <w:szCs w:val="22"/>
        </w:rPr>
        <w:t xml:space="preserve"> by a lifetime of differential exposure to occupational hazards, poor </w:t>
      </w:r>
      <w:r w:rsidRPr="7E8302CD" w:rsidR="1CD5D321">
        <w:rPr>
          <w:rFonts w:ascii="Arial" w:hAnsi="Arial" w:eastAsia="Arial" w:cs="Arial"/>
          <w:color w:val="000000" w:themeColor="text1" w:themeTint="FF" w:themeShade="FF"/>
          <w:sz w:val="22"/>
          <w:szCs w:val="22"/>
        </w:rPr>
        <w:t>nutrition,</w:t>
      </w:r>
      <w:r w:rsidRPr="7E8302CD" w:rsidR="23E68E0C">
        <w:rPr>
          <w:rFonts w:ascii="Arial" w:hAnsi="Arial" w:eastAsia="Arial" w:cs="Arial"/>
          <w:color w:val="000000" w:themeColor="text1" w:themeTint="FF" w:themeShade="FF"/>
          <w:sz w:val="22"/>
          <w:szCs w:val="22"/>
        </w:rPr>
        <w:t xml:space="preserve"> and chronic stress. Addressing this mortality gap will require targeted redistribution of public health funding to economically depressed areas, and proactive community-based chronic disease management programs.</w:t>
      </w:r>
    </w:p>
    <w:p w:rsidR="00D90C69" w:rsidP="7E8302CD" w:rsidRDefault="00202818" w14:paraId="1034C9FD" w14:textId="5080F690">
      <w:pPr>
        <w:spacing w:line="360" w:lineRule="auto"/>
        <w:jc w:val="both"/>
        <w:rPr>
          <w:rFonts w:ascii="Arial" w:hAnsi="Arial" w:eastAsia="Arial" w:cs="Arial"/>
          <w:b w:val="1"/>
          <w:bCs w:val="1"/>
          <w:color w:val="000000"/>
          <w:sz w:val="22"/>
          <w:szCs w:val="22"/>
        </w:rPr>
      </w:pPr>
      <w:r w:rsidRPr="7E8302CD" w:rsidR="692D9E08">
        <w:rPr>
          <w:rFonts w:ascii="Arial" w:hAnsi="Arial" w:eastAsia="Arial" w:cs="Arial"/>
          <w:b w:val="1"/>
          <w:bCs w:val="1"/>
          <w:color w:val="000000" w:themeColor="text1" w:themeTint="FF" w:themeShade="FF"/>
          <w:sz w:val="22"/>
          <w:szCs w:val="22"/>
        </w:rPr>
        <w:t>Social Isolation and Loneliness</w:t>
      </w:r>
    </w:p>
    <w:p w:rsidR="0018671D" w:rsidP="7E8302CD" w:rsidRDefault="00D30AEC" w14:paraId="4DEF4570" w14:textId="22AF8E88">
      <w:pPr>
        <w:spacing w:line="360" w:lineRule="auto"/>
        <w:jc w:val="both"/>
        <w:rPr>
          <w:rFonts w:ascii="Arial" w:hAnsi="Arial" w:eastAsia="Arial" w:cs="Arial"/>
          <w:color w:val="000000"/>
          <w:sz w:val="22"/>
          <w:szCs w:val="22"/>
        </w:rPr>
      </w:pPr>
      <w:r w:rsidRPr="7E8302CD" w:rsidR="190272C2">
        <w:rPr>
          <w:rFonts w:ascii="Arial" w:hAnsi="Arial" w:eastAsia="Arial" w:cs="Arial"/>
          <w:color w:val="000000" w:themeColor="text1" w:themeTint="FF" w:themeShade="FF"/>
          <w:sz w:val="22"/>
          <w:szCs w:val="22"/>
        </w:rPr>
        <w:t xml:space="preserve">Social isolation is an important wider determinant of health and an independent epidemiological risk factor for premature mortality (The King’s Fund, 2026). More than one million older people in the UK regularly go over a month without talking to a friend, </w:t>
      </w:r>
      <w:r w:rsidRPr="7E8302CD" w:rsidR="190272C2">
        <w:rPr>
          <w:rFonts w:ascii="Arial" w:hAnsi="Arial" w:eastAsia="Arial" w:cs="Arial"/>
          <w:color w:val="000000" w:themeColor="text1" w:themeTint="FF" w:themeShade="FF"/>
          <w:sz w:val="22"/>
          <w:szCs w:val="22"/>
        </w:rPr>
        <w:t>neighbour</w:t>
      </w:r>
      <w:r w:rsidRPr="7E8302CD" w:rsidR="190272C2">
        <w:rPr>
          <w:rFonts w:ascii="Arial" w:hAnsi="Arial" w:eastAsia="Arial" w:cs="Arial"/>
          <w:color w:val="000000" w:themeColor="text1" w:themeTint="FF" w:themeShade="FF"/>
          <w:sz w:val="22"/>
          <w:szCs w:val="22"/>
        </w:rPr>
        <w:t xml:space="preserve"> or family member (Age UK, 2025). The loss of a spouse, retirement and the breakdown of local public transport links and community centres often </w:t>
      </w:r>
      <w:r w:rsidRPr="7E8302CD" w:rsidR="0FEF1D3A">
        <w:rPr>
          <w:rFonts w:ascii="Arial" w:hAnsi="Arial" w:eastAsia="Arial" w:cs="Arial"/>
          <w:color w:val="000000" w:themeColor="text1" w:themeTint="FF" w:themeShade="FF"/>
          <w:sz w:val="22"/>
          <w:szCs w:val="22"/>
        </w:rPr>
        <w:t>create</w:t>
      </w:r>
      <w:r w:rsidRPr="7E8302CD" w:rsidR="190272C2">
        <w:rPr>
          <w:rFonts w:ascii="Arial" w:hAnsi="Arial" w:eastAsia="Arial" w:cs="Arial"/>
          <w:color w:val="000000" w:themeColor="text1" w:themeTint="FF" w:themeShade="FF"/>
          <w:sz w:val="22"/>
          <w:szCs w:val="22"/>
        </w:rPr>
        <w:t xml:space="preserve"> this social vacuum (Age UK, 2025</w:t>
      </w:r>
      <w:r w:rsidRPr="7E8302CD" w:rsidR="00289374">
        <w:rPr>
          <w:rFonts w:ascii="Arial" w:hAnsi="Arial" w:eastAsia="Arial" w:cs="Arial"/>
          <w:color w:val="000000" w:themeColor="text1" w:themeTint="FF" w:themeShade="FF"/>
          <w:sz w:val="22"/>
          <w:szCs w:val="22"/>
        </w:rPr>
        <w:t>)</w:t>
      </w:r>
      <w:r w:rsidRPr="7E8302CD" w:rsidR="190272C2">
        <w:rPr>
          <w:rFonts w:ascii="Arial" w:hAnsi="Arial" w:eastAsia="Arial" w:cs="Arial"/>
          <w:color w:val="000000" w:themeColor="text1" w:themeTint="FF" w:themeShade="FF"/>
          <w:sz w:val="22"/>
          <w:szCs w:val="22"/>
        </w:rPr>
        <w:t xml:space="preserve">. Loneliness activates physiological stress pathways, accelerating cognitive decline and increasing risk for cardiovascular disease (Institute of Health Equity, 2023). The solutions must include continued government funding for local befriending networks, community transport </w:t>
      </w:r>
      <w:r w:rsidRPr="7E8302CD" w:rsidR="190272C2">
        <w:rPr>
          <w:rFonts w:ascii="Arial" w:hAnsi="Arial" w:eastAsia="Arial" w:cs="Arial"/>
          <w:color w:val="000000" w:themeColor="text1" w:themeTint="FF" w:themeShade="FF"/>
          <w:sz w:val="22"/>
          <w:szCs w:val="22"/>
        </w:rPr>
        <w:t>schemes</w:t>
      </w:r>
      <w:r w:rsidRPr="7E8302CD" w:rsidR="190272C2">
        <w:rPr>
          <w:rFonts w:ascii="Arial" w:hAnsi="Arial" w:eastAsia="Arial" w:cs="Arial"/>
          <w:color w:val="000000" w:themeColor="text1" w:themeTint="FF" w:themeShade="FF"/>
          <w:sz w:val="22"/>
          <w:szCs w:val="22"/>
        </w:rPr>
        <w:t xml:space="preserve"> and intergenerational social programming.</w:t>
      </w:r>
    </w:p>
    <w:p w:rsidR="00662F6C" w:rsidP="7E8302CD" w:rsidRDefault="000F1F51" w14:paraId="76F1DF4A" w14:textId="0E90BC90">
      <w:pPr>
        <w:spacing w:line="360" w:lineRule="auto"/>
        <w:jc w:val="both"/>
        <w:rPr>
          <w:rFonts w:ascii="Arial" w:hAnsi="Arial" w:eastAsia="Arial" w:cs="Arial"/>
          <w:b w:val="1"/>
          <w:bCs w:val="1"/>
          <w:color w:val="000000"/>
          <w:sz w:val="22"/>
          <w:szCs w:val="22"/>
        </w:rPr>
      </w:pPr>
      <w:r w:rsidRPr="7E8302CD" w:rsidR="1DE21410">
        <w:rPr>
          <w:rFonts w:ascii="Arial" w:hAnsi="Arial" w:eastAsia="Arial" w:cs="Arial"/>
          <w:b w:val="1"/>
          <w:bCs w:val="1"/>
          <w:color w:val="000000" w:themeColor="text1" w:themeTint="FF" w:themeShade="FF"/>
          <w:sz w:val="22"/>
          <w:szCs w:val="22"/>
        </w:rPr>
        <w:t>Poverty</w:t>
      </w:r>
    </w:p>
    <w:p w:rsidR="009E1A18" w:rsidP="7E8302CD" w:rsidRDefault="004E0FCB" w14:paraId="2A10A085" w14:textId="55E813BD">
      <w:pPr>
        <w:spacing w:line="360" w:lineRule="auto"/>
        <w:jc w:val="both"/>
        <w:rPr>
          <w:rFonts w:ascii="Arial" w:hAnsi="Arial" w:eastAsia="Arial" w:cs="Arial"/>
          <w:color w:val="000000"/>
          <w:sz w:val="22"/>
          <w:szCs w:val="22"/>
        </w:rPr>
      </w:pPr>
      <w:r w:rsidRPr="7E8302CD" w:rsidR="46D67B35">
        <w:rPr>
          <w:rFonts w:ascii="Arial" w:hAnsi="Arial" w:eastAsia="Arial" w:cs="Arial"/>
          <w:color w:val="000000" w:themeColor="text1" w:themeTint="FF" w:themeShade="FF"/>
          <w:sz w:val="22"/>
          <w:szCs w:val="22"/>
        </w:rPr>
        <w:t xml:space="preserve">In the UK, material deprivation continues to be a major barrier to </w:t>
      </w:r>
      <w:r w:rsidRPr="7E8302CD" w:rsidR="46D67B35">
        <w:rPr>
          <w:rFonts w:ascii="Arial" w:hAnsi="Arial" w:eastAsia="Arial" w:cs="Arial"/>
          <w:color w:val="000000" w:themeColor="text1" w:themeTint="FF" w:themeShade="FF"/>
          <w:sz w:val="22"/>
          <w:szCs w:val="22"/>
        </w:rPr>
        <w:t>equitable</w:t>
      </w:r>
      <w:r w:rsidRPr="7E8302CD" w:rsidR="46D67B35">
        <w:rPr>
          <w:rFonts w:ascii="Arial" w:hAnsi="Arial" w:eastAsia="Arial" w:cs="Arial"/>
          <w:color w:val="000000" w:themeColor="text1" w:themeTint="FF" w:themeShade="FF"/>
          <w:sz w:val="22"/>
          <w:szCs w:val="22"/>
        </w:rPr>
        <w:t xml:space="preserve"> aging (Joseph Rowntree Foundation, 2026). About 1.9 million people, or 16% of all UK pensioners, live in relative income poverty; single pensioners are at a higher risk of 21% (Fabian Society, 2025). Older adults are particularly susceptible to inflationary shocks because the UK has historically had one of the lowest state pension systems in the Organization for Economic Co-operation and Development (OECD) (Living Wage Foundation, 2025). As a result, more than half of low-income retirees find it difficult to pay their basic utility bills, which forces many of them to ration medication or skip meals (Age UK, 2022). Structural changes, such as automating the distribution of means-tested safety nets like Pension Credit to close the gap of unclaimed benefits, are necessary to address pensioner poverty (House of Commons Work and Pensions Committee, 2025).</w:t>
      </w:r>
    </w:p>
    <w:p w:rsidR="004E39E2" w:rsidP="7E8302CD" w:rsidRDefault="00CA527C" w14:paraId="68DA070E" w14:textId="1DF20DF7">
      <w:pPr>
        <w:spacing w:line="360" w:lineRule="auto"/>
        <w:jc w:val="both"/>
        <w:rPr>
          <w:rFonts w:ascii="Arial" w:hAnsi="Arial" w:eastAsia="Arial" w:cs="Arial"/>
          <w:b w:val="1"/>
          <w:bCs w:val="1"/>
          <w:color w:val="000000"/>
          <w:sz w:val="22"/>
          <w:szCs w:val="22"/>
        </w:rPr>
      </w:pPr>
      <w:r w:rsidRPr="7E8302CD" w:rsidR="6B6C2AF1">
        <w:rPr>
          <w:rFonts w:ascii="Arial" w:hAnsi="Arial" w:eastAsia="Arial" w:cs="Arial"/>
          <w:b w:val="1"/>
          <w:bCs w:val="1"/>
          <w:color w:val="000000" w:themeColor="text1" w:themeTint="FF" w:themeShade="FF"/>
          <w:sz w:val="22"/>
          <w:szCs w:val="22"/>
        </w:rPr>
        <w:t>Housing Issues</w:t>
      </w:r>
    </w:p>
    <w:p w:rsidR="00D87B5A" w:rsidP="7E8302CD" w:rsidRDefault="00553D8C" w14:paraId="16AB88EC" w14:textId="3E26A057">
      <w:pPr>
        <w:spacing w:line="360" w:lineRule="auto"/>
        <w:jc w:val="both"/>
        <w:rPr>
          <w:rFonts w:ascii="Arial" w:hAnsi="Arial" w:eastAsia="Arial" w:cs="Arial"/>
          <w:color w:val="000000"/>
          <w:sz w:val="22"/>
          <w:szCs w:val="22"/>
        </w:rPr>
      </w:pPr>
      <w:r w:rsidRPr="7E8302CD" w:rsidR="6AF04822">
        <w:rPr>
          <w:rFonts w:ascii="Arial" w:hAnsi="Arial" w:eastAsia="Arial" w:cs="Arial"/>
          <w:color w:val="000000" w:themeColor="text1" w:themeTint="FF" w:themeShade="FF"/>
          <w:sz w:val="22"/>
          <w:szCs w:val="22"/>
        </w:rPr>
        <w:t xml:space="preserve">The condition of a home </w:t>
      </w:r>
      <w:r w:rsidRPr="7E8302CD" w:rsidR="6AF04822">
        <w:rPr>
          <w:rFonts w:ascii="Arial" w:hAnsi="Arial" w:eastAsia="Arial" w:cs="Arial"/>
          <w:color w:val="000000" w:themeColor="text1" w:themeTint="FF" w:themeShade="FF"/>
          <w:sz w:val="22"/>
          <w:szCs w:val="22"/>
        </w:rPr>
        <w:t>directly defines</w:t>
      </w:r>
      <w:r w:rsidRPr="7E8302CD" w:rsidR="6AF04822">
        <w:rPr>
          <w:rFonts w:ascii="Arial" w:hAnsi="Arial" w:eastAsia="Arial" w:cs="Arial"/>
          <w:color w:val="000000" w:themeColor="text1" w:themeTint="FF" w:themeShade="FF"/>
          <w:sz w:val="22"/>
          <w:szCs w:val="22"/>
        </w:rPr>
        <w:t xml:space="preserve"> the health trajectory of later life (Age UK, 2024). One in five older adults in England live in a “non-decent” home with damp, poor </w:t>
      </w:r>
      <w:r w:rsidRPr="7E8302CD" w:rsidR="428C8BB7">
        <w:rPr>
          <w:rFonts w:ascii="Arial" w:hAnsi="Arial" w:eastAsia="Arial" w:cs="Arial"/>
          <w:color w:val="000000" w:themeColor="text1" w:themeTint="FF" w:themeShade="FF"/>
          <w:sz w:val="22"/>
          <w:szCs w:val="22"/>
        </w:rPr>
        <w:t>insulation,</w:t>
      </w:r>
      <w:r w:rsidRPr="7E8302CD" w:rsidR="6AF04822">
        <w:rPr>
          <w:rFonts w:ascii="Arial" w:hAnsi="Arial" w:eastAsia="Arial" w:cs="Arial"/>
          <w:color w:val="000000" w:themeColor="text1" w:themeTint="FF" w:themeShade="FF"/>
          <w:sz w:val="22"/>
          <w:szCs w:val="22"/>
        </w:rPr>
        <w:t xml:space="preserve"> or serious structural hazards (Centre for Ageing Better, 2024). Poor housing accelerates biological ageing and dramatically raises the risk of physical trauma. For instance, there are over 220,000 emergency hospital admissions caused by domestic falls among people aged 65 and over every year (Age UK, 2025). Older private renters and minority ethnic groups are disproportionately affected by these substandard conditions (Centre for Ageing Better, 2025</w:t>
      </w:r>
      <w:r w:rsidRPr="7E8302CD" w:rsidR="70316257">
        <w:rPr>
          <w:rFonts w:ascii="Arial" w:hAnsi="Arial" w:eastAsia="Arial" w:cs="Arial"/>
          <w:color w:val="000000" w:themeColor="text1" w:themeTint="FF" w:themeShade="FF"/>
          <w:sz w:val="22"/>
          <w:szCs w:val="22"/>
        </w:rPr>
        <w:t>)</w:t>
      </w:r>
      <w:r w:rsidRPr="7E8302CD" w:rsidR="6AF04822">
        <w:rPr>
          <w:rFonts w:ascii="Arial" w:hAnsi="Arial" w:eastAsia="Arial" w:cs="Arial"/>
          <w:color w:val="000000" w:themeColor="text1" w:themeTint="FF" w:themeShade="FF"/>
          <w:sz w:val="22"/>
          <w:szCs w:val="22"/>
        </w:rPr>
        <w:t>. The Disabled Facilities Grant (DFG) should be increased to make adapting homes easier, and thermal and structural standards in the private rental sector should be strictly enforced.</w:t>
      </w:r>
    </w:p>
    <w:p w:rsidR="003B6B51" w:rsidP="7E8302CD" w:rsidRDefault="003B6B51" w14:paraId="636025D8" w14:textId="77777777">
      <w:pPr>
        <w:spacing w:after="0" w:line="360" w:lineRule="auto"/>
        <w:jc w:val="both"/>
        <w:rPr>
          <w:rFonts w:ascii="Arial" w:hAnsi="Arial" w:eastAsia="Arial" w:cs="Arial"/>
          <w:b w:val="1"/>
          <w:bCs w:val="1"/>
          <w:color w:val="000000"/>
          <w:kern w:val="0"/>
          <w:sz w:val="22"/>
          <w:szCs w:val="22"/>
          <w14:ligatures w14:val="none"/>
        </w:rPr>
      </w:pPr>
      <w:r w:rsidRPr="7E8302CD" w:rsidR="19E21E0B">
        <w:rPr>
          <w:rFonts w:ascii="Arial" w:hAnsi="Arial" w:eastAsia="Arial" w:cs="Arial"/>
          <w:b w:val="1"/>
          <w:bCs w:val="1"/>
          <w:color w:val="000000"/>
          <w:kern w:val="0"/>
          <w:sz w:val="22"/>
          <w:szCs w:val="22"/>
          <w14:ligatures w14:val="none"/>
        </w:rPr>
        <w:t>National Response to Reduce Health Inequalities</w:t>
      </w:r>
    </w:p>
    <w:p w:rsidR="00B95F43" w:rsidP="7E8302CD" w:rsidRDefault="00666FFE" w14:paraId="09460CE1" w14:textId="2FC66720">
      <w:pPr>
        <w:spacing w:line="360" w:lineRule="auto"/>
        <w:jc w:val="both"/>
      </w:pPr>
      <w:r w:rsidRPr="7E8302CD" w:rsidR="1CFC6D08">
        <w:rPr>
          <w:rFonts w:ascii="Arial" w:hAnsi="Arial" w:eastAsia="Arial" w:cs="Arial"/>
          <w:sz w:val="22"/>
          <w:szCs w:val="22"/>
        </w:rPr>
        <w:t xml:space="preserve">At a national </w:t>
      </w:r>
      <w:r w:rsidRPr="7E8302CD" w:rsidR="7E705D9C">
        <w:rPr>
          <w:rFonts w:ascii="Arial" w:hAnsi="Arial" w:eastAsia="Arial" w:cs="Arial"/>
          <w:sz w:val="22"/>
          <w:szCs w:val="22"/>
        </w:rPr>
        <w:t>level,</w:t>
      </w:r>
      <w:r w:rsidRPr="7E8302CD" w:rsidR="1CFC6D08">
        <w:rPr>
          <w:rFonts w:ascii="Arial" w:hAnsi="Arial" w:eastAsia="Arial" w:cs="Arial"/>
          <w:sz w:val="22"/>
          <w:szCs w:val="22"/>
        </w:rPr>
        <w:t xml:space="preserve"> the UK government has put in place targeted policies and financial mechanisms to reduce structural age inequalities. One of the key structural interventions is the state pension. The Pension Triple Lock guarantees that the state pension increases each year by the highest of inflation, average wage growth and 2.5% (House of Commons Work and Pensions Committee, 2025). This policy directly tackles the relative low-income trajectories by protecting the purchasing power of retirees from volatile macroeconomic shifts (Living Wage Foundation, 2025)</w:t>
      </w:r>
      <w:r w:rsidRPr="7E8302CD" w:rsidR="299EC2E3">
        <w:rPr>
          <w:rFonts w:ascii="Arial" w:hAnsi="Arial" w:eastAsia="Arial" w:cs="Arial"/>
          <w:sz w:val="22"/>
          <w:szCs w:val="22"/>
        </w:rPr>
        <w:t>.</w:t>
      </w:r>
    </w:p>
    <w:p w:rsidR="00B95F43" w:rsidP="7E8302CD" w:rsidRDefault="00666FFE" w14:paraId="4BAF89B9" w14:textId="5FF6B579">
      <w:pPr>
        <w:spacing w:line="360" w:lineRule="auto"/>
        <w:jc w:val="both"/>
        <w:rPr>
          <w:rFonts w:ascii="Arial" w:hAnsi="Arial" w:eastAsia="Arial" w:cs="Arial"/>
          <w:noProof w:val="0"/>
          <w:color w:val="000000" w:themeColor="text1" w:themeTint="FF" w:themeShade="FF"/>
          <w:sz w:val="22"/>
          <w:szCs w:val="22"/>
          <w:lang w:val="en-GB"/>
        </w:rPr>
      </w:pPr>
      <w:r w:rsidRPr="7E8302CD" w:rsidR="046A02C7">
        <w:rPr>
          <w:rFonts w:ascii="Arial" w:hAnsi="Arial" w:eastAsia="Arial" w:cs="Arial"/>
          <w:noProof w:val="0"/>
          <w:color w:val="000000" w:themeColor="text1" w:themeTint="FF" w:themeShade="FF"/>
          <w:sz w:val="22"/>
          <w:szCs w:val="22"/>
          <w:lang w:val="en-GB"/>
        </w:rPr>
        <w:t xml:space="preserve">Secondly, The </w:t>
      </w:r>
      <w:r w:rsidRPr="7E8302CD" w:rsidR="299EC2E3">
        <w:rPr>
          <w:rFonts w:ascii="Arial" w:hAnsi="Arial" w:eastAsia="Arial" w:cs="Arial"/>
          <w:noProof w:val="0"/>
          <w:color w:val="000000" w:themeColor="text1" w:themeTint="FF" w:themeShade="FF"/>
          <w:sz w:val="22"/>
          <w:szCs w:val="22"/>
          <w:lang w:val="en-GB"/>
        </w:rPr>
        <w:t xml:space="preserve">Core20PLUS5 sets out a framework to address inequalities through five clinical priorities: maternity, severe mental illness, chronic respiratory disease, early cancer </w:t>
      </w:r>
      <w:r w:rsidRPr="7E8302CD" w:rsidR="299EC2E3">
        <w:rPr>
          <w:rFonts w:ascii="Arial" w:hAnsi="Arial" w:eastAsia="Arial" w:cs="Arial"/>
          <w:noProof w:val="0"/>
          <w:color w:val="000000" w:themeColor="text1" w:themeTint="FF" w:themeShade="FF"/>
          <w:sz w:val="22"/>
          <w:szCs w:val="22"/>
          <w:lang w:val="en-GB"/>
        </w:rPr>
        <w:t>diagnosis</w:t>
      </w:r>
      <w:r w:rsidRPr="7E8302CD" w:rsidR="299EC2E3">
        <w:rPr>
          <w:rFonts w:ascii="Arial" w:hAnsi="Arial" w:eastAsia="Arial" w:cs="Arial"/>
          <w:noProof w:val="0"/>
          <w:color w:val="000000" w:themeColor="text1" w:themeTint="FF" w:themeShade="FF"/>
          <w:sz w:val="22"/>
          <w:szCs w:val="22"/>
          <w:lang w:val="en-GB"/>
        </w:rPr>
        <w:t xml:space="preserve"> and hypertension (NHS England, 2024). But the framework was phased out because NHS England lost its independent status with the focus shifting to direct ministerial control and overarching macro-prevention strategies (NHS England, 2024).</w:t>
      </w:r>
    </w:p>
    <w:p w:rsidR="00B95F43" w:rsidP="7E8302CD" w:rsidRDefault="00666FFE" w14:paraId="0B4CA913" w14:textId="4B17B282">
      <w:pPr>
        <w:pStyle w:val="Normal"/>
        <w:spacing w:line="360" w:lineRule="auto"/>
        <w:jc w:val="both"/>
      </w:pPr>
      <w:r w:rsidRPr="7E8302CD" w:rsidR="73B4F994">
        <w:rPr>
          <w:rFonts w:ascii="Arial" w:hAnsi="Arial" w:eastAsia="Arial" w:cs="Arial"/>
          <w:b w:val="1"/>
          <w:bCs w:val="1"/>
          <w:color w:val="000000" w:themeColor="text1" w:themeTint="FF" w:themeShade="FF"/>
          <w:sz w:val="22"/>
          <w:szCs w:val="22"/>
        </w:rPr>
        <w:t xml:space="preserve">Organisations That Support the </w:t>
      </w:r>
      <w:r w:rsidRPr="7E8302CD" w:rsidR="55E697B8">
        <w:rPr>
          <w:rFonts w:ascii="Arial" w:hAnsi="Arial" w:eastAsia="Arial" w:cs="Arial"/>
          <w:b w:val="1"/>
          <w:bCs w:val="1"/>
          <w:color w:val="000000" w:themeColor="text1" w:themeTint="FF" w:themeShade="FF"/>
          <w:sz w:val="22"/>
          <w:szCs w:val="22"/>
        </w:rPr>
        <w:t xml:space="preserve">Elderly </w:t>
      </w:r>
    </w:p>
    <w:p w:rsidR="3B6181ED" w:rsidP="7E8302CD" w:rsidRDefault="3B6181ED" w14:paraId="635F7040" w14:textId="15894F12">
      <w:pPr>
        <w:pStyle w:val="Normal"/>
        <w:spacing w:line="360" w:lineRule="auto"/>
        <w:jc w:val="both"/>
      </w:pPr>
      <w:r w:rsidRPr="7E8302CD" w:rsidR="3B6181ED">
        <w:rPr>
          <w:rFonts w:ascii="Arial" w:hAnsi="Arial" w:eastAsia="Arial" w:cs="Arial"/>
          <w:noProof w:val="0"/>
          <w:color w:val="000000" w:themeColor="text1" w:themeTint="FF" w:themeShade="FF"/>
          <w:sz w:val="22"/>
          <w:szCs w:val="22"/>
          <w:lang w:val="en-GB"/>
        </w:rPr>
        <w:t>Age UK (2025) is the UK's foremost age discrimination and health inequality charity. The organisation works in the community and influences national legislation and social research (Age UK, 2024). Age UK promotes dignity, financial security, and fair health and social care for all (Age UK, 2024). Epidemiological and social research by the charity yields definitive statistics like its annual State of Health and Care of Older People in England report (Age UK, 2025). This evidence base encourages policymakers to shift clinical resources from acute hospital departments to preventative, community-based geriatric services (Age UK, 2024). Their integrated care programmes prevent vulnerable older people with multi-morbidity from declining and decrease unnecessary emergency hospital admissions (Age UK, 2025).</w:t>
      </w:r>
    </w:p>
    <w:p w:rsidR="7E8302CD" w:rsidP="7E8302CD" w:rsidRDefault="7E8302CD" w14:paraId="1C1073E5" w14:textId="34D39E08">
      <w:pPr>
        <w:spacing w:line="360" w:lineRule="auto"/>
        <w:jc w:val="both"/>
        <w:rPr>
          <w:rFonts w:ascii="Arial" w:hAnsi="Arial" w:eastAsia="Arial" w:cs="Arial"/>
          <w:b w:val="1"/>
          <w:bCs w:val="1"/>
          <w:color w:val="000000" w:themeColor="text1" w:themeTint="FF" w:themeShade="FF"/>
          <w:sz w:val="22"/>
          <w:szCs w:val="22"/>
        </w:rPr>
      </w:pPr>
    </w:p>
    <w:p w:rsidRPr="0037692F" w:rsidR="00755058" w:rsidP="7E8302CD" w:rsidRDefault="00535076" w14:paraId="05409B41" w14:textId="4330015F">
      <w:pPr>
        <w:spacing w:line="360" w:lineRule="auto"/>
        <w:jc w:val="both"/>
        <w:rPr>
          <w:rFonts w:ascii="Arial" w:hAnsi="Arial" w:eastAsia="Arial" w:cs="Arial"/>
          <w:b w:val="1"/>
          <w:bCs w:val="1"/>
          <w:color w:val="000000"/>
          <w:sz w:val="22"/>
          <w:szCs w:val="22"/>
        </w:rPr>
      </w:pPr>
      <w:r w:rsidRPr="7E8302CD" w:rsidR="3F94F98F">
        <w:rPr>
          <w:rFonts w:ascii="Arial" w:hAnsi="Arial" w:eastAsia="Arial" w:cs="Arial"/>
          <w:b w:val="1"/>
          <w:bCs w:val="1"/>
          <w:color w:val="000000" w:themeColor="text1" w:themeTint="FF" w:themeShade="FF"/>
          <w:sz w:val="22"/>
          <w:szCs w:val="22"/>
        </w:rPr>
        <w:t>Conclusion</w:t>
      </w:r>
    </w:p>
    <w:p w:rsidR="002D1D8D" w:rsidP="7E8302CD" w:rsidRDefault="00F179C6" w14:paraId="57A5C620" w14:textId="221E3D98">
      <w:pPr>
        <w:spacing w:line="360" w:lineRule="auto"/>
        <w:jc w:val="both"/>
        <w:rPr>
          <w:rFonts w:ascii="Arial" w:hAnsi="Arial" w:eastAsia="Arial" w:cs="Arial"/>
          <w:sz w:val="22"/>
          <w:szCs w:val="22"/>
        </w:rPr>
      </w:pPr>
      <w:r w:rsidRPr="7E8302CD" w:rsidR="77EB840D">
        <w:rPr>
          <w:rFonts w:ascii="Arial" w:hAnsi="Arial" w:eastAsia="Arial" w:cs="Arial"/>
          <w:sz w:val="22"/>
          <w:szCs w:val="22"/>
        </w:rPr>
        <w:t>This social epidemiological analysis shows that the health inequalities experienced by the UK elderly population are a consequence of the intersection of biological vulnerabilities and systemic failures. Social determinants of health in the wider community, such as isolation, material poverty and poor and dangerous housing, also exacerbate disparities in mental health, clinical access and mortality in profoundly significant ways. The Pension Triple Lock and NHS Core20PLUS5 are good national initiatives for mitigation but there are systemic gaps.” To change the face of public health delivery for older people we need ongoing investment in local social infrastructure, a halt to digital-only healthcare exclusions and continued support for advocacy groups such as Age UK.</w:t>
      </w:r>
    </w:p>
    <w:p w:rsidRPr="00927D92" w:rsidR="00D22DA7" w:rsidP="7E8302CD" w:rsidRDefault="00D22DA7" w14:paraId="2EB64986" w14:textId="77777777">
      <w:pPr>
        <w:spacing w:line="360" w:lineRule="auto"/>
        <w:jc w:val="both"/>
        <w:rPr>
          <w:rFonts w:ascii="Arial" w:hAnsi="Arial" w:eastAsia="Arial" w:cs="Arial"/>
          <w:strike w:val="1"/>
          <w:sz w:val="22"/>
          <w:szCs w:val="22"/>
        </w:rPr>
      </w:pPr>
    </w:p>
    <w:p w:rsidRPr="00425306" w:rsidR="00341A27" w:rsidP="7E8302CD" w:rsidRDefault="00007DB3" w14:paraId="1AF54CD6" w14:textId="1AF3AA03">
      <w:pPr>
        <w:spacing w:line="360" w:lineRule="auto"/>
        <w:jc w:val="both"/>
        <w:rPr>
          <w:rFonts w:ascii="Arial" w:hAnsi="Arial" w:eastAsia="Arial" w:cs="Arial"/>
          <w:b w:val="1"/>
          <w:bCs w:val="1"/>
          <w:color w:val="000000"/>
          <w:sz w:val="22"/>
          <w:szCs w:val="22"/>
        </w:rPr>
      </w:pPr>
      <w:r w:rsidRPr="7E8302CD" w:rsidR="5382CB5E">
        <w:rPr>
          <w:rFonts w:ascii="Arial" w:hAnsi="Arial" w:eastAsia="Arial" w:cs="Arial"/>
          <w:b w:val="1"/>
          <w:bCs w:val="1"/>
          <w:color w:val="000000" w:themeColor="text1" w:themeTint="FF" w:themeShade="FF"/>
          <w:sz w:val="22"/>
          <w:szCs w:val="22"/>
        </w:rPr>
        <w:t>Title</w:t>
      </w:r>
      <w:r w:rsidRPr="7E8302CD" w:rsidR="27762BD3">
        <w:rPr>
          <w:rFonts w:ascii="Arial" w:hAnsi="Arial" w:eastAsia="Arial" w:cs="Arial"/>
          <w:b w:val="1"/>
          <w:bCs w:val="1"/>
          <w:color w:val="000000" w:themeColor="text1" w:themeTint="FF" w:themeShade="FF"/>
          <w:sz w:val="22"/>
          <w:szCs w:val="22"/>
        </w:rPr>
        <w:t xml:space="preserve">: </w:t>
      </w:r>
      <w:r w:rsidRPr="7E8302CD" w:rsidR="2CE8094F">
        <w:rPr>
          <w:rFonts w:ascii="Arial" w:hAnsi="Arial" w:eastAsia="Arial" w:cs="Arial"/>
          <w:b w:val="1"/>
          <w:bCs w:val="1"/>
          <w:color w:val="000000" w:themeColor="text1" w:themeTint="FF" w:themeShade="FF"/>
          <w:sz w:val="22"/>
          <w:szCs w:val="22"/>
        </w:rPr>
        <w:t>Informed Analytical Report: An Epidemiological Strategy for Addressing Type 2 Diabetes Mellitus in the London Borough of Tower Hamlets</w:t>
      </w:r>
    </w:p>
    <w:p w:rsidR="0037692F" w:rsidP="7E8302CD" w:rsidRDefault="009249B8" w14:paraId="4EB9B20B" w14:textId="70557EFB">
      <w:pPr>
        <w:spacing w:line="360" w:lineRule="auto"/>
        <w:jc w:val="both"/>
      </w:pPr>
      <w:r w:rsidRPr="7E8302CD" w:rsidR="6EC4552F">
        <w:rPr>
          <w:rFonts w:ascii="Arial" w:hAnsi="Arial" w:eastAsia="Arial" w:cs="Arial"/>
          <w:b w:val="1"/>
          <w:bCs w:val="1"/>
          <w:color w:val="000000" w:themeColor="text1" w:themeTint="FF" w:themeShade="FF"/>
          <w:sz w:val="22"/>
          <w:szCs w:val="22"/>
        </w:rPr>
        <w:t>Introduction</w:t>
      </w:r>
    </w:p>
    <w:p w:rsidR="23E47AEF" w:rsidP="7E8302CD" w:rsidRDefault="23E47AEF" w14:paraId="599CFFAE" w14:textId="1BF678F9">
      <w:pPr>
        <w:pStyle w:val="Normal"/>
        <w:spacing w:line="360" w:lineRule="auto"/>
        <w:jc w:val="both"/>
      </w:pPr>
      <w:r w:rsidRPr="7E8302CD" w:rsidR="23E47AEF">
        <w:rPr>
          <w:rFonts w:ascii="Arial" w:hAnsi="Arial" w:eastAsia="Arial" w:cs="Arial"/>
          <w:noProof w:val="0"/>
          <w:color w:val="000000" w:themeColor="text1" w:themeTint="FF" w:themeShade="FF"/>
          <w:sz w:val="22"/>
          <w:szCs w:val="22"/>
          <w:lang w:val="en-GB"/>
        </w:rPr>
        <w:t xml:space="preserve">Insulin resistance and secretion failure cause </w:t>
      </w:r>
      <w:r w:rsidRPr="7E8302CD" w:rsidR="6DC6E789">
        <w:rPr>
          <w:rFonts w:ascii="Arial" w:hAnsi="Arial" w:eastAsia="Arial" w:cs="Arial"/>
          <w:noProof w:val="0"/>
          <w:color w:val="000000" w:themeColor="text1" w:themeTint="FF" w:themeShade="FF"/>
          <w:sz w:val="22"/>
          <w:szCs w:val="22"/>
          <w:lang w:val="en-GB"/>
        </w:rPr>
        <w:t>hyperglycaemia</w:t>
      </w:r>
      <w:r w:rsidRPr="7E8302CD" w:rsidR="23E47AEF">
        <w:rPr>
          <w:rFonts w:ascii="Arial" w:hAnsi="Arial" w:eastAsia="Arial" w:cs="Arial"/>
          <w:noProof w:val="0"/>
          <w:color w:val="000000" w:themeColor="text1" w:themeTint="FF" w:themeShade="FF"/>
          <w:sz w:val="22"/>
          <w:szCs w:val="22"/>
          <w:lang w:val="en-GB"/>
        </w:rPr>
        <w:t xml:space="preserve"> in T2DM (International Diabetes Federation, 2024). Long-term microvascular and macrovascular effects of T2DM affect youth (WHO, 2023). Myocardial infarction, cerebrovascular accidents, retinopathy, end-stage renal disease, and non-traumatic lower limb amputations are risks (The King's Fund, 2026).</w:t>
      </w:r>
      <w:r w:rsidRPr="7E8302CD" w:rsidR="153014FE">
        <w:rPr>
          <w:rFonts w:ascii="Arial" w:hAnsi="Arial" w:eastAsia="Arial" w:cs="Arial"/>
          <w:noProof w:val="0"/>
          <w:color w:val="000000" w:themeColor="text1" w:themeTint="FF" w:themeShade="FF"/>
          <w:sz w:val="22"/>
          <w:szCs w:val="22"/>
          <w:lang w:val="en-GB"/>
        </w:rPr>
        <w:t xml:space="preserve"> </w:t>
      </w:r>
      <w:r w:rsidRPr="7E8302CD" w:rsidR="23E47AEF">
        <w:rPr>
          <w:rFonts w:ascii="Arial" w:hAnsi="Arial" w:eastAsia="Arial" w:cs="Arial"/>
          <w:noProof w:val="0"/>
          <w:color w:val="000000" w:themeColor="text1" w:themeTint="FF" w:themeShade="FF"/>
          <w:sz w:val="22"/>
          <w:szCs w:val="22"/>
          <w:lang w:val="en-GB"/>
        </w:rPr>
        <w:t>Social and cultural hardship from T2DM worsens systemic health inequalities (Department of Health and Social Care, 2022). Healthcare costs limit household finances, and premature disability affects productivity and employment (Diabetes UK, 2025). Cultural cuisines and metabolic illness stigmas hinder early diagnosis and healthcare-seeking, worsening health disparities in susceptible groups (Language and Culture in Public Health, 2024).</w:t>
      </w:r>
    </w:p>
    <w:p w:rsidR="000E5DEC" w:rsidP="7E8302CD" w:rsidRDefault="00B027C0" w14:paraId="6A272E0F" w14:textId="1E5A255E">
      <w:pPr>
        <w:spacing w:line="360" w:lineRule="auto"/>
        <w:jc w:val="both"/>
        <w:rPr>
          <w:rFonts w:ascii="Arial" w:hAnsi="Arial" w:eastAsia="Arial" w:cs="Arial"/>
          <w:b w:val="1"/>
          <w:bCs w:val="1"/>
          <w:color w:val="000000"/>
          <w:sz w:val="22"/>
          <w:szCs w:val="22"/>
        </w:rPr>
      </w:pPr>
      <w:r w:rsidRPr="7E8302CD" w:rsidR="0618FDA3">
        <w:rPr>
          <w:rFonts w:ascii="Arial" w:hAnsi="Arial" w:eastAsia="Arial" w:cs="Arial"/>
          <w:b w:val="1"/>
          <w:bCs w:val="1"/>
          <w:color w:val="000000" w:themeColor="text1" w:themeTint="FF" w:themeShade="FF"/>
          <w:sz w:val="22"/>
          <w:szCs w:val="22"/>
        </w:rPr>
        <w:t>Global, National, and Local Epidemiological Burden</w:t>
      </w:r>
    </w:p>
    <w:p w:rsidR="00433F4E" w:rsidP="7E8302CD" w:rsidRDefault="004609F4" w14:paraId="18023C64" w14:textId="4E0764F0">
      <w:pPr>
        <w:spacing w:line="360" w:lineRule="auto"/>
        <w:jc w:val="both"/>
        <w:rPr>
          <w:rFonts w:ascii="Arial" w:hAnsi="Arial" w:eastAsia="Arial" w:cs="Arial"/>
          <w:color w:val="000000"/>
          <w:sz w:val="22"/>
          <w:szCs w:val="22"/>
        </w:rPr>
      </w:pPr>
      <w:r w:rsidRPr="7E8302CD" w:rsidR="73A2F9AE">
        <w:rPr>
          <w:rFonts w:ascii="Arial" w:hAnsi="Arial" w:eastAsia="Arial" w:cs="Arial"/>
          <w:color w:val="000000" w:themeColor="text1" w:themeTint="FF" w:themeShade="FF"/>
          <w:sz w:val="22"/>
          <w:szCs w:val="22"/>
        </w:rPr>
        <w:t xml:space="preserve">Epidemiological measures show that T2DM is a major threat to global public health. Currently, it is estimated that </w:t>
      </w:r>
      <w:r w:rsidRPr="7E8302CD" w:rsidR="109F1481">
        <w:rPr>
          <w:rFonts w:ascii="Arial" w:hAnsi="Arial" w:eastAsia="Arial" w:cs="Arial"/>
          <w:color w:val="000000" w:themeColor="text1" w:themeTint="FF" w:themeShade="FF"/>
          <w:sz w:val="22"/>
          <w:szCs w:val="22"/>
        </w:rPr>
        <w:t>537</w:t>
      </w:r>
      <w:r w:rsidRPr="7E8302CD" w:rsidR="73A2F9AE">
        <w:rPr>
          <w:rFonts w:ascii="Arial" w:hAnsi="Arial" w:eastAsia="Arial" w:cs="Arial"/>
          <w:color w:val="000000" w:themeColor="text1" w:themeTint="FF" w:themeShade="FF"/>
          <w:sz w:val="22"/>
          <w:szCs w:val="22"/>
        </w:rPr>
        <w:t xml:space="preserve"> million adults worldwide are living with diabetes, with this number projected to increase to 783 million by 2045 (IDF, 2024). More than 5 million people in the United Kingdom suffer from diabetes, which is about 7% of the adult population, of which about 90% have T2DM (Diabetes UK, 2025).</w:t>
      </w:r>
    </w:p>
    <w:p w:rsidR="00506B0A" w:rsidP="7E8302CD" w:rsidRDefault="005A6517" w14:paraId="0E603B81" w14:textId="5F5F2D18">
      <w:pPr>
        <w:spacing w:line="360" w:lineRule="auto"/>
        <w:jc w:val="both"/>
        <w:rPr>
          <w:rFonts w:ascii="Arial" w:hAnsi="Arial" w:eastAsia="Arial" w:cs="Arial"/>
          <w:color w:val="000000"/>
          <w:sz w:val="22"/>
          <w:szCs w:val="22"/>
        </w:rPr>
      </w:pPr>
      <w:r w:rsidRPr="7E8302CD" w:rsidR="79F02A8F">
        <w:rPr>
          <w:rFonts w:ascii="Arial" w:hAnsi="Arial" w:eastAsia="Arial" w:cs="Arial"/>
          <w:color w:val="000000" w:themeColor="text1" w:themeTint="FF" w:themeShade="FF"/>
          <w:sz w:val="22"/>
          <w:szCs w:val="22"/>
        </w:rPr>
        <w:t xml:space="preserve">The London Borough of Tower Hamlets is an area of extreme epidemiological concern at a regional and local level. Overall, the crude prevalence of diagnosed diabetes in England is about 7.5%. Tower Hamlets has the third highest age-standardised prevalence in London, with prevalence above 10.5% in </w:t>
      </w:r>
      <w:r w:rsidRPr="7E8302CD" w:rsidR="68CA631A">
        <w:rPr>
          <w:rFonts w:ascii="Arial" w:hAnsi="Arial" w:eastAsia="Arial" w:cs="Arial"/>
          <w:color w:val="000000" w:themeColor="text1" w:themeTint="FF" w:themeShade="FF"/>
          <w:sz w:val="22"/>
          <w:szCs w:val="22"/>
        </w:rPr>
        <w:t>high-risk</w:t>
      </w:r>
      <w:r w:rsidRPr="7E8302CD" w:rsidR="79F02A8F">
        <w:rPr>
          <w:rFonts w:ascii="Arial" w:hAnsi="Arial" w:eastAsia="Arial" w:cs="Arial"/>
          <w:color w:val="000000" w:themeColor="text1" w:themeTint="FF" w:themeShade="FF"/>
          <w:sz w:val="22"/>
          <w:szCs w:val="22"/>
        </w:rPr>
        <w:t xml:space="preserve"> zones (Age UK, 2025b). Local clinical records show that there are over 16,000 people formally diagnosed with T2DM in the borough, and an estimated 2,000 residents remain undiagnosed (Tower Hamlets Council, 2015). Notably, the borough has a distinctive pattern of near 6% annual increases in registered cases and a high level of incidence in younger age groups of 18 to 39, which is the eighth highest rate in London (Tower Hamlets Council, 2011).</w:t>
      </w:r>
    </w:p>
    <w:p w:rsidRPr="009D2851" w:rsidR="00F602F1" w:rsidP="7E8302CD" w:rsidRDefault="0029520D" w14:paraId="2C654964" w14:textId="63085BF3">
      <w:pPr>
        <w:spacing w:line="360" w:lineRule="auto"/>
        <w:jc w:val="both"/>
      </w:pPr>
      <w:r w:rsidRPr="7E8302CD" w:rsidR="012B06AB">
        <w:rPr>
          <w:rFonts w:ascii="Arial" w:hAnsi="Arial" w:eastAsia="Arial" w:cs="Arial"/>
          <w:b w:val="1"/>
          <w:bCs w:val="1"/>
          <w:color w:val="000000" w:themeColor="text1" w:themeTint="FF" w:themeShade="FF"/>
          <w:sz w:val="22"/>
          <w:szCs w:val="22"/>
        </w:rPr>
        <w:t>Public Health Measures: Prevention, Protection, and Promotion</w:t>
      </w:r>
    </w:p>
    <w:p w:rsidR="64212429" w:rsidP="7E8302CD" w:rsidRDefault="64212429" w14:paraId="1418DD18" w14:textId="15DDDB5D">
      <w:pPr>
        <w:pStyle w:val="Normal"/>
        <w:spacing w:line="360" w:lineRule="auto"/>
        <w:jc w:val="both"/>
      </w:pPr>
      <w:r w:rsidRPr="7E8302CD" w:rsidR="64212429">
        <w:rPr>
          <w:rFonts w:ascii="Arial" w:hAnsi="Arial" w:eastAsia="Arial" w:cs="Arial"/>
          <w:noProof w:val="0"/>
          <w:color w:val="000000" w:themeColor="text1" w:themeTint="FF" w:themeShade="FF"/>
          <w:sz w:val="22"/>
          <w:szCs w:val="22"/>
          <w:lang w:val="en-GB"/>
        </w:rPr>
        <w:t xml:space="preserve">To reduce T2DM, safeguard Tower Hamlets' public health. Healthy people avoid metabolic diseases. Behavioural intervention using evidence The Diabetes Prevention Programme (DPP) promotes lifestyle changes for non-diabetic hyperglycaemia (HbA1c 42–47 mmol/mol) (NHS England, 2024). Targeted screening stops secondary prevention early. Even in asymptomatic 40-74-year-olds, the NHS Health Check can uncover metabolic risk factors before irreversible vascular issues (Centre for Ageing Better, 2025). </w:t>
      </w:r>
      <w:r>
        <w:br/>
      </w:r>
      <w:r>
        <w:br/>
      </w:r>
      <w:r w:rsidRPr="7E8302CD" w:rsidR="64212429">
        <w:rPr>
          <w:rFonts w:ascii="Arial" w:hAnsi="Arial" w:eastAsia="Arial" w:cs="Arial"/>
          <w:noProof w:val="0"/>
          <w:color w:val="000000" w:themeColor="text1" w:themeTint="FF" w:themeShade="FF"/>
          <w:sz w:val="22"/>
          <w:szCs w:val="22"/>
          <w:lang w:val="en-GB"/>
        </w:rPr>
        <w:t xml:space="preserve">Preventing clinical deterioration with tertiary prophylaxis Tower Hamlets general practise networks are following NICE guidelines and using metformin and insulin alternatives to manage blood sugar, blood pressure, and lipids (Tower Hamlets Council, 2015). Redesigned spaces improve health. Municipal green infrastructure standards for safe exercise, urban planning restrictions on fast-food near schools, and the national Soft Drinks Industry Levy to decrease sugar intake (DHSC, 2022). </w:t>
      </w:r>
      <w:r>
        <w:br/>
      </w:r>
      <w:r>
        <w:br/>
      </w:r>
      <w:r w:rsidRPr="7E8302CD" w:rsidR="64212429">
        <w:rPr>
          <w:rFonts w:ascii="Arial" w:hAnsi="Arial" w:eastAsia="Arial" w:cs="Arial"/>
          <w:noProof w:val="0"/>
          <w:color w:val="000000" w:themeColor="text1" w:themeTint="FF" w:themeShade="FF"/>
          <w:sz w:val="22"/>
          <w:szCs w:val="22"/>
          <w:lang w:val="en-GB"/>
        </w:rPr>
        <w:t xml:space="preserve">Health promotion empowers and unites. Mosque-based health lectures, peer-led healthy cooking workshops, and the NHS Digital Weight Management Programme for obese adults are culturally and linguistically </w:t>
      </w:r>
      <w:r w:rsidRPr="7E8302CD" w:rsidR="64212429">
        <w:rPr>
          <w:rFonts w:ascii="Arial" w:hAnsi="Arial" w:eastAsia="Arial" w:cs="Arial"/>
          <w:noProof w:val="0"/>
          <w:color w:val="000000" w:themeColor="text1" w:themeTint="FF" w:themeShade="FF"/>
          <w:sz w:val="22"/>
          <w:szCs w:val="22"/>
          <w:lang w:val="en-GB"/>
        </w:rPr>
        <w:t>appropriate Tower Hamlets</w:t>
      </w:r>
      <w:r w:rsidRPr="7E8302CD" w:rsidR="64212429">
        <w:rPr>
          <w:rFonts w:ascii="Arial" w:hAnsi="Arial" w:eastAsia="Arial" w:cs="Arial"/>
          <w:noProof w:val="0"/>
          <w:color w:val="000000" w:themeColor="text1" w:themeTint="FF" w:themeShade="FF"/>
          <w:sz w:val="22"/>
          <w:szCs w:val="22"/>
          <w:lang w:val="en-GB"/>
        </w:rPr>
        <w:t xml:space="preserve"> health services (Tower Hamlets Connect, 2025).</w:t>
      </w:r>
    </w:p>
    <w:p w:rsidR="00184485" w:rsidP="7E8302CD" w:rsidRDefault="00E45920" w14:paraId="167C4979" w14:textId="5C2E251B">
      <w:pPr>
        <w:spacing w:line="360" w:lineRule="auto"/>
        <w:jc w:val="both"/>
        <w:rPr>
          <w:rFonts w:ascii="Arial" w:hAnsi="Arial" w:eastAsia="Arial" w:cs="Arial"/>
          <w:b w:val="1"/>
          <w:bCs w:val="1"/>
          <w:color w:val="000000"/>
          <w:sz w:val="22"/>
          <w:szCs w:val="22"/>
        </w:rPr>
      </w:pPr>
      <w:r w:rsidRPr="7E8302CD" w:rsidR="565E13F3">
        <w:rPr>
          <w:rFonts w:ascii="Arial" w:hAnsi="Arial" w:eastAsia="Arial" w:cs="Arial"/>
          <w:b w:val="1"/>
          <w:bCs w:val="1"/>
          <w:color w:val="000000" w:themeColor="text1" w:themeTint="FF" w:themeShade="FF"/>
          <w:sz w:val="22"/>
          <w:szCs w:val="22"/>
        </w:rPr>
        <w:t>Key Determinants and Risk Factors of Type 2 Diabetes</w:t>
      </w:r>
    </w:p>
    <w:p w:rsidR="00836A2F" w:rsidP="7E8302CD" w:rsidRDefault="00472060" w14:paraId="131557A3" w14:textId="3B732AF5">
      <w:pPr>
        <w:spacing w:line="360" w:lineRule="auto"/>
        <w:jc w:val="both"/>
        <w:rPr>
          <w:rFonts w:ascii="Arial" w:hAnsi="Arial" w:eastAsia="Arial" w:cs="Arial"/>
          <w:color w:val="000000"/>
          <w:sz w:val="22"/>
          <w:szCs w:val="22"/>
        </w:rPr>
      </w:pPr>
      <w:r w:rsidRPr="7E8302CD" w:rsidR="5ABB4DC5">
        <w:rPr>
          <w:rFonts w:ascii="Arial" w:hAnsi="Arial" w:eastAsia="Arial" w:cs="Arial"/>
          <w:color w:val="000000" w:themeColor="text1" w:themeTint="FF" w:themeShade="FF"/>
          <w:sz w:val="22"/>
          <w:szCs w:val="22"/>
        </w:rPr>
        <w:t>The distribution of T2DM in Tower Hamlets is driven by a complicated interaction between proximal biological markers and distal structural determinants. Biologically, age, genetic predisposition and body mass index (BMI) are the major drivers. However, social epidemiology shows that these individual risks are deeply influenced by broader social determinants of health (The King's Fund, 2026).</w:t>
      </w:r>
    </w:p>
    <w:p w:rsidR="00552CCA" w:rsidP="7E8302CD" w:rsidRDefault="005C0052" w14:paraId="1FC62E0C" w14:textId="5DC56517">
      <w:pPr>
        <w:spacing w:line="360" w:lineRule="auto"/>
        <w:jc w:val="both"/>
        <w:rPr>
          <w:rFonts w:ascii="Arial" w:hAnsi="Arial" w:eastAsia="Arial" w:cs="Arial"/>
          <w:color w:val="000000"/>
          <w:sz w:val="22"/>
          <w:szCs w:val="22"/>
        </w:rPr>
      </w:pPr>
      <w:r w:rsidRPr="7E8302CD" w:rsidR="3B941F6E">
        <w:rPr>
          <w:rFonts w:ascii="Arial" w:hAnsi="Arial" w:eastAsia="Arial" w:cs="Arial"/>
          <w:color w:val="000000" w:themeColor="text1" w:themeTint="FF" w:themeShade="FF"/>
          <w:sz w:val="22"/>
          <w:szCs w:val="22"/>
        </w:rPr>
        <w:t xml:space="preserve">Ethnicity is a major biological and social determinant of health. South Asians (particularly the large Bangladeshi population of Tower Hamlets, where over 32% of the population is Bangladeshi) are three to four times more likely to develop T2DM than White Europeans (Chowdhury, 2007). This increased risk is </w:t>
      </w:r>
      <w:r w:rsidRPr="7E8302CD" w:rsidR="02FEC58E">
        <w:rPr>
          <w:rFonts w:ascii="Arial" w:hAnsi="Arial" w:eastAsia="Arial" w:cs="Arial"/>
          <w:color w:val="000000" w:themeColor="text1" w:themeTint="FF" w:themeShade="FF"/>
          <w:sz w:val="22"/>
          <w:szCs w:val="22"/>
        </w:rPr>
        <w:t>seen</w:t>
      </w:r>
      <w:r w:rsidRPr="7E8302CD" w:rsidR="3B941F6E">
        <w:rPr>
          <w:rFonts w:ascii="Arial" w:hAnsi="Arial" w:eastAsia="Arial" w:cs="Arial"/>
          <w:color w:val="000000" w:themeColor="text1" w:themeTint="FF" w:themeShade="FF"/>
          <w:sz w:val="22"/>
          <w:szCs w:val="22"/>
        </w:rPr>
        <w:t xml:space="preserve"> at a significantly lower BMI and 10-15 years earlier in life.</w:t>
      </w:r>
    </w:p>
    <w:p w:rsidR="00C2312E" w:rsidP="7E8302CD" w:rsidRDefault="00DD1A4D" w14:paraId="5008E928" w14:textId="7DD4229B">
      <w:pPr>
        <w:spacing w:line="360" w:lineRule="auto"/>
        <w:jc w:val="both"/>
        <w:rPr>
          <w:rFonts w:ascii="Arial" w:hAnsi="Arial" w:eastAsia="Arial" w:cs="Arial"/>
          <w:color w:val="000000"/>
          <w:sz w:val="22"/>
          <w:szCs w:val="22"/>
        </w:rPr>
      </w:pPr>
      <w:r w:rsidRPr="7E8302CD" w:rsidR="33D27112">
        <w:rPr>
          <w:rFonts w:ascii="Arial" w:hAnsi="Arial" w:eastAsia="Arial" w:cs="Arial"/>
          <w:color w:val="000000" w:themeColor="text1" w:themeTint="FF" w:themeShade="FF"/>
          <w:sz w:val="22"/>
          <w:szCs w:val="22"/>
        </w:rPr>
        <w:t xml:space="preserve">Severe socioeconomic deprivation and ethnic vulnerability are closely related. According to Tower Hamlets Council (2015), Tower Hamlets has historically been one of England's most socioeconomically disadvantaged local authorities. Access to wholesome foods is limited by material poverty, which increases reliance on inexpensive, high-calorie options. A highly obesogenic environment is created by this dynamic, which is further </w:t>
      </w:r>
      <w:r w:rsidRPr="7E8302CD" w:rsidR="728BE579">
        <w:rPr>
          <w:rFonts w:ascii="Arial" w:hAnsi="Arial" w:eastAsia="Arial" w:cs="Arial"/>
          <w:color w:val="000000" w:themeColor="text1" w:themeTint="FF" w:themeShade="FF"/>
          <w:sz w:val="22"/>
          <w:szCs w:val="22"/>
        </w:rPr>
        <w:t>worsened</w:t>
      </w:r>
      <w:r w:rsidRPr="7E8302CD" w:rsidR="33D27112">
        <w:rPr>
          <w:rFonts w:ascii="Arial" w:hAnsi="Arial" w:eastAsia="Arial" w:cs="Arial"/>
          <w:color w:val="000000" w:themeColor="text1" w:themeTint="FF" w:themeShade="FF"/>
          <w:sz w:val="22"/>
          <w:szCs w:val="22"/>
        </w:rPr>
        <w:t xml:space="preserve"> by subpar housing conditions, ongoing psychosocial stress, and a lack of local opportunities for physical activity (Centre for Ageing Better, 2025).</w:t>
      </w:r>
    </w:p>
    <w:p w:rsidR="0033059D" w:rsidP="7E8302CD" w:rsidRDefault="0033059D" w14:paraId="047DDA5A" w14:textId="258365A7">
      <w:pPr>
        <w:spacing w:line="360" w:lineRule="auto"/>
        <w:jc w:val="both"/>
      </w:pPr>
      <w:r w:rsidRPr="7E8302CD" w:rsidR="143EF809">
        <w:rPr>
          <w:rFonts w:ascii="Arial" w:hAnsi="Arial" w:eastAsia="Arial" w:cs="Arial"/>
          <w:b w:val="1"/>
          <w:bCs w:val="1"/>
          <w:color w:val="000000" w:themeColor="text1" w:themeTint="FF" w:themeShade="FF"/>
          <w:sz w:val="22"/>
          <w:szCs w:val="22"/>
        </w:rPr>
        <w:t>Evaluation of Health Needs to Determine At-Risk Groups</w:t>
      </w:r>
    </w:p>
    <w:p w:rsidR="78375663" w:rsidP="7E8302CD" w:rsidRDefault="78375663" w14:paraId="5BE3D61E" w14:textId="6C9EAA3B">
      <w:pPr>
        <w:pStyle w:val="Normal"/>
        <w:spacing w:line="360" w:lineRule="auto"/>
        <w:jc w:val="both"/>
      </w:pPr>
      <w:r w:rsidRPr="7E8302CD" w:rsidR="78375663">
        <w:rPr>
          <w:rFonts w:ascii="Arial" w:hAnsi="Arial" w:eastAsia="Arial" w:cs="Arial"/>
          <w:noProof w:val="0"/>
          <w:color w:val="000000" w:themeColor="text1" w:themeTint="FF" w:themeShade="FF"/>
          <w:sz w:val="22"/>
          <w:szCs w:val="22"/>
          <w:lang w:val="en-GB"/>
        </w:rPr>
        <w:t>Local Joint Strategic Needs Assessment and multi-</w:t>
      </w:r>
      <w:r w:rsidRPr="7E8302CD" w:rsidR="6DB27970">
        <w:rPr>
          <w:rFonts w:ascii="Arial" w:hAnsi="Arial" w:eastAsia="Arial" w:cs="Arial"/>
          <w:noProof w:val="0"/>
          <w:color w:val="000000" w:themeColor="text1" w:themeTint="FF" w:themeShade="FF"/>
          <w:sz w:val="22"/>
          <w:szCs w:val="22"/>
          <w:lang w:val="en-GB"/>
        </w:rPr>
        <w:t>centre</w:t>
      </w:r>
      <w:r w:rsidRPr="7E8302CD" w:rsidR="78375663">
        <w:rPr>
          <w:rFonts w:ascii="Arial" w:hAnsi="Arial" w:eastAsia="Arial" w:cs="Arial"/>
          <w:noProof w:val="0"/>
          <w:color w:val="000000" w:themeColor="text1" w:themeTint="FF" w:themeShade="FF"/>
          <w:sz w:val="22"/>
          <w:szCs w:val="22"/>
          <w:lang w:val="en-GB"/>
        </w:rPr>
        <w:t xml:space="preserve"> epidemiology can reliably map east London high-risk subpopulations. Tower Hamlets' </w:t>
      </w:r>
      <w:r w:rsidRPr="7E8302CD" w:rsidR="78375663">
        <w:rPr>
          <w:rFonts w:ascii="Arial" w:hAnsi="Arial" w:eastAsia="Arial" w:cs="Arial"/>
          <w:noProof w:val="0"/>
          <w:color w:val="000000" w:themeColor="text1" w:themeTint="FF" w:themeShade="FF"/>
          <w:sz w:val="22"/>
          <w:szCs w:val="22"/>
          <w:lang w:val="en-GB"/>
        </w:rPr>
        <w:t>QDScore</w:t>
      </w:r>
      <w:r w:rsidRPr="7E8302CD" w:rsidR="78375663">
        <w:rPr>
          <w:rFonts w:ascii="Arial" w:hAnsi="Arial" w:eastAsia="Arial" w:cs="Arial"/>
          <w:noProof w:val="0"/>
          <w:color w:val="000000" w:themeColor="text1" w:themeTint="FF" w:themeShade="FF"/>
          <w:sz w:val="22"/>
          <w:szCs w:val="22"/>
          <w:lang w:val="en-GB"/>
        </w:rPr>
        <w:t xml:space="preserve"> </w:t>
      </w:r>
      <w:r w:rsidRPr="7E8302CD" w:rsidR="78375663">
        <w:rPr>
          <w:rFonts w:ascii="Arial" w:hAnsi="Arial" w:eastAsia="Arial" w:cs="Arial"/>
          <w:noProof w:val="0"/>
          <w:color w:val="000000" w:themeColor="text1" w:themeTint="FF" w:themeShade="FF"/>
          <w:sz w:val="22"/>
          <w:szCs w:val="22"/>
          <w:lang w:val="en-GB"/>
        </w:rPr>
        <w:t>identified</w:t>
      </w:r>
      <w:r w:rsidRPr="7E8302CD" w:rsidR="78375663">
        <w:rPr>
          <w:rFonts w:ascii="Arial" w:hAnsi="Arial" w:eastAsia="Arial" w:cs="Arial"/>
          <w:noProof w:val="0"/>
          <w:color w:val="000000" w:themeColor="text1" w:themeTint="FF" w:themeShade="FF"/>
          <w:sz w:val="22"/>
          <w:szCs w:val="22"/>
          <w:lang w:val="en-GB"/>
        </w:rPr>
        <w:t xml:space="preserve"> a “East London diabetes belt” with a 10-year T2DM risk of 4.1% in luxury riverfront areas and 16.7% in poor inner districts (Hippisley-Cox et al., 2012). </w:t>
      </w:r>
      <w:r>
        <w:br/>
      </w:r>
      <w:r>
        <w:br/>
      </w:r>
      <w:r w:rsidRPr="7E8302CD" w:rsidR="78375663">
        <w:rPr>
          <w:rFonts w:ascii="Arial" w:hAnsi="Arial" w:eastAsia="Arial" w:cs="Arial"/>
          <w:noProof w:val="0"/>
          <w:color w:val="000000" w:themeColor="text1" w:themeTint="FF" w:themeShade="FF"/>
          <w:sz w:val="22"/>
          <w:szCs w:val="22"/>
          <w:lang w:val="en-GB"/>
        </w:rPr>
        <w:t xml:space="preserve">A local health needs assessment </w:t>
      </w:r>
      <w:r w:rsidRPr="7E8302CD" w:rsidR="78375663">
        <w:rPr>
          <w:rFonts w:ascii="Arial" w:hAnsi="Arial" w:eastAsia="Arial" w:cs="Arial"/>
          <w:noProof w:val="0"/>
          <w:color w:val="000000" w:themeColor="text1" w:themeTint="FF" w:themeShade="FF"/>
          <w:sz w:val="22"/>
          <w:szCs w:val="22"/>
          <w:lang w:val="en-GB"/>
        </w:rPr>
        <w:t>identified</w:t>
      </w:r>
      <w:r w:rsidRPr="7E8302CD" w:rsidR="78375663">
        <w:rPr>
          <w:rFonts w:ascii="Arial" w:hAnsi="Arial" w:eastAsia="Arial" w:cs="Arial"/>
          <w:noProof w:val="0"/>
          <w:color w:val="000000" w:themeColor="text1" w:themeTint="FF" w:themeShade="FF"/>
          <w:sz w:val="22"/>
          <w:szCs w:val="22"/>
          <w:lang w:val="en-GB"/>
        </w:rPr>
        <w:t xml:space="preserve"> working-age South Asian (</w:t>
      </w:r>
      <w:r w:rsidRPr="7E8302CD" w:rsidR="78375663">
        <w:rPr>
          <w:rFonts w:ascii="Arial" w:hAnsi="Arial" w:eastAsia="Arial" w:cs="Arial"/>
          <w:noProof w:val="0"/>
          <w:color w:val="000000" w:themeColor="text1" w:themeTint="FF" w:themeShade="FF"/>
          <w:sz w:val="22"/>
          <w:szCs w:val="22"/>
          <w:lang w:val="en-GB"/>
        </w:rPr>
        <w:t>mainly Bangladeshi</w:t>
      </w:r>
      <w:r w:rsidRPr="7E8302CD" w:rsidR="78375663">
        <w:rPr>
          <w:rFonts w:ascii="Arial" w:hAnsi="Arial" w:eastAsia="Arial" w:cs="Arial"/>
          <w:noProof w:val="0"/>
          <w:color w:val="000000" w:themeColor="text1" w:themeTint="FF" w:themeShade="FF"/>
          <w:sz w:val="22"/>
          <w:szCs w:val="22"/>
          <w:lang w:val="en-GB"/>
        </w:rPr>
        <w:t>) men and women in social housing estates as the most at risk (Tower Hamlets Council, 2015). High-risk groups include schizophrenia and bipolar patients. Due to atypical</w:t>
      </w:r>
      <w:r w:rsidRPr="7E8302CD" w:rsidR="4EE41F84">
        <w:rPr>
          <w:rFonts w:ascii="Arial" w:hAnsi="Arial" w:eastAsia="Arial" w:cs="Arial"/>
          <w:noProof w:val="0"/>
          <w:color w:val="000000" w:themeColor="text1" w:themeTint="FF" w:themeShade="FF"/>
          <w:sz w:val="22"/>
          <w:szCs w:val="22"/>
          <w:lang w:val="en-GB"/>
        </w:rPr>
        <w:t xml:space="preserve">  </w:t>
      </w:r>
      <w:r w:rsidRPr="7E8302CD" w:rsidR="78375663">
        <w:rPr>
          <w:rFonts w:ascii="Arial" w:hAnsi="Arial" w:eastAsia="Arial" w:cs="Arial"/>
          <w:noProof w:val="0"/>
          <w:color w:val="000000" w:themeColor="text1" w:themeTint="FF" w:themeShade="FF"/>
          <w:sz w:val="22"/>
          <w:szCs w:val="22"/>
          <w:lang w:val="en-GB"/>
        </w:rPr>
        <w:t xml:space="preserve"> antipsychotic metabolic side effects and systemic barriers to routine physical health monitoring, they had two- to three-fold greater incidence of T2DM than the general population (ScienceDirect, 2023).</w:t>
      </w:r>
    </w:p>
    <w:p w:rsidR="0093528D" w:rsidP="7E8302CD" w:rsidRDefault="00E67CC7" w14:paraId="728EA97E" w14:textId="42EE675B">
      <w:pPr>
        <w:spacing w:line="360" w:lineRule="auto"/>
        <w:jc w:val="both"/>
        <w:rPr>
          <w:rFonts w:ascii="Arial" w:hAnsi="Arial" w:eastAsia="Arial" w:cs="Arial"/>
          <w:b w:val="1"/>
          <w:bCs w:val="1"/>
          <w:color w:val="000000"/>
          <w:sz w:val="22"/>
          <w:szCs w:val="22"/>
        </w:rPr>
      </w:pPr>
      <w:r w:rsidRPr="7E8302CD" w:rsidR="41CC202E">
        <w:rPr>
          <w:rFonts w:ascii="Arial" w:hAnsi="Arial" w:eastAsia="Arial" w:cs="Arial"/>
          <w:b w:val="1"/>
          <w:bCs w:val="1"/>
          <w:color w:val="000000" w:themeColor="text1" w:themeTint="FF" w:themeShade="FF"/>
          <w:sz w:val="22"/>
          <w:szCs w:val="22"/>
        </w:rPr>
        <w:t>Public Health Approaches and Strategies for Surveillance</w:t>
      </w:r>
    </w:p>
    <w:p w:rsidRPr="0051712B" w:rsidR="001D0D5F" w:rsidP="7E8302CD" w:rsidRDefault="000F55D3" w14:paraId="3A901378" w14:textId="4D28995A">
      <w:pPr>
        <w:spacing w:line="360" w:lineRule="auto"/>
        <w:jc w:val="both"/>
        <w:rPr>
          <w:rFonts w:ascii="Arial" w:hAnsi="Arial" w:eastAsia="Arial" w:cs="Arial"/>
          <w:color w:val="000000"/>
          <w:sz w:val="22"/>
          <w:szCs w:val="22"/>
        </w:rPr>
      </w:pPr>
      <w:r w:rsidRPr="7E8302CD" w:rsidR="500E67ED">
        <w:rPr>
          <w:rFonts w:ascii="Arial" w:hAnsi="Arial" w:eastAsia="Arial" w:cs="Arial"/>
          <w:color w:val="000000" w:themeColor="text1" w:themeTint="FF" w:themeShade="FF"/>
          <w:sz w:val="22"/>
          <w:szCs w:val="22"/>
        </w:rPr>
        <w:t>As the Regional Epidemiologist, multiple linked health surveillance systems are used to monitor the incidence and prevalence of T2DM in Tower Hamlets.</w:t>
      </w:r>
    </w:p>
    <w:p w:rsidR="00003AB7" w:rsidP="7E8302CD" w:rsidRDefault="00B05EAE" w14:paraId="3BB58518" w14:textId="20AA2568">
      <w:pPr>
        <w:spacing w:line="360" w:lineRule="auto"/>
        <w:jc w:val="both"/>
        <w:rPr>
          <w:rFonts w:ascii="Arial" w:hAnsi="Arial" w:eastAsia="Arial" w:cs="Arial"/>
          <w:sz w:val="22"/>
          <w:szCs w:val="22"/>
        </w:rPr>
      </w:pPr>
      <w:r w:rsidRPr="7E8302CD" w:rsidR="52ABFBFC">
        <w:rPr>
          <w:rFonts w:ascii="Arial" w:hAnsi="Arial" w:eastAsia="Arial" w:cs="Arial"/>
          <w:sz w:val="22"/>
          <w:szCs w:val="22"/>
        </w:rPr>
        <w:t xml:space="preserve">The first approach is passive surveillance within the Quality and Outcomes Framework (QOF). This system aggregates electronic health records from all 100% of the borough’s primary care practices and produces strong data on diagnosed cases, </w:t>
      </w:r>
      <w:r w:rsidRPr="7E8302CD" w:rsidR="46212D0A">
        <w:rPr>
          <w:rFonts w:ascii="Arial" w:hAnsi="Arial" w:eastAsia="Arial" w:cs="Arial"/>
          <w:sz w:val="22"/>
          <w:szCs w:val="22"/>
        </w:rPr>
        <w:t>comorbidities,</w:t>
      </w:r>
      <w:r w:rsidRPr="7E8302CD" w:rsidR="52ABFBFC">
        <w:rPr>
          <w:rFonts w:ascii="Arial" w:hAnsi="Arial" w:eastAsia="Arial" w:cs="Arial"/>
          <w:sz w:val="22"/>
          <w:szCs w:val="22"/>
        </w:rPr>
        <w:t xml:space="preserve"> and therapeutic target achievement (Hull et al., 2013).</w:t>
      </w:r>
    </w:p>
    <w:p w:rsidR="003208FB" w:rsidP="7E8302CD" w:rsidRDefault="002C76BB" w14:paraId="04C7EB67" w14:textId="278C5E18">
      <w:pPr>
        <w:spacing w:line="360" w:lineRule="auto"/>
        <w:jc w:val="both"/>
        <w:rPr>
          <w:rFonts w:ascii="Arial" w:hAnsi="Arial" w:eastAsia="Arial" w:cs="Arial"/>
          <w:sz w:val="22"/>
          <w:szCs w:val="22"/>
        </w:rPr>
      </w:pPr>
      <w:r w:rsidRPr="7E8302CD" w:rsidR="03E4F7AF">
        <w:rPr>
          <w:rFonts w:ascii="Arial" w:hAnsi="Arial" w:eastAsia="Arial" w:cs="Arial"/>
          <w:sz w:val="22"/>
          <w:szCs w:val="22"/>
        </w:rPr>
        <w:t>The second strategy is active surveillance through the National Diabetes Audit (NDA). This system links primary care data to secondary care hospital admissions, offering important insights into acute complications, rates of diabetic ketoacidosis and trends in mortality across the borough (Tower Hamlets Council, 2016).</w:t>
      </w:r>
    </w:p>
    <w:p w:rsidR="00996F61" w:rsidP="7E8302CD" w:rsidRDefault="009D2660" w14:paraId="1ADAA302" w14:textId="26771BAE">
      <w:pPr>
        <w:spacing w:line="360" w:lineRule="auto"/>
        <w:jc w:val="both"/>
      </w:pPr>
      <w:r w:rsidRPr="7E8302CD" w:rsidR="7C0F4DE9">
        <w:rPr>
          <w:rFonts w:ascii="Arial" w:hAnsi="Arial" w:eastAsia="Arial" w:cs="Arial"/>
          <w:sz w:val="22"/>
          <w:szCs w:val="22"/>
        </w:rPr>
        <w:t xml:space="preserve">The third strategy is sentinel surveillance through the Clinical Effectiveness Group (CEG) at Queen Mary University of London. This network actively </w:t>
      </w:r>
      <w:r w:rsidRPr="7E8302CD" w:rsidR="7C0F4DE9">
        <w:rPr>
          <w:rFonts w:ascii="Arial" w:hAnsi="Arial" w:eastAsia="Arial" w:cs="Arial"/>
          <w:sz w:val="22"/>
          <w:szCs w:val="22"/>
        </w:rPr>
        <w:t>monitors</w:t>
      </w:r>
      <w:r w:rsidRPr="7E8302CD" w:rsidR="7C0F4DE9">
        <w:rPr>
          <w:rFonts w:ascii="Arial" w:hAnsi="Arial" w:eastAsia="Arial" w:cs="Arial"/>
          <w:sz w:val="22"/>
          <w:szCs w:val="22"/>
        </w:rPr>
        <w:t xml:space="preserve"> real-time shifts in </w:t>
      </w:r>
      <w:r w:rsidRPr="7E8302CD" w:rsidR="7C0F4DE9">
        <w:rPr>
          <w:rFonts w:ascii="Arial" w:hAnsi="Arial" w:eastAsia="Arial" w:cs="Arial"/>
          <w:sz w:val="22"/>
          <w:szCs w:val="22"/>
        </w:rPr>
        <w:t>glycemic</w:t>
      </w:r>
      <w:r w:rsidRPr="7E8302CD" w:rsidR="7C0F4DE9">
        <w:rPr>
          <w:rFonts w:ascii="Arial" w:hAnsi="Arial" w:eastAsia="Arial" w:cs="Arial"/>
          <w:sz w:val="22"/>
          <w:szCs w:val="22"/>
        </w:rPr>
        <w:t xml:space="preserve"> control (HbA1c monitoring) and multi-ethnic variations in screening uptake across East London, </w:t>
      </w:r>
      <w:r w:rsidRPr="7E8302CD" w:rsidR="7C0F4DE9">
        <w:rPr>
          <w:rFonts w:ascii="Arial" w:hAnsi="Arial" w:eastAsia="Arial" w:cs="Arial"/>
          <w:sz w:val="22"/>
          <w:szCs w:val="22"/>
        </w:rPr>
        <w:t>assisting</w:t>
      </w:r>
      <w:r w:rsidRPr="7E8302CD" w:rsidR="7C0F4DE9">
        <w:rPr>
          <w:rFonts w:ascii="Arial" w:hAnsi="Arial" w:eastAsia="Arial" w:cs="Arial"/>
          <w:sz w:val="22"/>
          <w:szCs w:val="22"/>
        </w:rPr>
        <w:t xml:space="preserve"> in </w:t>
      </w:r>
      <w:r w:rsidRPr="7E8302CD" w:rsidR="7C0F4DE9">
        <w:rPr>
          <w:rFonts w:ascii="Arial" w:hAnsi="Arial" w:eastAsia="Arial" w:cs="Arial"/>
          <w:sz w:val="22"/>
          <w:szCs w:val="22"/>
        </w:rPr>
        <w:t>identifying</w:t>
      </w:r>
      <w:r w:rsidRPr="7E8302CD" w:rsidR="7C0F4DE9">
        <w:rPr>
          <w:rFonts w:ascii="Arial" w:hAnsi="Arial" w:eastAsia="Arial" w:cs="Arial"/>
          <w:sz w:val="22"/>
          <w:szCs w:val="22"/>
        </w:rPr>
        <w:t xml:space="preserve"> emerging variations in service delivery before they manifest as larger population-level disparities (Hull et al., 2013).</w:t>
      </w:r>
    </w:p>
    <w:p w:rsidR="00996F61" w:rsidP="7E8302CD" w:rsidRDefault="009D2660" w14:paraId="6E10E7BC" w14:textId="4BE47FDB">
      <w:pPr>
        <w:spacing w:line="360" w:lineRule="auto"/>
        <w:jc w:val="both"/>
        <w:rPr>
          <w:rFonts w:ascii="Arial" w:hAnsi="Arial" w:eastAsia="Arial" w:cs="Arial"/>
          <w:b w:val="1"/>
          <w:bCs w:val="1"/>
          <w:color w:val="000000" w:themeColor="text1" w:themeTint="FF" w:themeShade="FF"/>
          <w:sz w:val="22"/>
          <w:szCs w:val="22"/>
        </w:rPr>
      </w:pPr>
    </w:p>
    <w:p w:rsidR="00996F61" w:rsidP="7E8302CD" w:rsidRDefault="009D2660" w14:paraId="63DFCD0C" w14:textId="0FAE656B">
      <w:pPr>
        <w:spacing w:line="360" w:lineRule="auto"/>
        <w:jc w:val="both"/>
        <w:rPr>
          <w:rFonts w:ascii="Arial" w:hAnsi="Arial" w:eastAsia="Arial" w:cs="Arial"/>
          <w:b w:val="1"/>
          <w:bCs w:val="1"/>
          <w:color w:val="000000"/>
          <w:sz w:val="22"/>
          <w:szCs w:val="22"/>
        </w:rPr>
      </w:pPr>
      <w:r w:rsidRPr="7E8302CD" w:rsidR="3B351A28">
        <w:rPr>
          <w:rFonts w:ascii="Arial" w:hAnsi="Arial" w:eastAsia="Arial" w:cs="Arial"/>
          <w:b w:val="1"/>
          <w:bCs w:val="1"/>
          <w:color w:val="000000" w:themeColor="text1" w:themeTint="FF" w:themeShade="FF"/>
          <w:sz w:val="22"/>
          <w:szCs w:val="22"/>
        </w:rPr>
        <w:t>Epidemiology of Public Health Impact and Long-Term Consequences</w:t>
      </w:r>
    </w:p>
    <w:p w:rsidR="00405994" w:rsidP="7E8302CD" w:rsidRDefault="00BB53DA" w14:paraId="14385B9B" w14:textId="22272811">
      <w:pPr>
        <w:spacing w:line="360" w:lineRule="auto"/>
        <w:jc w:val="both"/>
        <w:rPr>
          <w:rFonts w:ascii="Arial" w:hAnsi="Arial" w:eastAsia="Arial" w:cs="Arial"/>
          <w:sz w:val="22"/>
          <w:szCs w:val="22"/>
        </w:rPr>
      </w:pPr>
      <w:r w:rsidRPr="7E8302CD" w:rsidR="48082100">
        <w:rPr>
          <w:rFonts w:ascii="Arial" w:hAnsi="Arial" w:eastAsia="Arial" w:cs="Arial"/>
          <w:sz w:val="22"/>
          <w:szCs w:val="22"/>
        </w:rPr>
        <w:t xml:space="preserve">Epidemiological models predict that if current </w:t>
      </w:r>
      <w:r w:rsidRPr="7E8302CD" w:rsidR="16CF14D2">
        <w:rPr>
          <w:rFonts w:ascii="Arial" w:hAnsi="Arial" w:eastAsia="Arial" w:cs="Arial"/>
          <w:sz w:val="22"/>
          <w:szCs w:val="22"/>
        </w:rPr>
        <w:t>localised</w:t>
      </w:r>
      <w:r w:rsidRPr="7E8302CD" w:rsidR="48082100">
        <w:rPr>
          <w:rFonts w:ascii="Arial" w:hAnsi="Arial" w:eastAsia="Arial" w:cs="Arial"/>
          <w:sz w:val="22"/>
          <w:szCs w:val="22"/>
        </w:rPr>
        <w:t xml:space="preserve"> incidence rates remain unchanged, the clinical and financial impact on Tower Hamlets will be unsustainable. Tower Hamlets Council (2016) predicts that the current cohort of over 16,000 diagnosed individuals will grow to around 25,000 by 2030.</w:t>
      </w:r>
    </w:p>
    <w:p w:rsidR="002E2514" w:rsidP="7E8302CD" w:rsidRDefault="007F15C6" w14:paraId="032DE4A8" w14:textId="12B468F5">
      <w:pPr>
        <w:spacing w:line="360" w:lineRule="auto"/>
        <w:jc w:val="both"/>
        <w:rPr>
          <w:rFonts w:ascii="Arial" w:hAnsi="Arial" w:eastAsia="Arial" w:cs="Arial"/>
          <w:sz w:val="22"/>
          <w:szCs w:val="22"/>
        </w:rPr>
      </w:pPr>
      <w:r w:rsidRPr="7E8302CD" w:rsidR="7A5DE988">
        <w:rPr>
          <w:rFonts w:ascii="Arial" w:hAnsi="Arial" w:eastAsia="Arial" w:cs="Arial"/>
          <w:sz w:val="22"/>
          <w:szCs w:val="22"/>
        </w:rPr>
        <w:t>In the short term, the local Integrated Care Board's (ICB) secondary care expenses rise as a result of an increase in avoidable, expensive emergency hospital admissions for acute metabolic crises and cardiovascular events. Long-term effects point to a significant decline in the borough's average healthy life expectancy. A higher percentage of residents in deprived deciles will have severe physical disabilities, such as advanced diabetic retinopathy and end-stage renal failure that necessitates long-term dialysis (The King's Fund, 2026). Health disparities are accelerated, economic productivity is reduced, and the local social care system is overburdened as a result of this dynamic's compounding feedback loop.</w:t>
      </w:r>
    </w:p>
    <w:p w:rsidR="003A4501" w:rsidP="7E8302CD" w:rsidRDefault="000E39CE" w14:paraId="06FDD276" w14:textId="49430029">
      <w:pPr>
        <w:spacing w:line="360" w:lineRule="auto"/>
        <w:jc w:val="both"/>
      </w:pPr>
      <w:r w:rsidRPr="7E8302CD" w:rsidR="4E7585D6">
        <w:rPr>
          <w:rFonts w:ascii="Arial" w:hAnsi="Arial" w:eastAsia="Arial" w:cs="Arial"/>
          <w:b w:val="1"/>
          <w:bCs w:val="1"/>
          <w:color w:val="000000" w:themeColor="text1" w:themeTint="FF" w:themeShade="FF"/>
          <w:sz w:val="22"/>
          <w:szCs w:val="22"/>
        </w:rPr>
        <w:t>Design and Evaluation of a Culturally Tailored Intervention Programme</w:t>
      </w:r>
    </w:p>
    <w:p w:rsidR="0F8A382D" w:rsidP="7E8302CD" w:rsidRDefault="0F8A382D" w14:paraId="70495988" w14:textId="63F53ABF">
      <w:pPr>
        <w:pStyle w:val="Normal"/>
        <w:spacing w:line="360" w:lineRule="auto"/>
        <w:jc w:val="both"/>
      </w:pPr>
      <w:r w:rsidRPr="7E8302CD" w:rsidR="0F8A382D">
        <w:rPr>
          <w:rFonts w:ascii="Arial" w:hAnsi="Arial" w:eastAsia="Arial" w:cs="Arial"/>
          <w:noProof w:val="0"/>
          <w:color w:val="000000" w:themeColor="text1" w:themeTint="FF" w:themeShade="FF"/>
          <w:sz w:val="22"/>
          <w:szCs w:val="22"/>
          <w:lang w:val="en-GB"/>
        </w:rPr>
        <w:t xml:space="preserve">The Tower Hamlets Culturally Tailored Diabetes Prevention and Social Prescribing Initiative addresses these issues. Instead of short-term lifestyle counsel, local health trainers deliver a co-designed 12-week multilingual (English and Bengali) course in community spaces (National Centre for Biotechnology Information, 2023). Structured physical activities for older or less mobile groups, hands-on cooking using traditional foods adjusted to lower glycaemic loading, and direct integration with primary care social prescribing routes address food insecurity and inadequate housing (Diabetes UK, 2019 </w:t>
      </w:r>
      <w:r>
        <w:br/>
      </w:r>
      <w:r>
        <w:br/>
      </w:r>
      <w:r w:rsidRPr="7E8302CD" w:rsidR="0F8A382D">
        <w:rPr>
          <w:rFonts w:ascii="Arial" w:hAnsi="Arial" w:eastAsia="Arial" w:cs="Arial"/>
          <w:noProof w:val="0"/>
          <w:color w:val="000000" w:themeColor="text1" w:themeTint="FF" w:themeShade="FF"/>
          <w:sz w:val="22"/>
          <w:szCs w:val="22"/>
          <w:lang w:val="en-GB"/>
        </w:rPr>
        <w:t>A strong mixed-methods epidemiological strategy is needed to evaluate TH-CI. Summative quantitative measures will be tested at baseline, 3, and 12 months. A significant decrease in participants' average HbA1c is the primary clinical outcome. Weight loss, blood pressure stabilisation, and emergency healthcare use reduction are secondary outcomes (Tower Hamlets Council, 2015). Through focus groups and participant participation, process and qualitative metrics will evaluate program cultural acceptance. Epidemiologists can assess social prescribing's structural effects and attendance constraints (NCBI, 2023).</w:t>
      </w:r>
    </w:p>
    <w:p w:rsidR="0013039B" w:rsidP="7E8302CD" w:rsidRDefault="00095C5E" w14:paraId="47737DAB" w14:textId="40A5933F">
      <w:pPr>
        <w:spacing w:line="360" w:lineRule="auto"/>
        <w:jc w:val="both"/>
      </w:pPr>
      <w:r w:rsidRPr="7E8302CD" w:rsidR="69A11D9A">
        <w:rPr>
          <w:rFonts w:ascii="Arial" w:hAnsi="Arial" w:eastAsia="Arial" w:cs="Arial"/>
          <w:b w:val="1"/>
          <w:bCs w:val="1"/>
          <w:color w:val="000000" w:themeColor="text1" w:themeTint="FF" w:themeShade="FF"/>
          <w:sz w:val="22"/>
          <w:szCs w:val="22"/>
        </w:rPr>
        <w:t>Strengths and Limitations of the Epidemiological Approach</w:t>
      </w:r>
    </w:p>
    <w:p w:rsidR="588F1AE4" w:rsidP="7E8302CD" w:rsidRDefault="588F1AE4" w14:paraId="6D18E9EC" w14:textId="42410027">
      <w:pPr>
        <w:pStyle w:val="Normal"/>
        <w:spacing w:line="360" w:lineRule="auto"/>
        <w:jc w:val="both"/>
      </w:pPr>
      <w:r w:rsidRPr="7E8302CD" w:rsidR="588F1AE4">
        <w:rPr>
          <w:rFonts w:ascii="Arial" w:hAnsi="Arial" w:eastAsia="Arial" w:cs="Arial"/>
          <w:noProof w:val="0"/>
          <w:color w:val="000000" w:themeColor="text1" w:themeTint="FF" w:themeShade="FF"/>
          <w:sz w:val="22"/>
          <w:szCs w:val="22"/>
          <w:lang w:val="en-GB"/>
        </w:rPr>
        <w:t xml:space="preserve">This regional epidemiology technique is structurally beneficial. QOF and CEG record roughly 97% of the borough's ethnicity, avoiding selection bias and providing good internal validity (Hull et al., 2013). Additionally, proven risk prediction systems like QDScore focus public health resources to disadvantaged populations. </w:t>
      </w:r>
      <w:r>
        <w:br/>
      </w:r>
      <w:r>
        <w:br/>
      </w:r>
      <w:r w:rsidRPr="7E8302CD" w:rsidR="588F1AE4">
        <w:rPr>
          <w:rFonts w:ascii="Arial" w:hAnsi="Arial" w:eastAsia="Arial" w:cs="Arial"/>
          <w:noProof w:val="0"/>
          <w:color w:val="000000" w:themeColor="text1" w:themeTint="FF" w:themeShade="FF"/>
          <w:sz w:val="22"/>
          <w:szCs w:val="22"/>
          <w:lang w:val="en-GB"/>
        </w:rPr>
        <w:t xml:space="preserve">Passive surveillance statistics omit asymptomatic or marginalised people who infrequently visit primary care, making them biased. The dynamic may hide local T2DM prevalence. </w:t>
      </w:r>
      <w:r>
        <w:br/>
      </w:r>
      <w:r>
        <w:br/>
      </w:r>
      <w:r w:rsidRPr="7E8302CD" w:rsidR="588F1AE4">
        <w:rPr>
          <w:rFonts w:ascii="Arial" w:hAnsi="Arial" w:eastAsia="Arial" w:cs="Arial"/>
          <w:noProof w:val="0"/>
          <w:color w:val="000000" w:themeColor="text1" w:themeTint="FF" w:themeShade="FF"/>
          <w:sz w:val="22"/>
          <w:szCs w:val="22"/>
          <w:lang w:val="en-GB"/>
        </w:rPr>
        <w:t>Second, observational, cross-sectional registries cannot prove environmental factors cause metabolic decline. Finally, Tower Hamlets' transient population and high migrant turnover make it hard to study long-term health effects and evaluate preventative measures (Tower Hamlets Council, 2011).</w:t>
      </w:r>
    </w:p>
    <w:p w:rsidR="00164052" w:rsidP="7E8302CD" w:rsidRDefault="00E85C90" w14:paraId="55134F6E" w14:textId="41309659">
      <w:pPr>
        <w:spacing w:line="360" w:lineRule="auto"/>
        <w:jc w:val="both"/>
        <w:rPr>
          <w:rFonts w:ascii="Arial" w:hAnsi="Arial" w:eastAsia="Arial" w:cs="Arial"/>
          <w:b w:val="1"/>
          <w:bCs w:val="1"/>
          <w:color w:val="000000"/>
          <w:sz w:val="22"/>
          <w:szCs w:val="22"/>
        </w:rPr>
      </w:pPr>
      <w:r w:rsidRPr="7E8302CD" w:rsidR="7B84D18E">
        <w:rPr>
          <w:rFonts w:ascii="Arial" w:hAnsi="Arial" w:eastAsia="Arial" w:cs="Arial"/>
          <w:b w:val="1"/>
          <w:bCs w:val="1"/>
          <w:color w:val="000000" w:themeColor="text1" w:themeTint="FF" w:themeShade="FF"/>
          <w:sz w:val="22"/>
          <w:szCs w:val="22"/>
        </w:rPr>
        <w:t>Conclusion</w:t>
      </w:r>
    </w:p>
    <w:p w:rsidR="009776D2" w:rsidP="7E8302CD" w:rsidRDefault="00DD6BCB" w14:paraId="74627333" w14:textId="75E577DC">
      <w:pPr>
        <w:spacing w:line="360" w:lineRule="auto"/>
        <w:jc w:val="both"/>
        <w:rPr>
          <w:rFonts w:ascii="Arial" w:hAnsi="Arial" w:eastAsia="Arial" w:cs="Arial"/>
          <w:color w:val="000000"/>
          <w:sz w:val="22"/>
          <w:szCs w:val="22"/>
        </w:rPr>
      </w:pPr>
      <w:r w:rsidRPr="7E8302CD" w:rsidR="6B5CD587">
        <w:rPr>
          <w:rFonts w:ascii="Arial" w:hAnsi="Arial" w:eastAsia="Arial" w:cs="Arial"/>
          <w:color w:val="000000" w:themeColor="text1" w:themeTint="FF" w:themeShade="FF"/>
          <w:sz w:val="22"/>
          <w:szCs w:val="22"/>
        </w:rPr>
        <w:t xml:space="preserve">The report indicates that type 2 Diabetes Mellitus in the London Borough of Tower Hamlets is a major public health problem, caused by a combination of biological vulnerabilities, ethnic risk </w:t>
      </w:r>
      <w:r w:rsidRPr="7E8302CD" w:rsidR="4F39C6D4">
        <w:rPr>
          <w:rFonts w:ascii="Arial" w:hAnsi="Arial" w:eastAsia="Arial" w:cs="Arial"/>
          <w:color w:val="000000" w:themeColor="text1" w:themeTint="FF" w:themeShade="FF"/>
          <w:sz w:val="22"/>
          <w:szCs w:val="22"/>
        </w:rPr>
        <w:t>factors,</w:t>
      </w:r>
      <w:r w:rsidRPr="7E8302CD" w:rsidR="6B5CD587">
        <w:rPr>
          <w:rFonts w:ascii="Arial" w:hAnsi="Arial" w:eastAsia="Arial" w:cs="Arial"/>
          <w:color w:val="000000" w:themeColor="text1" w:themeTint="FF" w:themeShade="FF"/>
          <w:sz w:val="22"/>
          <w:szCs w:val="22"/>
        </w:rPr>
        <w:t xml:space="preserve"> and extreme socioeconomic deprivation. Current surveillance systems such as QOF and the National Diabetes Audit provide excellent data coverage but local trends show a rapid rise in cases particularly among the younger age groups. To </w:t>
      </w:r>
      <w:r w:rsidRPr="7E8302CD" w:rsidR="10365E08">
        <w:rPr>
          <w:rFonts w:ascii="Arial" w:hAnsi="Arial" w:eastAsia="Arial" w:cs="Arial"/>
          <w:color w:val="000000" w:themeColor="text1" w:themeTint="FF" w:themeShade="FF"/>
          <w:sz w:val="22"/>
          <w:szCs w:val="22"/>
        </w:rPr>
        <w:t>minimise</w:t>
      </w:r>
      <w:r w:rsidRPr="7E8302CD" w:rsidR="6B5CD587">
        <w:rPr>
          <w:rFonts w:ascii="Arial" w:hAnsi="Arial" w:eastAsia="Arial" w:cs="Arial"/>
          <w:color w:val="000000" w:themeColor="text1" w:themeTint="FF" w:themeShade="FF"/>
          <w:sz w:val="22"/>
          <w:szCs w:val="22"/>
        </w:rPr>
        <w:t xml:space="preserve"> this risk, there needs to be a move away from </w:t>
      </w:r>
      <w:r w:rsidRPr="7E8302CD" w:rsidR="10365E08">
        <w:rPr>
          <w:rFonts w:ascii="Arial" w:hAnsi="Arial" w:eastAsia="Arial" w:cs="Arial"/>
          <w:color w:val="000000" w:themeColor="text1" w:themeTint="FF" w:themeShade="FF"/>
          <w:sz w:val="22"/>
          <w:szCs w:val="22"/>
        </w:rPr>
        <w:t>standardised</w:t>
      </w:r>
      <w:r w:rsidRPr="7E8302CD" w:rsidR="6B5CD587">
        <w:rPr>
          <w:rFonts w:ascii="Arial" w:hAnsi="Arial" w:eastAsia="Arial" w:cs="Arial"/>
          <w:color w:val="000000" w:themeColor="text1" w:themeTint="FF" w:themeShade="FF"/>
          <w:sz w:val="22"/>
          <w:szCs w:val="22"/>
        </w:rPr>
        <w:t xml:space="preserve"> interventions to culturally tailored, structurally integrated strategies, such as the proposed TH-CI initiative. By combining primary prevention with strong social prescribing and community led health promotion the borough can tackle entrenched health inequalities, improve long-term healthy life </w:t>
      </w:r>
      <w:r w:rsidRPr="7E8302CD" w:rsidR="10365E08">
        <w:rPr>
          <w:rFonts w:ascii="Arial" w:hAnsi="Arial" w:eastAsia="Arial" w:cs="Arial"/>
          <w:color w:val="000000" w:themeColor="text1" w:themeTint="FF" w:themeShade="FF"/>
          <w:sz w:val="22"/>
          <w:szCs w:val="22"/>
        </w:rPr>
        <w:t>expectancy,</w:t>
      </w:r>
      <w:r w:rsidRPr="7E8302CD" w:rsidR="6B5CD587">
        <w:rPr>
          <w:rFonts w:ascii="Arial" w:hAnsi="Arial" w:eastAsia="Arial" w:cs="Arial"/>
          <w:color w:val="000000" w:themeColor="text1" w:themeTint="FF" w:themeShade="FF"/>
          <w:sz w:val="22"/>
          <w:szCs w:val="22"/>
        </w:rPr>
        <w:t xml:space="preserve"> and establish a sustainable local public health infrastructure.</w:t>
      </w:r>
    </w:p>
    <w:p w:rsidR="006757FE" w:rsidP="7E8302CD" w:rsidRDefault="006757FE" w14:paraId="71263789" w14:textId="17ECD90B">
      <w:pPr>
        <w:rPr>
          <w:rFonts w:ascii="-webkit-standard" w:hAnsi="-webkit-standard" w:eastAsia="Times New Roman"/>
          <w:b w:val="1"/>
          <w:bCs w:val="1"/>
          <w:color w:val="000000" w:themeColor="text1" w:themeTint="FF" w:themeShade="FF"/>
          <w:sz w:val="27"/>
          <w:szCs w:val="27"/>
        </w:rPr>
      </w:pPr>
    </w:p>
    <w:p w:rsidR="006757FE" w:rsidP="7E8302CD" w:rsidRDefault="006757FE" w14:paraId="022ED290" w14:textId="4A0C9BBC">
      <w:pPr>
        <w:rPr>
          <w:rFonts w:ascii="-webkit-standard" w:hAnsi="-webkit-standard" w:eastAsia="Times New Roman"/>
          <w:b w:val="1"/>
          <w:bCs w:val="1"/>
          <w:color w:val="000000" w:themeColor="text1" w:themeTint="FF" w:themeShade="FF"/>
          <w:sz w:val="27"/>
          <w:szCs w:val="27"/>
        </w:rPr>
      </w:pPr>
    </w:p>
    <w:p w:rsidR="006757FE" w:rsidP="7E8302CD" w:rsidRDefault="006757FE" w14:paraId="5CC74FDE" w14:textId="27E8F633">
      <w:pPr>
        <w:rPr>
          <w:rFonts w:ascii="-webkit-standard" w:hAnsi="-webkit-standard" w:eastAsia="Times New Roman"/>
          <w:b w:val="1"/>
          <w:bCs w:val="1"/>
          <w:color w:val="000000" w:themeColor="text1" w:themeTint="FF" w:themeShade="FF"/>
          <w:sz w:val="27"/>
          <w:szCs w:val="27"/>
        </w:rPr>
      </w:pPr>
    </w:p>
    <w:p w:rsidR="006757FE" w:rsidP="7E8302CD" w:rsidRDefault="006757FE" w14:paraId="548C7D23" w14:textId="32314206">
      <w:pPr>
        <w:pStyle w:val="Normal"/>
        <w:rPr>
          <w:rFonts w:ascii="-webkit-standard" w:hAnsi="-webkit-standard" w:eastAsia="Times New Roman"/>
          <w:b w:val="1"/>
          <w:bCs w:val="1"/>
          <w:color w:val="000000" w:themeColor="text1" w:themeTint="FF" w:themeShade="FF"/>
          <w:sz w:val="27"/>
          <w:szCs w:val="27"/>
        </w:rPr>
      </w:pPr>
    </w:p>
    <w:p w:rsidR="006757FE" w:rsidP="7E8302CD" w:rsidRDefault="006757FE" w14:paraId="03A5B8AB" w14:textId="698DB347">
      <w:pPr>
        <w:rPr>
          <w:rFonts w:ascii="-webkit-standard" w:hAnsi="-webkit-standard" w:eastAsia="Times New Roman"/>
          <w:b w:val="1"/>
          <w:bCs w:val="1"/>
          <w:color w:val="000000" w:themeColor="text1" w:themeTint="FF" w:themeShade="FF"/>
          <w:sz w:val="27"/>
          <w:szCs w:val="27"/>
        </w:rPr>
      </w:pPr>
      <w:r w:rsidRPr="7E8302CD" w:rsidR="7D96C60E">
        <w:rPr>
          <w:rFonts w:ascii="-webkit-standard" w:hAnsi="-webkit-standard" w:eastAsia="Times New Roman"/>
          <w:b w:val="1"/>
          <w:bCs w:val="1"/>
          <w:color w:val="000000" w:themeColor="text1" w:themeTint="FF" w:themeShade="FF"/>
          <w:sz w:val="27"/>
          <w:szCs w:val="27"/>
        </w:rPr>
        <w:t xml:space="preserve">References </w:t>
      </w:r>
    </w:p>
    <w:p w:rsidR="006757FE" w:rsidP="7E8302CD" w:rsidRDefault="006757FE" w14:textId="77777777" w14:paraId="5C8F3311">
      <w:pPr>
        <w:rPr>
          <w:rFonts w:ascii="Arial" w:hAnsi="Arial" w:eastAsia="Arial" w:cs="Arial"/>
          <w:color w:val="000000" w:themeColor="text1" w:themeTint="FF" w:themeShade="FF"/>
          <w:sz w:val="22"/>
          <w:szCs w:val="22"/>
        </w:rPr>
      </w:pPr>
    </w:p>
    <w:p w:rsidR="006757FE" w:rsidP="7E8302CD" w:rsidRDefault="006757FE" w14:paraId="678EC3A5" w14:textId="3C4419C0">
      <w:pPr>
        <w:pStyle w:val="Normal"/>
        <w:spacing w:line="360" w:lineRule="auto"/>
        <w:rPr>
          <w:rFonts w:ascii="Arial" w:hAnsi="Arial" w:eastAsia="Arial" w:cs="Arial"/>
          <w:sz w:val="22"/>
          <w:szCs w:val="22"/>
        </w:rPr>
      </w:pPr>
      <w:r w:rsidRPr="7E8302CD" w:rsidR="7D96C60E">
        <w:rPr>
          <w:rFonts w:ascii="Arial" w:hAnsi="Arial" w:eastAsia="Arial" w:cs="Arial"/>
          <w:b w:val="1"/>
          <w:bCs w:val="1"/>
          <w:color w:val="000000" w:themeColor="text1" w:themeTint="FF" w:themeShade="FF"/>
          <w:sz w:val="22"/>
          <w:szCs w:val="22"/>
        </w:rPr>
        <w:t xml:space="preserve"> </w:t>
      </w:r>
      <w:r w:rsidRPr="7E8302CD" w:rsidR="7D96C60E">
        <w:rPr>
          <w:rFonts w:ascii="Arial" w:hAnsi="Arial" w:eastAsia="Arial" w:cs="Arial"/>
          <w:sz w:val="22"/>
          <w:szCs w:val="22"/>
        </w:rPr>
        <w:t>Age UK. (2024). </w:t>
      </w:r>
      <w:r w:rsidRPr="7E8302CD" w:rsidR="7D96C60E">
        <w:rPr>
          <w:rFonts w:ascii="Arial" w:hAnsi="Arial" w:eastAsia="Arial" w:cs="Arial"/>
          <w:i w:val="1"/>
          <w:iCs w:val="1"/>
          <w:sz w:val="22"/>
          <w:szCs w:val="22"/>
        </w:rPr>
        <w:t>The Mental Health of Older People Globally</w:t>
      </w:r>
      <w:r w:rsidRPr="7E8302CD" w:rsidR="7D96C60E">
        <w:rPr>
          <w:rFonts w:ascii="Arial" w:hAnsi="Arial" w:eastAsia="Arial" w:cs="Arial"/>
          <w:sz w:val="22"/>
          <w:szCs w:val="22"/>
        </w:rPr>
        <w:t>. London: Age International.</w:t>
      </w:r>
    </w:p>
    <w:p w:rsidR="006757FE" w:rsidP="7E8302CD" w:rsidRDefault="006757FE" w14:paraId="5165CA9F" w14:textId="224BA68B">
      <w:pPr>
        <w:pStyle w:val="Normal"/>
        <w:suppressLineNumbers w:val="0"/>
        <w:bidi w:val="0"/>
        <w:spacing w:before="0" w:beforeAutospacing="off" w:after="0" w:afterAutospacing="off" w:line="360" w:lineRule="auto"/>
        <w:ind w:right="0"/>
        <w:jc w:val="left"/>
        <w:rPr>
          <w:rFonts w:ascii="Arial" w:hAnsi="Arial" w:eastAsia="Arial" w:cs="Arial"/>
          <w:sz w:val="22"/>
          <w:szCs w:val="22"/>
        </w:rPr>
      </w:pPr>
      <w:r w:rsidRPr="7E8302CD" w:rsidR="7D96C60E">
        <w:rPr>
          <w:rFonts w:ascii="Arial" w:hAnsi="Arial" w:eastAsia="Arial" w:cs="Arial"/>
          <w:sz w:val="22"/>
          <w:szCs w:val="22"/>
        </w:rPr>
        <w:t>Age UK</w:t>
      </w:r>
      <w:r w:rsidRPr="7E8302CD" w:rsidR="589701F2">
        <w:rPr>
          <w:rFonts w:ascii="Arial" w:hAnsi="Arial" w:eastAsia="Arial" w:cs="Arial"/>
          <w:sz w:val="22"/>
          <w:szCs w:val="22"/>
        </w:rPr>
        <w:t>. (2</w:t>
      </w:r>
      <w:r w:rsidRPr="7E8302CD" w:rsidR="7D96C60E">
        <w:rPr>
          <w:rFonts w:ascii="Arial" w:hAnsi="Arial" w:eastAsia="Arial" w:cs="Arial"/>
          <w:sz w:val="22"/>
          <w:szCs w:val="22"/>
        </w:rPr>
        <w:t>024</w:t>
      </w:r>
      <w:r w:rsidRPr="7E8302CD" w:rsidR="4506DBC0">
        <w:rPr>
          <w:rFonts w:ascii="Arial" w:hAnsi="Arial" w:eastAsia="Arial" w:cs="Arial"/>
          <w:sz w:val="22"/>
          <w:szCs w:val="22"/>
        </w:rPr>
        <w:t xml:space="preserve">). </w:t>
      </w:r>
      <w:r w:rsidRPr="7E8302CD" w:rsidR="7D96C60E">
        <w:rPr>
          <w:rFonts w:ascii="Arial" w:hAnsi="Arial" w:eastAsia="Arial" w:cs="Arial"/>
          <w:sz w:val="22"/>
          <w:szCs w:val="22"/>
        </w:rPr>
        <w:t> </w:t>
      </w:r>
      <w:r w:rsidRPr="7E8302CD" w:rsidR="7D96C60E">
        <w:rPr>
          <w:rFonts w:ascii="Arial" w:hAnsi="Arial" w:eastAsia="Arial" w:cs="Arial"/>
          <w:i w:val="1"/>
          <w:iCs w:val="1"/>
          <w:sz w:val="22"/>
          <w:szCs w:val="22"/>
        </w:rPr>
        <w:t>Building for an ageing population</w:t>
      </w:r>
      <w:r w:rsidRPr="7E8302CD" w:rsidR="7D96C60E">
        <w:rPr>
          <w:rFonts w:ascii="Arial" w:hAnsi="Arial" w:eastAsia="Arial" w:cs="Arial"/>
          <w:sz w:val="22"/>
          <w:szCs w:val="22"/>
        </w:rPr>
        <w:t>. London: Age UK. Available at</w:t>
      </w:r>
      <w:r w:rsidRPr="7E8302CD" w:rsidR="7D96C60E">
        <w:rPr>
          <w:rFonts w:ascii="Arial" w:hAnsi="Arial" w:eastAsia="Arial" w:cs="Arial"/>
          <w:sz w:val="22"/>
          <w:szCs w:val="22"/>
        </w:rPr>
        <w:t>: </w:t>
      </w:r>
      <w:hyperlink r:id="Re0414ee3c4c74980">
        <w:r w:rsidRPr="7E8302CD" w:rsidR="711D151B">
          <w:rPr>
            <w:rStyle w:val="Hyperlink"/>
            <w:strike w:val="0"/>
            <w:dstrike w:val="0"/>
            <w:noProof w:val="0"/>
            <w:lang w:val="en-GB"/>
          </w:rPr>
          <w:t>https://www.ageuk.org.uk/siteassets/documents/reports-and-publications/reports-and-briefings/safe-at-home/building-for-an-ageing-population-november-2024.pdf</w:t>
        </w:r>
      </w:hyperlink>
      <w:r w:rsidRPr="7E8302CD" w:rsidR="2159FB48">
        <w:rPr>
          <w:rFonts w:ascii="Arial" w:hAnsi="Arial" w:eastAsia="Arial" w:cs="Arial"/>
          <w:sz w:val="22"/>
          <w:szCs w:val="22"/>
        </w:rPr>
        <w:t xml:space="preserve"> </w:t>
      </w:r>
      <w:r w:rsidRPr="7E8302CD" w:rsidR="7D96C60E">
        <w:rPr>
          <w:rFonts w:ascii="Arial" w:hAnsi="Arial" w:eastAsia="Arial" w:cs="Arial"/>
          <w:sz w:val="22"/>
          <w:szCs w:val="22"/>
        </w:rPr>
        <w:t> </w:t>
      </w:r>
      <w:r w:rsidRPr="7E8302CD" w:rsidR="7E1AB5EB">
        <w:rPr>
          <w:rFonts w:ascii="Arial" w:hAnsi="Arial" w:eastAsia="Arial" w:cs="Arial"/>
          <w:sz w:val="22"/>
          <w:szCs w:val="22"/>
        </w:rPr>
        <w:t>(</w:t>
      </w:r>
      <w:r w:rsidRPr="7E8302CD" w:rsidR="7D96C60E">
        <w:rPr>
          <w:rFonts w:ascii="Arial" w:hAnsi="Arial" w:eastAsia="Arial" w:cs="Arial"/>
          <w:sz w:val="22"/>
          <w:szCs w:val="22"/>
        </w:rPr>
        <w:t>Accessed 14 July 2026</w:t>
      </w:r>
      <w:r w:rsidRPr="7E8302CD" w:rsidR="474A47E9">
        <w:rPr>
          <w:rFonts w:ascii="Arial" w:hAnsi="Arial" w:eastAsia="Arial" w:cs="Arial"/>
          <w:sz w:val="22"/>
          <w:szCs w:val="22"/>
        </w:rPr>
        <w:t>)</w:t>
      </w:r>
      <w:r w:rsidRPr="7E8302CD" w:rsidR="7D96C60E">
        <w:rPr>
          <w:rFonts w:ascii="Arial" w:hAnsi="Arial" w:eastAsia="Arial" w:cs="Arial"/>
          <w:sz w:val="22"/>
          <w:szCs w:val="22"/>
        </w:rPr>
        <w:t>.</w:t>
      </w:r>
    </w:p>
    <w:p w:rsidR="006757FE" w:rsidP="7E8302CD" w:rsidRDefault="006757FE" w14:paraId="2BB3CC76" w14:textId="2B2A77B3">
      <w:pPr>
        <w:pStyle w:val="Normal"/>
        <w:spacing w:after="0" w:line="360" w:lineRule="auto"/>
        <w:rPr>
          <w:rFonts w:ascii="Arial" w:hAnsi="Arial" w:eastAsia="Arial" w:cs="Arial"/>
          <w:sz w:val="22"/>
          <w:szCs w:val="22"/>
        </w:rPr>
      </w:pPr>
      <w:r w:rsidRPr="7E8302CD" w:rsidR="7D96C60E">
        <w:rPr>
          <w:rFonts w:ascii="Arial" w:hAnsi="Arial" w:eastAsia="Arial" w:cs="Arial"/>
          <w:sz w:val="22"/>
          <w:szCs w:val="22"/>
        </w:rPr>
        <w:t>Age UK</w:t>
      </w:r>
      <w:r w:rsidRPr="7E8302CD" w:rsidR="58E3484E">
        <w:rPr>
          <w:rFonts w:ascii="Arial" w:hAnsi="Arial" w:eastAsia="Arial" w:cs="Arial"/>
          <w:sz w:val="22"/>
          <w:szCs w:val="22"/>
        </w:rPr>
        <w:t>. (</w:t>
      </w:r>
      <w:r w:rsidRPr="7E8302CD" w:rsidR="7D96C60E">
        <w:rPr>
          <w:rFonts w:ascii="Arial" w:hAnsi="Arial" w:eastAsia="Arial" w:cs="Arial"/>
          <w:sz w:val="22"/>
          <w:szCs w:val="22"/>
        </w:rPr>
        <w:t>2024</w:t>
      </w:r>
      <w:r w:rsidRPr="7E8302CD" w:rsidR="29B4FAC6">
        <w:rPr>
          <w:rFonts w:ascii="Arial" w:hAnsi="Arial" w:eastAsia="Arial" w:cs="Arial"/>
          <w:sz w:val="22"/>
          <w:szCs w:val="22"/>
        </w:rPr>
        <w:t xml:space="preserve">). </w:t>
      </w:r>
      <w:r w:rsidRPr="7E8302CD" w:rsidR="7D96C60E">
        <w:rPr>
          <w:rFonts w:ascii="Arial" w:hAnsi="Arial" w:eastAsia="Arial" w:cs="Arial"/>
          <w:i w:val="1"/>
          <w:iCs w:val="1"/>
          <w:sz w:val="22"/>
          <w:szCs w:val="22"/>
        </w:rPr>
        <w:t>Policy Position: Health Inequalities England</w:t>
      </w:r>
      <w:r w:rsidRPr="7E8302CD" w:rsidR="302DBD71">
        <w:rPr>
          <w:rFonts w:ascii="Arial" w:hAnsi="Arial" w:eastAsia="Arial" w:cs="Arial"/>
          <w:i w:val="1"/>
          <w:iCs w:val="1"/>
          <w:sz w:val="22"/>
          <w:szCs w:val="22"/>
        </w:rPr>
        <w:t xml:space="preserve"> </w:t>
      </w:r>
      <w:r w:rsidRPr="7E8302CD" w:rsidR="7D96C60E">
        <w:rPr>
          <w:rFonts w:ascii="Arial" w:hAnsi="Arial" w:eastAsia="Arial" w:cs="Arial"/>
          <w:sz w:val="22"/>
          <w:szCs w:val="22"/>
        </w:rPr>
        <w:t>. London: Age UK. Available at</w:t>
      </w:r>
      <w:r w:rsidRPr="7E8302CD" w:rsidR="1C81B0FD">
        <w:rPr>
          <w:rFonts w:ascii="Arial" w:hAnsi="Arial" w:eastAsia="Arial" w:cs="Arial"/>
          <w:sz w:val="22"/>
          <w:szCs w:val="22"/>
        </w:rPr>
        <w:t xml:space="preserve">: </w:t>
      </w:r>
      <w:hyperlink r:id="Rfcc39d32b85943ea">
        <w:r w:rsidRPr="7E8302CD" w:rsidR="1C81B0FD">
          <w:rPr>
            <w:rStyle w:val="Hyperlink"/>
            <w:strike w:val="0"/>
            <w:dstrike w:val="0"/>
            <w:noProof w:val="0"/>
            <w:lang w:val="en-GB"/>
          </w:rPr>
          <w:t>https://www.ageuk.org.uk/siteassets/documents/reports-and-publications/reports-and-briefings/equality-and-human-rights/policy-position---health-inequalities-sep-2024.pdf</w:t>
        </w:r>
      </w:hyperlink>
      <w:r w:rsidRPr="7E8302CD" w:rsidR="1C81B0FD">
        <w:rPr>
          <w:rFonts w:ascii="Arial" w:hAnsi="Arial" w:eastAsia="Arial" w:cs="Arial"/>
          <w:sz w:val="22"/>
          <w:szCs w:val="22"/>
        </w:rPr>
        <w:t xml:space="preserve"> </w:t>
      </w:r>
      <w:r w:rsidRPr="7E8302CD" w:rsidR="7AD233AA">
        <w:rPr>
          <w:rFonts w:ascii="Arial" w:hAnsi="Arial" w:eastAsia="Arial" w:cs="Arial"/>
          <w:sz w:val="22"/>
          <w:szCs w:val="22"/>
        </w:rPr>
        <w:t>(</w:t>
      </w:r>
      <w:r w:rsidRPr="7E8302CD" w:rsidR="7D96C60E">
        <w:rPr>
          <w:rFonts w:ascii="Arial" w:hAnsi="Arial" w:eastAsia="Arial" w:cs="Arial"/>
          <w:sz w:val="22"/>
          <w:szCs w:val="22"/>
        </w:rPr>
        <w:t>Accessed 14 July 2026</w:t>
      </w:r>
      <w:r w:rsidRPr="7E8302CD" w:rsidR="4C5EE5C1">
        <w:rPr>
          <w:rFonts w:ascii="Arial" w:hAnsi="Arial" w:eastAsia="Arial" w:cs="Arial"/>
          <w:sz w:val="22"/>
          <w:szCs w:val="22"/>
        </w:rPr>
        <w:t>)</w:t>
      </w:r>
      <w:r w:rsidRPr="7E8302CD" w:rsidR="7D96C60E">
        <w:rPr>
          <w:rFonts w:ascii="Arial" w:hAnsi="Arial" w:eastAsia="Arial" w:cs="Arial"/>
          <w:sz w:val="22"/>
          <w:szCs w:val="22"/>
        </w:rPr>
        <w:t>.</w:t>
      </w:r>
    </w:p>
    <w:p w:rsidR="006757FE" w:rsidP="7E8302CD" w:rsidRDefault="006757FE" w14:paraId="465C29F7" w14:textId="1B857CF6">
      <w:pPr>
        <w:pStyle w:val="Normal"/>
        <w:spacing w:after="0" w:line="360" w:lineRule="auto"/>
        <w:rPr>
          <w:rFonts w:ascii="Arial" w:hAnsi="Arial" w:eastAsia="Arial" w:cs="Arial"/>
          <w:sz w:val="22"/>
          <w:szCs w:val="22"/>
        </w:rPr>
      </w:pPr>
      <w:r w:rsidRPr="7E8302CD" w:rsidR="7D96C60E">
        <w:rPr>
          <w:rFonts w:ascii="Arial" w:hAnsi="Arial" w:eastAsia="Arial" w:cs="Arial"/>
          <w:sz w:val="22"/>
          <w:szCs w:val="22"/>
        </w:rPr>
        <w:t>Age UK</w:t>
      </w:r>
      <w:r w:rsidRPr="7E8302CD" w:rsidR="3B3D012C">
        <w:rPr>
          <w:rFonts w:ascii="Arial" w:hAnsi="Arial" w:eastAsia="Arial" w:cs="Arial"/>
          <w:sz w:val="22"/>
          <w:szCs w:val="22"/>
        </w:rPr>
        <w:t>. (</w:t>
      </w:r>
      <w:r w:rsidRPr="7E8302CD" w:rsidR="7D96C60E">
        <w:rPr>
          <w:rFonts w:ascii="Arial" w:hAnsi="Arial" w:eastAsia="Arial" w:cs="Arial"/>
          <w:sz w:val="22"/>
          <w:szCs w:val="22"/>
        </w:rPr>
        <w:t>2025</w:t>
      </w:r>
      <w:r w:rsidRPr="7E8302CD" w:rsidR="1F6ECF7B">
        <w:rPr>
          <w:rFonts w:ascii="Arial" w:hAnsi="Arial" w:eastAsia="Arial" w:cs="Arial"/>
          <w:sz w:val="22"/>
          <w:szCs w:val="22"/>
        </w:rPr>
        <w:t>). Many</w:t>
      </w:r>
      <w:r w:rsidRPr="7E8302CD" w:rsidR="7D96C60E">
        <w:rPr>
          <w:rFonts w:ascii="Arial" w:hAnsi="Arial" w:eastAsia="Arial" w:cs="Arial"/>
          <w:i w:val="1"/>
          <w:iCs w:val="1"/>
          <w:sz w:val="22"/>
          <w:szCs w:val="22"/>
        </w:rPr>
        <w:t xml:space="preserve"> older women experience glaring inequalities says new Age UK </w:t>
      </w:r>
      <w:r w:rsidRPr="7E8302CD" w:rsidR="22B553B4">
        <w:rPr>
          <w:rFonts w:ascii="Arial" w:hAnsi="Arial" w:eastAsia="Arial" w:cs="Arial"/>
          <w:i w:val="1"/>
          <w:iCs w:val="1"/>
          <w:sz w:val="22"/>
          <w:szCs w:val="22"/>
        </w:rPr>
        <w:t>report. Available</w:t>
      </w:r>
      <w:r w:rsidRPr="7E8302CD" w:rsidR="7D96C60E">
        <w:rPr>
          <w:rFonts w:ascii="Arial" w:hAnsi="Arial" w:eastAsia="Arial" w:cs="Arial"/>
          <w:sz w:val="22"/>
          <w:szCs w:val="22"/>
        </w:rPr>
        <w:t xml:space="preserve"> at: </w:t>
      </w:r>
      <w:hyperlink r:id="Rb5f66939b8f94784">
        <w:r w:rsidRPr="7E8302CD" w:rsidR="43A12506">
          <w:rPr>
            <w:rStyle w:val="Hyperlink"/>
            <w:strike w:val="0"/>
            <w:dstrike w:val="0"/>
            <w:noProof w:val="0"/>
            <w:lang w:val="en-GB"/>
          </w:rPr>
          <w:t>https://www.ageuk.org.uk/siteassets/documents/reports-and-publications/reports-and-briefings/health--wellbeing/state-of-health-and-care/state-of-health-care-of-older-people-in-england-2025.pdf</w:t>
        </w:r>
      </w:hyperlink>
      <w:r w:rsidRPr="7E8302CD" w:rsidR="43A12506">
        <w:rPr>
          <w:rFonts w:ascii="Arial" w:hAnsi="Arial" w:eastAsia="Arial" w:cs="Arial"/>
          <w:sz w:val="22"/>
          <w:szCs w:val="22"/>
        </w:rPr>
        <w:t xml:space="preserve"> </w:t>
      </w:r>
      <w:r w:rsidRPr="7E8302CD" w:rsidR="147E071A">
        <w:rPr>
          <w:rFonts w:ascii="Arial" w:hAnsi="Arial" w:eastAsia="Arial" w:cs="Arial"/>
          <w:sz w:val="22"/>
          <w:szCs w:val="22"/>
        </w:rPr>
        <w:t>(</w:t>
      </w:r>
      <w:r w:rsidRPr="7E8302CD" w:rsidR="7D96C60E">
        <w:rPr>
          <w:rFonts w:ascii="Arial" w:hAnsi="Arial" w:eastAsia="Arial" w:cs="Arial"/>
          <w:sz w:val="22"/>
          <w:szCs w:val="22"/>
        </w:rPr>
        <w:t>Accessed 14 July 2026</w:t>
      </w:r>
      <w:r w:rsidRPr="7E8302CD" w:rsidR="21DB08B1">
        <w:rPr>
          <w:rFonts w:ascii="Arial" w:hAnsi="Arial" w:eastAsia="Arial" w:cs="Arial"/>
          <w:sz w:val="22"/>
          <w:szCs w:val="22"/>
        </w:rPr>
        <w:t>)</w:t>
      </w:r>
      <w:r w:rsidRPr="7E8302CD" w:rsidR="7D96C60E">
        <w:rPr>
          <w:rFonts w:ascii="Arial" w:hAnsi="Arial" w:eastAsia="Arial" w:cs="Arial"/>
          <w:sz w:val="22"/>
          <w:szCs w:val="22"/>
        </w:rPr>
        <w:t>.</w:t>
      </w:r>
    </w:p>
    <w:p w:rsidR="006757FE" w:rsidP="7E8302CD" w:rsidRDefault="006757FE" w14:paraId="398D9F63" w14:textId="093C87DC">
      <w:pPr>
        <w:pStyle w:val="Normal"/>
        <w:spacing w:after="0" w:line="360" w:lineRule="auto"/>
        <w:rPr>
          <w:rFonts w:ascii="Arial" w:hAnsi="Arial" w:eastAsia="Arial" w:cs="Arial"/>
          <w:sz w:val="22"/>
          <w:szCs w:val="22"/>
        </w:rPr>
      </w:pPr>
      <w:r w:rsidRPr="7E8302CD" w:rsidR="7D96C60E">
        <w:rPr>
          <w:rFonts w:ascii="Arial" w:hAnsi="Arial" w:eastAsia="Arial" w:cs="Arial"/>
          <w:sz w:val="22"/>
          <w:szCs w:val="22"/>
        </w:rPr>
        <w:t>Age UK</w:t>
      </w:r>
      <w:r w:rsidRPr="7E8302CD" w:rsidR="689E6BE2">
        <w:rPr>
          <w:rFonts w:ascii="Arial" w:hAnsi="Arial" w:eastAsia="Arial" w:cs="Arial"/>
          <w:sz w:val="22"/>
          <w:szCs w:val="22"/>
        </w:rPr>
        <w:t>. (</w:t>
      </w:r>
      <w:r w:rsidRPr="7E8302CD" w:rsidR="7D96C60E">
        <w:rPr>
          <w:rFonts w:ascii="Arial" w:hAnsi="Arial" w:eastAsia="Arial" w:cs="Arial"/>
          <w:sz w:val="22"/>
          <w:szCs w:val="22"/>
        </w:rPr>
        <w:t>2025</w:t>
      </w:r>
      <w:r w:rsidRPr="7E8302CD" w:rsidR="108822B2">
        <w:rPr>
          <w:rFonts w:ascii="Arial" w:hAnsi="Arial" w:eastAsia="Arial" w:cs="Arial"/>
          <w:sz w:val="22"/>
          <w:szCs w:val="22"/>
        </w:rPr>
        <w:t>)</w:t>
      </w:r>
      <w:r w:rsidRPr="7E8302CD" w:rsidR="7D96C60E">
        <w:rPr>
          <w:rFonts w:ascii="Arial" w:hAnsi="Arial" w:eastAsia="Arial" w:cs="Arial"/>
          <w:sz w:val="22"/>
          <w:szCs w:val="22"/>
        </w:rPr>
        <w:t>. </w:t>
      </w:r>
      <w:r w:rsidRPr="7E8302CD" w:rsidR="7D96C60E">
        <w:rPr>
          <w:rFonts w:ascii="Arial" w:hAnsi="Arial" w:eastAsia="Arial" w:cs="Arial"/>
          <w:i w:val="1"/>
          <w:iCs w:val="1"/>
          <w:sz w:val="22"/>
          <w:szCs w:val="22"/>
        </w:rPr>
        <w:t>The State of Health and Care of Older People in England 2025</w:t>
      </w:r>
      <w:r w:rsidRPr="7E8302CD" w:rsidR="7D96C60E">
        <w:rPr>
          <w:rFonts w:ascii="Arial" w:hAnsi="Arial" w:eastAsia="Arial" w:cs="Arial"/>
          <w:sz w:val="22"/>
          <w:szCs w:val="22"/>
        </w:rPr>
        <w:t>. London:  Available at:</w:t>
      </w:r>
      <w:hyperlink r:id="Re8fae7a730dc475e">
        <w:r w:rsidRPr="7E8302CD" w:rsidR="1205442E">
          <w:rPr>
            <w:rStyle w:val="Hyperlink"/>
            <w:strike w:val="0"/>
            <w:dstrike w:val="0"/>
            <w:noProof w:val="0"/>
            <w:lang w:val="en-GB"/>
          </w:rPr>
          <w:t>https://ageing-better.org.uk/financial-security-state-ageing-2025</w:t>
        </w:r>
      </w:hyperlink>
      <w:r w:rsidRPr="7E8302CD" w:rsidR="7D96C60E">
        <w:rPr>
          <w:rFonts w:ascii="Arial" w:hAnsi="Arial" w:eastAsia="Arial" w:cs="Arial"/>
          <w:sz w:val="22"/>
          <w:szCs w:val="22"/>
        </w:rPr>
        <w:t> </w:t>
      </w:r>
      <w:r w:rsidRPr="7E8302CD" w:rsidR="34BFE77B">
        <w:rPr>
          <w:rFonts w:ascii="Arial" w:hAnsi="Arial" w:eastAsia="Arial" w:cs="Arial"/>
          <w:sz w:val="22"/>
          <w:szCs w:val="22"/>
        </w:rPr>
        <w:t>(</w:t>
      </w:r>
      <w:r w:rsidRPr="7E8302CD" w:rsidR="7D96C60E">
        <w:rPr>
          <w:rFonts w:ascii="Arial" w:hAnsi="Arial" w:eastAsia="Arial" w:cs="Arial"/>
          <w:sz w:val="22"/>
          <w:szCs w:val="22"/>
        </w:rPr>
        <w:t>Accessed 14 July 2026</w:t>
      </w:r>
      <w:r w:rsidRPr="7E8302CD" w:rsidR="683D54D9">
        <w:rPr>
          <w:rFonts w:ascii="Arial" w:hAnsi="Arial" w:eastAsia="Arial" w:cs="Arial"/>
          <w:sz w:val="22"/>
          <w:szCs w:val="22"/>
        </w:rPr>
        <w:t>)</w:t>
      </w:r>
      <w:r w:rsidRPr="7E8302CD" w:rsidR="7D96C60E">
        <w:rPr>
          <w:rFonts w:ascii="Arial" w:hAnsi="Arial" w:eastAsia="Arial" w:cs="Arial"/>
          <w:sz w:val="22"/>
          <w:szCs w:val="22"/>
        </w:rPr>
        <w:t>.</w:t>
      </w:r>
    </w:p>
    <w:p w:rsidR="006757FE" w:rsidP="7E8302CD" w:rsidRDefault="006757FE" w14:paraId="5D79CD11" w14:textId="67CE2AA9">
      <w:pPr>
        <w:pStyle w:val="Normal"/>
        <w:spacing w:line="360" w:lineRule="auto"/>
        <w:rPr>
          <w:rFonts w:ascii="Arial" w:hAnsi="Arial" w:eastAsia="Arial" w:cs="Arial"/>
          <w:sz w:val="22"/>
          <w:szCs w:val="22"/>
        </w:rPr>
      </w:pPr>
      <w:r w:rsidRPr="7E8302CD" w:rsidR="7D96C60E">
        <w:rPr>
          <w:rFonts w:ascii="Arial" w:hAnsi="Arial" w:eastAsia="Arial" w:cs="Arial"/>
          <w:sz w:val="22"/>
          <w:szCs w:val="22"/>
        </w:rPr>
        <w:t>Age UK</w:t>
      </w:r>
      <w:r w:rsidRPr="7E8302CD" w:rsidR="6E675B2D">
        <w:rPr>
          <w:rFonts w:ascii="Arial" w:hAnsi="Arial" w:eastAsia="Arial" w:cs="Arial"/>
          <w:sz w:val="22"/>
          <w:szCs w:val="22"/>
        </w:rPr>
        <w:t>. (</w:t>
      </w:r>
      <w:r w:rsidRPr="7E8302CD" w:rsidR="7D96C60E">
        <w:rPr>
          <w:rFonts w:ascii="Arial" w:hAnsi="Arial" w:eastAsia="Arial" w:cs="Arial"/>
          <w:sz w:val="22"/>
          <w:szCs w:val="22"/>
        </w:rPr>
        <w:t>2025</w:t>
      </w:r>
      <w:r w:rsidRPr="7E8302CD" w:rsidR="391458AC">
        <w:rPr>
          <w:rFonts w:ascii="Arial" w:hAnsi="Arial" w:eastAsia="Arial" w:cs="Arial"/>
          <w:sz w:val="22"/>
          <w:szCs w:val="22"/>
        </w:rPr>
        <w:t>)</w:t>
      </w:r>
      <w:r w:rsidRPr="7E8302CD" w:rsidR="7D96C60E">
        <w:rPr>
          <w:rFonts w:ascii="Arial" w:hAnsi="Arial" w:eastAsia="Arial" w:cs="Arial"/>
          <w:sz w:val="22"/>
          <w:szCs w:val="22"/>
        </w:rPr>
        <w:t> </w:t>
      </w:r>
      <w:r w:rsidRPr="7E8302CD" w:rsidR="7D96C60E">
        <w:rPr>
          <w:rFonts w:ascii="Arial" w:hAnsi="Arial" w:eastAsia="Arial" w:cs="Arial"/>
          <w:i w:val="1"/>
          <w:iCs w:val="1"/>
          <w:sz w:val="22"/>
          <w:szCs w:val="22"/>
        </w:rPr>
        <w:t>The State of Health and Care of Older People in England 2025</w:t>
      </w:r>
      <w:r w:rsidRPr="7E8302CD" w:rsidR="7D96C60E">
        <w:rPr>
          <w:rFonts w:ascii="Arial" w:hAnsi="Arial" w:eastAsia="Arial" w:cs="Arial"/>
          <w:sz w:val="22"/>
          <w:szCs w:val="22"/>
        </w:rPr>
        <w:t xml:space="preserve">. London: Age UK. Available </w:t>
      </w:r>
      <w:r w:rsidRPr="7E8302CD" w:rsidR="08C9351E">
        <w:rPr>
          <w:rFonts w:ascii="Arial" w:hAnsi="Arial" w:eastAsia="Arial" w:cs="Arial"/>
          <w:sz w:val="22"/>
          <w:szCs w:val="22"/>
        </w:rPr>
        <w:t xml:space="preserve">at: </w:t>
      </w:r>
      <w:hyperlink r:id="R295769d046c74cbb">
        <w:r w:rsidRPr="7E8302CD" w:rsidR="08C9351E">
          <w:rPr>
            <w:rStyle w:val="Hyperlink"/>
            <w:strike w:val="0"/>
            <w:dstrike w:val="0"/>
            <w:noProof w:val="0"/>
            <w:lang w:val="en-GB"/>
          </w:rPr>
          <w:t>https://ageing-better.org.uk/news/older-people-living-home-which-could-make-them-sicker</w:t>
        </w:r>
      </w:hyperlink>
      <w:r w:rsidRPr="7E8302CD" w:rsidR="08C9351E">
        <w:rPr>
          <w:rFonts w:ascii="Arial" w:hAnsi="Arial" w:eastAsia="Arial" w:cs="Arial"/>
          <w:sz w:val="22"/>
          <w:szCs w:val="22"/>
        </w:rPr>
        <w:t xml:space="preserve"> </w:t>
      </w:r>
      <w:r w:rsidRPr="7E8302CD" w:rsidR="08C9351E">
        <w:rPr>
          <w:rFonts w:ascii="Arial" w:hAnsi="Arial" w:eastAsia="Arial" w:cs="Arial"/>
          <w:sz w:val="22"/>
          <w:szCs w:val="22"/>
        </w:rPr>
        <w:t>[</w:t>
      </w:r>
      <w:r w:rsidRPr="7E8302CD" w:rsidR="7D96C60E">
        <w:rPr>
          <w:rFonts w:ascii="Arial" w:hAnsi="Arial" w:eastAsia="Arial" w:cs="Arial"/>
          <w:sz w:val="22"/>
          <w:szCs w:val="22"/>
        </w:rPr>
        <w:t>Accessed 14 July 2026].</w:t>
      </w:r>
    </w:p>
    <w:p w:rsidR="006757FE" w:rsidP="7E8302CD" w:rsidRDefault="006757FE" w14:paraId="0185306C" w14:textId="7FFF9887">
      <w:pPr>
        <w:pStyle w:val="Normal"/>
        <w:spacing w:after="0" w:line="360" w:lineRule="auto"/>
        <w:rPr>
          <w:rFonts w:ascii="Arial" w:hAnsi="Arial" w:eastAsia="Arial" w:cs="Arial"/>
          <w:sz w:val="22"/>
          <w:szCs w:val="22"/>
        </w:rPr>
      </w:pPr>
      <w:r w:rsidRPr="7E8302CD" w:rsidR="7D96C60E">
        <w:rPr>
          <w:rFonts w:ascii="Arial" w:hAnsi="Arial" w:eastAsia="Arial" w:cs="Arial"/>
          <w:sz w:val="22"/>
          <w:szCs w:val="22"/>
        </w:rPr>
        <w:t>Centre for Ageing Better</w:t>
      </w:r>
      <w:r w:rsidRPr="7E8302CD" w:rsidR="70FB7B39">
        <w:rPr>
          <w:rFonts w:ascii="Arial" w:hAnsi="Arial" w:eastAsia="Arial" w:cs="Arial"/>
          <w:sz w:val="22"/>
          <w:szCs w:val="22"/>
        </w:rPr>
        <w:t>. (</w:t>
      </w:r>
      <w:r w:rsidRPr="7E8302CD" w:rsidR="7D96C60E">
        <w:rPr>
          <w:rFonts w:ascii="Arial" w:hAnsi="Arial" w:eastAsia="Arial" w:cs="Arial"/>
          <w:sz w:val="22"/>
          <w:szCs w:val="22"/>
        </w:rPr>
        <w:t>2025</w:t>
      </w:r>
      <w:r w:rsidRPr="7E8302CD" w:rsidR="33DDC54C">
        <w:rPr>
          <w:rFonts w:ascii="Arial" w:hAnsi="Arial" w:eastAsia="Arial" w:cs="Arial"/>
          <w:sz w:val="22"/>
          <w:szCs w:val="22"/>
        </w:rPr>
        <w:t>).</w:t>
      </w:r>
      <w:r w:rsidRPr="7E8302CD" w:rsidR="7D96C60E">
        <w:rPr>
          <w:rFonts w:ascii="Arial" w:hAnsi="Arial" w:eastAsia="Arial" w:cs="Arial"/>
          <w:sz w:val="22"/>
          <w:szCs w:val="22"/>
        </w:rPr>
        <w:t> </w:t>
      </w:r>
      <w:r w:rsidRPr="7E8302CD" w:rsidR="7D96C60E">
        <w:rPr>
          <w:rFonts w:ascii="Arial" w:hAnsi="Arial" w:eastAsia="Arial" w:cs="Arial"/>
          <w:i w:val="1"/>
          <w:iCs w:val="1"/>
          <w:sz w:val="22"/>
          <w:szCs w:val="22"/>
        </w:rPr>
        <w:t>Financial Security | The State of Ageing 2025</w:t>
      </w:r>
      <w:r w:rsidRPr="7E8302CD" w:rsidR="7D96C60E">
        <w:rPr>
          <w:rFonts w:ascii="Arial" w:hAnsi="Arial" w:eastAsia="Arial" w:cs="Arial"/>
          <w:sz w:val="22"/>
          <w:szCs w:val="22"/>
        </w:rPr>
        <w:t>. Available at: </w:t>
      </w:r>
      <w:hyperlink r:id="R50097138e5f24329">
        <w:r w:rsidRPr="7E8302CD" w:rsidR="4F06C323">
          <w:rPr>
            <w:rStyle w:val="Hyperlink"/>
            <w:strike w:val="0"/>
            <w:dstrike w:val="0"/>
            <w:noProof w:val="0"/>
            <w:lang w:val="en-GB"/>
          </w:rPr>
          <w:t>https://ageing-better.org.uk/news/older-people-living-home-which-could-make-them-sicker</w:t>
        </w:r>
      </w:hyperlink>
      <w:r w:rsidRPr="7E8302CD" w:rsidR="4F06C323">
        <w:rPr>
          <w:rFonts w:ascii="Arial" w:hAnsi="Arial" w:eastAsia="Arial" w:cs="Arial"/>
          <w:sz w:val="22"/>
          <w:szCs w:val="22"/>
        </w:rPr>
        <w:t xml:space="preserve"> </w:t>
      </w:r>
      <w:r w:rsidRPr="7E8302CD" w:rsidR="26F06C9D">
        <w:rPr>
          <w:rFonts w:ascii="Arial" w:hAnsi="Arial" w:eastAsia="Arial" w:cs="Arial"/>
          <w:sz w:val="22"/>
          <w:szCs w:val="22"/>
        </w:rPr>
        <w:t>(</w:t>
      </w:r>
      <w:r w:rsidRPr="7E8302CD" w:rsidR="7D96C60E">
        <w:rPr>
          <w:rFonts w:ascii="Arial" w:hAnsi="Arial" w:eastAsia="Arial" w:cs="Arial"/>
          <w:sz w:val="22"/>
          <w:szCs w:val="22"/>
        </w:rPr>
        <w:t>Accessed 14 July 2026</w:t>
      </w:r>
      <w:r w:rsidRPr="7E8302CD" w:rsidR="245176BE">
        <w:rPr>
          <w:rFonts w:ascii="Arial" w:hAnsi="Arial" w:eastAsia="Arial" w:cs="Arial"/>
          <w:sz w:val="22"/>
          <w:szCs w:val="22"/>
        </w:rPr>
        <w:t>).</w:t>
      </w:r>
    </w:p>
    <w:p w:rsidR="006757FE" w:rsidP="7E8302CD" w:rsidRDefault="006757FE" w14:paraId="206A2C0D" w14:textId="743EEA76">
      <w:pPr>
        <w:pStyle w:val="Normal"/>
        <w:spacing w:after="0" w:line="360" w:lineRule="auto"/>
        <w:rPr>
          <w:rFonts w:ascii="Arial" w:hAnsi="Arial" w:eastAsia="Arial" w:cs="Arial"/>
          <w:sz w:val="22"/>
          <w:szCs w:val="22"/>
        </w:rPr>
      </w:pPr>
      <w:r w:rsidRPr="7E8302CD" w:rsidR="7D96C60E">
        <w:rPr>
          <w:rFonts w:ascii="Arial" w:hAnsi="Arial" w:eastAsia="Arial" w:cs="Arial"/>
          <w:sz w:val="22"/>
          <w:szCs w:val="22"/>
        </w:rPr>
        <w:t>Centre for Ageing Better, 2024. </w:t>
      </w:r>
      <w:r w:rsidRPr="7E8302CD" w:rsidR="7D96C60E">
        <w:rPr>
          <w:rFonts w:ascii="Arial" w:hAnsi="Arial" w:eastAsia="Arial" w:cs="Arial"/>
          <w:i w:val="1"/>
          <w:iCs w:val="1"/>
          <w:sz w:val="22"/>
          <w:szCs w:val="22"/>
        </w:rPr>
        <w:t>One in five older people living in a home which could make them sicker</w:t>
      </w:r>
      <w:r w:rsidRPr="7E8302CD" w:rsidR="7D96C60E">
        <w:rPr>
          <w:rFonts w:ascii="Arial" w:hAnsi="Arial" w:eastAsia="Arial" w:cs="Arial"/>
          <w:sz w:val="22"/>
          <w:szCs w:val="22"/>
        </w:rPr>
        <w:t>. Available at: </w:t>
      </w:r>
      <w:hyperlink r:id="R00128d81f0f743c6">
        <w:r w:rsidRPr="7E8302CD" w:rsidR="3166CE1A">
          <w:rPr>
            <w:rStyle w:val="Hyperlink"/>
            <w:strike w:val="0"/>
            <w:dstrike w:val="0"/>
            <w:noProof w:val="0"/>
            <w:lang w:val="en-GB"/>
          </w:rPr>
          <w:t>https://ageing-better.org.uk/news/older-people-living-home-which-could-make-them-sicker</w:t>
        </w:r>
      </w:hyperlink>
      <w:r w:rsidRPr="7E8302CD" w:rsidR="3166CE1A">
        <w:rPr>
          <w:rFonts w:ascii="Arial" w:hAnsi="Arial" w:eastAsia="Arial" w:cs="Arial"/>
          <w:sz w:val="22"/>
          <w:szCs w:val="22"/>
        </w:rPr>
        <w:t xml:space="preserve"> </w:t>
      </w:r>
      <w:r w:rsidRPr="7E8302CD" w:rsidR="0061B741">
        <w:rPr>
          <w:rFonts w:ascii="Arial" w:hAnsi="Arial" w:eastAsia="Arial" w:cs="Arial"/>
          <w:sz w:val="22"/>
          <w:szCs w:val="22"/>
        </w:rPr>
        <w:t>(</w:t>
      </w:r>
      <w:r w:rsidRPr="7E8302CD" w:rsidR="7D96C60E">
        <w:rPr>
          <w:rFonts w:ascii="Arial" w:hAnsi="Arial" w:eastAsia="Arial" w:cs="Arial"/>
          <w:sz w:val="22"/>
          <w:szCs w:val="22"/>
        </w:rPr>
        <w:t>Accessed 14 July 2026</w:t>
      </w:r>
      <w:r w:rsidRPr="7E8302CD" w:rsidR="17FDFEB1">
        <w:rPr>
          <w:rFonts w:ascii="Arial" w:hAnsi="Arial" w:eastAsia="Arial" w:cs="Arial"/>
          <w:sz w:val="22"/>
          <w:szCs w:val="22"/>
        </w:rPr>
        <w:t>)</w:t>
      </w:r>
      <w:r w:rsidRPr="7E8302CD" w:rsidR="7D96C60E">
        <w:rPr>
          <w:rFonts w:ascii="Arial" w:hAnsi="Arial" w:eastAsia="Arial" w:cs="Arial"/>
          <w:sz w:val="22"/>
          <w:szCs w:val="22"/>
        </w:rPr>
        <w:t>.</w:t>
      </w:r>
    </w:p>
    <w:p w:rsidR="006757FE" w:rsidP="7E8302CD" w:rsidRDefault="006757FE" w14:paraId="617BF11C" w14:textId="77386326">
      <w:pPr>
        <w:pStyle w:val="Normal"/>
        <w:spacing w:after="0" w:line="360" w:lineRule="auto"/>
        <w:rPr>
          <w:rFonts w:ascii="Arial" w:hAnsi="Arial" w:eastAsia="Arial" w:cs="Arial"/>
          <w:sz w:val="22"/>
          <w:szCs w:val="22"/>
        </w:rPr>
      </w:pPr>
      <w:r w:rsidRPr="7E8302CD" w:rsidR="7D96C60E">
        <w:rPr>
          <w:rFonts w:ascii="Arial" w:hAnsi="Arial" w:eastAsia="Arial" w:cs="Arial"/>
          <w:sz w:val="22"/>
          <w:szCs w:val="22"/>
        </w:rPr>
        <w:t>Centre for Ageing Better</w:t>
      </w:r>
      <w:r w:rsidRPr="7E8302CD" w:rsidR="009E3582">
        <w:rPr>
          <w:rFonts w:ascii="Arial" w:hAnsi="Arial" w:eastAsia="Arial" w:cs="Arial"/>
          <w:sz w:val="22"/>
          <w:szCs w:val="22"/>
        </w:rPr>
        <w:t>. (2</w:t>
      </w:r>
      <w:r w:rsidRPr="7E8302CD" w:rsidR="7D96C60E">
        <w:rPr>
          <w:rFonts w:ascii="Arial" w:hAnsi="Arial" w:eastAsia="Arial" w:cs="Arial"/>
          <w:sz w:val="22"/>
          <w:szCs w:val="22"/>
        </w:rPr>
        <w:t>025</w:t>
      </w:r>
      <w:r w:rsidRPr="7E8302CD" w:rsidR="0E09D837">
        <w:rPr>
          <w:rFonts w:ascii="Arial" w:hAnsi="Arial" w:eastAsia="Arial" w:cs="Arial"/>
          <w:sz w:val="22"/>
          <w:szCs w:val="22"/>
        </w:rPr>
        <w:t>)</w:t>
      </w:r>
      <w:r w:rsidRPr="7E8302CD" w:rsidR="7D96C60E">
        <w:rPr>
          <w:rFonts w:ascii="Arial" w:hAnsi="Arial" w:eastAsia="Arial" w:cs="Arial"/>
          <w:sz w:val="22"/>
          <w:szCs w:val="22"/>
        </w:rPr>
        <w:t>. </w:t>
      </w:r>
      <w:r w:rsidRPr="7E8302CD" w:rsidR="7D96C60E">
        <w:rPr>
          <w:rFonts w:ascii="Arial" w:hAnsi="Arial" w:eastAsia="Arial" w:cs="Arial"/>
          <w:i w:val="1"/>
          <w:iCs w:val="1"/>
          <w:sz w:val="22"/>
          <w:szCs w:val="22"/>
        </w:rPr>
        <w:t>Financial Security | The State of Ageing 2025</w:t>
      </w:r>
      <w:r w:rsidRPr="7E8302CD" w:rsidR="7D96C60E">
        <w:rPr>
          <w:rFonts w:ascii="Arial" w:hAnsi="Arial" w:eastAsia="Arial" w:cs="Arial"/>
          <w:sz w:val="22"/>
          <w:szCs w:val="22"/>
        </w:rPr>
        <w:t>.  Available at:</w:t>
      </w:r>
      <w:r w:rsidRPr="7E8302CD" w:rsidR="50AF9802">
        <w:rPr>
          <w:rFonts w:ascii="Arial" w:hAnsi="Arial" w:eastAsia="Arial" w:cs="Arial"/>
          <w:sz w:val="22"/>
          <w:szCs w:val="22"/>
        </w:rPr>
        <w:t xml:space="preserve"> </w:t>
      </w:r>
      <w:hyperlink r:id="Rcdd8359fe5e64b8b">
        <w:r w:rsidRPr="7E8302CD" w:rsidR="50AF9802">
          <w:rPr>
            <w:rStyle w:val="Hyperlink"/>
            <w:strike w:val="0"/>
            <w:dstrike w:val="0"/>
            <w:noProof w:val="0"/>
            <w:lang w:val="en-GB"/>
          </w:rPr>
          <w:t>https://ageing-better.org.uk/financial-security-state-ageing-2025</w:t>
        </w:r>
      </w:hyperlink>
      <w:r w:rsidRPr="7E8302CD" w:rsidR="50AF9802">
        <w:rPr>
          <w:rFonts w:ascii="Arial" w:hAnsi="Arial" w:eastAsia="Arial" w:cs="Arial"/>
          <w:sz w:val="22"/>
          <w:szCs w:val="22"/>
        </w:rPr>
        <w:t xml:space="preserve"> </w:t>
      </w:r>
      <w:r w:rsidRPr="7E8302CD" w:rsidR="7D96C60E">
        <w:rPr>
          <w:rFonts w:ascii="Arial" w:hAnsi="Arial" w:eastAsia="Arial" w:cs="Arial"/>
          <w:sz w:val="22"/>
          <w:szCs w:val="22"/>
        </w:rPr>
        <w:t>[Accessed 14 July 2026].</w:t>
      </w:r>
    </w:p>
    <w:p w:rsidR="006757FE" w:rsidP="7E8302CD" w:rsidRDefault="006757FE" w14:paraId="60AF3D3E" w14:textId="34ACE70F">
      <w:pPr>
        <w:pStyle w:val="Normal"/>
        <w:spacing w:after="0" w:line="360" w:lineRule="auto"/>
        <w:rPr>
          <w:rFonts w:ascii="Arial" w:hAnsi="Arial" w:eastAsia="Arial" w:cs="Arial"/>
          <w:sz w:val="22"/>
          <w:szCs w:val="22"/>
        </w:rPr>
      </w:pPr>
      <w:r w:rsidRPr="7E8302CD" w:rsidR="7D96C60E">
        <w:rPr>
          <w:rFonts w:ascii="Arial" w:hAnsi="Arial" w:eastAsia="Arial" w:cs="Arial"/>
          <w:sz w:val="22"/>
          <w:szCs w:val="22"/>
        </w:rPr>
        <w:t>Centre for Ageing Better</w:t>
      </w:r>
      <w:r w:rsidRPr="7E8302CD" w:rsidR="74A0B35D">
        <w:rPr>
          <w:rFonts w:ascii="Arial" w:hAnsi="Arial" w:eastAsia="Arial" w:cs="Arial"/>
          <w:sz w:val="22"/>
          <w:szCs w:val="22"/>
        </w:rPr>
        <w:t>. (</w:t>
      </w:r>
      <w:r w:rsidRPr="7E8302CD" w:rsidR="7D96C60E">
        <w:rPr>
          <w:rFonts w:ascii="Arial" w:hAnsi="Arial" w:eastAsia="Arial" w:cs="Arial"/>
          <w:sz w:val="22"/>
          <w:szCs w:val="22"/>
        </w:rPr>
        <w:t>2025</w:t>
      </w:r>
      <w:r w:rsidRPr="7E8302CD" w:rsidR="750B6DD5">
        <w:rPr>
          <w:rFonts w:ascii="Arial" w:hAnsi="Arial" w:eastAsia="Arial" w:cs="Arial"/>
          <w:sz w:val="22"/>
          <w:szCs w:val="22"/>
        </w:rPr>
        <w:t>).</w:t>
      </w:r>
      <w:r w:rsidRPr="7E8302CD" w:rsidR="7D96C60E">
        <w:rPr>
          <w:rFonts w:ascii="Arial" w:hAnsi="Arial" w:eastAsia="Arial" w:cs="Arial"/>
          <w:sz w:val="22"/>
          <w:szCs w:val="22"/>
        </w:rPr>
        <w:t> </w:t>
      </w:r>
      <w:r w:rsidRPr="7E8302CD" w:rsidR="7D96C60E">
        <w:rPr>
          <w:rFonts w:ascii="Arial" w:hAnsi="Arial" w:eastAsia="Arial" w:cs="Arial"/>
          <w:i w:val="1"/>
          <w:iCs w:val="1"/>
          <w:sz w:val="22"/>
          <w:szCs w:val="22"/>
        </w:rPr>
        <w:t>Health and wellbeing | The State of Ageing 2025</w:t>
      </w:r>
      <w:r w:rsidRPr="7E8302CD" w:rsidR="7D96C60E">
        <w:rPr>
          <w:rFonts w:ascii="Arial" w:hAnsi="Arial" w:eastAsia="Arial" w:cs="Arial"/>
          <w:sz w:val="22"/>
          <w:szCs w:val="22"/>
        </w:rPr>
        <w:t>.  Available at: </w:t>
      </w:r>
      <w:hyperlink r:id="R166b9a1970854897">
        <w:r w:rsidRPr="7E8302CD" w:rsidR="691F1C91">
          <w:rPr>
            <w:rStyle w:val="Hyperlink"/>
            <w:strike w:val="0"/>
            <w:dstrike w:val="0"/>
            <w:noProof w:val="0"/>
            <w:lang w:val="en-GB"/>
          </w:rPr>
          <w:t>https://ageing-better.org.uk/health-and-wellbeing-state-ageing-2025</w:t>
        </w:r>
      </w:hyperlink>
      <w:r w:rsidRPr="7E8302CD" w:rsidR="7D96C60E">
        <w:rPr>
          <w:rFonts w:ascii="Arial" w:hAnsi="Arial" w:eastAsia="Arial" w:cs="Arial"/>
          <w:sz w:val="22"/>
          <w:szCs w:val="22"/>
        </w:rPr>
        <w:t> </w:t>
      </w:r>
      <w:r w:rsidRPr="7E8302CD" w:rsidR="3D51E1D1">
        <w:rPr>
          <w:rFonts w:ascii="Arial" w:hAnsi="Arial" w:eastAsia="Arial" w:cs="Arial"/>
          <w:sz w:val="22"/>
          <w:szCs w:val="22"/>
        </w:rPr>
        <w:t>(</w:t>
      </w:r>
      <w:r w:rsidRPr="7E8302CD" w:rsidR="7D96C60E">
        <w:rPr>
          <w:rFonts w:ascii="Arial" w:hAnsi="Arial" w:eastAsia="Arial" w:cs="Arial"/>
          <w:sz w:val="22"/>
          <w:szCs w:val="22"/>
        </w:rPr>
        <w:t>Accessed 14 July 2026</w:t>
      </w:r>
      <w:r w:rsidRPr="7E8302CD" w:rsidR="3BEA4E9C">
        <w:rPr>
          <w:rFonts w:ascii="Arial" w:hAnsi="Arial" w:eastAsia="Arial" w:cs="Arial"/>
          <w:sz w:val="22"/>
          <w:szCs w:val="22"/>
        </w:rPr>
        <w:t>)</w:t>
      </w:r>
      <w:r w:rsidRPr="7E8302CD" w:rsidR="7D96C60E">
        <w:rPr>
          <w:rFonts w:ascii="Arial" w:hAnsi="Arial" w:eastAsia="Arial" w:cs="Arial"/>
          <w:sz w:val="22"/>
          <w:szCs w:val="22"/>
        </w:rPr>
        <w:t>.</w:t>
      </w:r>
    </w:p>
    <w:p w:rsidR="006757FE" w:rsidP="7E8302CD" w:rsidRDefault="006757FE" w14:paraId="21FA0354" w14:textId="773B277C">
      <w:pPr>
        <w:pStyle w:val="Normal"/>
        <w:spacing w:after="0" w:line="360" w:lineRule="auto"/>
        <w:rPr>
          <w:rFonts w:ascii="Arial" w:hAnsi="Arial" w:eastAsia="Arial" w:cs="Arial"/>
          <w:sz w:val="22"/>
          <w:szCs w:val="22"/>
        </w:rPr>
      </w:pPr>
      <w:r w:rsidRPr="7E8302CD" w:rsidR="7D96C60E">
        <w:rPr>
          <w:rFonts w:ascii="Arial" w:hAnsi="Arial" w:eastAsia="Arial" w:cs="Arial"/>
          <w:sz w:val="22"/>
          <w:szCs w:val="22"/>
        </w:rPr>
        <w:t>Centre for Mental Health</w:t>
      </w:r>
      <w:r w:rsidRPr="7E8302CD" w:rsidR="38DE66BF">
        <w:rPr>
          <w:rFonts w:ascii="Arial" w:hAnsi="Arial" w:eastAsia="Arial" w:cs="Arial"/>
          <w:sz w:val="22"/>
          <w:szCs w:val="22"/>
        </w:rPr>
        <w:t>. (</w:t>
      </w:r>
      <w:r w:rsidRPr="7E8302CD" w:rsidR="7D96C60E">
        <w:rPr>
          <w:rFonts w:ascii="Arial" w:hAnsi="Arial" w:eastAsia="Arial" w:cs="Arial"/>
          <w:sz w:val="22"/>
          <w:szCs w:val="22"/>
        </w:rPr>
        <w:t>2024</w:t>
      </w:r>
      <w:r w:rsidRPr="7E8302CD" w:rsidR="22816F30">
        <w:rPr>
          <w:rFonts w:ascii="Arial" w:hAnsi="Arial" w:eastAsia="Arial" w:cs="Arial"/>
          <w:sz w:val="22"/>
          <w:szCs w:val="22"/>
        </w:rPr>
        <w:t>).</w:t>
      </w:r>
      <w:r w:rsidRPr="7E8302CD" w:rsidR="7D96C60E">
        <w:rPr>
          <w:rFonts w:ascii="Arial" w:hAnsi="Arial" w:eastAsia="Arial" w:cs="Arial"/>
          <w:sz w:val="22"/>
          <w:szCs w:val="22"/>
        </w:rPr>
        <w:t> </w:t>
      </w:r>
      <w:r w:rsidRPr="7E8302CD" w:rsidR="7D96C60E">
        <w:rPr>
          <w:rFonts w:ascii="Arial" w:hAnsi="Arial" w:eastAsia="Arial" w:cs="Arial"/>
          <w:i w:val="1"/>
          <w:iCs w:val="1"/>
          <w:sz w:val="22"/>
          <w:szCs w:val="22"/>
        </w:rPr>
        <w:t>Older people's mental health being overlooked</w:t>
      </w:r>
      <w:r w:rsidRPr="7E8302CD" w:rsidR="7D96C60E">
        <w:rPr>
          <w:rFonts w:ascii="Arial" w:hAnsi="Arial" w:eastAsia="Arial" w:cs="Arial"/>
          <w:sz w:val="22"/>
          <w:szCs w:val="22"/>
        </w:rPr>
        <w:t>.  Available at: </w:t>
      </w:r>
      <w:hyperlink r:id="R6a5992343e614182">
        <w:r w:rsidRPr="7E8302CD" w:rsidR="37C1CF5C">
          <w:rPr>
            <w:rStyle w:val="Hyperlink"/>
            <w:strike w:val="0"/>
            <w:dstrike w:val="0"/>
            <w:noProof w:val="0"/>
            <w:lang w:val="en-GB"/>
          </w:rPr>
          <w:t>https://www.centreformentalhealth.org.uk/news/item/older-peoples-mental-health-being-overlooked-say-centre-for-mental-health-and-age-uk/</w:t>
        </w:r>
      </w:hyperlink>
      <w:r w:rsidRPr="7E8302CD" w:rsidR="37C1CF5C">
        <w:rPr>
          <w:rFonts w:ascii="Arial" w:hAnsi="Arial" w:eastAsia="Arial" w:cs="Arial"/>
          <w:sz w:val="22"/>
          <w:szCs w:val="22"/>
        </w:rPr>
        <w:t xml:space="preserve"> </w:t>
      </w:r>
      <w:r w:rsidRPr="7E8302CD" w:rsidR="7D96C60E">
        <w:rPr>
          <w:rFonts w:ascii="Arial" w:hAnsi="Arial" w:eastAsia="Arial" w:cs="Arial"/>
          <w:sz w:val="22"/>
          <w:szCs w:val="22"/>
        </w:rPr>
        <w:t>[Accessed 14 July 2026].</w:t>
      </w:r>
    </w:p>
    <w:p w:rsidR="006757FE" w:rsidP="7E8302CD" w:rsidRDefault="006757FE" w14:paraId="6DE9B189" w14:textId="51B3029F">
      <w:pPr>
        <w:pStyle w:val="Normal"/>
        <w:spacing w:after="0" w:line="360" w:lineRule="auto"/>
        <w:rPr>
          <w:rFonts w:ascii="Arial" w:hAnsi="Arial" w:eastAsia="Arial" w:cs="Arial"/>
          <w:sz w:val="22"/>
          <w:szCs w:val="22"/>
        </w:rPr>
      </w:pPr>
      <w:r w:rsidRPr="7E8302CD" w:rsidR="7D96C60E">
        <w:rPr>
          <w:rFonts w:ascii="Arial" w:hAnsi="Arial" w:eastAsia="Arial" w:cs="Arial"/>
          <w:sz w:val="22"/>
          <w:szCs w:val="22"/>
        </w:rPr>
        <w:t>Chowdhury, B., 2007. </w:t>
      </w:r>
      <w:r w:rsidRPr="7E8302CD" w:rsidR="7D96C60E">
        <w:rPr>
          <w:rFonts w:ascii="Arial" w:hAnsi="Arial" w:eastAsia="Arial" w:cs="Arial"/>
          <w:i w:val="1"/>
          <w:iCs w:val="1"/>
          <w:sz w:val="22"/>
          <w:szCs w:val="22"/>
        </w:rPr>
        <w:t>Improving Diabetes Care in Tower Hamlets</w:t>
      </w:r>
      <w:r w:rsidRPr="7E8302CD" w:rsidR="7D96C60E">
        <w:rPr>
          <w:rFonts w:ascii="Arial" w:hAnsi="Arial" w:eastAsia="Arial" w:cs="Arial"/>
          <w:sz w:val="22"/>
          <w:szCs w:val="22"/>
        </w:rPr>
        <w:t>. London: Association of British Clinical Diabetologists (ABCD). Available at: </w:t>
      </w:r>
      <w:hyperlink r:id="R889f3a4698fd40dd">
        <w:r w:rsidRPr="7E8302CD" w:rsidR="326EC739">
          <w:rPr>
            <w:rStyle w:val="Hyperlink"/>
            <w:strike w:val="0"/>
            <w:dstrike w:val="0"/>
            <w:noProof w:val="0"/>
            <w:lang w:val="en-GB"/>
          </w:rPr>
          <w:t>https://abcd.care/sites/default/files/site_uploads/Presentations/Slides_Autumn2007/Slides_Chowdhury.pdf</w:t>
        </w:r>
      </w:hyperlink>
      <w:r w:rsidRPr="7E8302CD" w:rsidR="326EC739">
        <w:rPr>
          <w:rFonts w:ascii="Arial" w:hAnsi="Arial" w:eastAsia="Arial" w:cs="Arial"/>
          <w:sz w:val="22"/>
          <w:szCs w:val="22"/>
        </w:rPr>
        <w:t xml:space="preserve"> </w:t>
      </w:r>
      <w:r w:rsidRPr="7E8302CD" w:rsidR="431DF016">
        <w:rPr>
          <w:rFonts w:ascii="Arial" w:hAnsi="Arial" w:eastAsia="Arial" w:cs="Arial"/>
          <w:sz w:val="22"/>
          <w:szCs w:val="22"/>
        </w:rPr>
        <w:t>(A</w:t>
      </w:r>
      <w:r w:rsidRPr="7E8302CD" w:rsidR="7D96C60E">
        <w:rPr>
          <w:rFonts w:ascii="Arial" w:hAnsi="Arial" w:eastAsia="Arial" w:cs="Arial"/>
          <w:sz w:val="22"/>
          <w:szCs w:val="22"/>
        </w:rPr>
        <w:t>ccessed 14 July 2026].</w:t>
      </w:r>
    </w:p>
    <w:p w:rsidR="006757FE" w:rsidP="7E8302CD" w:rsidRDefault="006757FE" w14:paraId="390777EC" w14:textId="0196A94C">
      <w:pPr>
        <w:pStyle w:val="Normal"/>
        <w:spacing w:after="0" w:line="360" w:lineRule="auto"/>
        <w:rPr>
          <w:rFonts w:ascii="Arial" w:hAnsi="Arial" w:eastAsia="Arial" w:cs="Arial"/>
          <w:sz w:val="22"/>
          <w:szCs w:val="22"/>
        </w:rPr>
      </w:pPr>
      <w:r w:rsidRPr="7E8302CD" w:rsidR="7D96C60E">
        <w:rPr>
          <w:rFonts w:ascii="Arial" w:hAnsi="Arial" w:eastAsia="Arial" w:cs="Arial"/>
          <w:sz w:val="22"/>
          <w:szCs w:val="22"/>
        </w:rPr>
        <w:t>Department of Health and Social Care (DHSC), 2022. </w:t>
      </w:r>
      <w:r w:rsidRPr="7E8302CD" w:rsidR="7D96C60E">
        <w:rPr>
          <w:rFonts w:ascii="Arial" w:hAnsi="Arial" w:eastAsia="Arial" w:cs="Arial"/>
          <w:i w:val="1"/>
          <w:iCs w:val="1"/>
          <w:sz w:val="22"/>
          <w:szCs w:val="22"/>
        </w:rPr>
        <w:t>Health disparities and health inequalities: applying All Our Health</w:t>
      </w:r>
      <w:r w:rsidRPr="7E8302CD" w:rsidR="7D96C60E">
        <w:rPr>
          <w:rFonts w:ascii="Arial" w:hAnsi="Arial" w:eastAsia="Arial" w:cs="Arial"/>
          <w:sz w:val="22"/>
          <w:szCs w:val="22"/>
        </w:rPr>
        <w:t xml:space="preserve">. London: GOV.UK. </w:t>
      </w:r>
      <w:r w:rsidRPr="7E8302CD" w:rsidR="7D96C60E">
        <w:rPr>
          <w:rFonts w:ascii="Arial" w:hAnsi="Arial" w:eastAsia="Arial" w:cs="Arial"/>
          <w:sz w:val="22"/>
          <w:szCs w:val="22"/>
        </w:rPr>
        <w:t>Available</w:t>
      </w:r>
      <w:r w:rsidRPr="7E8302CD" w:rsidR="5633816A">
        <w:rPr>
          <w:rFonts w:ascii="Arial" w:hAnsi="Arial" w:eastAsia="Arial" w:cs="Arial"/>
          <w:sz w:val="22"/>
          <w:szCs w:val="22"/>
        </w:rPr>
        <w:t xml:space="preserve"> </w:t>
      </w:r>
      <w:r w:rsidRPr="7E8302CD" w:rsidR="07753B1F">
        <w:rPr>
          <w:rFonts w:ascii="Arial" w:hAnsi="Arial" w:eastAsia="Arial" w:cs="Arial"/>
          <w:sz w:val="22"/>
          <w:szCs w:val="22"/>
        </w:rPr>
        <w:t xml:space="preserve"> </w:t>
      </w:r>
      <w:r w:rsidRPr="7E8302CD" w:rsidR="7D96C60E">
        <w:rPr>
          <w:rFonts w:ascii="Arial" w:hAnsi="Arial" w:eastAsia="Arial" w:cs="Arial"/>
          <w:sz w:val="22"/>
          <w:szCs w:val="22"/>
        </w:rPr>
        <w:t xml:space="preserve"> at</w:t>
      </w:r>
      <w:r w:rsidRPr="7E8302CD" w:rsidR="7D96C60E">
        <w:rPr>
          <w:rFonts w:ascii="Arial" w:hAnsi="Arial" w:eastAsia="Arial" w:cs="Arial"/>
          <w:sz w:val="22"/>
          <w:szCs w:val="22"/>
        </w:rPr>
        <w:t>: </w:t>
      </w:r>
      <w:hyperlink r:id="Rf12be8e82c9d401b">
        <w:r w:rsidRPr="7E8302CD" w:rsidR="037C7551">
          <w:rPr>
            <w:rStyle w:val="Hyperlink"/>
            <w:strike w:val="0"/>
            <w:dstrike w:val="0"/>
            <w:noProof w:val="0"/>
            <w:lang w:val="en-GB"/>
          </w:rPr>
          <w:t>https://www.gov.uk/government/publications/health-disparities-and-health-inequalities-applying-all-our-health</w:t>
        </w:r>
      </w:hyperlink>
      <w:r w:rsidRPr="7E8302CD" w:rsidR="037C7551">
        <w:rPr>
          <w:rFonts w:ascii="Arial" w:hAnsi="Arial" w:eastAsia="Arial" w:cs="Arial"/>
          <w:sz w:val="22"/>
          <w:szCs w:val="22"/>
        </w:rPr>
        <w:t xml:space="preserve"> </w:t>
      </w:r>
      <w:r w:rsidRPr="7E8302CD" w:rsidR="224F9105">
        <w:rPr>
          <w:rFonts w:ascii="Arial" w:hAnsi="Arial" w:eastAsia="Arial" w:cs="Arial"/>
          <w:sz w:val="22"/>
          <w:szCs w:val="22"/>
        </w:rPr>
        <w:t>(</w:t>
      </w:r>
      <w:r w:rsidRPr="7E8302CD" w:rsidR="7D96C60E">
        <w:rPr>
          <w:rFonts w:ascii="Arial" w:hAnsi="Arial" w:eastAsia="Arial" w:cs="Arial"/>
          <w:sz w:val="22"/>
          <w:szCs w:val="22"/>
        </w:rPr>
        <w:t>Accessed 14 July 2026</w:t>
      </w:r>
      <w:r w:rsidRPr="7E8302CD" w:rsidR="7AB6FEAF">
        <w:rPr>
          <w:rFonts w:ascii="Arial" w:hAnsi="Arial" w:eastAsia="Arial" w:cs="Arial"/>
          <w:sz w:val="22"/>
          <w:szCs w:val="22"/>
        </w:rPr>
        <w:t>).</w:t>
      </w:r>
    </w:p>
    <w:p w:rsidR="006757FE" w:rsidP="7E8302CD" w:rsidRDefault="006757FE" w14:paraId="58CEB062" w14:textId="29C83656">
      <w:pPr>
        <w:pStyle w:val="Normal"/>
        <w:spacing w:after="0" w:line="360" w:lineRule="auto"/>
        <w:rPr>
          <w:rFonts w:ascii="Arial" w:hAnsi="Arial" w:eastAsia="Arial" w:cs="Arial"/>
          <w:sz w:val="22"/>
          <w:szCs w:val="22"/>
        </w:rPr>
      </w:pPr>
      <w:r w:rsidRPr="7E8302CD" w:rsidR="7D96C60E">
        <w:rPr>
          <w:rFonts w:ascii="Arial" w:hAnsi="Arial" w:eastAsia="Arial" w:cs="Arial"/>
          <w:sz w:val="22"/>
          <w:szCs w:val="22"/>
        </w:rPr>
        <w:t>Department of Health and Social Care</w:t>
      </w:r>
      <w:r w:rsidRPr="7E8302CD" w:rsidR="19B3DFAE">
        <w:rPr>
          <w:rFonts w:ascii="Arial" w:hAnsi="Arial" w:eastAsia="Arial" w:cs="Arial"/>
          <w:sz w:val="22"/>
          <w:szCs w:val="22"/>
        </w:rPr>
        <w:t>. (</w:t>
      </w:r>
      <w:r w:rsidRPr="7E8302CD" w:rsidR="7D96C60E">
        <w:rPr>
          <w:rFonts w:ascii="Arial" w:hAnsi="Arial" w:eastAsia="Arial" w:cs="Arial"/>
          <w:sz w:val="22"/>
          <w:szCs w:val="22"/>
        </w:rPr>
        <w:t>2022</w:t>
      </w:r>
      <w:r w:rsidRPr="7E8302CD" w:rsidR="7BCA37FA">
        <w:rPr>
          <w:rFonts w:ascii="Arial" w:hAnsi="Arial" w:eastAsia="Arial" w:cs="Arial"/>
          <w:sz w:val="22"/>
          <w:szCs w:val="22"/>
        </w:rPr>
        <w:t>).</w:t>
      </w:r>
      <w:r w:rsidRPr="7E8302CD" w:rsidR="7D96C60E">
        <w:rPr>
          <w:rFonts w:ascii="Arial" w:hAnsi="Arial" w:eastAsia="Arial" w:cs="Arial"/>
          <w:sz w:val="22"/>
          <w:szCs w:val="22"/>
        </w:rPr>
        <w:t> </w:t>
      </w:r>
      <w:r w:rsidRPr="7E8302CD" w:rsidR="7D96C60E">
        <w:rPr>
          <w:rFonts w:ascii="Arial" w:hAnsi="Arial" w:eastAsia="Arial" w:cs="Arial"/>
          <w:i w:val="1"/>
          <w:iCs w:val="1"/>
          <w:sz w:val="22"/>
          <w:szCs w:val="22"/>
        </w:rPr>
        <w:t>Health disparities and health inequalities: applying All Our Health</w:t>
      </w:r>
      <w:r w:rsidRPr="7E8302CD" w:rsidR="7D96C60E">
        <w:rPr>
          <w:rFonts w:ascii="Arial" w:hAnsi="Arial" w:eastAsia="Arial" w:cs="Arial"/>
          <w:sz w:val="22"/>
          <w:szCs w:val="22"/>
        </w:rPr>
        <w:t>. London: GOV.UK. Available at: </w:t>
      </w:r>
      <w:hyperlink r:id="R7bce8d4cefda4244">
        <w:r w:rsidRPr="7E8302CD" w:rsidR="2CA23605">
          <w:rPr>
            <w:rStyle w:val="Hyperlink"/>
            <w:strike w:val="0"/>
            <w:dstrike w:val="0"/>
            <w:noProof w:val="0"/>
            <w:lang w:val="en-GB"/>
          </w:rPr>
          <w:t>https://www.gov.uk/government/publications/health-disparities-and-health-inequalities-applying-all-our-health</w:t>
        </w:r>
      </w:hyperlink>
      <w:r w:rsidRPr="7E8302CD" w:rsidR="1148E5D2">
        <w:rPr>
          <w:rFonts w:ascii="Arial" w:hAnsi="Arial" w:eastAsia="Arial" w:cs="Arial"/>
          <w:sz w:val="22"/>
          <w:szCs w:val="22"/>
        </w:rPr>
        <w:t xml:space="preserve"> </w:t>
      </w:r>
      <w:r w:rsidRPr="7E8302CD" w:rsidR="585341F6">
        <w:rPr>
          <w:rFonts w:ascii="Arial" w:hAnsi="Arial" w:eastAsia="Arial" w:cs="Arial"/>
          <w:sz w:val="22"/>
          <w:szCs w:val="22"/>
        </w:rPr>
        <w:t>(</w:t>
      </w:r>
      <w:r w:rsidRPr="7E8302CD" w:rsidR="7D96C60E">
        <w:rPr>
          <w:rFonts w:ascii="Arial" w:hAnsi="Arial" w:eastAsia="Arial" w:cs="Arial"/>
          <w:sz w:val="22"/>
          <w:szCs w:val="22"/>
        </w:rPr>
        <w:t>Accessed 14 July 2026</w:t>
      </w:r>
      <w:r w:rsidRPr="7E8302CD" w:rsidR="50518312">
        <w:rPr>
          <w:rFonts w:ascii="Arial" w:hAnsi="Arial" w:eastAsia="Arial" w:cs="Arial"/>
          <w:sz w:val="22"/>
          <w:szCs w:val="22"/>
        </w:rPr>
        <w:t>)</w:t>
      </w:r>
      <w:r w:rsidRPr="7E8302CD" w:rsidR="7D96C60E">
        <w:rPr>
          <w:rFonts w:ascii="Arial" w:hAnsi="Arial" w:eastAsia="Arial" w:cs="Arial"/>
          <w:sz w:val="22"/>
          <w:szCs w:val="22"/>
        </w:rPr>
        <w:t>.</w:t>
      </w:r>
    </w:p>
    <w:p w:rsidR="006757FE" w:rsidP="7E8302CD" w:rsidRDefault="006757FE" w14:paraId="01361600" w14:textId="1523AF75">
      <w:pPr>
        <w:pStyle w:val="Normal"/>
        <w:spacing w:after="0" w:line="360" w:lineRule="auto"/>
        <w:rPr>
          <w:rFonts w:ascii="Arial" w:hAnsi="Arial" w:eastAsia="Arial" w:cs="Arial"/>
          <w:sz w:val="22"/>
          <w:szCs w:val="22"/>
        </w:rPr>
      </w:pPr>
      <w:r w:rsidRPr="7E8302CD" w:rsidR="7D96C60E">
        <w:rPr>
          <w:rFonts w:ascii="Arial" w:hAnsi="Arial" w:eastAsia="Arial" w:cs="Arial"/>
          <w:sz w:val="22"/>
          <w:szCs w:val="22"/>
        </w:rPr>
        <w:t>Diabetes UK, 2011. </w:t>
      </w:r>
      <w:r w:rsidRPr="7E8302CD" w:rsidR="7D96C60E">
        <w:rPr>
          <w:rFonts w:ascii="Arial" w:hAnsi="Arial" w:eastAsia="Arial" w:cs="Arial"/>
          <w:i w:val="1"/>
          <w:iCs w:val="1"/>
          <w:sz w:val="22"/>
          <w:szCs w:val="22"/>
        </w:rPr>
        <w:t>Diabetes: Joint Strategic Needs Assessment Factsheet</w:t>
      </w:r>
      <w:r w:rsidRPr="7E8302CD" w:rsidR="7D96C60E">
        <w:rPr>
          <w:rFonts w:ascii="Arial" w:hAnsi="Arial" w:eastAsia="Arial" w:cs="Arial"/>
          <w:sz w:val="22"/>
          <w:szCs w:val="22"/>
        </w:rPr>
        <w:t>. London: Tower Hamlets Council. Available at: </w:t>
      </w:r>
      <w:r w:rsidRPr="7E8302CD" w:rsidR="613EB0BB">
        <w:rPr>
          <w:rFonts w:ascii="Arial" w:hAnsi="Arial" w:eastAsia="Arial" w:cs="Arial"/>
          <w:sz w:val="22"/>
          <w:szCs w:val="22"/>
        </w:rPr>
        <w:t>https://democracy.towerhamlets.gov.uk/documents/s24103/Diabetes%20JSNA%20Factsheet.</w:t>
      </w:r>
      <w:r w:rsidRPr="7E8302CD" w:rsidR="22E74417">
        <w:rPr>
          <w:rFonts w:ascii="Arial" w:hAnsi="Arial" w:eastAsia="Arial" w:cs="Arial"/>
          <w:sz w:val="22"/>
          <w:szCs w:val="22"/>
        </w:rPr>
        <w:t xml:space="preserve">pdf. </w:t>
      </w:r>
      <w:r w:rsidRPr="7E8302CD" w:rsidR="768EBF99">
        <w:rPr>
          <w:rFonts w:ascii="Arial" w:hAnsi="Arial" w:eastAsia="Arial" w:cs="Arial"/>
          <w:sz w:val="22"/>
          <w:szCs w:val="22"/>
        </w:rPr>
        <w:t>(</w:t>
      </w:r>
      <w:r w:rsidRPr="7E8302CD" w:rsidR="7D96C60E">
        <w:rPr>
          <w:rFonts w:ascii="Arial" w:hAnsi="Arial" w:eastAsia="Arial" w:cs="Arial"/>
          <w:sz w:val="22"/>
          <w:szCs w:val="22"/>
        </w:rPr>
        <w:t>Accessed 14 July 2026</w:t>
      </w:r>
      <w:r w:rsidRPr="7E8302CD" w:rsidR="467EF1DB">
        <w:rPr>
          <w:rFonts w:ascii="Arial" w:hAnsi="Arial" w:eastAsia="Arial" w:cs="Arial"/>
          <w:sz w:val="22"/>
          <w:szCs w:val="22"/>
        </w:rPr>
        <w:t>).</w:t>
      </w:r>
    </w:p>
    <w:p w:rsidR="006757FE" w:rsidP="7E8302CD" w:rsidRDefault="006757FE" w14:paraId="29018DA1" w14:textId="57F63787">
      <w:pPr>
        <w:pStyle w:val="Normal"/>
        <w:spacing w:after="0" w:line="360" w:lineRule="auto"/>
        <w:rPr>
          <w:rFonts w:ascii="Arial" w:hAnsi="Arial" w:eastAsia="Arial" w:cs="Arial"/>
          <w:sz w:val="22"/>
          <w:szCs w:val="22"/>
        </w:rPr>
      </w:pPr>
      <w:r w:rsidRPr="7E8302CD" w:rsidR="7D96C60E">
        <w:rPr>
          <w:rFonts w:ascii="Arial" w:hAnsi="Arial" w:eastAsia="Arial" w:cs="Arial"/>
          <w:sz w:val="22"/>
          <w:szCs w:val="22"/>
        </w:rPr>
        <w:t>Diabetes UK</w:t>
      </w:r>
      <w:r w:rsidRPr="7E8302CD" w:rsidR="0F1E7F4F">
        <w:rPr>
          <w:rFonts w:ascii="Arial" w:hAnsi="Arial" w:eastAsia="Arial" w:cs="Arial"/>
          <w:sz w:val="22"/>
          <w:szCs w:val="22"/>
        </w:rPr>
        <w:t>. (</w:t>
      </w:r>
      <w:r w:rsidRPr="7E8302CD" w:rsidR="7D96C60E">
        <w:rPr>
          <w:rFonts w:ascii="Arial" w:hAnsi="Arial" w:eastAsia="Arial" w:cs="Arial"/>
          <w:sz w:val="22"/>
          <w:szCs w:val="22"/>
        </w:rPr>
        <w:t>2019</w:t>
      </w:r>
      <w:r w:rsidRPr="7E8302CD" w:rsidR="58FD46DE">
        <w:rPr>
          <w:rFonts w:ascii="Arial" w:hAnsi="Arial" w:eastAsia="Arial" w:cs="Arial"/>
          <w:sz w:val="22"/>
          <w:szCs w:val="22"/>
        </w:rPr>
        <w:t>)</w:t>
      </w:r>
      <w:r w:rsidRPr="7E8302CD" w:rsidR="7D96C60E">
        <w:rPr>
          <w:rFonts w:ascii="Arial" w:hAnsi="Arial" w:eastAsia="Arial" w:cs="Arial"/>
          <w:sz w:val="22"/>
          <w:szCs w:val="22"/>
        </w:rPr>
        <w:t>. </w:t>
      </w:r>
      <w:r w:rsidRPr="7E8302CD" w:rsidR="7D96C60E">
        <w:rPr>
          <w:rFonts w:ascii="Arial" w:hAnsi="Arial" w:eastAsia="Arial" w:cs="Arial"/>
          <w:i w:val="1"/>
          <w:iCs w:val="1"/>
          <w:sz w:val="22"/>
          <w:szCs w:val="22"/>
        </w:rPr>
        <w:t>Developing a diabetes education programme to meet local needs in Tower Hamlets</w:t>
      </w:r>
      <w:r w:rsidRPr="7E8302CD" w:rsidR="7D96C60E">
        <w:rPr>
          <w:rFonts w:ascii="Arial" w:hAnsi="Arial" w:eastAsia="Arial" w:cs="Arial"/>
          <w:sz w:val="22"/>
          <w:szCs w:val="22"/>
        </w:rPr>
        <w:t>. London: Diabetes UK. Available at: </w:t>
      </w:r>
      <w:hyperlink r:id="R5bee3413f42a47bb">
        <w:r w:rsidRPr="7E8302CD" w:rsidR="7514B9A6">
          <w:rPr>
            <w:rStyle w:val="Hyperlink"/>
            <w:strike w:val="0"/>
            <w:dstrike w:val="0"/>
            <w:noProof w:val="0"/>
            <w:lang w:val="en-GB"/>
          </w:rPr>
          <w:t>https://www.diabetes.org.uk/sites/default/files/2019-03/1465H_Bright%20idea_2_DiabetesEducationProgramme_TowerHamlets_V2_FINAL_web.pdf</w:t>
        </w:r>
      </w:hyperlink>
      <w:r w:rsidRPr="7E8302CD" w:rsidR="7514B9A6">
        <w:rPr>
          <w:rFonts w:ascii="Arial" w:hAnsi="Arial" w:eastAsia="Arial" w:cs="Arial"/>
          <w:sz w:val="22"/>
          <w:szCs w:val="22"/>
        </w:rPr>
        <w:t xml:space="preserve"> </w:t>
      </w:r>
      <w:r w:rsidRPr="7E8302CD" w:rsidR="77D62C07">
        <w:rPr>
          <w:rFonts w:ascii="Arial" w:hAnsi="Arial" w:eastAsia="Arial" w:cs="Arial"/>
          <w:sz w:val="22"/>
          <w:szCs w:val="22"/>
        </w:rPr>
        <w:t>(</w:t>
      </w:r>
      <w:r w:rsidRPr="7E8302CD" w:rsidR="7D96C60E">
        <w:rPr>
          <w:rFonts w:ascii="Arial" w:hAnsi="Arial" w:eastAsia="Arial" w:cs="Arial"/>
          <w:sz w:val="22"/>
          <w:szCs w:val="22"/>
        </w:rPr>
        <w:t>Accessed 14 July 2026</w:t>
      </w:r>
      <w:r w:rsidRPr="7E8302CD" w:rsidR="3A618815">
        <w:rPr>
          <w:rFonts w:ascii="Arial" w:hAnsi="Arial" w:eastAsia="Arial" w:cs="Arial"/>
          <w:sz w:val="22"/>
          <w:szCs w:val="22"/>
        </w:rPr>
        <w:t>)</w:t>
      </w:r>
      <w:r w:rsidRPr="7E8302CD" w:rsidR="7D96C60E">
        <w:rPr>
          <w:rFonts w:ascii="Arial" w:hAnsi="Arial" w:eastAsia="Arial" w:cs="Arial"/>
          <w:sz w:val="22"/>
          <w:szCs w:val="22"/>
        </w:rPr>
        <w:t>.</w:t>
      </w:r>
    </w:p>
    <w:p w:rsidR="006757FE" w:rsidP="7E8302CD" w:rsidRDefault="006757FE" w14:paraId="41A85939" w14:textId="0CD68944">
      <w:pPr>
        <w:pStyle w:val="Normal"/>
        <w:spacing w:after="0" w:line="360" w:lineRule="auto"/>
        <w:rPr>
          <w:rFonts w:ascii="Arial" w:hAnsi="Arial" w:eastAsia="Arial" w:cs="Arial"/>
          <w:sz w:val="22"/>
          <w:szCs w:val="22"/>
        </w:rPr>
      </w:pPr>
      <w:r w:rsidRPr="7E8302CD" w:rsidR="7D96C60E">
        <w:rPr>
          <w:rFonts w:ascii="Arial" w:hAnsi="Arial" w:eastAsia="Arial" w:cs="Arial"/>
          <w:sz w:val="22"/>
          <w:szCs w:val="22"/>
        </w:rPr>
        <w:t>Diabetes UK</w:t>
      </w:r>
      <w:r w:rsidRPr="7E8302CD" w:rsidR="1A0A4990">
        <w:rPr>
          <w:rFonts w:ascii="Arial" w:hAnsi="Arial" w:eastAsia="Arial" w:cs="Arial"/>
          <w:sz w:val="22"/>
          <w:szCs w:val="22"/>
        </w:rPr>
        <w:t>. (</w:t>
      </w:r>
      <w:r w:rsidRPr="7E8302CD" w:rsidR="7D96C60E">
        <w:rPr>
          <w:rFonts w:ascii="Arial" w:hAnsi="Arial" w:eastAsia="Arial" w:cs="Arial"/>
          <w:sz w:val="22"/>
          <w:szCs w:val="22"/>
        </w:rPr>
        <w:t>2025</w:t>
      </w:r>
      <w:r w:rsidRPr="7E8302CD" w:rsidR="4E4ED1DB">
        <w:rPr>
          <w:rFonts w:ascii="Arial" w:hAnsi="Arial" w:eastAsia="Arial" w:cs="Arial"/>
          <w:sz w:val="22"/>
          <w:szCs w:val="22"/>
        </w:rPr>
        <w:t>).</w:t>
      </w:r>
      <w:r w:rsidRPr="7E8302CD" w:rsidR="7D96C60E">
        <w:rPr>
          <w:rFonts w:ascii="Arial" w:hAnsi="Arial" w:eastAsia="Arial" w:cs="Arial"/>
          <w:sz w:val="22"/>
          <w:szCs w:val="22"/>
        </w:rPr>
        <w:t> </w:t>
      </w:r>
      <w:r w:rsidRPr="7E8302CD" w:rsidR="7D96C60E">
        <w:rPr>
          <w:rFonts w:ascii="Arial" w:hAnsi="Arial" w:eastAsia="Arial" w:cs="Arial"/>
          <w:i w:val="1"/>
          <w:iCs w:val="1"/>
          <w:sz w:val="22"/>
          <w:szCs w:val="22"/>
        </w:rPr>
        <w:t>Diabetes Statistics Football: Diabetes Prevalence in the UK</w:t>
      </w:r>
      <w:r w:rsidRPr="7E8302CD" w:rsidR="7D96C60E">
        <w:rPr>
          <w:rFonts w:ascii="Arial" w:hAnsi="Arial" w:eastAsia="Arial" w:cs="Arial"/>
          <w:sz w:val="22"/>
          <w:szCs w:val="22"/>
        </w:rPr>
        <w:t>.  Available at: </w:t>
      </w:r>
      <w:hyperlink r:id="R6621175c75974b2d">
        <w:r w:rsidRPr="7E8302CD" w:rsidR="13CEEAF0">
          <w:rPr>
            <w:rStyle w:val="Hyperlink"/>
            <w:strike w:val="0"/>
            <w:dstrike w:val="0"/>
            <w:noProof w:val="0"/>
            <w:lang w:val="en-GB"/>
          </w:rPr>
          <w:t>https://www.diabetes.org.uk/</w:t>
        </w:r>
      </w:hyperlink>
      <w:r w:rsidRPr="7E8302CD" w:rsidR="13CEEAF0">
        <w:rPr>
          <w:rFonts w:ascii="Arial" w:hAnsi="Arial" w:eastAsia="Arial" w:cs="Arial"/>
          <w:sz w:val="22"/>
          <w:szCs w:val="22"/>
        </w:rPr>
        <w:t xml:space="preserve"> </w:t>
      </w:r>
      <w:r w:rsidRPr="7E8302CD" w:rsidR="01F4BE95">
        <w:rPr>
          <w:rFonts w:ascii="Arial" w:hAnsi="Arial" w:eastAsia="Arial" w:cs="Arial"/>
          <w:sz w:val="22"/>
          <w:szCs w:val="22"/>
        </w:rPr>
        <w:t>(</w:t>
      </w:r>
      <w:r w:rsidRPr="7E8302CD" w:rsidR="7D96C60E">
        <w:rPr>
          <w:rFonts w:ascii="Arial" w:hAnsi="Arial" w:eastAsia="Arial" w:cs="Arial"/>
          <w:sz w:val="22"/>
          <w:szCs w:val="22"/>
        </w:rPr>
        <w:t>Accessed 14 July 2026</w:t>
      </w:r>
      <w:r w:rsidRPr="7E8302CD" w:rsidR="793F4620">
        <w:rPr>
          <w:rFonts w:ascii="Arial" w:hAnsi="Arial" w:eastAsia="Arial" w:cs="Arial"/>
          <w:sz w:val="22"/>
          <w:szCs w:val="22"/>
        </w:rPr>
        <w:t>)</w:t>
      </w:r>
      <w:r w:rsidRPr="7E8302CD" w:rsidR="7D96C60E">
        <w:rPr>
          <w:rFonts w:ascii="Arial" w:hAnsi="Arial" w:eastAsia="Arial" w:cs="Arial"/>
          <w:sz w:val="22"/>
          <w:szCs w:val="22"/>
        </w:rPr>
        <w:t>.</w:t>
      </w:r>
    </w:p>
    <w:p w:rsidR="006757FE" w:rsidP="7E8302CD" w:rsidRDefault="006757FE" w14:paraId="5F24D119" w14:textId="762F0704">
      <w:pPr>
        <w:pStyle w:val="Normal"/>
        <w:spacing w:after="0" w:line="360" w:lineRule="auto"/>
        <w:rPr>
          <w:rFonts w:ascii="Arial" w:hAnsi="Arial" w:eastAsia="Arial" w:cs="Arial"/>
          <w:sz w:val="22"/>
          <w:szCs w:val="22"/>
        </w:rPr>
      </w:pPr>
      <w:r w:rsidRPr="7E8302CD" w:rsidR="7D96C60E">
        <w:rPr>
          <w:rFonts w:ascii="Arial" w:hAnsi="Arial" w:eastAsia="Arial" w:cs="Arial"/>
          <w:sz w:val="22"/>
          <w:szCs w:val="22"/>
        </w:rPr>
        <w:t>Fabian Society</w:t>
      </w:r>
      <w:r w:rsidRPr="7E8302CD" w:rsidR="419293D2">
        <w:rPr>
          <w:rFonts w:ascii="Arial" w:hAnsi="Arial" w:eastAsia="Arial" w:cs="Arial"/>
          <w:sz w:val="22"/>
          <w:szCs w:val="22"/>
        </w:rPr>
        <w:t>. (</w:t>
      </w:r>
      <w:r w:rsidRPr="7E8302CD" w:rsidR="7D96C60E">
        <w:rPr>
          <w:rFonts w:ascii="Arial" w:hAnsi="Arial" w:eastAsia="Arial" w:cs="Arial"/>
          <w:sz w:val="22"/>
          <w:szCs w:val="22"/>
        </w:rPr>
        <w:t>2025</w:t>
      </w:r>
      <w:r w:rsidRPr="7E8302CD" w:rsidR="6CD63D29">
        <w:rPr>
          <w:rFonts w:ascii="Arial" w:hAnsi="Arial" w:eastAsia="Arial" w:cs="Arial"/>
          <w:sz w:val="22"/>
          <w:szCs w:val="22"/>
        </w:rPr>
        <w:t xml:space="preserve">). </w:t>
      </w:r>
      <w:r w:rsidRPr="7E8302CD" w:rsidR="7D96C60E">
        <w:rPr>
          <w:rFonts w:ascii="Arial" w:hAnsi="Arial" w:eastAsia="Arial" w:cs="Arial"/>
          <w:i w:val="1"/>
          <w:iCs w:val="1"/>
          <w:sz w:val="22"/>
          <w:szCs w:val="22"/>
        </w:rPr>
        <w:t xml:space="preserve">New research finds </w:t>
      </w:r>
      <w:r w:rsidRPr="7E8302CD" w:rsidR="7D96C60E">
        <w:rPr>
          <w:rFonts w:ascii="Arial" w:hAnsi="Arial" w:eastAsia="Arial" w:cs="Arial"/>
          <w:i w:val="1"/>
          <w:iCs w:val="1"/>
          <w:sz w:val="22"/>
          <w:szCs w:val="22"/>
        </w:rPr>
        <w:t>nearly 2</w:t>
      </w:r>
      <w:r w:rsidRPr="7E8302CD" w:rsidR="7D96C60E">
        <w:rPr>
          <w:rFonts w:ascii="Arial" w:hAnsi="Arial" w:eastAsia="Arial" w:cs="Arial"/>
          <w:i w:val="1"/>
          <w:iCs w:val="1"/>
          <w:sz w:val="22"/>
          <w:szCs w:val="22"/>
        </w:rPr>
        <w:t xml:space="preserve"> million pensioners in poverty</w:t>
      </w:r>
      <w:r w:rsidRPr="7E8302CD" w:rsidR="7D96C60E">
        <w:rPr>
          <w:rFonts w:ascii="Arial" w:hAnsi="Arial" w:eastAsia="Arial" w:cs="Arial"/>
          <w:sz w:val="22"/>
          <w:szCs w:val="22"/>
        </w:rPr>
        <w:t>. London: Fabian Society. Available at: </w:t>
      </w:r>
      <w:hyperlink r:id="Rb3a166005edd4403">
        <w:r w:rsidRPr="7E8302CD" w:rsidR="7D96C60E">
          <w:rPr>
            <w:rFonts w:ascii="Arial" w:hAnsi="Arial" w:eastAsia="Arial" w:cs="Arial"/>
            <w:color w:val="0000FF"/>
            <w:sz w:val="22"/>
            <w:szCs w:val="22"/>
            <w:u w:val="single"/>
          </w:rPr>
          <w:t>fabians.org.uk in poverty/</w:t>
        </w:r>
      </w:hyperlink>
      <w:r w:rsidRPr="7E8302CD" w:rsidR="7D96C60E">
        <w:rPr>
          <w:rFonts w:ascii="Arial" w:hAnsi="Arial" w:eastAsia="Arial" w:cs="Arial"/>
          <w:sz w:val="22"/>
          <w:szCs w:val="22"/>
        </w:rPr>
        <w:t> </w:t>
      </w:r>
      <w:r w:rsidRPr="7E8302CD" w:rsidR="64D09B2F">
        <w:rPr>
          <w:rFonts w:ascii="Arial" w:hAnsi="Arial" w:eastAsia="Arial" w:cs="Arial"/>
          <w:sz w:val="22"/>
          <w:szCs w:val="22"/>
        </w:rPr>
        <w:t>(</w:t>
      </w:r>
      <w:r w:rsidRPr="7E8302CD" w:rsidR="7D96C60E">
        <w:rPr>
          <w:rFonts w:ascii="Arial" w:hAnsi="Arial" w:eastAsia="Arial" w:cs="Arial"/>
          <w:sz w:val="22"/>
          <w:szCs w:val="22"/>
        </w:rPr>
        <w:t>Accessed 14 July 2026</w:t>
      </w:r>
      <w:r w:rsidRPr="7E8302CD" w:rsidR="468F54BD">
        <w:rPr>
          <w:rFonts w:ascii="Arial" w:hAnsi="Arial" w:eastAsia="Arial" w:cs="Arial"/>
          <w:sz w:val="22"/>
          <w:szCs w:val="22"/>
        </w:rPr>
        <w:t>).</w:t>
      </w:r>
    </w:p>
    <w:p w:rsidR="006757FE" w:rsidP="7E8302CD" w:rsidRDefault="006757FE" w14:paraId="5D36C909" w14:textId="637502CE">
      <w:pPr>
        <w:pStyle w:val="Normal"/>
        <w:spacing w:after="0" w:line="360" w:lineRule="auto"/>
        <w:rPr>
          <w:rFonts w:ascii="Arial" w:hAnsi="Arial" w:eastAsia="Arial" w:cs="Arial"/>
          <w:sz w:val="22"/>
          <w:szCs w:val="22"/>
        </w:rPr>
      </w:pPr>
      <w:r w:rsidRPr="7E8302CD" w:rsidR="7D96C60E">
        <w:rPr>
          <w:rFonts w:ascii="Arial" w:hAnsi="Arial" w:eastAsia="Arial" w:cs="Arial"/>
          <w:sz w:val="22"/>
          <w:szCs w:val="22"/>
        </w:rPr>
        <w:t>Hippisley-Cox, J., Coupland, C., Robson, J., Sheikh, A. and Brindle, P.</w:t>
      </w:r>
      <w:r w:rsidRPr="7E8302CD" w:rsidR="04E9FC47">
        <w:rPr>
          <w:rFonts w:ascii="Arial" w:hAnsi="Arial" w:eastAsia="Arial" w:cs="Arial"/>
          <w:sz w:val="22"/>
          <w:szCs w:val="22"/>
        </w:rPr>
        <w:t xml:space="preserve"> (</w:t>
      </w:r>
      <w:r w:rsidRPr="7E8302CD" w:rsidR="7D96C60E">
        <w:rPr>
          <w:rFonts w:ascii="Arial" w:hAnsi="Arial" w:eastAsia="Arial" w:cs="Arial"/>
          <w:sz w:val="22"/>
          <w:szCs w:val="22"/>
        </w:rPr>
        <w:t>2012</w:t>
      </w:r>
      <w:r w:rsidRPr="7E8302CD" w:rsidR="72E124C1">
        <w:rPr>
          <w:rFonts w:ascii="Arial" w:hAnsi="Arial" w:eastAsia="Arial" w:cs="Arial"/>
          <w:sz w:val="22"/>
          <w:szCs w:val="22"/>
        </w:rPr>
        <w:t>)</w:t>
      </w:r>
      <w:r w:rsidRPr="7E8302CD" w:rsidR="7D96C60E">
        <w:rPr>
          <w:rFonts w:ascii="Arial" w:hAnsi="Arial" w:eastAsia="Arial" w:cs="Arial"/>
          <w:sz w:val="22"/>
          <w:szCs w:val="22"/>
        </w:rPr>
        <w:t xml:space="preserve">. Quantifying the risk of type 2 diabetes in East London using the </w:t>
      </w:r>
      <w:r w:rsidRPr="7E8302CD" w:rsidR="7D96C60E">
        <w:rPr>
          <w:rFonts w:ascii="Arial" w:hAnsi="Arial" w:eastAsia="Arial" w:cs="Arial"/>
          <w:sz w:val="22"/>
          <w:szCs w:val="22"/>
        </w:rPr>
        <w:t>QDScore</w:t>
      </w:r>
      <w:r w:rsidRPr="7E8302CD" w:rsidR="7D96C60E">
        <w:rPr>
          <w:rFonts w:ascii="Arial" w:hAnsi="Arial" w:eastAsia="Arial" w:cs="Arial"/>
          <w:sz w:val="22"/>
          <w:szCs w:val="22"/>
        </w:rPr>
        <w:t>. </w:t>
      </w:r>
      <w:r w:rsidRPr="7E8302CD" w:rsidR="7D96C60E">
        <w:rPr>
          <w:rFonts w:ascii="Arial" w:hAnsi="Arial" w:eastAsia="Arial" w:cs="Arial"/>
          <w:i w:val="1"/>
          <w:iCs w:val="1"/>
          <w:sz w:val="22"/>
          <w:szCs w:val="22"/>
        </w:rPr>
        <w:t>British Journal of General Practice</w:t>
      </w:r>
      <w:r w:rsidRPr="7E8302CD" w:rsidR="7D96C60E">
        <w:rPr>
          <w:rFonts w:ascii="Arial" w:hAnsi="Arial" w:eastAsia="Arial" w:cs="Arial"/>
          <w:sz w:val="22"/>
          <w:szCs w:val="22"/>
        </w:rPr>
        <w:t>, 62(603), pp. e663-e671.</w:t>
      </w:r>
    </w:p>
    <w:p w:rsidR="006757FE" w:rsidP="7E8302CD" w:rsidRDefault="006757FE" w14:paraId="4242B6D4" w14:textId="6B6E8A76">
      <w:pPr>
        <w:pStyle w:val="Normal"/>
        <w:suppressLineNumbers w:val="0"/>
        <w:bidi w:val="0"/>
        <w:spacing w:before="0" w:beforeAutospacing="off" w:after="0" w:afterAutospacing="off" w:line="360" w:lineRule="auto"/>
        <w:ind w:right="0"/>
        <w:jc w:val="left"/>
        <w:rPr>
          <w:rFonts w:ascii="Arial" w:hAnsi="Arial" w:eastAsia="Arial" w:cs="Arial"/>
          <w:sz w:val="22"/>
          <w:szCs w:val="22"/>
        </w:rPr>
      </w:pPr>
      <w:r w:rsidRPr="7E8302CD" w:rsidR="7D96C60E">
        <w:rPr>
          <w:rFonts w:ascii="Arial" w:hAnsi="Arial" w:eastAsia="Arial" w:cs="Arial"/>
          <w:sz w:val="22"/>
          <w:szCs w:val="22"/>
        </w:rPr>
        <w:t>House of Commons Work and Pensions Committee</w:t>
      </w:r>
      <w:r w:rsidRPr="7E8302CD" w:rsidR="32F4B675">
        <w:rPr>
          <w:rFonts w:ascii="Arial" w:hAnsi="Arial" w:eastAsia="Arial" w:cs="Arial"/>
          <w:sz w:val="22"/>
          <w:szCs w:val="22"/>
        </w:rPr>
        <w:t>. (</w:t>
      </w:r>
      <w:r w:rsidRPr="7E8302CD" w:rsidR="7D96C60E">
        <w:rPr>
          <w:rFonts w:ascii="Arial" w:hAnsi="Arial" w:eastAsia="Arial" w:cs="Arial"/>
          <w:sz w:val="22"/>
          <w:szCs w:val="22"/>
        </w:rPr>
        <w:t>2025</w:t>
      </w:r>
      <w:r w:rsidRPr="7E8302CD" w:rsidR="2D1A066B">
        <w:rPr>
          <w:rFonts w:ascii="Arial" w:hAnsi="Arial" w:eastAsia="Arial" w:cs="Arial"/>
          <w:sz w:val="22"/>
          <w:szCs w:val="22"/>
        </w:rPr>
        <w:t>).</w:t>
      </w:r>
      <w:r w:rsidRPr="7E8302CD" w:rsidR="7D96C60E">
        <w:rPr>
          <w:rFonts w:ascii="Arial" w:hAnsi="Arial" w:eastAsia="Arial" w:cs="Arial"/>
          <w:sz w:val="22"/>
          <w:szCs w:val="22"/>
        </w:rPr>
        <w:t> </w:t>
      </w:r>
      <w:r w:rsidRPr="7E8302CD" w:rsidR="7D96C60E">
        <w:rPr>
          <w:rFonts w:ascii="Arial" w:hAnsi="Arial" w:eastAsia="Arial" w:cs="Arial"/>
          <w:i w:val="1"/>
          <w:iCs w:val="1"/>
          <w:sz w:val="22"/>
          <w:szCs w:val="22"/>
        </w:rPr>
        <w:t>Pensioner Poverty: challenges and mitigations: Government Response</w:t>
      </w:r>
      <w:r w:rsidRPr="7E8302CD" w:rsidR="7D96C60E">
        <w:rPr>
          <w:rFonts w:ascii="Arial" w:hAnsi="Arial" w:eastAsia="Arial" w:cs="Arial"/>
          <w:sz w:val="22"/>
          <w:szCs w:val="22"/>
        </w:rPr>
        <w:t xml:space="preserve">. London: UK Parliament. </w:t>
      </w:r>
      <w:r w:rsidRPr="7E8302CD" w:rsidR="4686DF4F">
        <w:rPr>
          <w:rFonts w:ascii="Arial" w:hAnsi="Arial" w:eastAsia="Arial" w:cs="Arial"/>
          <w:sz w:val="22"/>
          <w:szCs w:val="22"/>
        </w:rPr>
        <w:t>Available at</w:t>
      </w:r>
      <w:r w:rsidRPr="7E8302CD" w:rsidR="7D96C60E">
        <w:rPr>
          <w:rFonts w:ascii="Arial" w:hAnsi="Arial" w:eastAsia="Arial" w:cs="Arial"/>
          <w:sz w:val="22"/>
          <w:szCs w:val="22"/>
        </w:rPr>
        <w:t>: </w:t>
      </w:r>
      <w:hyperlink r:id="R14631ef1f6b24bf4">
        <w:r w:rsidRPr="7E8302CD" w:rsidR="1D29585C">
          <w:rPr>
            <w:rStyle w:val="Hyperlink"/>
            <w:strike w:val="0"/>
            <w:dstrike w:val="0"/>
            <w:noProof w:val="0"/>
            <w:lang w:val="en-GB"/>
          </w:rPr>
          <w:t>https://publications.parliament.uk/pa/cm5901/cmselect/cmworpen/1384/report.html</w:t>
        </w:r>
      </w:hyperlink>
      <w:r w:rsidRPr="7E8302CD" w:rsidR="1D29585C">
        <w:rPr>
          <w:rFonts w:ascii="Arial" w:hAnsi="Arial" w:eastAsia="Arial" w:cs="Arial"/>
          <w:sz w:val="22"/>
          <w:szCs w:val="22"/>
        </w:rPr>
        <w:t xml:space="preserve"> </w:t>
      </w:r>
      <w:r w:rsidRPr="7E8302CD" w:rsidR="0ECD8BCF">
        <w:rPr>
          <w:rFonts w:ascii="Arial" w:hAnsi="Arial" w:eastAsia="Arial" w:cs="Arial"/>
          <w:sz w:val="22"/>
          <w:szCs w:val="22"/>
        </w:rPr>
        <w:t>(</w:t>
      </w:r>
      <w:r w:rsidRPr="7E8302CD" w:rsidR="7D96C60E">
        <w:rPr>
          <w:rFonts w:ascii="Arial" w:hAnsi="Arial" w:eastAsia="Arial" w:cs="Arial"/>
          <w:sz w:val="22"/>
          <w:szCs w:val="22"/>
        </w:rPr>
        <w:t>Accessed 14 July 2026</w:t>
      </w:r>
      <w:r w:rsidRPr="7E8302CD" w:rsidR="2D7A67A2">
        <w:rPr>
          <w:rFonts w:ascii="Arial" w:hAnsi="Arial" w:eastAsia="Arial" w:cs="Arial"/>
          <w:sz w:val="22"/>
          <w:szCs w:val="22"/>
        </w:rPr>
        <w:t>).</w:t>
      </w:r>
    </w:p>
    <w:p w:rsidR="006757FE" w:rsidP="7E8302CD" w:rsidRDefault="006757FE" w14:paraId="22B64805" w14:textId="6805B09C">
      <w:pPr>
        <w:pStyle w:val="Normal"/>
        <w:spacing w:after="0" w:line="360" w:lineRule="auto"/>
        <w:rPr>
          <w:rFonts w:ascii="Arial" w:hAnsi="Arial" w:eastAsia="Arial" w:cs="Arial"/>
          <w:noProof w:val="0"/>
          <w:sz w:val="22"/>
          <w:szCs w:val="22"/>
          <w:lang w:val="en-GB"/>
        </w:rPr>
      </w:pPr>
      <w:r w:rsidRPr="7E8302CD" w:rsidR="7D96C60E">
        <w:rPr>
          <w:rFonts w:ascii="Arial" w:hAnsi="Arial" w:eastAsia="Arial" w:cs="Arial"/>
          <w:sz w:val="22"/>
          <w:szCs w:val="22"/>
        </w:rPr>
        <w:t xml:space="preserve"> </w:t>
      </w:r>
      <w:r w:rsidRPr="7E8302CD" w:rsidR="7D96C60E">
        <w:rPr>
          <w:rFonts w:ascii="Arial" w:hAnsi="Arial" w:eastAsia="Arial" w:cs="Arial"/>
          <w:sz w:val="22"/>
          <w:szCs w:val="22"/>
        </w:rPr>
        <w:t xml:space="preserve">Hull, S., Chowdhury, T.A., Rai, P., Gallagher, S., Shipley, M. and Robson, J. </w:t>
      </w:r>
      <w:r w:rsidRPr="7E8302CD" w:rsidR="303D6138">
        <w:rPr>
          <w:rFonts w:ascii="Arial" w:hAnsi="Arial" w:eastAsia="Arial" w:cs="Arial"/>
          <w:sz w:val="22"/>
          <w:szCs w:val="22"/>
        </w:rPr>
        <w:t>(2</w:t>
      </w:r>
      <w:r w:rsidRPr="7E8302CD" w:rsidR="7D96C60E">
        <w:rPr>
          <w:rFonts w:ascii="Arial" w:hAnsi="Arial" w:eastAsia="Arial" w:cs="Arial"/>
          <w:sz w:val="22"/>
          <w:szCs w:val="22"/>
        </w:rPr>
        <w:t>013</w:t>
      </w:r>
      <w:r w:rsidRPr="7E8302CD" w:rsidR="0C854E0F">
        <w:rPr>
          <w:rFonts w:ascii="Arial" w:hAnsi="Arial" w:eastAsia="Arial" w:cs="Arial"/>
          <w:sz w:val="22"/>
          <w:szCs w:val="22"/>
        </w:rPr>
        <w:t>)</w:t>
      </w:r>
      <w:r w:rsidRPr="7E8302CD" w:rsidR="7D96C60E">
        <w:rPr>
          <w:rFonts w:ascii="Arial" w:hAnsi="Arial" w:eastAsia="Arial" w:cs="Arial"/>
          <w:sz w:val="22"/>
          <w:szCs w:val="22"/>
        </w:rPr>
        <w:t>. </w:t>
      </w:r>
      <w:r w:rsidRPr="7E8302CD" w:rsidR="7D96C60E">
        <w:rPr>
          <w:rFonts w:ascii="Arial" w:hAnsi="Arial" w:eastAsia="Arial" w:cs="Arial"/>
          <w:i w:val="1"/>
          <w:iCs w:val="1"/>
          <w:sz w:val="22"/>
          <w:szCs w:val="22"/>
        </w:rPr>
        <w:t xml:space="preserve">Improving outcomes for patients with type 2 diabetes using general practice </w:t>
      </w:r>
      <w:r w:rsidRPr="7E8302CD" w:rsidR="732337BE">
        <w:rPr>
          <w:rFonts w:ascii="Arial" w:hAnsi="Arial" w:eastAsia="Arial" w:cs="Arial"/>
          <w:i w:val="1"/>
          <w:iCs w:val="1"/>
          <w:sz w:val="22"/>
          <w:szCs w:val="22"/>
        </w:rPr>
        <w:t>networks. London</w:t>
      </w:r>
      <w:r w:rsidRPr="7E8302CD" w:rsidR="732337BE">
        <w:rPr>
          <w:rFonts w:ascii="Arial" w:hAnsi="Arial" w:eastAsia="Arial" w:cs="Arial"/>
          <w:noProof w:val="0"/>
          <w:sz w:val="22"/>
          <w:szCs w:val="22"/>
          <w:lang w:val="en-GB"/>
        </w:rPr>
        <w:t>: Clinical Effectiveness Group, Queen Mary University of London.</w:t>
      </w:r>
    </w:p>
    <w:p w:rsidR="006757FE" w:rsidP="7E8302CD" w:rsidRDefault="006757FE" w14:paraId="5D32BDBA" w14:textId="4EE9859F">
      <w:pPr>
        <w:pStyle w:val="Normal"/>
        <w:spacing w:after="0" w:line="360" w:lineRule="auto"/>
        <w:rPr>
          <w:rFonts w:ascii="Arial" w:hAnsi="Arial" w:eastAsia="Arial" w:cs="Arial"/>
          <w:sz w:val="22"/>
          <w:szCs w:val="22"/>
        </w:rPr>
      </w:pPr>
      <w:r w:rsidRPr="7E8302CD" w:rsidR="7D96C60E">
        <w:rPr>
          <w:rFonts w:ascii="Arial" w:hAnsi="Arial" w:eastAsia="Arial" w:cs="Arial"/>
          <w:sz w:val="22"/>
          <w:szCs w:val="22"/>
        </w:rPr>
        <w:t>Institute of Health Equity</w:t>
      </w:r>
      <w:r w:rsidRPr="7E8302CD" w:rsidR="51629E46">
        <w:rPr>
          <w:rFonts w:ascii="Arial" w:hAnsi="Arial" w:eastAsia="Arial" w:cs="Arial"/>
          <w:sz w:val="22"/>
          <w:szCs w:val="22"/>
        </w:rPr>
        <w:t>. (</w:t>
      </w:r>
      <w:r w:rsidRPr="7E8302CD" w:rsidR="7D96C60E">
        <w:rPr>
          <w:rFonts w:ascii="Arial" w:hAnsi="Arial" w:eastAsia="Arial" w:cs="Arial"/>
          <w:sz w:val="22"/>
          <w:szCs w:val="22"/>
        </w:rPr>
        <w:t>2023</w:t>
      </w:r>
      <w:r w:rsidRPr="7E8302CD" w:rsidR="36069B2F">
        <w:rPr>
          <w:rFonts w:ascii="Arial" w:hAnsi="Arial" w:eastAsia="Arial" w:cs="Arial"/>
          <w:sz w:val="22"/>
          <w:szCs w:val="22"/>
        </w:rPr>
        <w:t>)</w:t>
      </w:r>
      <w:r w:rsidRPr="7E8302CD" w:rsidR="7D96C60E">
        <w:rPr>
          <w:rFonts w:ascii="Arial" w:hAnsi="Arial" w:eastAsia="Arial" w:cs="Arial"/>
          <w:sz w:val="22"/>
          <w:szCs w:val="22"/>
        </w:rPr>
        <w:t>. </w:t>
      </w:r>
      <w:r w:rsidRPr="7E8302CD" w:rsidR="7D96C60E">
        <w:rPr>
          <w:rFonts w:ascii="Arial" w:hAnsi="Arial" w:eastAsia="Arial" w:cs="Arial"/>
          <w:i w:val="1"/>
          <w:iCs w:val="1"/>
          <w:sz w:val="22"/>
          <w:szCs w:val="22"/>
        </w:rPr>
        <w:t>Inequalities in Mental Health, Cognitive Impairment and Dementia among Older People</w:t>
      </w:r>
      <w:r w:rsidRPr="7E8302CD" w:rsidR="7D96C60E">
        <w:rPr>
          <w:rFonts w:ascii="Arial" w:hAnsi="Arial" w:eastAsia="Arial" w:cs="Arial"/>
          <w:sz w:val="22"/>
          <w:szCs w:val="22"/>
        </w:rPr>
        <w:t>. London: UCL Institute of Health Equity.</w:t>
      </w:r>
    </w:p>
    <w:p w:rsidR="006757FE" w:rsidP="7E8302CD" w:rsidRDefault="006757FE" w14:paraId="0B6EC183" w14:textId="30EA6C52">
      <w:pPr>
        <w:pStyle w:val="Normal"/>
        <w:spacing w:after="0" w:line="360" w:lineRule="auto"/>
        <w:rPr>
          <w:rFonts w:ascii="Arial" w:hAnsi="Arial" w:eastAsia="Arial" w:cs="Arial"/>
          <w:sz w:val="22"/>
          <w:szCs w:val="22"/>
        </w:rPr>
      </w:pPr>
      <w:r w:rsidRPr="7E8302CD" w:rsidR="7D96C60E">
        <w:rPr>
          <w:rFonts w:ascii="Arial" w:hAnsi="Arial" w:eastAsia="Arial" w:cs="Arial"/>
          <w:sz w:val="22"/>
          <w:szCs w:val="22"/>
        </w:rPr>
        <w:t>International Diabetes Federation</w:t>
      </w:r>
      <w:r w:rsidRPr="7E8302CD" w:rsidR="1AE2AF2A">
        <w:rPr>
          <w:rFonts w:ascii="Arial" w:hAnsi="Arial" w:eastAsia="Arial" w:cs="Arial"/>
          <w:sz w:val="22"/>
          <w:szCs w:val="22"/>
        </w:rPr>
        <w:t>. (</w:t>
      </w:r>
      <w:r w:rsidRPr="7E8302CD" w:rsidR="7D96C60E">
        <w:rPr>
          <w:rFonts w:ascii="Arial" w:hAnsi="Arial" w:eastAsia="Arial" w:cs="Arial"/>
          <w:sz w:val="22"/>
          <w:szCs w:val="22"/>
        </w:rPr>
        <w:t>2024</w:t>
      </w:r>
      <w:r w:rsidRPr="7E8302CD" w:rsidR="106C623B">
        <w:rPr>
          <w:rFonts w:ascii="Arial" w:hAnsi="Arial" w:eastAsia="Arial" w:cs="Arial"/>
          <w:sz w:val="22"/>
          <w:szCs w:val="22"/>
        </w:rPr>
        <w:t>)</w:t>
      </w:r>
      <w:r w:rsidRPr="7E8302CD" w:rsidR="7D96C60E">
        <w:rPr>
          <w:rFonts w:ascii="Arial" w:hAnsi="Arial" w:eastAsia="Arial" w:cs="Arial"/>
          <w:sz w:val="22"/>
          <w:szCs w:val="22"/>
        </w:rPr>
        <w:t>. </w:t>
      </w:r>
      <w:r w:rsidRPr="7E8302CD" w:rsidR="7D96C60E">
        <w:rPr>
          <w:rFonts w:ascii="Arial" w:hAnsi="Arial" w:eastAsia="Arial" w:cs="Arial"/>
          <w:i w:val="1"/>
          <w:iCs w:val="1"/>
          <w:sz w:val="22"/>
          <w:szCs w:val="22"/>
        </w:rPr>
        <w:t>IDF Diabetes Atlas</w:t>
      </w:r>
      <w:r w:rsidRPr="7E8302CD" w:rsidR="7D96C60E">
        <w:rPr>
          <w:rFonts w:ascii="Arial" w:hAnsi="Arial" w:eastAsia="Arial" w:cs="Arial"/>
          <w:sz w:val="22"/>
          <w:szCs w:val="22"/>
        </w:rPr>
        <w:t>. 11th ed. Brussels: International Diabetes Federation.</w:t>
      </w:r>
    </w:p>
    <w:p w:rsidR="006757FE" w:rsidP="7E8302CD" w:rsidRDefault="006757FE" w14:paraId="0DF928F4" w14:textId="27E741C2">
      <w:pPr>
        <w:pStyle w:val="Normal"/>
        <w:spacing w:after="0" w:line="360" w:lineRule="auto"/>
        <w:rPr>
          <w:rFonts w:ascii="Arial" w:hAnsi="Arial" w:eastAsia="Arial" w:cs="Arial"/>
          <w:sz w:val="22"/>
          <w:szCs w:val="22"/>
        </w:rPr>
      </w:pPr>
      <w:r w:rsidRPr="7E8302CD" w:rsidR="7D96C60E">
        <w:rPr>
          <w:rFonts w:ascii="Arial" w:hAnsi="Arial" w:eastAsia="Arial" w:cs="Arial"/>
          <w:sz w:val="22"/>
          <w:szCs w:val="22"/>
        </w:rPr>
        <w:t>Joseph Rowntree Foundation</w:t>
      </w:r>
      <w:r w:rsidRPr="7E8302CD" w:rsidR="2CBDC7B3">
        <w:rPr>
          <w:rFonts w:ascii="Arial" w:hAnsi="Arial" w:eastAsia="Arial" w:cs="Arial"/>
          <w:sz w:val="22"/>
          <w:szCs w:val="22"/>
        </w:rPr>
        <w:t>. (</w:t>
      </w:r>
      <w:r w:rsidRPr="7E8302CD" w:rsidR="7D96C60E">
        <w:rPr>
          <w:rFonts w:ascii="Arial" w:hAnsi="Arial" w:eastAsia="Arial" w:cs="Arial"/>
          <w:sz w:val="22"/>
          <w:szCs w:val="22"/>
        </w:rPr>
        <w:t>2026</w:t>
      </w:r>
      <w:r w:rsidRPr="7E8302CD" w:rsidR="08CAA123">
        <w:rPr>
          <w:rFonts w:ascii="Arial" w:hAnsi="Arial" w:eastAsia="Arial" w:cs="Arial"/>
          <w:sz w:val="22"/>
          <w:szCs w:val="22"/>
        </w:rPr>
        <w:t>)</w:t>
      </w:r>
      <w:r w:rsidRPr="7E8302CD" w:rsidR="7D96C60E">
        <w:rPr>
          <w:rFonts w:ascii="Arial" w:hAnsi="Arial" w:eastAsia="Arial" w:cs="Arial"/>
          <w:sz w:val="22"/>
          <w:szCs w:val="22"/>
        </w:rPr>
        <w:t>. </w:t>
      </w:r>
      <w:r w:rsidRPr="7E8302CD" w:rsidR="7D96C60E">
        <w:rPr>
          <w:rFonts w:ascii="Arial" w:hAnsi="Arial" w:eastAsia="Arial" w:cs="Arial"/>
          <w:i w:val="1"/>
          <w:iCs w:val="1"/>
          <w:sz w:val="22"/>
          <w:szCs w:val="22"/>
        </w:rPr>
        <w:t xml:space="preserve">Overall poverty rates for children, working-age </w:t>
      </w:r>
      <w:r w:rsidRPr="7E8302CD" w:rsidR="7D96C60E">
        <w:rPr>
          <w:rFonts w:ascii="Arial" w:hAnsi="Arial" w:eastAsia="Arial" w:cs="Arial"/>
          <w:i w:val="1"/>
          <w:iCs w:val="1"/>
          <w:sz w:val="22"/>
          <w:szCs w:val="22"/>
        </w:rPr>
        <w:t>adults</w:t>
      </w:r>
      <w:r w:rsidRPr="7E8302CD" w:rsidR="7D96C60E">
        <w:rPr>
          <w:rFonts w:ascii="Arial" w:hAnsi="Arial" w:eastAsia="Arial" w:cs="Arial"/>
          <w:i w:val="1"/>
          <w:iCs w:val="1"/>
          <w:sz w:val="22"/>
          <w:szCs w:val="22"/>
        </w:rPr>
        <w:t xml:space="preserve"> and pensioners</w:t>
      </w:r>
      <w:r w:rsidRPr="7E8302CD" w:rsidR="7D96C60E">
        <w:rPr>
          <w:rFonts w:ascii="Arial" w:hAnsi="Arial" w:eastAsia="Arial" w:cs="Arial"/>
          <w:sz w:val="22"/>
          <w:szCs w:val="22"/>
        </w:rPr>
        <w:t>.  Available at: </w:t>
      </w:r>
      <w:hyperlink r:id="R37e222ad9b034418">
        <w:r w:rsidRPr="7E8302CD" w:rsidR="577248CB">
          <w:rPr>
            <w:rStyle w:val="Hyperlink"/>
            <w:strike w:val="0"/>
            <w:dstrike w:val="0"/>
            <w:noProof w:val="0"/>
            <w:lang w:val="en-GB"/>
          </w:rPr>
          <w:t>https://www.jrf.org.uk/uk-poverty-statistics/overall-poverty-rates-for-children-working-age-adults-and-pensioners</w:t>
        </w:r>
      </w:hyperlink>
      <w:r w:rsidRPr="7E8302CD" w:rsidR="577248CB">
        <w:rPr>
          <w:rFonts w:ascii="Arial" w:hAnsi="Arial" w:eastAsia="Arial" w:cs="Arial"/>
          <w:sz w:val="22"/>
          <w:szCs w:val="22"/>
        </w:rPr>
        <w:t xml:space="preserve"> </w:t>
      </w:r>
      <w:r w:rsidRPr="7E8302CD" w:rsidR="4CA3757F">
        <w:rPr>
          <w:rFonts w:ascii="Arial" w:hAnsi="Arial" w:eastAsia="Arial" w:cs="Arial"/>
          <w:sz w:val="22"/>
          <w:szCs w:val="22"/>
        </w:rPr>
        <w:t>(</w:t>
      </w:r>
      <w:r w:rsidRPr="7E8302CD" w:rsidR="7D96C60E">
        <w:rPr>
          <w:rFonts w:ascii="Arial" w:hAnsi="Arial" w:eastAsia="Arial" w:cs="Arial"/>
          <w:sz w:val="22"/>
          <w:szCs w:val="22"/>
        </w:rPr>
        <w:t>Accessed 14 July 2026</w:t>
      </w:r>
      <w:r w:rsidRPr="7E8302CD" w:rsidR="01282747">
        <w:rPr>
          <w:rFonts w:ascii="Arial" w:hAnsi="Arial" w:eastAsia="Arial" w:cs="Arial"/>
          <w:sz w:val="22"/>
          <w:szCs w:val="22"/>
        </w:rPr>
        <w:t>)</w:t>
      </w:r>
      <w:r w:rsidRPr="7E8302CD" w:rsidR="7D96C60E">
        <w:rPr>
          <w:rFonts w:ascii="Arial" w:hAnsi="Arial" w:eastAsia="Arial" w:cs="Arial"/>
          <w:sz w:val="22"/>
          <w:szCs w:val="22"/>
        </w:rPr>
        <w:t>.</w:t>
      </w:r>
    </w:p>
    <w:p w:rsidR="006757FE" w:rsidP="7E8302CD" w:rsidRDefault="006757FE" w14:paraId="213D6830" w14:textId="47B6FDF4">
      <w:pPr>
        <w:pStyle w:val="Normal"/>
        <w:spacing w:after="0" w:line="360" w:lineRule="auto"/>
        <w:rPr>
          <w:rFonts w:ascii="Arial" w:hAnsi="Arial" w:eastAsia="Arial" w:cs="Arial"/>
          <w:sz w:val="22"/>
          <w:szCs w:val="22"/>
        </w:rPr>
      </w:pPr>
      <w:r w:rsidRPr="7E8302CD" w:rsidR="7D96C60E">
        <w:rPr>
          <w:rFonts w:ascii="Arial" w:hAnsi="Arial" w:eastAsia="Arial" w:cs="Arial"/>
          <w:sz w:val="22"/>
          <w:szCs w:val="22"/>
        </w:rPr>
        <w:t>Language and Culture in Public Health</w:t>
      </w:r>
      <w:r w:rsidRPr="7E8302CD" w:rsidR="639676DF">
        <w:rPr>
          <w:rFonts w:ascii="Arial" w:hAnsi="Arial" w:eastAsia="Arial" w:cs="Arial"/>
          <w:sz w:val="22"/>
          <w:szCs w:val="22"/>
        </w:rPr>
        <w:t>. (</w:t>
      </w:r>
      <w:r w:rsidRPr="7E8302CD" w:rsidR="7D96C60E">
        <w:rPr>
          <w:rFonts w:ascii="Arial" w:hAnsi="Arial" w:eastAsia="Arial" w:cs="Arial"/>
          <w:sz w:val="22"/>
          <w:szCs w:val="22"/>
        </w:rPr>
        <w:t>2024</w:t>
      </w:r>
      <w:r w:rsidRPr="7E8302CD" w:rsidR="459EE0D6">
        <w:rPr>
          <w:rFonts w:ascii="Arial" w:hAnsi="Arial" w:eastAsia="Arial" w:cs="Arial"/>
          <w:sz w:val="22"/>
          <w:szCs w:val="22"/>
        </w:rPr>
        <w:t>)</w:t>
      </w:r>
      <w:r w:rsidRPr="7E8302CD" w:rsidR="7D96C60E">
        <w:rPr>
          <w:rFonts w:ascii="Arial" w:hAnsi="Arial" w:eastAsia="Arial" w:cs="Arial"/>
          <w:sz w:val="22"/>
          <w:szCs w:val="22"/>
        </w:rPr>
        <w:t>. </w:t>
      </w:r>
      <w:r w:rsidRPr="7E8302CD" w:rsidR="7D96C60E">
        <w:rPr>
          <w:rFonts w:ascii="Arial" w:hAnsi="Arial" w:eastAsia="Arial" w:cs="Arial"/>
          <w:i w:val="1"/>
          <w:iCs w:val="1"/>
          <w:sz w:val="22"/>
          <w:szCs w:val="22"/>
        </w:rPr>
        <w:t>Addressing Ethnic Disparities in Long-Term Condition Management</w:t>
      </w:r>
      <w:r w:rsidRPr="7E8302CD" w:rsidR="7D96C60E">
        <w:rPr>
          <w:rFonts w:ascii="Arial" w:hAnsi="Arial" w:eastAsia="Arial" w:cs="Arial"/>
          <w:sz w:val="22"/>
          <w:szCs w:val="22"/>
        </w:rPr>
        <w:t>. London: Public Health Press.</w:t>
      </w:r>
    </w:p>
    <w:p w:rsidR="006757FE" w:rsidP="7E8302CD" w:rsidRDefault="006757FE" w14:paraId="7876642D" w14:textId="47A1C60E">
      <w:pPr>
        <w:pStyle w:val="Normal"/>
        <w:spacing w:after="0" w:line="360" w:lineRule="auto"/>
        <w:rPr>
          <w:rFonts w:ascii="Arial" w:hAnsi="Arial" w:eastAsia="Arial" w:cs="Arial"/>
          <w:sz w:val="22"/>
          <w:szCs w:val="22"/>
        </w:rPr>
      </w:pPr>
      <w:r w:rsidRPr="7E8302CD" w:rsidR="7D96C60E">
        <w:rPr>
          <w:rFonts w:ascii="Arial" w:hAnsi="Arial" w:eastAsia="Arial" w:cs="Arial"/>
          <w:sz w:val="22"/>
          <w:szCs w:val="22"/>
        </w:rPr>
        <w:t>Living Wage Foundation</w:t>
      </w:r>
      <w:r w:rsidRPr="7E8302CD" w:rsidR="12CE3D56">
        <w:rPr>
          <w:rFonts w:ascii="Arial" w:hAnsi="Arial" w:eastAsia="Arial" w:cs="Arial"/>
          <w:sz w:val="22"/>
          <w:szCs w:val="22"/>
        </w:rPr>
        <w:t xml:space="preserve"> (</w:t>
      </w:r>
      <w:r w:rsidRPr="7E8302CD" w:rsidR="7D96C60E">
        <w:rPr>
          <w:rFonts w:ascii="Arial" w:hAnsi="Arial" w:eastAsia="Arial" w:cs="Arial"/>
          <w:sz w:val="22"/>
          <w:szCs w:val="22"/>
        </w:rPr>
        <w:t>2025</w:t>
      </w:r>
      <w:r w:rsidRPr="7E8302CD" w:rsidR="3F2A82D0">
        <w:rPr>
          <w:rFonts w:ascii="Arial" w:hAnsi="Arial" w:eastAsia="Arial" w:cs="Arial"/>
          <w:sz w:val="22"/>
          <w:szCs w:val="22"/>
        </w:rPr>
        <w:t>)</w:t>
      </w:r>
      <w:r w:rsidRPr="7E8302CD" w:rsidR="7D96C60E">
        <w:rPr>
          <w:rFonts w:ascii="Arial" w:hAnsi="Arial" w:eastAsia="Arial" w:cs="Arial"/>
          <w:sz w:val="22"/>
          <w:szCs w:val="22"/>
        </w:rPr>
        <w:t>. </w:t>
      </w:r>
      <w:r w:rsidRPr="7E8302CD" w:rsidR="7D96C60E">
        <w:rPr>
          <w:rFonts w:ascii="Arial" w:hAnsi="Arial" w:eastAsia="Arial" w:cs="Arial"/>
          <w:i w:val="1"/>
          <w:iCs w:val="1"/>
          <w:sz w:val="22"/>
          <w:szCs w:val="22"/>
        </w:rPr>
        <w:t>Hundreds of thousands of retirees on a "poverty pension" struggling to make ends meet</w:t>
      </w:r>
      <w:r w:rsidRPr="7E8302CD" w:rsidR="7D96C60E">
        <w:rPr>
          <w:rFonts w:ascii="Arial" w:hAnsi="Arial" w:eastAsia="Arial" w:cs="Arial"/>
          <w:sz w:val="22"/>
          <w:szCs w:val="22"/>
        </w:rPr>
        <w:t>.  Available at: </w:t>
      </w:r>
      <w:r w:rsidRPr="7E8302CD" w:rsidR="6D11E21E">
        <w:rPr>
          <w:rFonts w:ascii="Arial" w:hAnsi="Arial" w:eastAsia="Arial" w:cs="Arial"/>
          <w:sz w:val="22"/>
          <w:szCs w:val="22"/>
        </w:rPr>
        <w:t xml:space="preserve"> </w:t>
      </w:r>
      <w:hyperlink r:id="Rdef0d3d3280d4e4c">
        <w:r w:rsidRPr="7E8302CD" w:rsidR="7C7D7663">
          <w:rPr>
            <w:rStyle w:val="Hyperlink"/>
            <w:strike w:val="0"/>
            <w:dstrike w:val="0"/>
            <w:noProof w:val="0"/>
            <w:lang w:val="en-GB"/>
          </w:rPr>
          <w:t>https://www.livingwage.org.uk/news/hundreds-thousands-retirees-poverty-pension-struggling-make-ends-meet</w:t>
        </w:r>
      </w:hyperlink>
      <w:r w:rsidRPr="7E8302CD" w:rsidR="7C7D7663">
        <w:rPr>
          <w:rFonts w:ascii="Arial" w:hAnsi="Arial" w:eastAsia="Arial" w:cs="Arial"/>
          <w:sz w:val="22"/>
          <w:szCs w:val="22"/>
        </w:rPr>
        <w:t xml:space="preserve"> </w:t>
      </w:r>
      <w:r w:rsidRPr="7E8302CD" w:rsidR="09A2A3FD">
        <w:rPr>
          <w:rFonts w:ascii="Arial" w:hAnsi="Arial" w:eastAsia="Arial" w:cs="Arial"/>
          <w:sz w:val="22"/>
          <w:szCs w:val="22"/>
        </w:rPr>
        <w:t>(</w:t>
      </w:r>
      <w:r w:rsidRPr="7E8302CD" w:rsidR="7D96C60E">
        <w:rPr>
          <w:rFonts w:ascii="Arial" w:hAnsi="Arial" w:eastAsia="Arial" w:cs="Arial"/>
          <w:sz w:val="22"/>
          <w:szCs w:val="22"/>
        </w:rPr>
        <w:t>Accessed 14 July 2026</w:t>
      </w:r>
      <w:r w:rsidRPr="7E8302CD" w:rsidR="3F35DB69">
        <w:rPr>
          <w:rFonts w:ascii="Arial" w:hAnsi="Arial" w:eastAsia="Arial" w:cs="Arial"/>
          <w:sz w:val="22"/>
          <w:szCs w:val="22"/>
        </w:rPr>
        <w:t>).</w:t>
      </w:r>
    </w:p>
    <w:p w:rsidR="006757FE" w:rsidP="7E8302CD" w:rsidRDefault="006757FE" w14:paraId="0176B04C" w14:textId="53983C58">
      <w:pPr>
        <w:pStyle w:val="Normal"/>
        <w:spacing w:after="0" w:line="360" w:lineRule="auto"/>
        <w:rPr>
          <w:rFonts w:ascii="Arial" w:hAnsi="Arial" w:eastAsia="Arial" w:cs="Arial"/>
          <w:sz w:val="22"/>
          <w:szCs w:val="22"/>
        </w:rPr>
      </w:pPr>
      <w:r w:rsidRPr="7E8302CD" w:rsidR="7D96C60E">
        <w:rPr>
          <w:rFonts w:ascii="Arial" w:hAnsi="Arial" w:eastAsia="Arial" w:cs="Arial"/>
          <w:sz w:val="22"/>
          <w:szCs w:val="22"/>
        </w:rPr>
        <w:t>Mental Health Foundation, 2023. </w:t>
      </w:r>
      <w:r w:rsidRPr="7E8302CD" w:rsidR="7D96C60E">
        <w:rPr>
          <w:rFonts w:ascii="Arial" w:hAnsi="Arial" w:eastAsia="Arial" w:cs="Arial"/>
          <w:i w:val="1"/>
          <w:iCs w:val="1"/>
          <w:sz w:val="22"/>
          <w:szCs w:val="22"/>
        </w:rPr>
        <w:t>Older people: statistics</w:t>
      </w:r>
      <w:r w:rsidRPr="7E8302CD" w:rsidR="7D96C60E">
        <w:rPr>
          <w:rFonts w:ascii="Arial" w:hAnsi="Arial" w:eastAsia="Arial" w:cs="Arial"/>
          <w:sz w:val="22"/>
          <w:szCs w:val="22"/>
        </w:rPr>
        <w:t>.  Available at: </w:t>
      </w:r>
      <w:hyperlink r:id="Re036f97caf434cd2">
        <w:r w:rsidRPr="7E8302CD" w:rsidR="3B1B651B">
          <w:rPr>
            <w:rStyle w:val="Hyperlink"/>
            <w:strike w:val="0"/>
            <w:dstrike w:val="0"/>
            <w:noProof w:val="0"/>
            <w:lang w:val="en-GB"/>
          </w:rPr>
          <w:t>https://www.mentalhealth.org.uk/explore-mental-health/statistics/older-people-statistics</w:t>
        </w:r>
      </w:hyperlink>
      <w:r w:rsidRPr="7E8302CD" w:rsidR="3B1B651B">
        <w:rPr>
          <w:rFonts w:ascii="Arial" w:hAnsi="Arial" w:eastAsia="Arial" w:cs="Arial"/>
          <w:sz w:val="22"/>
          <w:szCs w:val="22"/>
        </w:rPr>
        <w:t xml:space="preserve">  </w:t>
      </w:r>
      <w:hyperlink r:id="Ra0b9fcf610584b2c">
        <w:r w:rsidRPr="7E8302CD" w:rsidR="6E2F60C7">
          <w:rPr>
            <w:rStyle w:val="Hyperlink"/>
            <w:strike w:val="0"/>
            <w:dstrike w:val="0"/>
            <w:noProof w:val="0"/>
            <w:lang w:val="en-GB"/>
          </w:rPr>
          <w:t>https://www.livingwage.org.uk/news/hundreds-thousands-retirees-poverty-pension-struggling-make-ends-meet</w:t>
        </w:r>
      </w:hyperlink>
      <w:r w:rsidRPr="7E8302CD" w:rsidR="7D96C60E">
        <w:rPr>
          <w:rFonts w:ascii="Arial" w:hAnsi="Arial" w:eastAsia="Arial" w:cs="Arial"/>
          <w:sz w:val="22"/>
          <w:szCs w:val="22"/>
        </w:rPr>
        <w:t> </w:t>
      </w:r>
      <w:r w:rsidRPr="7E8302CD" w:rsidR="63A32824">
        <w:rPr>
          <w:rFonts w:ascii="Arial" w:hAnsi="Arial" w:eastAsia="Arial" w:cs="Arial"/>
          <w:sz w:val="22"/>
          <w:szCs w:val="22"/>
        </w:rPr>
        <w:t>(</w:t>
      </w:r>
      <w:r w:rsidRPr="7E8302CD" w:rsidR="7D96C60E">
        <w:rPr>
          <w:rFonts w:ascii="Arial" w:hAnsi="Arial" w:eastAsia="Arial" w:cs="Arial"/>
          <w:sz w:val="22"/>
          <w:szCs w:val="22"/>
        </w:rPr>
        <w:t>Accessed 14 July 2026</w:t>
      </w:r>
      <w:r w:rsidRPr="7E8302CD" w:rsidR="43A6BDA2">
        <w:rPr>
          <w:rFonts w:ascii="Arial" w:hAnsi="Arial" w:eastAsia="Arial" w:cs="Arial"/>
          <w:sz w:val="22"/>
          <w:szCs w:val="22"/>
        </w:rPr>
        <w:t>)</w:t>
      </w:r>
      <w:r w:rsidRPr="7E8302CD" w:rsidR="7D96C60E">
        <w:rPr>
          <w:rFonts w:ascii="Arial" w:hAnsi="Arial" w:eastAsia="Arial" w:cs="Arial"/>
          <w:sz w:val="22"/>
          <w:szCs w:val="22"/>
        </w:rPr>
        <w:t>.</w:t>
      </w:r>
    </w:p>
    <w:p w:rsidR="006757FE" w:rsidP="7E8302CD" w:rsidRDefault="006757FE" w14:paraId="4BD1700F" w14:textId="57EE0B3A">
      <w:pPr>
        <w:pStyle w:val="Normal"/>
        <w:spacing w:after="0" w:line="360" w:lineRule="auto"/>
        <w:rPr>
          <w:rFonts w:ascii="Arial" w:hAnsi="Arial" w:eastAsia="Arial" w:cs="Arial"/>
          <w:sz w:val="22"/>
          <w:szCs w:val="22"/>
        </w:rPr>
      </w:pPr>
      <w:r w:rsidRPr="7E8302CD" w:rsidR="7D96C60E">
        <w:rPr>
          <w:rFonts w:ascii="Arial" w:hAnsi="Arial" w:eastAsia="Arial" w:cs="Arial"/>
          <w:sz w:val="22"/>
          <w:szCs w:val="22"/>
        </w:rPr>
        <w:t>NHS England</w:t>
      </w:r>
      <w:r w:rsidRPr="7E8302CD" w:rsidR="49132D3C">
        <w:rPr>
          <w:rFonts w:ascii="Arial" w:hAnsi="Arial" w:eastAsia="Arial" w:cs="Arial"/>
          <w:sz w:val="22"/>
          <w:szCs w:val="22"/>
        </w:rPr>
        <w:t>. (</w:t>
      </w:r>
      <w:r w:rsidRPr="7E8302CD" w:rsidR="7D96C60E">
        <w:rPr>
          <w:rFonts w:ascii="Arial" w:hAnsi="Arial" w:eastAsia="Arial" w:cs="Arial"/>
          <w:sz w:val="22"/>
          <w:szCs w:val="22"/>
        </w:rPr>
        <w:t>2024</w:t>
      </w:r>
      <w:r w:rsidRPr="7E8302CD" w:rsidR="1A61F89C">
        <w:rPr>
          <w:rFonts w:ascii="Arial" w:hAnsi="Arial" w:eastAsia="Arial" w:cs="Arial"/>
          <w:sz w:val="22"/>
          <w:szCs w:val="22"/>
        </w:rPr>
        <w:t>)</w:t>
      </w:r>
      <w:r w:rsidRPr="7E8302CD" w:rsidR="7D96C60E">
        <w:rPr>
          <w:rFonts w:ascii="Arial" w:hAnsi="Arial" w:eastAsia="Arial" w:cs="Arial"/>
          <w:sz w:val="22"/>
          <w:szCs w:val="22"/>
        </w:rPr>
        <w:t>. </w:t>
      </w:r>
      <w:r w:rsidRPr="7E8302CD" w:rsidR="7D96C60E">
        <w:rPr>
          <w:rFonts w:ascii="Arial" w:hAnsi="Arial" w:eastAsia="Arial" w:cs="Arial"/>
          <w:i w:val="1"/>
          <w:iCs w:val="1"/>
          <w:sz w:val="22"/>
          <w:szCs w:val="22"/>
        </w:rPr>
        <w:t>National Healthcare Inequalities Improvement Programme: Core20PLUS5</w:t>
      </w:r>
      <w:r w:rsidRPr="7E8302CD" w:rsidR="7D96C60E">
        <w:rPr>
          <w:rFonts w:ascii="Arial" w:hAnsi="Arial" w:eastAsia="Arial" w:cs="Arial"/>
          <w:sz w:val="22"/>
          <w:szCs w:val="22"/>
        </w:rPr>
        <w:t>. Available at: </w:t>
      </w:r>
      <w:hyperlink r:id="Rc3e0b78112fd434a">
        <w:r w:rsidRPr="7E8302CD" w:rsidR="6005A02A">
          <w:rPr>
            <w:rStyle w:val="Hyperlink"/>
            <w:strike w:val="0"/>
            <w:dstrike w:val="0"/>
            <w:noProof w:val="0"/>
            <w:lang w:val="en-GB"/>
          </w:rPr>
          <w:t>https://www.england.nhs.uk/about/equality/equality-hub/national-healthcare-inequalities-improvement-programme/what-are-healthcare-inequalities/</w:t>
        </w:r>
      </w:hyperlink>
      <w:r w:rsidRPr="7E8302CD" w:rsidR="6005A02A">
        <w:rPr>
          <w:rFonts w:ascii="Arial" w:hAnsi="Arial" w:eastAsia="Arial" w:cs="Arial"/>
          <w:sz w:val="22"/>
          <w:szCs w:val="22"/>
        </w:rPr>
        <w:t xml:space="preserve"> </w:t>
      </w:r>
      <w:r w:rsidRPr="7E8302CD" w:rsidR="416305DB">
        <w:rPr>
          <w:rFonts w:ascii="Arial" w:hAnsi="Arial" w:eastAsia="Arial" w:cs="Arial"/>
          <w:sz w:val="22"/>
          <w:szCs w:val="22"/>
        </w:rPr>
        <w:t>(</w:t>
      </w:r>
      <w:r w:rsidRPr="7E8302CD" w:rsidR="7D96C60E">
        <w:rPr>
          <w:rFonts w:ascii="Arial" w:hAnsi="Arial" w:eastAsia="Arial" w:cs="Arial"/>
          <w:sz w:val="22"/>
          <w:szCs w:val="22"/>
        </w:rPr>
        <w:t>Accessed 14 July 2026</w:t>
      </w:r>
      <w:r w:rsidRPr="7E8302CD" w:rsidR="306D8B32">
        <w:rPr>
          <w:rFonts w:ascii="Arial" w:hAnsi="Arial" w:eastAsia="Arial" w:cs="Arial"/>
          <w:sz w:val="22"/>
          <w:szCs w:val="22"/>
        </w:rPr>
        <w:t>).</w:t>
      </w:r>
    </w:p>
    <w:p w:rsidR="006757FE" w:rsidP="7E8302CD" w:rsidRDefault="006757FE" w14:paraId="0013EA8D" w14:textId="49C5AC0D">
      <w:pPr>
        <w:pStyle w:val="Normal"/>
        <w:spacing w:after="0" w:line="360" w:lineRule="auto"/>
        <w:rPr>
          <w:rFonts w:ascii="Arial" w:hAnsi="Arial" w:eastAsia="Arial" w:cs="Arial"/>
          <w:sz w:val="22"/>
          <w:szCs w:val="22"/>
        </w:rPr>
      </w:pPr>
      <w:r w:rsidRPr="7E8302CD" w:rsidR="7D96C60E">
        <w:rPr>
          <w:rFonts w:ascii="Arial" w:hAnsi="Arial" w:eastAsia="Arial" w:cs="Arial"/>
          <w:sz w:val="22"/>
          <w:szCs w:val="22"/>
        </w:rPr>
        <w:t>Royal College of Psychiatrists</w:t>
      </w:r>
      <w:r w:rsidRPr="7E8302CD" w:rsidR="66F3AC48">
        <w:rPr>
          <w:rFonts w:ascii="Arial" w:hAnsi="Arial" w:eastAsia="Arial" w:cs="Arial"/>
          <w:sz w:val="22"/>
          <w:szCs w:val="22"/>
        </w:rPr>
        <w:t>. (</w:t>
      </w:r>
      <w:r w:rsidRPr="7E8302CD" w:rsidR="7D96C60E">
        <w:rPr>
          <w:rFonts w:ascii="Arial" w:hAnsi="Arial" w:eastAsia="Arial" w:cs="Arial"/>
          <w:sz w:val="22"/>
          <w:szCs w:val="22"/>
        </w:rPr>
        <w:t>2018</w:t>
      </w:r>
      <w:r w:rsidRPr="7E8302CD" w:rsidR="569E2871">
        <w:rPr>
          <w:rFonts w:ascii="Arial" w:hAnsi="Arial" w:eastAsia="Arial" w:cs="Arial"/>
          <w:sz w:val="22"/>
          <w:szCs w:val="22"/>
        </w:rPr>
        <w:t>)</w:t>
      </w:r>
      <w:r w:rsidRPr="7E8302CD" w:rsidR="7D96C60E">
        <w:rPr>
          <w:rFonts w:ascii="Arial" w:hAnsi="Arial" w:eastAsia="Arial" w:cs="Arial"/>
          <w:sz w:val="22"/>
          <w:szCs w:val="22"/>
        </w:rPr>
        <w:t>. </w:t>
      </w:r>
      <w:r w:rsidRPr="7E8302CD" w:rsidR="7D96C60E">
        <w:rPr>
          <w:rFonts w:ascii="Arial" w:hAnsi="Arial" w:eastAsia="Arial" w:cs="Arial"/>
          <w:i w:val="1"/>
          <w:iCs w:val="1"/>
          <w:sz w:val="22"/>
          <w:szCs w:val="22"/>
        </w:rPr>
        <w:t>Suffering in silence: age inequality in older people's mental health care</w:t>
      </w:r>
      <w:r w:rsidRPr="7E8302CD" w:rsidR="7D96C60E">
        <w:rPr>
          <w:rFonts w:ascii="Arial" w:hAnsi="Arial" w:eastAsia="Arial" w:cs="Arial"/>
          <w:sz w:val="22"/>
          <w:szCs w:val="22"/>
        </w:rPr>
        <w:t>. College Report CR221. London: Royal College of Psychiatrists.</w:t>
      </w:r>
    </w:p>
    <w:p w:rsidR="006757FE" w:rsidP="7E8302CD" w:rsidRDefault="006757FE" w14:paraId="3C886FA1" w14:textId="3933D493">
      <w:pPr>
        <w:pStyle w:val="Normal"/>
        <w:spacing w:after="0" w:line="360" w:lineRule="auto"/>
        <w:rPr>
          <w:rFonts w:ascii="Arial" w:hAnsi="Arial" w:eastAsia="Arial" w:cs="Arial"/>
          <w:sz w:val="22"/>
          <w:szCs w:val="22"/>
        </w:rPr>
      </w:pPr>
      <w:r w:rsidRPr="7E8302CD" w:rsidR="7D96C60E">
        <w:rPr>
          <w:rFonts w:ascii="Arial" w:hAnsi="Arial" w:eastAsia="Arial" w:cs="Arial"/>
          <w:sz w:val="22"/>
          <w:szCs w:val="22"/>
        </w:rPr>
        <w:t>Royal College of General Practitioners</w:t>
      </w:r>
      <w:r w:rsidRPr="7E8302CD" w:rsidR="1226C8B0">
        <w:rPr>
          <w:rFonts w:ascii="Arial" w:hAnsi="Arial" w:eastAsia="Arial" w:cs="Arial"/>
          <w:sz w:val="22"/>
          <w:szCs w:val="22"/>
        </w:rPr>
        <w:t>.</w:t>
      </w:r>
      <w:r w:rsidRPr="7E8302CD" w:rsidR="7D96C60E">
        <w:rPr>
          <w:rFonts w:ascii="Arial" w:hAnsi="Arial" w:eastAsia="Arial" w:cs="Arial"/>
          <w:sz w:val="22"/>
          <w:szCs w:val="22"/>
        </w:rPr>
        <w:t xml:space="preserve"> (2023</w:t>
      </w:r>
      <w:r w:rsidRPr="7E8302CD" w:rsidR="5BBED66B">
        <w:rPr>
          <w:rFonts w:ascii="Arial" w:hAnsi="Arial" w:eastAsia="Arial" w:cs="Arial"/>
          <w:sz w:val="22"/>
          <w:szCs w:val="22"/>
        </w:rPr>
        <w:t>)</w:t>
      </w:r>
      <w:r w:rsidRPr="7E8302CD" w:rsidR="7D96C60E">
        <w:rPr>
          <w:rFonts w:ascii="Arial" w:hAnsi="Arial" w:eastAsia="Arial" w:cs="Arial"/>
          <w:sz w:val="22"/>
          <w:szCs w:val="22"/>
        </w:rPr>
        <w:t>. Unravelling the potential of social prescribing in individual-level type 2 diabetes prevention. </w:t>
      </w:r>
      <w:r w:rsidRPr="7E8302CD" w:rsidR="7D96C60E">
        <w:rPr>
          <w:rFonts w:ascii="Arial" w:hAnsi="Arial" w:eastAsia="Arial" w:cs="Arial"/>
          <w:i w:val="1"/>
          <w:iCs w:val="1"/>
          <w:sz w:val="22"/>
          <w:szCs w:val="22"/>
        </w:rPr>
        <w:t xml:space="preserve">National </w:t>
      </w:r>
      <w:r w:rsidRPr="7E8302CD" w:rsidR="492EF66A">
        <w:rPr>
          <w:rFonts w:ascii="Arial" w:hAnsi="Arial" w:eastAsia="Arial" w:cs="Arial"/>
          <w:i w:val="1"/>
          <w:iCs w:val="1"/>
          <w:sz w:val="22"/>
          <w:szCs w:val="22"/>
        </w:rPr>
        <w:t>Centre</w:t>
      </w:r>
      <w:r w:rsidRPr="7E8302CD" w:rsidR="7D96C60E">
        <w:rPr>
          <w:rFonts w:ascii="Arial" w:hAnsi="Arial" w:eastAsia="Arial" w:cs="Arial"/>
          <w:i w:val="1"/>
          <w:iCs w:val="1"/>
          <w:sz w:val="22"/>
          <w:szCs w:val="22"/>
        </w:rPr>
        <w:t xml:space="preserve"> for Biotechnology Information (NCBI)</w:t>
      </w:r>
      <w:r w:rsidRPr="7E8302CD" w:rsidR="7D96C60E">
        <w:rPr>
          <w:rFonts w:ascii="Arial" w:hAnsi="Arial" w:eastAsia="Arial" w:cs="Arial"/>
          <w:sz w:val="22"/>
          <w:szCs w:val="22"/>
        </w:rPr>
        <w:t>. Available at: https://pmc.ncbi.nlm.nih.gov/articles/PMC10008720</w:t>
      </w:r>
      <w:r w:rsidRPr="7E8302CD" w:rsidR="10998821">
        <w:rPr>
          <w:rFonts w:ascii="Arial" w:hAnsi="Arial" w:eastAsia="Arial" w:cs="Arial"/>
          <w:sz w:val="22"/>
          <w:szCs w:val="22"/>
        </w:rPr>
        <w:t xml:space="preserve">/ </w:t>
      </w:r>
      <w:r w:rsidRPr="7E8302CD" w:rsidR="7D96C60E">
        <w:rPr>
          <w:rFonts w:ascii="Arial" w:hAnsi="Arial" w:eastAsia="Arial" w:cs="Arial"/>
          <w:sz w:val="22"/>
          <w:szCs w:val="22"/>
        </w:rPr>
        <w:t> [Accessed 14 July 2026].</w:t>
      </w:r>
    </w:p>
    <w:p w:rsidR="006757FE" w:rsidP="7E8302CD" w:rsidRDefault="006757FE" w14:paraId="38ED0596" w14:textId="4BF5B135">
      <w:pPr>
        <w:pStyle w:val="Normal"/>
        <w:spacing w:after="0" w:line="360" w:lineRule="auto"/>
        <w:rPr>
          <w:rFonts w:ascii="Arial" w:hAnsi="Arial" w:eastAsia="Arial" w:cs="Arial"/>
          <w:sz w:val="22"/>
          <w:szCs w:val="22"/>
        </w:rPr>
      </w:pPr>
      <w:r w:rsidRPr="7E8302CD" w:rsidR="7D96C60E">
        <w:rPr>
          <w:rFonts w:ascii="Arial" w:hAnsi="Arial" w:eastAsia="Arial" w:cs="Arial"/>
          <w:sz w:val="22"/>
          <w:szCs w:val="22"/>
        </w:rPr>
        <w:t>ScienceDirect</w:t>
      </w:r>
      <w:r w:rsidRPr="7E8302CD" w:rsidR="4B977984">
        <w:rPr>
          <w:rFonts w:ascii="Arial" w:hAnsi="Arial" w:eastAsia="Arial" w:cs="Arial"/>
          <w:sz w:val="22"/>
          <w:szCs w:val="22"/>
        </w:rPr>
        <w:t>. (</w:t>
      </w:r>
      <w:r w:rsidRPr="7E8302CD" w:rsidR="7D96C60E">
        <w:rPr>
          <w:rFonts w:ascii="Arial" w:hAnsi="Arial" w:eastAsia="Arial" w:cs="Arial"/>
          <w:sz w:val="22"/>
          <w:szCs w:val="22"/>
        </w:rPr>
        <w:t>2023</w:t>
      </w:r>
      <w:r w:rsidRPr="7E8302CD" w:rsidR="298B3D1E">
        <w:rPr>
          <w:rFonts w:ascii="Arial" w:hAnsi="Arial" w:eastAsia="Arial" w:cs="Arial"/>
          <w:sz w:val="22"/>
          <w:szCs w:val="22"/>
        </w:rPr>
        <w:t>)</w:t>
      </w:r>
      <w:r w:rsidRPr="7E8302CD" w:rsidR="7D96C60E">
        <w:rPr>
          <w:rFonts w:ascii="Arial" w:hAnsi="Arial" w:eastAsia="Arial" w:cs="Arial"/>
          <w:sz w:val="22"/>
          <w:szCs w:val="22"/>
        </w:rPr>
        <w:t>. Predicting type 2 diabetes prevalence for people with severe mental illness. </w:t>
      </w:r>
      <w:r w:rsidRPr="7E8302CD" w:rsidR="7D96C60E">
        <w:rPr>
          <w:rFonts w:ascii="Arial" w:hAnsi="Arial" w:eastAsia="Arial" w:cs="Arial"/>
          <w:i w:val="1"/>
          <w:iCs w:val="1"/>
          <w:sz w:val="22"/>
          <w:szCs w:val="22"/>
        </w:rPr>
        <w:t>International Journal of Medical Informatics</w:t>
      </w:r>
      <w:r w:rsidRPr="7E8302CD" w:rsidR="7D96C60E">
        <w:rPr>
          <w:rFonts w:ascii="Arial" w:hAnsi="Arial" w:eastAsia="Arial" w:cs="Arial"/>
          <w:sz w:val="22"/>
          <w:szCs w:val="22"/>
        </w:rPr>
        <w:t>, 173(105036), pp. 1-9.</w:t>
      </w:r>
    </w:p>
    <w:p w:rsidR="006757FE" w:rsidP="7E8302CD" w:rsidRDefault="006757FE" w14:paraId="5D363438" w14:textId="305D4784">
      <w:pPr>
        <w:pStyle w:val="Normal"/>
        <w:spacing w:after="0" w:line="360" w:lineRule="auto"/>
        <w:rPr>
          <w:rFonts w:ascii="Arial" w:hAnsi="Arial" w:eastAsia="Arial" w:cs="Arial"/>
          <w:sz w:val="22"/>
          <w:szCs w:val="22"/>
        </w:rPr>
      </w:pPr>
      <w:r w:rsidRPr="7E8302CD" w:rsidR="7D96C60E">
        <w:rPr>
          <w:rFonts w:ascii="Arial" w:hAnsi="Arial" w:eastAsia="Arial" w:cs="Arial"/>
          <w:sz w:val="22"/>
          <w:szCs w:val="22"/>
        </w:rPr>
        <w:t>The King's Fund, 2026. </w:t>
      </w:r>
      <w:r w:rsidRPr="7E8302CD" w:rsidR="7D96C60E">
        <w:rPr>
          <w:rFonts w:ascii="Arial" w:hAnsi="Arial" w:eastAsia="Arial" w:cs="Arial"/>
          <w:i w:val="1"/>
          <w:iCs w:val="1"/>
          <w:sz w:val="22"/>
          <w:szCs w:val="22"/>
        </w:rPr>
        <w:t>Health inequalities in a nutshell</w:t>
      </w:r>
      <w:r w:rsidRPr="7E8302CD" w:rsidR="7D96C60E">
        <w:rPr>
          <w:rFonts w:ascii="Arial" w:hAnsi="Arial" w:eastAsia="Arial" w:cs="Arial"/>
          <w:sz w:val="22"/>
          <w:szCs w:val="22"/>
        </w:rPr>
        <w:t xml:space="preserve">.  </w:t>
      </w:r>
      <w:r w:rsidRPr="7E8302CD" w:rsidR="7D96C60E">
        <w:rPr>
          <w:rFonts w:ascii="Arial" w:hAnsi="Arial" w:eastAsia="Arial" w:cs="Arial"/>
          <w:sz w:val="22"/>
          <w:szCs w:val="22"/>
        </w:rPr>
        <w:t>Available at:</w:t>
      </w:r>
      <w:hyperlink r:id="R745fbaca91ef4720">
        <w:r w:rsidRPr="7E8302CD" w:rsidR="06E2C998">
          <w:rPr>
            <w:rStyle w:val="Hyperlink"/>
            <w:strike w:val="0"/>
            <w:dstrike w:val="0"/>
            <w:noProof w:val="0"/>
            <w:lang w:val="en-GB"/>
          </w:rPr>
          <w:t>https://www.kingsfund.org.uk/insight-and-analysis/data-and-charts/health-inequalities-nutshell</w:t>
        </w:r>
      </w:hyperlink>
      <w:r w:rsidRPr="7E8302CD" w:rsidR="06E2C998">
        <w:rPr>
          <w:rFonts w:ascii="Arial" w:hAnsi="Arial" w:eastAsia="Arial" w:cs="Arial"/>
          <w:sz w:val="22"/>
          <w:szCs w:val="22"/>
        </w:rPr>
        <w:t xml:space="preserve"> </w:t>
      </w:r>
      <w:r w:rsidRPr="7E8302CD" w:rsidR="4635ACDF">
        <w:rPr>
          <w:rFonts w:ascii="Arial" w:hAnsi="Arial" w:eastAsia="Arial" w:cs="Arial"/>
          <w:sz w:val="22"/>
          <w:szCs w:val="22"/>
        </w:rPr>
        <w:t>(</w:t>
      </w:r>
      <w:r w:rsidRPr="7E8302CD" w:rsidR="7D96C60E">
        <w:rPr>
          <w:rFonts w:ascii="Arial" w:hAnsi="Arial" w:eastAsia="Arial" w:cs="Arial"/>
          <w:sz w:val="22"/>
          <w:szCs w:val="22"/>
        </w:rPr>
        <w:t>Accessed 14 July 2026</w:t>
      </w:r>
      <w:r w:rsidRPr="7E8302CD" w:rsidR="759E6A2F">
        <w:rPr>
          <w:rFonts w:ascii="Arial" w:hAnsi="Arial" w:eastAsia="Arial" w:cs="Arial"/>
          <w:sz w:val="22"/>
          <w:szCs w:val="22"/>
        </w:rPr>
        <w:t>)</w:t>
      </w:r>
      <w:r w:rsidRPr="7E8302CD" w:rsidR="7D96C60E">
        <w:rPr>
          <w:rFonts w:ascii="Arial" w:hAnsi="Arial" w:eastAsia="Arial" w:cs="Arial"/>
          <w:sz w:val="22"/>
          <w:szCs w:val="22"/>
        </w:rPr>
        <w:t>.</w:t>
      </w:r>
    </w:p>
    <w:p w:rsidR="006757FE" w:rsidP="7E8302CD" w:rsidRDefault="006757FE" w14:paraId="0FA7C997" w14:textId="08C6DA13">
      <w:pPr>
        <w:pStyle w:val="Normal"/>
        <w:spacing w:after="0" w:line="360" w:lineRule="auto"/>
        <w:rPr>
          <w:rFonts w:ascii="Arial" w:hAnsi="Arial" w:eastAsia="Arial" w:cs="Arial"/>
          <w:sz w:val="22"/>
          <w:szCs w:val="22"/>
        </w:rPr>
      </w:pPr>
      <w:r w:rsidRPr="7E8302CD" w:rsidR="7D96C60E">
        <w:rPr>
          <w:rFonts w:ascii="Arial" w:hAnsi="Arial" w:eastAsia="Arial" w:cs="Arial"/>
          <w:sz w:val="22"/>
          <w:szCs w:val="22"/>
        </w:rPr>
        <w:t>Tower Hamlets Connect</w:t>
      </w:r>
      <w:r w:rsidRPr="7E8302CD" w:rsidR="64F0048D">
        <w:rPr>
          <w:rFonts w:ascii="Arial" w:hAnsi="Arial" w:eastAsia="Arial" w:cs="Arial"/>
          <w:sz w:val="22"/>
          <w:szCs w:val="22"/>
        </w:rPr>
        <w:t>. (</w:t>
      </w:r>
      <w:r w:rsidRPr="7E8302CD" w:rsidR="7D96C60E">
        <w:rPr>
          <w:rFonts w:ascii="Arial" w:hAnsi="Arial" w:eastAsia="Arial" w:cs="Arial"/>
          <w:sz w:val="22"/>
          <w:szCs w:val="22"/>
        </w:rPr>
        <w:t>202</w:t>
      </w:r>
      <w:r w:rsidRPr="7E8302CD" w:rsidR="01F90327">
        <w:rPr>
          <w:rFonts w:ascii="Arial" w:hAnsi="Arial" w:eastAsia="Arial" w:cs="Arial"/>
          <w:sz w:val="22"/>
          <w:szCs w:val="22"/>
        </w:rPr>
        <w:t>5).</w:t>
      </w:r>
      <w:r w:rsidRPr="7E8302CD" w:rsidR="7D96C60E">
        <w:rPr>
          <w:rFonts w:ascii="Arial" w:hAnsi="Arial" w:eastAsia="Arial" w:cs="Arial"/>
          <w:sz w:val="22"/>
          <w:szCs w:val="22"/>
        </w:rPr>
        <w:t> </w:t>
      </w:r>
      <w:r w:rsidRPr="7E8302CD" w:rsidR="7D96C60E">
        <w:rPr>
          <w:rFonts w:ascii="Arial" w:hAnsi="Arial" w:eastAsia="Arial" w:cs="Arial"/>
          <w:i w:val="1"/>
          <w:iCs w:val="1"/>
          <w:sz w:val="22"/>
          <w:szCs w:val="22"/>
        </w:rPr>
        <w:t xml:space="preserve">Service Details for Diabetes Prevention/Programmes for </w:t>
      </w:r>
      <w:r w:rsidRPr="7E8302CD" w:rsidR="7D96C60E">
        <w:rPr>
          <w:rFonts w:ascii="Arial" w:hAnsi="Arial" w:eastAsia="Arial" w:cs="Arial"/>
          <w:i w:val="1"/>
          <w:iCs w:val="1"/>
          <w:sz w:val="22"/>
          <w:szCs w:val="22"/>
        </w:rPr>
        <w:t>North East</w:t>
      </w:r>
      <w:r w:rsidRPr="7E8302CD" w:rsidR="7D96C60E">
        <w:rPr>
          <w:rFonts w:ascii="Arial" w:hAnsi="Arial" w:eastAsia="Arial" w:cs="Arial"/>
          <w:i w:val="1"/>
          <w:iCs w:val="1"/>
          <w:sz w:val="22"/>
          <w:szCs w:val="22"/>
        </w:rPr>
        <w:t xml:space="preserve"> London</w:t>
      </w:r>
      <w:r w:rsidRPr="7E8302CD" w:rsidR="7D96C60E">
        <w:rPr>
          <w:rFonts w:ascii="Arial" w:hAnsi="Arial" w:eastAsia="Arial" w:cs="Arial"/>
          <w:sz w:val="22"/>
          <w:szCs w:val="22"/>
        </w:rPr>
        <w:t>. London: Tower Hamlets Council. Available at:</w:t>
      </w:r>
      <w:hyperlink r:id="R931e5e6400084f93">
        <w:r w:rsidRPr="7E8302CD" w:rsidR="33A526BF">
          <w:rPr>
            <w:rStyle w:val="Hyperlink"/>
            <w:strike w:val="0"/>
            <w:dstrike w:val="0"/>
            <w:noProof w:val="0"/>
            <w:lang w:val="en-GB"/>
          </w:rPr>
          <w:t>https://www.towerhamletsconnect.org/media/z2wpqt3p/final-service-details-for-diabetes-prevention-march-2025.pdf</w:t>
        </w:r>
      </w:hyperlink>
      <w:r w:rsidRPr="7E8302CD" w:rsidR="33A526BF">
        <w:rPr>
          <w:rFonts w:ascii="Arial" w:hAnsi="Arial" w:eastAsia="Arial" w:cs="Arial"/>
          <w:sz w:val="22"/>
          <w:szCs w:val="22"/>
        </w:rPr>
        <w:t xml:space="preserve"> </w:t>
      </w:r>
      <w:r w:rsidRPr="7E8302CD" w:rsidR="7D96C60E">
        <w:rPr>
          <w:rFonts w:ascii="Arial" w:hAnsi="Arial" w:eastAsia="Arial" w:cs="Arial"/>
          <w:sz w:val="22"/>
          <w:szCs w:val="22"/>
        </w:rPr>
        <w:t>[Accessed 14 July 2026].</w:t>
      </w:r>
    </w:p>
    <w:p w:rsidR="006757FE" w:rsidP="7E8302CD" w:rsidRDefault="006757FE" w14:paraId="6BF11A6C" w14:textId="24C230E8">
      <w:pPr>
        <w:pStyle w:val="Normal"/>
        <w:spacing w:after="0" w:line="360" w:lineRule="auto"/>
        <w:rPr>
          <w:rFonts w:ascii="Arial" w:hAnsi="Arial" w:eastAsia="Arial" w:cs="Arial"/>
          <w:sz w:val="22"/>
          <w:szCs w:val="22"/>
        </w:rPr>
      </w:pPr>
      <w:r w:rsidRPr="7E8302CD" w:rsidR="7D96C60E">
        <w:rPr>
          <w:rFonts w:ascii="Arial" w:hAnsi="Arial" w:eastAsia="Arial" w:cs="Arial"/>
          <w:sz w:val="22"/>
          <w:szCs w:val="22"/>
        </w:rPr>
        <w:t>Tower Hamlets Council</w:t>
      </w:r>
      <w:r w:rsidRPr="7E8302CD" w:rsidR="5DC04589">
        <w:rPr>
          <w:rFonts w:ascii="Arial" w:hAnsi="Arial" w:eastAsia="Arial" w:cs="Arial"/>
          <w:sz w:val="22"/>
          <w:szCs w:val="22"/>
        </w:rPr>
        <w:t>. (2</w:t>
      </w:r>
      <w:r w:rsidRPr="7E8302CD" w:rsidR="7D96C60E">
        <w:rPr>
          <w:rFonts w:ascii="Arial" w:hAnsi="Arial" w:eastAsia="Arial" w:cs="Arial"/>
          <w:sz w:val="22"/>
          <w:szCs w:val="22"/>
        </w:rPr>
        <w:t>015</w:t>
      </w:r>
      <w:r w:rsidRPr="7E8302CD" w:rsidR="31AAB0C4">
        <w:rPr>
          <w:rFonts w:ascii="Arial" w:hAnsi="Arial" w:eastAsia="Arial" w:cs="Arial"/>
          <w:sz w:val="22"/>
          <w:szCs w:val="22"/>
        </w:rPr>
        <w:t>)</w:t>
      </w:r>
      <w:r w:rsidRPr="7E8302CD" w:rsidR="7D96C60E">
        <w:rPr>
          <w:rFonts w:ascii="Arial" w:hAnsi="Arial" w:eastAsia="Arial" w:cs="Arial"/>
          <w:sz w:val="22"/>
          <w:szCs w:val="22"/>
        </w:rPr>
        <w:t>. </w:t>
      </w:r>
      <w:r w:rsidRPr="7E8302CD" w:rsidR="7D96C60E">
        <w:rPr>
          <w:rFonts w:ascii="Arial" w:hAnsi="Arial" w:eastAsia="Arial" w:cs="Arial"/>
          <w:i w:val="1"/>
          <w:iCs w:val="1"/>
          <w:sz w:val="22"/>
          <w:szCs w:val="22"/>
        </w:rPr>
        <w:t>Joint Strategic Needs Assessment Factsheet: Type 2 Diabetes</w:t>
      </w:r>
      <w:r w:rsidRPr="7E8302CD" w:rsidR="7D96C60E">
        <w:rPr>
          <w:rFonts w:ascii="Arial" w:hAnsi="Arial" w:eastAsia="Arial" w:cs="Arial"/>
          <w:sz w:val="22"/>
          <w:szCs w:val="22"/>
        </w:rPr>
        <w:t>. London: Tower Hamlets Public Health. Available at: </w:t>
      </w:r>
      <w:hyperlink r:id="R6dde1d52da254598">
        <w:r w:rsidRPr="7E8302CD" w:rsidR="4D25B09C">
          <w:rPr>
            <w:rStyle w:val="Hyperlink"/>
            <w:strike w:val="0"/>
            <w:dstrike w:val="0"/>
            <w:noProof w:val="0"/>
            <w:lang w:val="en-GB"/>
          </w:rPr>
          <w:t>https://democracy.towerhamlets.gov.uk/documents/s24103/Diabetes%20JSNA%20Factsheet.pdf</w:t>
        </w:r>
      </w:hyperlink>
      <w:r w:rsidRPr="7E8302CD" w:rsidR="7D96C60E">
        <w:rPr>
          <w:rFonts w:ascii="Arial" w:hAnsi="Arial" w:eastAsia="Arial" w:cs="Arial"/>
          <w:sz w:val="22"/>
          <w:szCs w:val="22"/>
        </w:rPr>
        <w:t> </w:t>
      </w:r>
      <w:r w:rsidRPr="7E8302CD" w:rsidR="786DB501">
        <w:rPr>
          <w:rFonts w:ascii="Arial" w:hAnsi="Arial" w:eastAsia="Arial" w:cs="Arial"/>
          <w:sz w:val="22"/>
          <w:szCs w:val="22"/>
        </w:rPr>
        <w:t>(</w:t>
      </w:r>
      <w:r w:rsidRPr="7E8302CD" w:rsidR="7D96C60E">
        <w:rPr>
          <w:rFonts w:ascii="Arial" w:hAnsi="Arial" w:eastAsia="Arial" w:cs="Arial"/>
          <w:sz w:val="22"/>
          <w:szCs w:val="22"/>
        </w:rPr>
        <w:t>Accessed 14 July 2026</w:t>
      </w:r>
      <w:r w:rsidRPr="7E8302CD" w:rsidR="074E361F">
        <w:rPr>
          <w:rFonts w:ascii="Arial" w:hAnsi="Arial" w:eastAsia="Arial" w:cs="Arial"/>
          <w:sz w:val="22"/>
          <w:szCs w:val="22"/>
        </w:rPr>
        <w:t>)</w:t>
      </w:r>
      <w:r w:rsidRPr="7E8302CD" w:rsidR="7D96C60E">
        <w:rPr>
          <w:rFonts w:ascii="Arial" w:hAnsi="Arial" w:eastAsia="Arial" w:cs="Arial"/>
          <w:sz w:val="22"/>
          <w:szCs w:val="22"/>
        </w:rPr>
        <w:t>.</w:t>
      </w:r>
    </w:p>
    <w:p w:rsidR="006757FE" w:rsidP="7E8302CD" w:rsidRDefault="006757FE" w14:paraId="785AD047" w14:textId="59799FA2">
      <w:pPr>
        <w:pStyle w:val="Normal"/>
        <w:spacing w:after="0" w:line="360" w:lineRule="auto"/>
        <w:rPr>
          <w:rFonts w:ascii="Helvetica Neue" w:hAnsi="Helvetica Neue" w:eastAsia="Times New Roman" w:cs="Times New Roman"/>
          <w:sz w:val="32"/>
          <w:szCs w:val="32"/>
        </w:rPr>
      </w:pPr>
      <w:r w:rsidRPr="7E8302CD" w:rsidR="7D96C60E">
        <w:rPr>
          <w:rFonts w:ascii="Arial" w:hAnsi="Arial" w:eastAsia="Arial" w:cs="Arial"/>
          <w:sz w:val="22"/>
          <w:szCs w:val="22"/>
        </w:rPr>
        <w:t>Tower Hamlets Council</w:t>
      </w:r>
      <w:r w:rsidRPr="7E8302CD" w:rsidR="192752DA">
        <w:rPr>
          <w:rFonts w:ascii="Arial" w:hAnsi="Arial" w:eastAsia="Arial" w:cs="Arial"/>
          <w:sz w:val="22"/>
          <w:szCs w:val="22"/>
        </w:rPr>
        <w:t>. (</w:t>
      </w:r>
      <w:r w:rsidRPr="7E8302CD" w:rsidR="7D96C60E">
        <w:rPr>
          <w:rFonts w:ascii="Arial" w:hAnsi="Arial" w:eastAsia="Arial" w:cs="Arial"/>
          <w:sz w:val="22"/>
          <w:szCs w:val="22"/>
        </w:rPr>
        <w:t>2016</w:t>
      </w:r>
      <w:r w:rsidRPr="7E8302CD" w:rsidR="0FD832B3">
        <w:rPr>
          <w:rFonts w:ascii="Arial" w:hAnsi="Arial" w:eastAsia="Arial" w:cs="Arial"/>
          <w:sz w:val="22"/>
          <w:szCs w:val="22"/>
        </w:rPr>
        <w:t>)</w:t>
      </w:r>
      <w:r w:rsidRPr="7E8302CD" w:rsidR="7D96C60E">
        <w:rPr>
          <w:rFonts w:ascii="Arial" w:hAnsi="Arial" w:eastAsia="Arial" w:cs="Arial"/>
          <w:sz w:val="22"/>
          <w:szCs w:val="22"/>
        </w:rPr>
        <w:t>. A decade of change in diabetes services in a deprived London borough. </w:t>
      </w:r>
      <w:r w:rsidRPr="7E8302CD" w:rsidR="7D96C60E">
        <w:rPr>
          <w:rFonts w:ascii="Arial" w:hAnsi="Arial" w:eastAsia="Arial" w:cs="Arial"/>
          <w:i w:val="1"/>
          <w:iCs w:val="1"/>
          <w:sz w:val="22"/>
          <w:szCs w:val="22"/>
        </w:rPr>
        <w:t>British Journal of Diabetes</w:t>
      </w:r>
      <w:r w:rsidRPr="7E8302CD" w:rsidR="7D96C60E">
        <w:rPr>
          <w:rFonts w:ascii="Arial" w:hAnsi="Arial" w:eastAsia="Arial" w:cs="Arial"/>
          <w:sz w:val="22"/>
          <w:szCs w:val="22"/>
        </w:rPr>
        <w:t>, 16(1), pp. 31-35. Available at: </w:t>
      </w:r>
      <w:hyperlink r:id="R3ea09782e1914ca8">
        <w:r w:rsidRPr="7E8302CD" w:rsidR="38167F28">
          <w:rPr>
            <w:rStyle w:val="Hyperlink"/>
            <w:strike w:val="0"/>
            <w:dstrike w:val="0"/>
            <w:noProof w:val="0"/>
            <w:lang w:val="en-GB"/>
          </w:rPr>
          <w:t>https://www.towerhamlets.gov.uk/Documents/Public-Health/JSNA/Type_2_diabetes.pdf</w:t>
        </w:r>
      </w:hyperlink>
      <w:r w:rsidRPr="7E8302CD" w:rsidR="7D96C60E">
        <w:rPr>
          <w:rFonts w:ascii="Arial" w:hAnsi="Arial" w:eastAsia="Arial" w:cs="Arial"/>
          <w:sz w:val="22"/>
          <w:szCs w:val="22"/>
        </w:rPr>
        <w:t> </w:t>
      </w:r>
      <w:r w:rsidRPr="7E8302CD" w:rsidR="4B68D967">
        <w:rPr>
          <w:rFonts w:ascii="Arial" w:hAnsi="Arial" w:eastAsia="Arial" w:cs="Arial"/>
          <w:sz w:val="22"/>
          <w:szCs w:val="22"/>
        </w:rPr>
        <w:t>(</w:t>
      </w:r>
      <w:r w:rsidRPr="7E8302CD" w:rsidR="7D96C60E">
        <w:rPr>
          <w:rFonts w:ascii="Arial" w:hAnsi="Arial" w:eastAsia="Arial" w:cs="Arial"/>
          <w:sz w:val="22"/>
          <w:szCs w:val="22"/>
        </w:rPr>
        <w:t>Accessed 14 July 2026</w:t>
      </w:r>
      <w:r w:rsidRPr="7E8302CD" w:rsidR="4A7B9F37">
        <w:rPr>
          <w:rFonts w:ascii="Arial" w:hAnsi="Arial" w:eastAsia="Arial" w:cs="Arial"/>
          <w:sz w:val="22"/>
          <w:szCs w:val="22"/>
        </w:rPr>
        <w:t>).</w:t>
      </w:r>
    </w:p>
    <w:p w:rsidR="006757FE" w:rsidP="7E8302CD" w:rsidRDefault="006757FE" w14:paraId="2CCFA0EC" w14:textId="4F5A6CB0">
      <w:pPr>
        <w:pStyle w:val="Normal"/>
        <w:spacing w:after="0" w:line="360" w:lineRule="auto"/>
        <w:rPr>
          <w:rFonts w:ascii="Helvetica Neue" w:hAnsi="Helvetica Neue" w:eastAsia="Times New Roman" w:cs="Times New Roman"/>
          <w:sz w:val="32"/>
          <w:szCs w:val="32"/>
        </w:rPr>
      </w:pPr>
      <w:r w:rsidRPr="7E8302CD" w:rsidR="47DBDF55">
        <w:rPr>
          <w:rFonts w:ascii="Arial" w:hAnsi="Arial" w:eastAsia="Arial" w:cs="Arial"/>
          <w:sz w:val="22"/>
          <w:szCs w:val="22"/>
        </w:rPr>
        <w:t>World Health Organization (WHO), 2023. </w:t>
      </w:r>
      <w:r w:rsidRPr="7E8302CD" w:rsidR="47DBDF55">
        <w:rPr>
          <w:rFonts w:ascii="Arial" w:hAnsi="Arial" w:eastAsia="Arial" w:cs="Arial"/>
          <w:i w:val="1"/>
          <w:iCs w:val="1"/>
          <w:sz w:val="22"/>
          <w:szCs w:val="22"/>
        </w:rPr>
        <w:t>Diabetes: Fact Sheet</w:t>
      </w:r>
      <w:r w:rsidRPr="7E8302CD" w:rsidR="47DBDF55">
        <w:rPr>
          <w:rFonts w:ascii="Arial" w:hAnsi="Arial" w:eastAsia="Arial" w:cs="Arial"/>
          <w:sz w:val="22"/>
          <w:szCs w:val="22"/>
        </w:rPr>
        <w:t>. Geneva.</w:t>
      </w:r>
      <w:r w:rsidRPr="7E8302CD" w:rsidR="0C4E6A8E">
        <w:rPr>
          <w:rFonts w:ascii="Arial" w:hAnsi="Arial" w:eastAsia="Arial" w:cs="Arial"/>
          <w:sz w:val="22"/>
          <w:szCs w:val="22"/>
        </w:rPr>
        <w:t xml:space="preserve"> </w:t>
      </w:r>
    </w:p>
    <w:p w:rsidR="006757FE" w:rsidRDefault="006757FE" w14:paraId="07928D1A" w14:textId="35B71C38">
      <w:pPr>
        <w:rPr>
          <w:rFonts w:ascii="-webkit-standard" w:hAnsi="-webkit-standard" w:eastAsia="Times New Roman"/>
          <w:color w:val="000000"/>
          <w:sz w:val="27"/>
          <w:szCs w:val="27"/>
        </w:rPr>
      </w:pPr>
    </w:p>
    <w:sectPr w:rsidRPr="006757FE" w:rsidR="001056DC">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webkit-standard">
    <w:altName w:val="Cambria"/>
    <w:panose1 w:val="020B0604020202020204"/>
    <w:charset w:val="00"/>
    <w:family w:val="roman"/>
    <w:pitch w:val="default"/>
  </w:font>
  <w:font w:name="Symbol">
    <w:panose1 w:val="05050102010706020507"/>
    <w:charset w:val="02"/>
    <w:family w:val="decorative"/>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48b6cbc3"/>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num w:numId="1">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85E"/>
    <w:rsid w:val="00003AB7"/>
    <w:rsid w:val="00007DB3"/>
    <w:rsid w:val="00060066"/>
    <w:rsid w:val="00071261"/>
    <w:rsid w:val="00095C5E"/>
    <w:rsid w:val="000E39CE"/>
    <w:rsid w:val="000E5DEC"/>
    <w:rsid w:val="000F1F51"/>
    <w:rsid w:val="000F55D3"/>
    <w:rsid w:val="001056DC"/>
    <w:rsid w:val="00122E0C"/>
    <w:rsid w:val="0013039B"/>
    <w:rsid w:val="00146BF5"/>
    <w:rsid w:val="00164052"/>
    <w:rsid w:val="00173E16"/>
    <w:rsid w:val="00184485"/>
    <w:rsid w:val="0018671D"/>
    <w:rsid w:val="001913CB"/>
    <w:rsid w:val="001D0D5F"/>
    <w:rsid w:val="001F20D8"/>
    <w:rsid w:val="00202818"/>
    <w:rsid w:val="00213436"/>
    <w:rsid w:val="00220F9E"/>
    <w:rsid w:val="00237985"/>
    <w:rsid w:val="0024285E"/>
    <w:rsid w:val="00242B4F"/>
    <w:rsid w:val="0026081B"/>
    <w:rsid w:val="002859CD"/>
    <w:rsid w:val="00289374"/>
    <w:rsid w:val="0029520D"/>
    <w:rsid w:val="002B4C04"/>
    <w:rsid w:val="002C76BB"/>
    <w:rsid w:val="002D1D8D"/>
    <w:rsid w:val="002E2514"/>
    <w:rsid w:val="002F1C4C"/>
    <w:rsid w:val="003208FB"/>
    <w:rsid w:val="0033059D"/>
    <w:rsid w:val="00341A27"/>
    <w:rsid w:val="00350F68"/>
    <w:rsid w:val="003721A9"/>
    <w:rsid w:val="0037692F"/>
    <w:rsid w:val="003A4501"/>
    <w:rsid w:val="003B6B51"/>
    <w:rsid w:val="003C0C95"/>
    <w:rsid w:val="003D7392"/>
    <w:rsid w:val="003F3643"/>
    <w:rsid w:val="00405994"/>
    <w:rsid w:val="00407897"/>
    <w:rsid w:val="00425306"/>
    <w:rsid w:val="00433F4E"/>
    <w:rsid w:val="00456EE7"/>
    <w:rsid w:val="004609F4"/>
    <w:rsid w:val="00472060"/>
    <w:rsid w:val="00482248"/>
    <w:rsid w:val="00487DBE"/>
    <w:rsid w:val="004D0388"/>
    <w:rsid w:val="004E0FCB"/>
    <w:rsid w:val="004E39E2"/>
    <w:rsid w:val="00502951"/>
    <w:rsid w:val="00506B0A"/>
    <w:rsid w:val="0051712B"/>
    <w:rsid w:val="00535076"/>
    <w:rsid w:val="00552CCA"/>
    <w:rsid w:val="00553D8C"/>
    <w:rsid w:val="0059368F"/>
    <w:rsid w:val="00594CA0"/>
    <w:rsid w:val="005A3BB9"/>
    <w:rsid w:val="005A60AF"/>
    <w:rsid w:val="005A6517"/>
    <w:rsid w:val="005C0052"/>
    <w:rsid w:val="005E2EEA"/>
    <w:rsid w:val="005F1C26"/>
    <w:rsid w:val="00602BB1"/>
    <w:rsid w:val="006141AC"/>
    <w:rsid w:val="0061B741"/>
    <w:rsid w:val="00662F6C"/>
    <w:rsid w:val="006656B8"/>
    <w:rsid w:val="00666FFE"/>
    <w:rsid w:val="006675E6"/>
    <w:rsid w:val="006735F9"/>
    <w:rsid w:val="006757FE"/>
    <w:rsid w:val="0068420E"/>
    <w:rsid w:val="006843A2"/>
    <w:rsid w:val="00685487"/>
    <w:rsid w:val="00686FE0"/>
    <w:rsid w:val="006C1294"/>
    <w:rsid w:val="006D5E50"/>
    <w:rsid w:val="006E06C7"/>
    <w:rsid w:val="00704809"/>
    <w:rsid w:val="00712287"/>
    <w:rsid w:val="00714138"/>
    <w:rsid w:val="00714710"/>
    <w:rsid w:val="007466E1"/>
    <w:rsid w:val="00755058"/>
    <w:rsid w:val="007C4579"/>
    <w:rsid w:val="007D54BF"/>
    <w:rsid w:val="007F15C6"/>
    <w:rsid w:val="00836A2F"/>
    <w:rsid w:val="00852F2C"/>
    <w:rsid w:val="0085609A"/>
    <w:rsid w:val="008633B4"/>
    <w:rsid w:val="008B089D"/>
    <w:rsid w:val="008B31F1"/>
    <w:rsid w:val="00901D40"/>
    <w:rsid w:val="00913CC7"/>
    <w:rsid w:val="009249B8"/>
    <w:rsid w:val="00927D92"/>
    <w:rsid w:val="0093528D"/>
    <w:rsid w:val="00936231"/>
    <w:rsid w:val="00970634"/>
    <w:rsid w:val="009776D2"/>
    <w:rsid w:val="00996F61"/>
    <w:rsid w:val="009C39ED"/>
    <w:rsid w:val="009D2660"/>
    <w:rsid w:val="009D2851"/>
    <w:rsid w:val="009E1A18"/>
    <w:rsid w:val="009E3582"/>
    <w:rsid w:val="00A26363"/>
    <w:rsid w:val="00A63B4B"/>
    <w:rsid w:val="00A80CA7"/>
    <w:rsid w:val="00A8674D"/>
    <w:rsid w:val="00A92DFC"/>
    <w:rsid w:val="00AE50B8"/>
    <w:rsid w:val="00B027C0"/>
    <w:rsid w:val="00B05EAE"/>
    <w:rsid w:val="00B20C93"/>
    <w:rsid w:val="00B367BD"/>
    <w:rsid w:val="00B46502"/>
    <w:rsid w:val="00B95F43"/>
    <w:rsid w:val="00BB06E0"/>
    <w:rsid w:val="00BB1211"/>
    <w:rsid w:val="00BB504B"/>
    <w:rsid w:val="00BB53DA"/>
    <w:rsid w:val="00BC27B8"/>
    <w:rsid w:val="00BE6DA6"/>
    <w:rsid w:val="00C2312E"/>
    <w:rsid w:val="00C273A4"/>
    <w:rsid w:val="00CA2403"/>
    <w:rsid w:val="00CA527C"/>
    <w:rsid w:val="00CB5A39"/>
    <w:rsid w:val="00CE6E12"/>
    <w:rsid w:val="00CF5CEB"/>
    <w:rsid w:val="00D22DA7"/>
    <w:rsid w:val="00D25262"/>
    <w:rsid w:val="00D30AEC"/>
    <w:rsid w:val="00D33B00"/>
    <w:rsid w:val="00D43B76"/>
    <w:rsid w:val="00D87B5A"/>
    <w:rsid w:val="00D90C69"/>
    <w:rsid w:val="00DA0519"/>
    <w:rsid w:val="00DC469E"/>
    <w:rsid w:val="00DD000A"/>
    <w:rsid w:val="00DD1A4D"/>
    <w:rsid w:val="00DD6BCB"/>
    <w:rsid w:val="00DE56DE"/>
    <w:rsid w:val="00E21F06"/>
    <w:rsid w:val="00E30931"/>
    <w:rsid w:val="00E34CDD"/>
    <w:rsid w:val="00E3504B"/>
    <w:rsid w:val="00E42894"/>
    <w:rsid w:val="00E42B2C"/>
    <w:rsid w:val="00E45920"/>
    <w:rsid w:val="00E67CC7"/>
    <w:rsid w:val="00E7082B"/>
    <w:rsid w:val="00E85C90"/>
    <w:rsid w:val="00E9171E"/>
    <w:rsid w:val="00ED0203"/>
    <w:rsid w:val="00EDD124"/>
    <w:rsid w:val="00EF4E2A"/>
    <w:rsid w:val="00F043FD"/>
    <w:rsid w:val="00F07FF7"/>
    <w:rsid w:val="00F179C6"/>
    <w:rsid w:val="00F23F4C"/>
    <w:rsid w:val="00F602F1"/>
    <w:rsid w:val="01282747"/>
    <w:rsid w:val="012B06AB"/>
    <w:rsid w:val="01F4BE95"/>
    <w:rsid w:val="01F90327"/>
    <w:rsid w:val="024D9C5D"/>
    <w:rsid w:val="02FEC58E"/>
    <w:rsid w:val="037C7551"/>
    <w:rsid w:val="03E4F7AF"/>
    <w:rsid w:val="046A02C7"/>
    <w:rsid w:val="0497754F"/>
    <w:rsid w:val="04E9FC47"/>
    <w:rsid w:val="04FB7D6A"/>
    <w:rsid w:val="05DBD144"/>
    <w:rsid w:val="05E04129"/>
    <w:rsid w:val="0618FDA3"/>
    <w:rsid w:val="06E2C998"/>
    <w:rsid w:val="074E361F"/>
    <w:rsid w:val="07753B1F"/>
    <w:rsid w:val="0798124D"/>
    <w:rsid w:val="08C9351E"/>
    <w:rsid w:val="08CAA123"/>
    <w:rsid w:val="0923D807"/>
    <w:rsid w:val="09A2A3FD"/>
    <w:rsid w:val="0AF61B24"/>
    <w:rsid w:val="0B57C246"/>
    <w:rsid w:val="0C4E6A8E"/>
    <w:rsid w:val="0C63D538"/>
    <w:rsid w:val="0C80E3D5"/>
    <w:rsid w:val="0C854E0F"/>
    <w:rsid w:val="0D17A367"/>
    <w:rsid w:val="0DAF1C07"/>
    <w:rsid w:val="0DFE3832"/>
    <w:rsid w:val="0E09D837"/>
    <w:rsid w:val="0EC4D0A8"/>
    <w:rsid w:val="0ECD8BCF"/>
    <w:rsid w:val="0F1E7F4F"/>
    <w:rsid w:val="0F8A382D"/>
    <w:rsid w:val="0F97D779"/>
    <w:rsid w:val="0FD832B3"/>
    <w:rsid w:val="0FEF1D3A"/>
    <w:rsid w:val="10301D01"/>
    <w:rsid w:val="10365E08"/>
    <w:rsid w:val="105E84A1"/>
    <w:rsid w:val="106C623B"/>
    <w:rsid w:val="108822B2"/>
    <w:rsid w:val="10998821"/>
    <w:rsid w:val="109F1481"/>
    <w:rsid w:val="1148E5D2"/>
    <w:rsid w:val="120207B5"/>
    <w:rsid w:val="1205442E"/>
    <w:rsid w:val="1226C8B0"/>
    <w:rsid w:val="12CE3D56"/>
    <w:rsid w:val="12D0DEF2"/>
    <w:rsid w:val="12F56315"/>
    <w:rsid w:val="13ADBBC1"/>
    <w:rsid w:val="13CEEAF0"/>
    <w:rsid w:val="143EF809"/>
    <w:rsid w:val="1462AA03"/>
    <w:rsid w:val="147E071A"/>
    <w:rsid w:val="14B3D49B"/>
    <w:rsid w:val="14F771F6"/>
    <w:rsid w:val="153014FE"/>
    <w:rsid w:val="15C0EF03"/>
    <w:rsid w:val="1622DCDC"/>
    <w:rsid w:val="16CF14D2"/>
    <w:rsid w:val="17FDFEB1"/>
    <w:rsid w:val="1803D667"/>
    <w:rsid w:val="1891D3EA"/>
    <w:rsid w:val="190272C2"/>
    <w:rsid w:val="192752DA"/>
    <w:rsid w:val="198BDDC1"/>
    <w:rsid w:val="19B3DFAE"/>
    <w:rsid w:val="19E21E0B"/>
    <w:rsid w:val="1A0A4990"/>
    <w:rsid w:val="1A4CA903"/>
    <w:rsid w:val="1A61F89C"/>
    <w:rsid w:val="1AE2AF2A"/>
    <w:rsid w:val="1B1F3CB0"/>
    <w:rsid w:val="1B7CF556"/>
    <w:rsid w:val="1B810A83"/>
    <w:rsid w:val="1BEB5628"/>
    <w:rsid w:val="1C81B0FD"/>
    <w:rsid w:val="1CC0662C"/>
    <w:rsid w:val="1CD5D321"/>
    <w:rsid w:val="1CFC6D08"/>
    <w:rsid w:val="1D1F1F32"/>
    <w:rsid w:val="1D29585C"/>
    <w:rsid w:val="1D4D7757"/>
    <w:rsid w:val="1DE21410"/>
    <w:rsid w:val="1F209ED2"/>
    <w:rsid w:val="1F3F3888"/>
    <w:rsid w:val="1F6ECF7B"/>
    <w:rsid w:val="1FC470D7"/>
    <w:rsid w:val="1FFD9C5E"/>
    <w:rsid w:val="2159FB48"/>
    <w:rsid w:val="21DB08B1"/>
    <w:rsid w:val="224F9105"/>
    <w:rsid w:val="2257EDAF"/>
    <w:rsid w:val="22816F30"/>
    <w:rsid w:val="22B553B4"/>
    <w:rsid w:val="22E74417"/>
    <w:rsid w:val="232BC4A3"/>
    <w:rsid w:val="232D9EFB"/>
    <w:rsid w:val="23E47AEF"/>
    <w:rsid w:val="23E62049"/>
    <w:rsid w:val="23E68E0C"/>
    <w:rsid w:val="245176BE"/>
    <w:rsid w:val="25020D60"/>
    <w:rsid w:val="25C4E3CA"/>
    <w:rsid w:val="262F77BD"/>
    <w:rsid w:val="26F06C9D"/>
    <w:rsid w:val="27762BD3"/>
    <w:rsid w:val="27EF1917"/>
    <w:rsid w:val="284E01CD"/>
    <w:rsid w:val="2869878C"/>
    <w:rsid w:val="2947AD50"/>
    <w:rsid w:val="298B3D1E"/>
    <w:rsid w:val="299EC2E3"/>
    <w:rsid w:val="29B4FAC6"/>
    <w:rsid w:val="29E40017"/>
    <w:rsid w:val="2A153115"/>
    <w:rsid w:val="2A91ABD4"/>
    <w:rsid w:val="2B07002F"/>
    <w:rsid w:val="2BFECDC5"/>
    <w:rsid w:val="2CA23605"/>
    <w:rsid w:val="2CBDC7B3"/>
    <w:rsid w:val="2CE8094F"/>
    <w:rsid w:val="2D1A066B"/>
    <w:rsid w:val="2D7A67A2"/>
    <w:rsid w:val="2E459EC9"/>
    <w:rsid w:val="2ED36B7C"/>
    <w:rsid w:val="2F91FAAC"/>
    <w:rsid w:val="301A6B86"/>
    <w:rsid w:val="302DBD71"/>
    <w:rsid w:val="303D6138"/>
    <w:rsid w:val="3057071F"/>
    <w:rsid w:val="306D8B32"/>
    <w:rsid w:val="3166CE1A"/>
    <w:rsid w:val="31AAB0C4"/>
    <w:rsid w:val="31C57A25"/>
    <w:rsid w:val="326EC739"/>
    <w:rsid w:val="32B4D620"/>
    <w:rsid w:val="32F4B675"/>
    <w:rsid w:val="33A526BF"/>
    <w:rsid w:val="33D27112"/>
    <w:rsid w:val="33DDC54C"/>
    <w:rsid w:val="3408FF94"/>
    <w:rsid w:val="347A2FA5"/>
    <w:rsid w:val="34BFE77B"/>
    <w:rsid w:val="36069B2F"/>
    <w:rsid w:val="363E8D23"/>
    <w:rsid w:val="3679CC3E"/>
    <w:rsid w:val="36C4073B"/>
    <w:rsid w:val="3724953D"/>
    <w:rsid w:val="37C1CF5C"/>
    <w:rsid w:val="38167F28"/>
    <w:rsid w:val="38DE66BF"/>
    <w:rsid w:val="391458AC"/>
    <w:rsid w:val="398528E8"/>
    <w:rsid w:val="3A618815"/>
    <w:rsid w:val="3B1B651B"/>
    <w:rsid w:val="3B351A28"/>
    <w:rsid w:val="3B3D012C"/>
    <w:rsid w:val="3B6181ED"/>
    <w:rsid w:val="3B941F6E"/>
    <w:rsid w:val="3BEA4E9C"/>
    <w:rsid w:val="3D3A8FAA"/>
    <w:rsid w:val="3D51E1D1"/>
    <w:rsid w:val="3DA6880A"/>
    <w:rsid w:val="3DBAB4CE"/>
    <w:rsid w:val="3EA82222"/>
    <w:rsid w:val="3F2A82D0"/>
    <w:rsid w:val="3F35DB69"/>
    <w:rsid w:val="3F92991C"/>
    <w:rsid w:val="3F94F98F"/>
    <w:rsid w:val="3FB6FA31"/>
    <w:rsid w:val="40920C83"/>
    <w:rsid w:val="416305DB"/>
    <w:rsid w:val="419293D2"/>
    <w:rsid w:val="41CC202E"/>
    <w:rsid w:val="428C8BB7"/>
    <w:rsid w:val="431DF016"/>
    <w:rsid w:val="43A12506"/>
    <w:rsid w:val="43A6BDA2"/>
    <w:rsid w:val="43E21977"/>
    <w:rsid w:val="44748E19"/>
    <w:rsid w:val="4506DBC0"/>
    <w:rsid w:val="459EE0D6"/>
    <w:rsid w:val="45E20569"/>
    <w:rsid w:val="46212D0A"/>
    <w:rsid w:val="4635ACDF"/>
    <w:rsid w:val="4658A748"/>
    <w:rsid w:val="4666793C"/>
    <w:rsid w:val="467EF1DB"/>
    <w:rsid w:val="467FE2F7"/>
    <w:rsid w:val="4686DF4F"/>
    <w:rsid w:val="468F54BD"/>
    <w:rsid w:val="46D67B35"/>
    <w:rsid w:val="474A47E9"/>
    <w:rsid w:val="47DBDF55"/>
    <w:rsid w:val="48082100"/>
    <w:rsid w:val="48692EB5"/>
    <w:rsid w:val="49132D3C"/>
    <w:rsid w:val="492ABC50"/>
    <w:rsid w:val="492EF66A"/>
    <w:rsid w:val="49BFEF2D"/>
    <w:rsid w:val="49F22982"/>
    <w:rsid w:val="4A7B9F37"/>
    <w:rsid w:val="4A9E4C97"/>
    <w:rsid w:val="4B68D967"/>
    <w:rsid w:val="4B977984"/>
    <w:rsid w:val="4C4CC96E"/>
    <w:rsid w:val="4C5EE5C1"/>
    <w:rsid w:val="4CA3757F"/>
    <w:rsid w:val="4D10A359"/>
    <w:rsid w:val="4D25B09C"/>
    <w:rsid w:val="4D65CE02"/>
    <w:rsid w:val="4DB635FA"/>
    <w:rsid w:val="4E16A070"/>
    <w:rsid w:val="4E24570F"/>
    <w:rsid w:val="4E4ED1DB"/>
    <w:rsid w:val="4E5E452E"/>
    <w:rsid w:val="4E7585D6"/>
    <w:rsid w:val="4EE41F84"/>
    <w:rsid w:val="4F06C323"/>
    <w:rsid w:val="4F39C6D4"/>
    <w:rsid w:val="4F9E18C9"/>
    <w:rsid w:val="500E67ED"/>
    <w:rsid w:val="50518312"/>
    <w:rsid w:val="50AF9802"/>
    <w:rsid w:val="50B9C29C"/>
    <w:rsid w:val="50CD2B61"/>
    <w:rsid w:val="51629E46"/>
    <w:rsid w:val="51B70093"/>
    <w:rsid w:val="52ABFBFC"/>
    <w:rsid w:val="53770DFA"/>
    <w:rsid w:val="5382CB5E"/>
    <w:rsid w:val="539C40A7"/>
    <w:rsid w:val="53A408AA"/>
    <w:rsid w:val="55E697B8"/>
    <w:rsid w:val="56215E76"/>
    <w:rsid w:val="5633816A"/>
    <w:rsid w:val="565E13F3"/>
    <w:rsid w:val="569E2871"/>
    <w:rsid w:val="573808CC"/>
    <w:rsid w:val="574022F2"/>
    <w:rsid w:val="577248CB"/>
    <w:rsid w:val="585341F6"/>
    <w:rsid w:val="588F1AE4"/>
    <w:rsid w:val="589701F2"/>
    <w:rsid w:val="5898BE0C"/>
    <w:rsid w:val="58E3484E"/>
    <w:rsid w:val="58FD46DE"/>
    <w:rsid w:val="5A0F5DC7"/>
    <w:rsid w:val="5A167C98"/>
    <w:rsid w:val="5A6B76EB"/>
    <w:rsid w:val="5ABB4DC5"/>
    <w:rsid w:val="5BBED66B"/>
    <w:rsid w:val="5CA8D19D"/>
    <w:rsid w:val="5CEA9A9D"/>
    <w:rsid w:val="5DC04589"/>
    <w:rsid w:val="5E1198E4"/>
    <w:rsid w:val="5F46328B"/>
    <w:rsid w:val="6005A02A"/>
    <w:rsid w:val="606E52C1"/>
    <w:rsid w:val="610BB115"/>
    <w:rsid w:val="613EB0BB"/>
    <w:rsid w:val="6158AC37"/>
    <w:rsid w:val="6188411F"/>
    <w:rsid w:val="6262A7B5"/>
    <w:rsid w:val="62DF65ED"/>
    <w:rsid w:val="639676DF"/>
    <w:rsid w:val="63A32824"/>
    <w:rsid w:val="64212429"/>
    <w:rsid w:val="642FD70F"/>
    <w:rsid w:val="6481C49F"/>
    <w:rsid w:val="64993256"/>
    <w:rsid w:val="64D09B2F"/>
    <w:rsid w:val="64F0048D"/>
    <w:rsid w:val="658C1D11"/>
    <w:rsid w:val="661C3257"/>
    <w:rsid w:val="66F3AC48"/>
    <w:rsid w:val="67011FAC"/>
    <w:rsid w:val="6749C3D6"/>
    <w:rsid w:val="683D54D9"/>
    <w:rsid w:val="689E6BE2"/>
    <w:rsid w:val="68C16211"/>
    <w:rsid w:val="68CA631A"/>
    <w:rsid w:val="691F1C91"/>
    <w:rsid w:val="692D9E08"/>
    <w:rsid w:val="69A11D9A"/>
    <w:rsid w:val="6A50BBBD"/>
    <w:rsid w:val="6AF04822"/>
    <w:rsid w:val="6B5CD587"/>
    <w:rsid w:val="6B6C2AF1"/>
    <w:rsid w:val="6BD64BA9"/>
    <w:rsid w:val="6CD63D29"/>
    <w:rsid w:val="6D11E21E"/>
    <w:rsid w:val="6DB27970"/>
    <w:rsid w:val="6DC6E789"/>
    <w:rsid w:val="6DD7B7DC"/>
    <w:rsid w:val="6E2F60C7"/>
    <w:rsid w:val="6E675B2D"/>
    <w:rsid w:val="6EC4552F"/>
    <w:rsid w:val="6EEDA496"/>
    <w:rsid w:val="6F740AB2"/>
    <w:rsid w:val="6FA73723"/>
    <w:rsid w:val="70316257"/>
    <w:rsid w:val="70669AC4"/>
    <w:rsid w:val="70741D89"/>
    <w:rsid w:val="70889C36"/>
    <w:rsid w:val="70FB7B39"/>
    <w:rsid w:val="711D151B"/>
    <w:rsid w:val="7263DC75"/>
    <w:rsid w:val="728BE579"/>
    <w:rsid w:val="72E124C1"/>
    <w:rsid w:val="732337BE"/>
    <w:rsid w:val="737804B7"/>
    <w:rsid w:val="739AEB13"/>
    <w:rsid w:val="73A2F9AE"/>
    <w:rsid w:val="73B4F994"/>
    <w:rsid w:val="73EA6D61"/>
    <w:rsid w:val="74A0B35D"/>
    <w:rsid w:val="750B6DD5"/>
    <w:rsid w:val="7514B9A6"/>
    <w:rsid w:val="759E6A2F"/>
    <w:rsid w:val="76763828"/>
    <w:rsid w:val="768EBF99"/>
    <w:rsid w:val="7692EB65"/>
    <w:rsid w:val="77985954"/>
    <w:rsid w:val="77D62C07"/>
    <w:rsid w:val="77EB840D"/>
    <w:rsid w:val="78375663"/>
    <w:rsid w:val="786DB501"/>
    <w:rsid w:val="793F4620"/>
    <w:rsid w:val="796D14EA"/>
    <w:rsid w:val="797581DE"/>
    <w:rsid w:val="79F02A8F"/>
    <w:rsid w:val="7A5DE988"/>
    <w:rsid w:val="7AB6FEAF"/>
    <w:rsid w:val="7AD233AA"/>
    <w:rsid w:val="7AD3BB39"/>
    <w:rsid w:val="7B0FC5AA"/>
    <w:rsid w:val="7B84D18E"/>
    <w:rsid w:val="7BCA37FA"/>
    <w:rsid w:val="7C0F4DE9"/>
    <w:rsid w:val="7C652A09"/>
    <w:rsid w:val="7C7D7663"/>
    <w:rsid w:val="7D25D3F4"/>
    <w:rsid w:val="7D6719B2"/>
    <w:rsid w:val="7D96C60E"/>
    <w:rsid w:val="7DDE3E1F"/>
    <w:rsid w:val="7DEE0EA0"/>
    <w:rsid w:val="7E1A577F"/>
    <w:rsid w:val="7E1AB5EB"/>
    <w:rsid w:val="7E4A73B4"/>
    <w:rsid w:val="7E705D9C"/>
    <w:rsid w:val="7E8302CD"/>
    <w:rsid w:val="7ECE12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2D3E43D"/>
  <w15:chartTrackingRefBased/>
  <w15:docId w15:val="{215C9109-D5AC-4F46-8D8A-E009FB999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24285E"/>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285E"/>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28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28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28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28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28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28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285E"/>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4285E"/>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24285E"/>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24285E"/>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24285E"/>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24285E"/>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24285E"/>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24285E"/>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24285E"/>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24285E"/>
    <w:rPr>
      <w:rFonts w:eastAsiaTheme="majorEastAsia" w:cstheme="majorBidi"/>
      <w:color w:val="272727" w:themeColor="text1" w:themeTint="D8"/>
    </w:rPr>
  </w:style>
  <w:style w:type="paragraph" w:styleId="Title">
    <w:name w:val="Title"/>
    <w:basedOn w:val="Normal"/>
    <w:next w:val="Normal"/>
    <w:link w:val="TitleChar"/>
    <w:uiPriority w:val="10"/>
    <w:qFormat/>
    <w:rsid w:val="0024285E"/>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24285E"/>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24285E"/>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2428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285E"/>
    <w:pPr>
      <w:spacing w:before="160"/>
      <w:jc w:val="center"/>
    </w:pPr>
    <w:rPr>
      <w:i/>
      <w:iCs/>
      <w:color w:val="404040" w:themeColor="text1" w:themeTint="BF"/>
    </w:rPr>
  </w:style>
  <w:style w:type="character" w:styleId="QuoteChar" w:customStyle="1">
    <w:name w:val="Quote Char"/>
    <w:basedOn w:val="DefaultParagraphFont"/>
    <w:link w:val="Quote"/>
    <w:uiPriority w:val="29"/>
    <w:rsid w:val="0024285E"/>
    <w:rPr>
      <w:i/>
      <w:iCs/>
      <w:color w:val="404040" w:themeColor="text1" w:themeTint="BF"/>
    </w:rPr>
  </w:style>
  <w:style w:type="paragraph" w:styleId="ListParagraph">
    <w:name w:val="List Paragraph"/>
    <w:basedOn w:val="Normal"/>
    <w:uiPriority w:val="34"/>
    <w:qFormat/>
    <w:rsid w:val="0024285E"/>
    <w:pPr>
      <w:ind w:left="720"/>
      <w:contextualSpacing/>
    </w:pPr>
  </w:style>
  <w:style w:type="character" w:styleId="IntenseEmphasis">
    <w:name w:val="Intense Emphasis"/>
    <w:basedOn w:val="DefaultParagraphFont"/>
    <w:uiPriority w:val="21"/>
    <w:qFormat/>
    <w:rsid w:val="0024285E"/>
    <w:rPr>
      <w:i/>
      <w:iCs/>
      <w:color w:val="0F4761" w:themeColor="accent1" w:themeShade="BF"/>
    </w:rPr>
  </w:style>
  <w:style w:type="paragraph" w:styleId="IntenseQuote">
    <w:name w:val="Intense Quote"/>
    <w:basedOn w:val="Normal"/>
    <w:next w:val="Normal"/>
    <w:link w:val="IntenseQuoteChar"/>
    <w:uiPriority w:val="30"/>
    <w:qFormat/>
    <w:rsid w:val="0024285E"/>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24285E"/>
    <w:rPr>
      <w:i/>
      <w:iCs/>
      <w:color w:val="0F4761" w:themeColor="accent1" w:themeShade="BF"/>
    </w:rPr>
  </w:style>
  <w:style w:type="character" w:styleId="IntenseReference">
    <w:name w:val="Intense Reference"/>
    <w:basedOn w:val="DefaultParagraphFont"/>
    <w:uiPriority w:val="32"/>
    <w:qFormat/>
    <w:rsid w:val="0024285E"/>
    <w:rPr>
      <w:b/>
      <w:bCs/>
      <w:smallCaps/>
      <w:color w:val="0F4761" w:themeColor="accent1" w:themeShade="BF"/>
      <w:spacing w:val="5"/>
    </w:rPr>
  </w:style>
  <w:style w:type="character" w:styleId="Strong">
    <w:name w:val="Strong"/>
    <w:basedOn w:val="DefaultParagraphFont"/>
    <w:uiPriority w:val="22"/>
    <w:qFormat/>
    <w:rsid w:val="0024285E"/>
    <w:rPr>
      <w:b/>
      <w:bCs/>
    </w:rPr>
  </w:style>
  <w:style w:type="character" w:styleId="t286pc" w:customStyle="1">
    <w:name w:val="t286pc"/>
    <w:basedOn w:val="DefaultParagraphFont"/>
    <w:rsid w:val="00DD000A"/>
  </w:style>
  <w:style w:type="character" w:styleId="apple-converted-space" w:customStyle="1">
    <w:name w:val="apple-converted-space"/>
    <w:basedOn w:val="DefaultParagraphFont"/>
    <w:rsid w:val="00DD000A"/>
  </w:style>
  <w:style w:type="character" w:styleId="Emphasis">
    <w:name w:val="Emphasis"/>
    <w:basedOn w:val="DefaultParagraphFont"/>
    <w:uiPriority w:val="20"/>
    <w:qFormat/>
    <w:rsid w:val="00DD000A"/>
    <w:rPr>
      <w:i/>
      <w:iCs/>
    </w:rPr>
  </w:style>
  <w:style w:type="character" w:styleId="Hyperlink">
    <w:name w:val="Hyperlink"/>
    <w:basedOn w:val="DefaultParagraphFont"/>
    <w:uiPriority w:val="99"/>
    <w:semiHidden/>
    <w:unhideWhenUsed/>
    <w:rsid w:val="00DD000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26" /><Relationship Type="http://schemas.openxmlformats.org/officeDocument/2006/relationships/webSettings" Target="webSettings.xml" Id="rId3" /><Relationship Type="http://schemas.openxmlformats.org/officeDocument/2006/relationships/fontTable" Target="fontTable.xml" Id="rId25"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png" Id="rId525649489" /><Relationship Type="http://schemas.openxmlformats.org/officeDocument/2006/relationships/hyperlink" Target="https://www.ageuk.org.uk/siteassets/documents/reports-and-publications/reports-and-briefings/safe-at-home/building-for-an-ageing-population-november-2024.pdf" TargetMode="External" Id="Re0414ee3c4c74980" /><Relationship Type="http://schemas.openxmlformats.org/officeDocument/2006/relationships/hyperlink" Target="https://www.ageuk.org.uk/siteassets/documents/reports-and-publications/reports-and-briefings/equality-and-human-rights/policy-position---health-inequalities-sep-2024.pdf" TargetMode="External" Id="Rfcc39d32b85943ea" /><Relationship Type="http://schemas.openxmlformats.org/officeDocument/2006/relationships/hyperlink" Target="https://www.ageuk.org.uk/siteassets/documents/reports-and-publications/reports-and-briefings/health--wellbeing/state-of-health-and-care/state-of-health-care-of-older-people-in-england-2025.pdf" TargetMode="External" Id="Rb5f66939b8f94784" /><Relationship Type="http://schemas.openxmlformats.org/officeDocument/2006/relationships/hyperlink" Target="https://ageing-better.org.uk/financial-security-state-ageing-2025" TargetMode="External" Id="Re8fae7a730dc475e" /><Relationship Type="http://schemas.openxmlformats.org/officeDocument/2006/relationships/hyperlink" Target="https://ageing-better.org.uk/news/older-people-living-home-which-could-make-them-sicker" TargetMode="External" Id="R295769d046c74cbb" /><Relationship Type="http://schemas.openxmlformats.org/officeDocument/2006/relationships/hyperlink" Target="https://ageing-better.org.uk/news/older-people-living-home-which-could-make-them-sicker" TargetMode="External" Id="R50097138e5f24329" /><Relationship Type="http://schemas.openxmlformats.org/officeDocument/2006/relationships/hyperlink" Target="https://ageing-better.org.uk/news/older-people-living-home-which-could-make-them-sicker" TargetMode="External" Id="R00128d81f0f743c6" /><Relationship Type="http://schemas.openxmlformats.org/officeDocument/2006/relationships/hyperlink" Target="https://ageing-better.org.uk/financial-security-state-ageing-2025" TargetMode="External" Id="Rcdd8359fe5e64b8b" /><Relationship Type="http://schemas.openxmlformats.org/officeDocument/2006/relationships/hyperlink" Target="https://ageing-better.org.uk/health-and-wellbeing-state-ageing-2025" TargetMode="External" Id="R166b9a1970854897" /><Relationship Type="http://schemas.openxmlformats.org/officeDocument/2006/relationships/hyperlink" Target="https://www.centreformentalhealth.org.uk/news/item/older-peoples-mental-health-being-overlooked-say-centre-for-mental-health-and-age-uk/" TargetMode="External" Id="R6a5992343e614182" /><Relationship Type="http://schemas.openxmlformats.org/officeDocument/2006/relationships/hyperlink" Target="https://abcd.care/sites/default/files/site_uploads/Presentations/Slides_Autumn2007/Slides_Chowdhury.pdf" TargetMode="External" Id="R889f3a4698fd40dd" /><Relationship Type="http://schemas.openxmlformats.org/officeDocument/2006/relationships/hyperlink" Target="https://www.gov.uk/government/publications/health-disparities-and-health-inequalities-applying-all-our-health" TargetMode="External" Id="Rf12be8e82c9d401b" /><Relationship Type="http://schemas.openxmlformats.org/officeDocument/2006/relationships/hyperlink" Target="https://www.gov.uk/government/publications/health-disparities-and-health-inequalities-applying-all-our-health" TargetMode="External" Id="R7bce8d4cefda4244" /><Relationship Type="http://schemas.openxmlformats.org/officeDocument/2006/relationships/hyperlink" Target="https://www.diabetes.org.uk/sites/default/files/2019-03/1465H_Bright%20idea_2_DiabetesEducationProgramme_TowerHamlets_V2_FINAL_web.pdf" TargetMode="External" Id="R5bee3413f42a47bb" /><Relationship Type="http://schemas.openxmlformats.org/officeDocument/2006/relationships/hyperlink" Target="https://www.diabetes.org.uk/" TargetMode="External" Id="R6621175c75974b2d" /><Relationship Type="http://schemas.openxmlformats.org/officeDocument/2006/relationships/hyperlink" Target="https://www.google.com/url?sa=i&amp;source=web&amp;rct=j&amp;url=https://fabians.org.uk/new-research-finds-nearly-2-million-pensioners-in-poverty/&amp;ved=2ahUKEwilhLvZht2VAxV5VUEAHfABHpoQy_kOegkIAggBCIECEBY&amp;opi=89978449&amp;cd&amp;psig=AOvVaw3V5tR0RdSjmbFnrX_2i9FZ&amp;ust=1784492490892000" TargetMode="External" Id="Rb3a166005edd4403" /><Relationship Type="http://schemas.openxmlformats.org/officeDocument/2006/relationships/hyperlink" Target="https://publications.parliament.uk/pa/cm5901/cmselect/cmworpen/1384/report.html" TargetMode="External" Id="R14631ef1f6b24bf4" /><Relationship Type="http://schemas.openxmlformats.org/officeDocument/2006/relationships/hyperlink" Target="https://www.jrf.org.uk/uk-poverty-statistics/overall-poverty-rates-for-children-working-age-adults-and-pensioners" TargetMode="External" Id="R37e222ad9b034418" /><Relationship Type="http://schemas.openxmlformats.org/officeDocument/2006/relationships/hyperlink" Target="https://www.livingwage.org.uk/news/hundreds-thousands-retirees-poverty-pension-struggling-make-ends-meet" TargetMode="External" Id="Rdef0d3d3280d4e4c" /><Relationship Type="http://schemas.openxmlformats.org/officeDocument/2006/relationships/hyperlink" Target="https://www.mentalhealth.org.uk/explore-mental-health/statistics/older-people-statistics" TargetMode="External" Id="Re036f97caf434cd2" /><Relationship Type="http://schemas.openxmlformats.org/officeDocument/2006/relationships/hyperlink" Target="https://www.livingwage.org.uk/news/hundreds-thousands-retirees-poverty-pension-struggling-make-ends-meet" TargetMode="External" Id="Ra0b9fcf610584b2c" /><Relationship Type="http://schemas.openxmlformats.org/officeDocument/2006/relationships/hyperlink" Target="https://www.england.nhs.uk/about/equality/equality-hub/national-healthcare-inequalities-improvement-programme/what-are-healthcare-inequalities/" TargetMode="External" Id="Rc3e0b78112fd434a" /><Relationship Type="http://schemas.openxmlformats.org/officeDocument/2006/relationships/hyperlink" Target="https://www.kingsfund.org.uk/insight-and-analysis/data-and-charts/health-inequalities-nutshell" TargetMode="External" Id="R745fbaca91ef4720" /><Relationship Type="http://schemas.openxmlformats.org/officeDocument/2006/relationships/hyperlink" Target="https://www.towerhamletsconnect.org/media/z2wpqt3p/final-service-details-for-diabetes-prevention-march-2025.pdf" TargetMode="External" Id="R931e5e6400084f93" /><Relationship Type="http://schemas.openxmlformats.org/officeDocument/2006/relationships/hyperlink" Target="https://democracy.towerhamlets.gov.uk/documents/s24103/Diabetes%20JSNA%20Factsheet.pdf" TargetMode="External" Id="R6dde1d52da254598" /><Relationship Type="http://schemas.openxmlformats.org/officeDocument/2006/relationships/hyperlink" Target="https://www.towerhamlets.gov.uk/Documents/Public-Health/JSNA/Type_2_diabetes.pdf" TargetMode="External" Id="R3ea09782e1914ca8" /><Relationship Type="http://schemas.openxmlformats.org/officeDocument/2006/relationships/numbering" Target="numbering.xml" Id="Rdaba168dbdf746b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Chizoma Awoyemi (2223400)</dc:creator>
  <keywords/>
  <dc:description/>
  <lastModifiedBy>Chizoma Awoyemi (2223400)</lastModifiedBy>
  <revision>158</revision>
  <dcterms:created xsi:type="dcterms:W3CDTF">2026-07-17T14:53:00.0000000Z</dcterms:created>
  <dcterms:modified xsi:type="dcterms:W3CDTF">2026-07-21T19:43:47.5268664Z</dcterms:modified>
</coreProperties>
</file>