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75B12" w14:textId="7CFD1501" w:rsidR="004C3342" w:rsidRPr="00C81F62" w:rsidRDefault="004C3342">
      <w:pPr>
        <w:jc w:val="center"/>
        <w:rPr>
          <w:sz w:val="36"/>
          <w:szCs w:val="36"/>
        </w:rPr>
      </w:pPr>
    </w:p>
    <w:tbl>
      <w:tblPr>
        <w:tblStyle w:val="TableGrid"/>
        <w:tblW w:w="10546" w:type="dxa"/>
        <w:jc w:val="center"/>
        <w:tblLayout w:type="fixed"/>
        <w:tblLook w:val="04A0" w:firstRow="1" w:lastRow="0" w:firstColumn="1" w:lastColumn="0" w:noHBand="0" w:noVBand="1"/>
      </w:tblPr>
      <w:tblGrid>
        <w:gridCol w:w="10546"/>
      </w:tblGrid>
      <w:tr w:rsidR="004C3342" w:rsidRPr="00C81F62" w14:paraId="769813B1" w14:textId="77777777">
        <w:trPr>
          <w:trHeight w:hRule="exact" w:val="1361"/>
          <w:jc w:val="center"/>
        </w:trPr>
        <w:tc>
          <w:tcPr>
            <w:tcW w:w="10546" w:type="dxa"/>
            <w:tcMar>
              <w:top w:w="140" w:type="dxa"/>
              <w:left w:w="120" w:type="dxa"/>
              <w:bottom w:w="140" w:type="dxa"/>
              <w:right w:w="120" w:type="dxa"/>
            </w:tcMar>
          </w:tcPr>
          <w:p w14:paraId="7227A955" w14:textId="34986B94" w:rsidR="004C3342" w:rsidRPr="00C81F62" w:rsidRDefault="00664193">
            <w:pPr>
              <w:rPr>
                <w:sz w:val="36"/>
                <w:szCs w:val="36"/>
              </w:rPr>
            </w:pPr>
            <w:proofErr w:type="spellStart"/>
            <w:r w:rsidRPr="00C81F62">
              <w:rPr>
                <w:b/>
                <w:sz w:val="36"/>
                <w:szCs w:val="36"/>
              </w:rPr>
              <w:t>Programme</w:t>
            </w:r>
            <w:proofErr w:type="spellEnd"/>
            <w:r w:rsidRPr="00C81F62">
              <w:rPr>
                <w:b/>
                <w:sz w:val="36"/>
                <w:szCs w:val="36"/>
              </w:rPr>
              <w:t xml:space="preserve"> Name: </w:t>
            </w:r>
            <w:r w:rsidRPr="00C81F62">
              <w:rPr>
                <w:sz w:val="36"/>
                <w:szCs w:val="36"/>
              </w:rPr>
              <w:t>BA (Hons) Leadership and Management Skills in</w:t>
            </w:r>
            <w:r w:rsidR="00DC2B79">
              <w:rPr>
                <w:sz w:val="36"/>
                <w:szCs w:val="36"/>
              </w:rPr>
              <w:t xml:space="preserve"> </w:t>
            </w:r>
            <w:r w:rsidRPr="00C81F62">
              <w:rPr>
                <w:sz w:val="36"/>
                <w:szCs w:val="36"/>
              </w:rPr>
              <w:t>the Workplace</w:t>
            </w:r>
          </w:p>
        </w:tc>
      </w:tr>
      <w:tr w:rsidR="004C3342" w:rsidRPr="00C81F62" w14:paraId="664F454C" w14:textId="77777777">
        <w:trPr>
          <w:trHeight w:hRule="exact" w:val="1361"/>
          <w:jc w:val="center"/>
        </w:trPr>
        <w:tc>
          <w:tcPr>
            <w:tcW w:w="10546" w:type="dxa"/>
            <w:tcMar>
              <w:top w:w="140" w:type="dxa"/>
              <w:left w:w="120" w:type="dxa"/>
              <w:bottom w:w="140" w:type="dxa"/>
              <w:right w:w="120" w:type="dxa"/>
            </w:tcMar>
          </w:tcPr>
          <w:p w14:paraId="6EE35B45" w14:textId="77777777" w:rsidR="00DC2B79" w:rsidRDefault="00664193">
            <w:pPr>
              <w:rPr>
                <w:sz w:val="36"/>
                <w:szCs w:val="36"/>
              </w:rPr>
            </w:pPr>
            <w:r w:rsidRPr="00C81F62">
              <w:rPr>
                <w:b/>
                <w:sz w:val="36"/>
                <w:szCs w:val="36"/>
              </w:rPr>
              <w:t xml:space="preserve">Module Name (and Part if applicable): </w:t>
            </w:r>
            <w:r w:rsidRPr="00C81F62">
              <w:rPr>
                <w:sz w:val="36"/>
                <w:szCs w:val="36"/>
              </w:rPr>
              <w:t>Project Management</w:t>
            </w:r>
          </w:p>
          <w:p w14:paraId="43386A35" w14:textId="746F5A2D" w:rsidR="004C3342" w:rsidRPr="00C81F62" w:rsidRDefault="00664193">
            <w:pPr>
              <w:rPr>
                <w:sz w:val="36"/>
                <w:szCs w:val="36"/>
              </w:rPr>
            </w:pPr>
            <w:r w:rsidRPr="00C81F62">
              <w:rPr>
                <w:sz w:val="36"/>
                <w:szCs w:val="36"/>
              </w:rPr>
              <w:t>(LCLM5003)</w:t>
            </w:r>
          </w:p>
        </w:tc>
      </w:tr>
      <w:tr w:rsidR="004C3342" w:rsidRPr="00C81F62" w14:paraId="664FC816" w14:textId="77777777">
        <w:trPr>
          <w:trHeight w:hRule="exact" w:val="1361"/>
          <w:jc w:val="center"/>
        </w:trPr>
        <w:tc>
          <w:tcPr>
            <w:tcW w:w="10546" w:type="dxa"/>
            <w:tcMar>
              <w:top w:w="140" w:type="dxa"/>
              <w:left w:w="120" w:type="dxa"/>
              <w:bottom w:w="140" w:type="dxa"/>
              <w:right w:w="120" w:type="dxa"/>
            </w:tcMar>
          </w:tcPr>
          <w:p w14:paraId="0A2270D8" w14:textId="77777777" w:rsidR="004C3342" w:rsidRPr="00C81F62" w:rsidRDefault="00664193">
            <w:pPr>
              <w:rPr>
                <w:sz w:val="36"/>
                <w:szCs w:val="36"/>
              </w:rPr>
            </w:pPr>
            <w:r w:rsidRPr="00C81F62">
              <w:rPr>
                <w:b/>
                <w:sz w:val="36"/>
                <w:szCs w:val="36"/>
              </w:rPr>
              <w:t xml:space="preserve">Assessment Title: </w:t>
            </w:r>
            <w:r w:rsidRPr="00C81F62">
              <w:rPr>
                <w:sz w:val="36"/>
                <w:szCs w:val="36"/>
              </w:rPr>
              <w:t>A Project Portfolio – Parts A, B and C</w:t>
            </w:r>
          </w:p>
        </w:tc>
      </w:tr>
      <w:tr w:rsidR="004C3342" w:rsidRPr="00C81F62" w14:paraId="4CBF68EA" w14:textId="77777777">
        <w:trPr>
          <w:trHeight w:hRule="exact" w:val="1247"/>
          <w:jc w:val="center"/>
        </w:trPr>
        <w:tc>
          <w:tcPr>
            <w:tcW w:w="10546" w:type="dxa"/>
            <w:tcMar>
              <w:top w:w="140" w:type="dxa"/>
              <w:left w:w="120" w:type="dxa"/>
              <w:bottom w:w="140" w:type="dxa"/>
              <w:right w:w="120" w:type="dxa"/>
            </w:tcMar>
          </w:tcPr>
          <w:p w14:paraId="5A1FAA75" w14:textId="31BDB5C7" w:rsidR="00DC2B79" w:rsidRDefault="00664193">
            <w:pPr>
              <w:rPr>
                <w:b/>
                <w:sz w:val="36"/>
                <w:szCs w:val="36"/>
              </w:rPr>
            </w:pPr>
            <w:r w:rsidRPr="00C81F62">
              <w:rPr>
                <w:b/>
                <w:sz w:val="36"/>
                <w:szCs w:val="36"/>
              </w:rPr>
              <w:t xml:space="preserve">Student Name: </w:t>
            </w:r>
            <w:r w:rsidR="008413ED" w:rsidRPr="008413ED">
              <w:rPr>
                <w:sz w:val="36"/>
                <w:szCs w:val="36"/>
              </w:rPr>
              <w:t xml:space="preserve">Sinde Franklin </w:t>
            </w:r>
            <w:proofErr w:type="spellStart"/>
            <w:r w:rsidR="008413ED" w:rsidRPr="008413ED">
              <w:rPr>
                <w:sz w:val="36"/>
                <w:szCs w:val="36"/>
              </w:rPr>
              <w:t>Woppiwo</w:t>
            </w:r>
            <w:proofErr w:type="spellEnd"/>
          </w:p>
          <w:p w14:paraId="1DBBE7FC" w14:textId="379BC4F2" w:rsidR="004C3342" w:rsidRPr="00C81F62" w:rsidRDefault="00664193">
            <w:pPr>
              <w:rPr>
                <w:sz w:val="36"/>
                <w:szCs w:val="36"/>
              </w:rPr>
            </w:pPr>
            <w:r w:rsidRPr="00C81F62">
              <w:rPr>
                <w:b/>
                <w:sz w:val="36"/>
                <w:szCs w:val="36"/>
              </w:rPr>
              <w:t xml:space="preserve">Student Number: </w:t>
            </w:r>
            <w:r w:rsidR="008413ED" w:rsidRPr="008413ED">
              <w:rPr>
                <w:sz w:val="36"/>
                <w:szCs w:val="36"/>
              </w:rPr>
              <w:t>2414246</w:t>
            </w:r>
          </w:p>
        </w:tc>
      </w:tr>
      <w:tr w:rsidR="004C3342" w:rsidRPr="00C81F62" w14:paraId="453EFF87" w14:textId="77777777">
        <w:trPr>
          <w:trHeight w:hRule="exact" w:val="1247"/>
          <w:jc w:val="center"/>
        </w:trPr>
        <w:tc>
          <w:tcPr>
            <w:tcW w:w="10546" w:type="dxa"/>
            <w:tcMar>
              <w:top w:w="140" w:type="dxa"/>
              <w:left w:w="120" w:type="dxa"/>
              <w:bottom w:w="140" w:type="dxa"/>
              <w:right w:w="120" w:type="dxa"/>
            </w:tcMar>
          </w:tcPr>
          <w:p w14:paraId="6628C5F4" w14:textId="77777777" w:rsidR="004C3342" w:rsidRPr="00C81F62" w:rsidRDefault="00664193">
            <w:pPr>
              <w:rPr>
                <w:sz w:val="36"/>
                <w:szCs w:val="36"/>
              </w:rPr>
            </w:pPr>
            <w:r w:rsidRPr="00C81F62">
              <w:rPr>
                <w:b/>
                <w:sz w:val="36"/>
                <w:szCs w:val="36"/>
              </w:rPr>
              <w:t xml:space="preserve">Tutor / Module Leaders: </w:t>
            </w:r>
            <w:r w:rsidRPr="00C81F62">
              <w:rPr>
                <w:sz w:val="36"/>
                <w:szCs w:val="36"/>
              </w:rPr>
              <w:t>Samson Oladejo and Dr Xavier Matieni</w:t>
            </w:r>
          </w:p>
        </w:tc>
      </w:tr>
      <w:tr w:rsidR="004C3342" w:rsidRPr="00C81F62" w14:paraId="7E91258A" w14:textId="77777777">
        <w:trPr>
          <w:trHeight w:hRule="exact" w:val="1247"/>
          <w:jc w:val="center"/>
        </w:trPr>
        <w:tc>
          <w:tcPr>
            <w:tcW w:w="10546" w:type="dxa"/>
            <w:tcMar>
              <w:top w:w="140" w:type="dxa"/>
              <w:left w:w="120" w:type="dxa"/>
              <w:bottom w:w="140" w:type="dxa"/>
              <w:right w:w="120" w:type="dxa"/>
            </w:tcMar>
          </w:tcPr>
          <w:p w14:paraId="1CDDA860" w14:textId="1DE54539" w:rsidR="004C3342" w:rsidRPr="00C81F62" w:rsidRDefault="00664193">
            <w:pPr>
              <w:rPr>
                <w:sz w:val="36"/>
                <w:szCs w:val="36"/>
              </w:rPr>
            </w:pPr>
            <w:r w:rsidRPr="00C81F62">
              <w:rPr>
                <w:b/>
                <w:sz w:val="36"/>
                <w:szCs w:val="36"/>
              </w:rPr>
              <w:t xml:space="preserve">Word Count: </w:t>
            </w:r>
            <w:r w:rsidR="006830A8">
              <w:rPr>
                <w:b/>
                <w:sz w:val="36"/>
                <w:szCs w:val="36"/>
              </w:rPr>
              <w:t>3670</w:t>
            </w:r>
          </w:p>
        </w:tc>
      </w:tr>
    </w:tbl>
    <w:p w14:paraId="215A27F4" w14:textId="1AA91192" w:rsidR="004C3342" w:rsidRPr="00C81F62" w:rsidRDefault="004C3342"/>
    <w:p w14:paraId="1ABB8932" w14:textId="77777777" w:rsidR="004C3342" w:rsidRPr="00C81F62" w:rsidRDefault="004C3342">
      <w:pPr>
        <w:sectPr w:rsidR="004C3342" w:rsidRPr="00C81F62">
          <w:footerReference w:type="default" r:id="rId8"/>
          <w:pgSz w:w="11906" w:h="16838"/>
          <w:pgMar w:top="680" w:right="680" w:bottom="680" w:left="680" w:header="360" w:footer="360" w:gutter="0"/>
          <w:cols w:space="720"/>
          <w:docGrid w:linePitch="360"/>
        </w:sectPr>
      </w:pPr>
    </w:p>
    <w:sdt>
      <w:sdtPr>
        <w:rPr>
          <w:rFonts w:eastAsia="Times New Roman" w:cstheme="minorBidi"/>
          <w:b w:val="0"/>
          <w:bCs w:val="0"/>
          <w:color w:val="auto"/>
          <w:sz w:val="24"/>
          <w:szCs w:val="22"/>
        </w:rPr>
        <w:id w:val="892011832"/>
        <w:docPartObj>
          <w:docPartGallery w:val="Table of Contents"/>
          <w:docPartUnique/>
        </w:docPartObj>
      </w:sdtPr>
      <w:sdtEndPr>
        <w:rPr>
          <w:noProof/>
        </w:rPr>
      </w:sdtEndPr>
      <w:sdtContent>
        <w:p w14:paraId="4F0078B1" w14:textId="0302B993" w:rsidR="00DC2B79" w:rsidRDefault="00DC2B79">
          <w:pPr>
            <w:pStyle w:val="TOCHeading"/>
          </w:pPr>
          <w:r>
            <w:t>Table of Contents</w:t>
          </w:r>
        </w:p>
        <w:p w14:paraId="377675DE" w14:textId="783C44D1" w:rsidR="00DC2B79" w:rsidRPr="00DC2B79" w:rsidRDefault="00DC2B79" w:rsidP="00DC2B79">
          <w:pPr>
            <w:pStyle w:val="TOC1"/>
          </w:pPr>
          <w:r>
            <w:fldChar w:fldCharType="begin"/>
          </w:r>
          <w:r>
            <w:instrText xml:space="preserve"> TOC \o "1-3" \h \z \u </w:instrText>
          </w:r>
          <w:r>
            <w:fldChar w:fldCharType="separate"/>
          </w:r>
          <w:hyperlink w:anchor="_Toc235810303" w:history="1">
            <w:r w:rsidRPr="00DC2B79">
              <w:rPr>
                <w:rStyle w:val="Hyperlink"/>
              </w:rPr>
              <w:t>PART A: Project Proposal Poster</w:t>
            </w:r>
            <w:r w:rsidRPr="00DC2B79">
              <w:rPr>
                <w:webHidden/>
              </w:rPr>
              <w:tab/>
            </w:r>
            <w:r w:rsidRPr="00DC2B79">
              <w:rPr>
                <w:webHidden/>
              </w:rPr>
              <w:fldChar w:fldCharType="begin"/>
            </w:r>
            <w:r w:rsidRPr="00DC2B79">
              <w:rPr>
                <w:webHidden/>
              </w:rPr>
              <w:instrText xml:space="preserve"> PAGEREF _Toc235810303 \h </w:instrText>
            </w:r>
            <w:r w:rsidRPr="00DC2B79">
              <w:rPr>
                <w:webHidden/>
              </w:rPr>
            </w:r>
            <w:r w:rsidRPr="00DC2B79">
              <w:rPr>
                <w:webHidden/>
              </w:rPr>
              <w:fldChar w:fldCharType="separate"/>
            </w:r>
            <w:r w:rsidRPr="00DC2B79">
              <w:rPr>
                <w:webHidden/>
              </w:rPr>
              <w:t>3</w:t>
            </w:r>
            <w:r w:rsidRPr="00DC2B79">
              <w:rPr>
                <w:webHidden/>
              </w:rPr>
              <w:fldChar w:fldCharType="end"/>
            </w:r>
          </w:hyperlink>
        </w:p>
        <w:p w14:paraId="5694A51B" w14:textId="66052B65" w:rsidR="00DC2B79" w:rsidRDefault="00DC2B79" w:rsidP="00DC2B79">
          <w:pPr>
            <w:pStyle w:val="TOC1"/>
          </w:pPr>
          <w:hyperlink w:anchor="_Toc235810304" w:history="1">
            <w:r w:rsidRPr="002B7822">
              <w:rPr>
                <w:rStyle w:val="Hyperlink"/>
              </w:rPr>
              <w:t>PART B: Critical Reflection on Tutor and Peer Feedback</w:t>
            </w:r>
            <w:r>
              <w:rPr>
                <w:webHidden/>
              </w:rPr>
              <w:tab/>
            </w:r>
            <w:r>
              <w:rPr>
                <w:webHidden/>
              </w:rPr>
              <w:fldChar w:fldCharType="begin"/>
            </w:r>
            <w:r>
              <w:rPr>
                <w:webHidden/>
              </w:rPr>
              <w:instrText xml:space="preserve"> PAGEREF _Toc235810304 \h </w:instrText>
            </w:r>
            <w:r>
              <w:rPr>
                <w:webHidden/>
              </w:rPr>
            </w:r>
            <w:r>
              <w:rPr>
                <w:webHidden/>
              </w:rPr>
              <w:fldChar w:fldCharType="separate"/>
            </w:r>
            <w:r>
              <w:rPr>
                <w:webHidden/>
              </w:rPr>
              <w:t>6</w:t>
            </w:r>
            <w:r>
              <w:rPr>
                <w:webHidden/>
              </w:rPr>
              <w:fldChar w:fldCharType="end"/>
            </w:r>
          </w:hyperlink>
        </w:p>
        <w:p w14:paraId="1F8EE663" w14:textId="7544C8E1" w:rsidR="00DC2B79" w:rsidRDefault="00DC2B79">
          <w:pPr>
            <w:pStyle w:val="TOC2"/>
            <w:tabs>
              <w:tab w:val="right" w:leader="dot" w:pos="9628"/>
            </w:tabs>
            <w:rPr>
              <w:noProof/>
            </w:rPr>
          </w:pPr>
          <w:hyperlink w:anchor="_Toc235810305" w:history="1">
            <w:r w:rsidRPr="002B7822">
              <w:rPr>
                <w:rStyle w:val="Hyperlink"/>
                <w:rFonts w:eastAsiaTheme="majorEastAsia"/>
                <w:noProof/>
              </w:rPr>
              <w:t>Strengths retained</w:t>
            </w:r>
            <w:r>
              <w:rPr>
                <w:noProof/>
                <w:webHidden/>
              </w:rPr>
              <w:tab/>
            </w:r>
            <w:r>
              <w:rPr>
                <w:noProof/>
                <w:webHidden/>
              </w:rPr>
              <w:fldChar w:fldCharType="begin"/>
            </w:r>
            <w:r>
              <w:rPr>
                <w:noProof/>
                <w:webHidden/>
              </w:rPr>
              <w:instrText xml:space="preserve"> PAGEREF _Toc235810305 \h </w:instrText>
            </w:r>
            <w:r>
              <w:rPr>
                <w:noProof/>
                <w:webHidden/>
              </w:rPr>
            </w:r>
            <w:r>
              <w:rPr>
                <w:noProof/>
                <w:webHidden/>
              </w:rPr>
              <w:fldChar w:fldCharType="separate"/>
            </w:r>
            <w:r>
              <w:rPr>
                <w:noProof/>
                <w:webHidden/>
              </w:rPr>
              <w:t>7</w:t>
            </w:r>
            <w:r>
              <w:rPr>
                <w:noProof/>
                <w:webHidden/>
              </w:rPr>
              <w:fldChar w:fldCharType="end"/>
            </w:r>
          </w:hyperlink>
        </w:p>
        <w:p w14:paraId="482914D1" w14:textId="1319EDE1" w:rsidR="00DC2B79" w:rsidRDefault="00DC2B79">
          <w:pPr>
            <w:pStyle w:val="TOC2"/>
            <w:tabs>
              <w:tab w:val="right" w:leader="dot" w:pos="9628"/>
            </w:tabs>
            <w:rPr>
              <w:noProof/>
            </w:rPr>
          </w:pPr>
          <w:hyperlink w:anchor="_Toc235810306" w:history="1">
            <w:r w:rsidRPr="002B7822">
              <w:rPr>
                <w:rStyle w:val="Hyperlink"/>
                <w:rFonts w:eastAsiaTheme="majorEastAsia"/>
                <w:noProof/>
              </w:rPr>
              <w:t>Areas for improvement</w:t>
            </w:r>
            <w:r>
              <w:rPr>
                <w:noProof/>
                <w:webHidden/>
              </w:rPr>
              <w:tab/>
            </w:r>
            <w:r>
              <w:rPr>
                <w:noProof/>
                <w:webHidden/>
              </w:rPr>
              <w:fldChar w:fldCharType="begin"/>
            </w:r>
            <w:r>
              <w:rPr>
                <w:noProof/>
                <w:webHidden/>
              </w:rPr>
              <w:instrText xml:space="preserve"> PAGEREF _Toc235810306 \h </w:instrText>
            </w:r>
            <w:r>
              <w:rPr>
                <w:noProof/>
                <w:webHidden/>
              </w:rPr>
            </w:r>
            <w:r>
              <w:rPr>
                <w:noProof/>
                <w:webHidden/>
              </w:rPr>
              <w:fldChar w:fldCharType="separate"/>
            </w:r>
            <w:r>
              <w:rPr>
                <w:noProof/>
                <w:webHidden/>
              </w:rPr>
              <w:t>7</w:t>
            </w:r>
            <w:r>
              <w:rPr>
                <w:noProof/>
                <w:webHidden/>
              </w:rPr>
              <w:fldChar w:fldCharType="end"/>
            </w:r>
          </w:hyperlink>
        </w:p>
        <w:p w14:paraId="6B10803F" w14:textId="307F5821" w:rsidR="00DC2B79" w:rsidRDefault="00DC2B79">
          <w:pPr>
            <w:pStyle w:val="TOC2"/>
            <w:tabs>
              <w:tab w:val="right" w:leader="dot" w:pos="9628"/>
            </w:tabs>
            <w:rPr>
              <w:noProof/>
            </w:rPr>
          </w:pPr>
          <w:hyperlink w:anchor="_Toc235810307" w:history="1">
            <w:r w:rsidRPr="002B7822">
              <w:rPr>
                <w:rStyle w:val="Hyperlink"/>
                <w:rFonts w:eastAsiaTheme="majorEastAsia"/>
                <w:noProof/>
              </w:rPr>
              <w:t>How the feedback informed Part C</w:t>
            </w:r>
            <w:r>
              <w:rPr>
                <w:noProof/>
                <w:webHidden/>
              </w:rPr>
              <w:tab/>
            </w:r>
            <w:r>
              <w:rPr>
                <w:noProof/>
                <w:webHidden/>
              </w:rPr>
              <w:fldChar w:fldCharType="begin"/>
            </w:r>
            <w:r>
              <w:rPr>
                <w:noProof/>
                <w:webHidden/>
              </w:rPr>
              <w:instrText xml:space="preserve"> PAGEREF _Toc235810307 \h </w:instrText>
            </w:r>
            <w:r>
              <w:rPr>
                <w:noProof/>
                <w:webHidden/>
              </w:rPr>
            </w:r>
            <w:r>
              <w:rPr>
                <w:noProof/>
                <w:webHidden/>
              </w:rPr>
              <w:fldChar w:fldCharType="separate"/>
            </w:r>
            <w:r>
              <w:rPr>
                <w:noProof/>
                <w:webHidden/>
              </w:rPr>
              <w:t>7</w:t>
            </w:r>
            <w:r>
              <w:rPr>
                <w:noProof/>
                <w:webHidden/>
              </w:rPr>
              <w:fldChar w:fldCharType="end"/>
            </w:r>
          </w:hyperlink>
        </w:p>
        <w:p w14:paraId="7314E76C" w14:textId="1D1941B3" w:rsidR="00DC2B79" w:rsidRDefault="00DC2B79" w:rsidP="00DC2B79">
          <w:pPr>
            <w:pStyle w:val="TOC1"/>
          </w:pPr>
          <w:hyperlink w:anchor="_Toc235810308" w:history="1">
            <w:r w:rsidRPr="002B7822">
              <w:rPr>
                <w:rStyle w:val="Hyperlink"/>
              </w:rPr>
              <w:t>Part C: Project Management Plan: Redevelopment of the Central Transport Hub</w:t>
            </w:r>
            <w:r>
              <w:rPr>
                <w:webHidden/>
              </w:rPr>
              <w:tab/>
            </w:r>
            <w:r>
              <w:rPr>
                <w:webHidden/>
              </w:rPr>
              <w:fldChar w:fldCharType="begin"/>
            </w:r>
            <w:r>
              <w:rPr>
                <w:webHidden/>
              </w:rPr>
              <w:instrText xml:space="preserve"> PAGEREF _Toc235810308 \h </w:instrText>
            </w:r>
            <w:r>
              <w:rPr>
                <w:webHidden/>
              </w:rPr>
            </w:r>
            <w:r>
              <w:rPr>
                <w:webHidden/>
              </w:rPr>
              <w:fldChar w:fldCharType="separate"/>
            </w:r>
            <w:r>
              <w:rPr>
                <w:webHidden/>
              </w:rPr>
              <w:t>9</w:t>
            </w:r>
            <w:r>
              <w:rPr>
                <w:webHidden/>
              </w:rPr>
              <w:fldChar w:fldCharType="end"/>
            </w:r>
          </w:hyperlink>
        </w:p>
        <w:p w14:paraId="03FF01DD" w14:textId="73A1AFE5" w:rsidR="00DC2B79" w:rsidRDefault="00DC2B79">
          <w:pPr>
            <w:pStyle w:val="TOC2"/>
            <w:tabs>
              <w:tab w:val="right" w:leader="dot" w:pos="9628"/>
            </w:tabs>
            <w:rPr>
              <w:noProof/>
            </w:rPr>
          </w:pPr>
          <w:hyperlink w:anchor="_Toc235810309" w:history="1">
            <w:r w:rsidRPr="002B7822">
              <w:rPr>
                <w:rStyle w:val="Hyperlink"/>
                <w:rFonts w:eastAsiaTheme="majorEastAsia"/>
                <w:noProof/>
              </w:rPr>
              <w:t>1. Introduction</w:t>
            </w:r>
            <w:r>
              <w:rPr>
                <w:noProof/>
                <w:webHidden/>
              </w:rPr>
              <w:tab/>
            </w:r>
            <w:r>
              <w:rPr>
                <w:noProof/>
                <w:webHidden/>
              </w:rPr>
              <w:fldChar w:fldCharType="begin"/>
            </w:r>
            <w:r>
              <w:rPr>
                <w:noProof/>
                <w:webHidden/>
              </w:rPr>
              <w:instrText xml:space="preserve"> PAGEREF _Toc235810309 \h </w:instrText>
            </w:r>
            <w:r>
              <w:rPr>
                <w:noProof/>
                <w:webHidden/>
              </w:rPr>
            </w:r>
            <w:r>
              <w:rPr>
                <w:noProof/>
                <w:webHidden/>
              </w:rPr>
              <w:fldChar w:fldCharType="separate"/>
            </w:r>
            <w:r>
              <w:rPr>
                <w:noProof/>
                <w:webHidden/>
              </w:rPr>
              <w:t>10</w:t>
            </w:r>
            <w:r>
              <w:rPr>
                <w:noProof/>
                <w:webHidden/>
              </w:rPr>
              <w:fldChar w:fldCharType="end"/>
            </w:r>
          </w:hyperlink>
        </w:p>
        <w:p w14:paraId="68F736DA" w14:textId="34BDB048" w:rsidR="00DC2B79" w:rsidRDefault="00DC2B79">
          <w:pPr>
            <w:pStyle w:val="TOC2"/>
            <w:tabs>
              <w:tab w:val="right" w:leader="dot" w:pos="9628"/>
            </w:tabs>
            <w:rPr>
              <w:noProof/>
            </w:rPr>
          </w:pPr>
          <w:hyperlink w:anchor="_Toc235810310" w:history="1">
            <w:r w:rsidRPr="002B7822">
              <w:rPr>
                <w:rStyle w:val="Hyperlink"/>
                <w:rFonts w:eastAsiaTheme="majorEastAsia"/>
                <w:noProof/>
              </w:rPr>
              <w:t>2. Project description</w:t>
            </w:r>
            <w:r>
              <w:rPr>
                <w:noProof/>
                <w:webHidden/>
              </w:rPr>
              <w:tab/>
            </w:r>
            <w:r>
              <w:rPr>
                <w:noProof/>
                <w:webHidden/>
              </w:rPr>
              <w:fldChar w:fldCharType="begin"/>
            </w:r>
            <w:r>
              <w:rPr>
                <w:noProof/>
                <w:webHidden/>
              </w:rPr>
              <w:instrText xml:space="preserve"> PAGEREF _Toc235810310 \h </w:instrText>
            </w:r>
            <w:r>
              <w:rPr>
                <w:noProof/>
                <w:webHidden/>
              </w:rPr>
            </w:r>
            <w:r>
              <w:rPr>
                <w:noProof/>
                <w:webHidden/>
              </w:rPr>
              <w:fldChar w:fldCharType="separate"/>
            </w:r>
            <w:r>
              <w:rPr>
                <w:noProof/>
                <w:webHidden/>
              </w:rPr>
              <w:t>10</w:t>
            </w:r>
            <w:r>
              <w:rPr>
                <w:noProof/>
                <w:webHidden/>
              </w:rPr>
              <w:fldChar w:fldCharType="end"/>
            </w:r>
          </w:hyperlink>
        </w:p>
        <w:p w14:paraId="6F00328B" w14:textId="0532A627" w:rsidR="00DC2B79" w:rsidRDefault="00DC2B79">
          <w:pPr>
            <w:pStyle w:val="TOC2"/>
            <w:tabs>
              <w:tab w:val="right" w:leader="dot" w:pos="9628"/>
            </w:tabs>
            <w:rPr>
              <w:noProof/>
            </w:rPr>
          </w:pPr>
          <w:hyperlink w:anchor="_Toc235810311" w:history="1">
            <w:r w:rsidRPr="002B7822">
              <w:rPr>
                <w:rStyle w:val="Hyperlink"/>
                <w:rFonts w:eastAsiaTheme="majorEastAsia"/>
                <w:noProof/>
              </w:rPr>
              <w:t>3. Scope</w:t>
            </w:r>
            <w:r>
              <w:rPr>
                <w:noProof/>
                <w:webHidden/>
              </w:rPr>
              <w:tab/>
            </w:r>
            <w:r>
              <w:rPr>
                <w:noProof/>
                <w:webHidden/>
              </w:rPr>
              <w:fldChar w:fldCharType="begin"/>
            </w:r>
            <w:r>
              <w:rPr>
                <w:noProof/>
                <w:webHidden/>
              </w:rPr>
              <w:instrText xml:space="preserve"> PAGEREF _Toc235810311 \h </w:instrText>
            </w:r>
            <w:r>
              <w:rPr>
                <w:noProof/>
                <w:webHidden/>
              </w:rPr>
            </w:r>
            <w:r>
              <w:rPr>
                <w:noProof/>
                <w:webHidden/>
              </w:rPr>
              <w:fldChar w:fldCharType="separate"/>
            </w:r>
            <w:r>
              <w:rPr>
                <w:noProof/>
                <w:webHidden/>
              </w:rPr>
              <w:t>12</w:t>
            </w:r>
            <w:r>
              <w:rPr>
                <w:noProof/>
                <w:webHidden/>
              </w:rPr>
              <w:fldChar w:fldCharType="end"/>
            </w:r>
          </w:hyperlink>
        </w:p>
        <w:p w14:paraId="759FE72B" w14:textId="5E3A6627" w:rsidR="00DC2B79" w:rsidRDefault="00DC2B79">
          <w:pPr>
            <w:pStyle w:val="TOC2"/>
            <w:tabs>
              <w:tab w:val="right" w:leader="dot" w:pos="9628"/>
            </w:tabs>
            <w:rPr>
              <w:noProof/>
            </w:rPr>
          </w:pPr>
          <w:hyperlink w:anchor="_Toc235810312" w:history="1">
            <w:r w:rsidRPr="002B7822">
              <w:rPr>
                <w:rStyle w:val="Hyperlink"/>
                <w:rFonts w:eastAsiaTheme="majorEastAsia"/>
                <w:noProof/>
              </w:rPr>
              <w:t>4. Work breakdown structure</w:t>
            </w:r>
            <w:r>
              <w:rPr>
                <w:noProof/>
                <w:webHidden/>
              </w:rPr>
              <w:tab/>
            </w:r>
            <w:r>
              <w:rPr>
                <w:noProof/>
                <w:webHidden/>
              </w:rPr>
              <w:fldChar w:fldCharType="begin"/>
            </w:r>
            <w:r>
              <w:rPr>
                <w:noProof/>
                <w:webHidden/>
              </w:rPr>
              <w:instrText xml:space="preserve"> PAGEREF _Toc235810312 \h </w:instrText>
            </w:r>
            <w:r>
              <w:rPr>
                <w:noProof/>
                <w:webHidden/>
              </w:rPr>
            </w:r>
            <w:r>
              <w:rPr>
                <w:noProof/>
                <w:webHidden/>
              </w:rPr>
              <w:fldChar w:fldCharType="separate"/>
            </w:r>
            <w:r>
              <w:rPr>
                <w:noProof/>
                <w:webHidden/>
              </w:rPr>
              <w:t>12</w:t>
            </w:r>
            <w:r>
              <w:rPr>
                <w:noProof/>
                <w:webHidden/>
              </w:rPr>
              <w:fldChar w:fldCharType="end"/>
            </w:r>
          </w:hyperlink>
        </w:p>
        <w:p w14:paraId="12745363" w14:textId="541BC2B9" w:rsidR="00DC2B79" w:rsidRDefault="00DC2B79">
          <w:pPr>
            <w:pStyle w:val="TOC2"/>
            <w:tabs>
              <w:tab w:val="right" w:leader="dot" w:pos="9628"/>
            </w:tabs>
            <w:rPr>
              <w:noProof/>
            </w:rPr>
          </w:pPr>
          <w:hyperlink w:anchor="_Toc235810313" w:history="1">
            <w:r w:rsidRPr="002B7822">
              <w:rPr>
                <w:rStyle w:val="Hyperlink"/>
                <w:rFonts w:eastAsiaTheme="majorEastAsia"/>
                <w:noProof/>
              </w:rPr>
              <w:t>5. Quad chart</w:t>
            </w:r>
            <w:r>
              <w:rPr>
                <w:noProof/>
                <w:webHidden/>
              </w:rPr>
              <w:tab/>
            </w:r>
            <w:r>
              <w:rPr>
                <w:noProof/>
                <w:webHidden/>
              </w:rPr>
              <w:fldChar w:fldCharType="begin"/>
            </w:r>
            <w:r>
              <w:rPr>
                <w:noProof/>
                <w:webHidden/>
              </w:rPr>
              <w:instrText xml:space="preserve"> PAGEREF _Toc235810313 \h </w:instrText>
            </w:r>
            <w:r>
              <w:rPr>
                <w:noProof/>
                <w:webHidden/>
              </w:rPr>
            </w:r>
            <w:r>
              <w:rPr>
                <w:noProof/>
                <w:webHidden/>
              </w:rPr>
              <w:fldChar w:fldCharType="separate"/>
            </w:r>
            <w:r>
              <w:rPr>
                <w:noProof/>
                <w:webHidden/>
              </w:rPr>
              <w:t>13</w:t>
            </w:r>
            <w:r>
              <w:rPr>
                <w:noProof/>
                <w:webHidden/>
              </w:rPr>
              <w:fldChar w:fldCharType="end"/>
            </w:r>
          </w:hyperlink>
        </w:p>
        <w:p w14:paraId="13AFACB2" w14:textId="28E9610A" w:rsidR="00DC2B79" w:rsidRDefault="00DC2B79">
          <w:pPr>
            <w:pStyle w:val="TOC2"/>
            <w:tabs>
              <w:tab w:val="right" w:leader="dot" w:pos="9628"/>
            </w:tabs>
            <w:rPr>
              <w:noProof/>
            </w:rPr>
          </w:pPr>
          <w:hyperlink w:anchor="_Toc235810314" w:history="1">
            <w:r w:rsidRPr="002B7822">
              <w:rPr>
                <w:rStyle w:val="Hyperlink"/>
                <w:rFonts w:eastAsiaTheme="majorEastAsia"/>
                <w:noProof/>
              </w:rPr>
              <w:t>6. Gantt chart and time plan</w:t>
            </w:r>
            <w:r>
              <w:rPr>
                <w:noProof/>
                <w:webHidden/>
              </w:rPr>
              <w:tab/>
            </w:r>
            <w:r>
              <w:rPr>
                <w:noProof/>
                <w:webHidden/>
              </w:rPr>
              <w:fldChar w:fldCharType="begin"/>
            </w:r>
            <w:r>
              <w:rPr>
                <w:noProof/>
                <w:webHidden/>
              </w:rPr>
              <w:instrText xml:space="preserve"> PAGEREF _Toc235810314 \h </w:instrText>
            </w:r>
            <w:r>
              <w:rPr>
                <w:noProof/>
                <w:webHidden/>
              </w:rPr>
            </w:r>
            <w:r>
              <w:rPr>
                <w:noProof/>
                <w:webHidden/>
              </w:rPr>
              <w:fldChar w:fldCharType="separate"/>
            </w:r>
            <w:r>
              <w:rPr>
                <w:noProof/>
                <w:webHidden/>
              </w:rPr>
              <w:t>14</w:t>
            </w:r>
            <w:r>
              <w:rPr>
                <w:noProof/>
                <w:webHidden/>
              </w:rPr>
              <w:fldChar w:fldCharType="end"/>
            </w:r>
          </w:hyperlink>
        </w:p>
        <w:p w14:paraId="5580F730" w14:textId="1028708A" w:rsidR="00DC2B79" w:rsidRDefault="00DC2B79">
          <w:pPr>
            <w:pStyle w:val="TOC2"/>
            <w:tabs>
              <w:tab w:val="right" w:leader="dot" w:pos="9628"/>
            </w:tabs>
            <w:rPr>
              <w:noProof/>
            </w:rPr>
          </w:pPr>
          <w:hyperlink w:anchor="_Toc235810315" w:history="1">
            <w:r w:rsidRPr="002B7822">
              <w:rPr>
                <w:rStyle w:val="Hyperlink"/>
                <w:rFonts w:eastAsiaTheme="majorEastAsia"/>
                <w:noProof/>
              </w:rPr>
              <w:t>7. Stakeholder involvement</w:t>
            </w:r>
            <w:r>
              <w:rPr>
                <w:noProof/>
                <w:webHidden/>
              </w:rPr>
              <w:tab/>
            </w:r>
            <w:r>
              <w:rPr>
                <w:noProof/>
                <w:webHidden/>
              </w:rPr>
              <w:fldChar w:fldCharType="begin"/>
            </w:r>
            <w:r>
              <w:rPr>
                <w:noProof/>
                <w:webHidden/>
              </w:rPr>
              <w:instrText xml:space="preserve"> PAGEREF _Toc235810315 \h </w:instrText>
            </w:r>
            <w:r>
              <w:rPr>
                <w:noProof/>
                <w:webHidden/>
              </w:rPr>
            </w:r>
            <w:r>
              <w:rPr>
                <w:noProof/>
                <w:webHidden/>
              </w:rPr>
              <w:fldChar w:fldCharType="separate"/>
            </w:r>
            <w:r>
              <w:rPr>
                <w:noProof/>
                <w:webHidden/>
              </w:rPr>
              <w:t>15</w:t>
            </w:r>
            <w:r>
              <w:rPr>
                <w:noProof/>
                <w:webHidden/>
              </w:rPr>
              <w:fldChar w:fldCharType="end"/>
            </w:r>
          </w:hyperlink>
        </w:p>
        <w:p w14:paraId="4F97D410" w14:textId="3F4793EA" w:rsidR="00DC2B79" w:rsidRDefault="00DC2B79">
          <w:pPr>
            <w:pStyle w:val="TOC2"/>
            <w:tabs>
              <w:tab w:val="right" w:leader="dot" w:pos="9628"/>
            </w:tabs>
            <w:rPr>
              <w:noProof/>
            </w:rPr>
          </w:pPr>
          <w:hyperlink w:anchor="_Toc235810316" w:history="1">
            <w:r w:rsidRPr="002B7822">
              <w:rPr>
                <w:rStyle w:val="Hyperlink"/>
                <w:rFonts w:eastAsiaTheme="majorEastAsia"/>
                <w:noProof/>
              </w:rPr>
              <w:t>8. Allocation of resources, cost and funding</w:t>
            </w:r>
            <w:r>
              <w:rPr>
                <w:noProof/>
                <w:webHidden/>
              </w:rPr>
              <w:tab/>
            </w:r>
            <w:r>
              <w:rPr>
                <w:noProof/>
                <w:webHidden/>
              </w:rPr>
              <w:fldChar w:fldCharType="begin"/>
            </w:r>
            <w:r>
              <w:rPr>
                <w:noProof/>
                <w:webHidden/>
              </w:rPr>
              <w:instrText xml:space="preserve"> PAGEREF _Toc235810316 \h </w:instrText>
            </w:r>
            <w:r>
              <w:rPr>
                <w:noProof/>
                <w:webHidden/>
              </w:rPr>
            </w:r>
            <w:r>
              <w:rPr>
                <w:noProof/>
                <w:webHidden/>
              </w:rPr>
              <w:fldChar w:fldCharType="separate"/>
            </w:r>
            <w:r>
              <w:rPr>
                <w:noProof/>
                <w:webHidden/>
              </w:rPr>
              <w:t>16</w:t>
            </w:r>
            <w:r>
              <w:rPr>
                <w:noProof/>
                <w:webHidden/>
              </w:rPr>
              <w:fldChar w:fldCharType="end"/>
            </w:r>
          </w:hyperlink>
        </w:p>
        <w:p w14:paraId="0EAF4BAC" w14:textId="4A46BA5A" w:rsidR="00DC2B79" w:rsidRDefault="00DC2B79">
          <w:pPr>
            <w:pStyle w:val="TOC2"/>
            <w:tabs>
              <w:tab w:val="right" w:leader="dot" w:pos="9628"/>
            </w:tabs>
            <w:rPr>
              <w:noProof/>
            </w:rPr>
          </w:pPr>
          <w:hyperlink w:anchor="_Toc235810317" w:history="1">
            <w:r w:rsidRPr="002B7822">
              <w:rPr>
                <w:rStyle w:val="Hyperlink"/>
                <w:rFonts w:eastAsiaTheme="majorEastAsia"/>
                <w:noProof/>
              </w:rPr>
              <w:t>9. Risk analysis</w:t>
            </w:r>
            <w:r>
              <w:rPr>
                <w:noProof/>
                <w:webHidden/>
              </w:rPr>
              <w:tab/>
            </w:r>
            <w:r>
              <w:rPr>
                <w:noProof/>
                <w:webHidden/>
              </w:rPr>
              <w:fldChar w:fldCharType="begin"/>
            </w:r>
            <w:r>
              <w:rPr>
                <w:noProof/>
                <w:webHidden/>
              </w:rPr>
              <w:instrText xml:space="preserve"> PAGEREF _Toc235810317 \h </w:instrText>
            </w:r>
            <w:r>
              <w:rPr>
                <w:noProof/>
                <w:webHidden/>
              </w:rPr>
            </w:r>
            <w:r>
              <w:rPr>
                <w:noProof/>
                <w:webHidden/>
              </w:rPr>
              <w:fldChar w:fldCharType="separate"/>
            </w:r>
            <w:r>
              <w:rPr>
                <w:noProof/>
                <w:webHidden/>
              </w:rPr>
              <w:t>18</w:t>
            </w:r>
            <w:r>
              <w:rPr>
                <w:noProof/>
                <w:webHidden/>
              </w:rPr>
              <w:fldChar w:fldCharType="end"/>
            </w:r>
          </w:hyperlink>
        </w:p>
        <w:p w14:paraId="75F6C180" w14:textId="47627DE3" w:rsidR="00DC2B79" w:rsidRDefault="00DC2B79">
          <w:pPr>
            <w:pStyle w:val="TOC2"/>
            <w:tabs>
              <w:tab w:val="right" w:leader="dot" w:pos="9628"/>
            </w:tabs>
            <w:rPr>
              <w:noProof/>
            </w:rPr>
          </w:pPr>
          <w:hyperlink w:anchor="_Toc235810318" w:history="1">
            <w:r w:rsidRPr="002B7822">
              <w:rPr>
                <w:rStyle w:val="Hyperlink"/>
                <w:rFonts w:eastAsiaTheme="majorEastAsia"/>
                <w:noProof/>
              </w:rPr>
              <w:t>10. Conclusion</w:t>
            </w:r>
            <w:r>
              <w:rPr>
                <w:noProof/>
                <w:webHidden/>
              </w:rPr>
              <w:tab/>
            </w:r>
            <w:r>
              <w:rPr>
                <w:noProof/>
                <w:webHidden/>
              </w:rPr>
              <w:fldChar w:fldCharType="begin"/>
            </w:r>
            <w:r>
              <w:rPr>
                <w:noProof/>
                <w:webHidden/>
              </w:rPr>
              <w:instrText xml:space="preserve"> PAGEREF _Toc235810318 \h </w:instrText>
            </w:r>
            <w:r>
              <w:rPr>
                <w:noProof/>
                <w:webHidden/>
              </w:rPr>
            </w:r>
            <w:r>
              <w:rPr>
                <w:noProof/>
                <w:webHidden/>
              </w:rPr>
              <w:fldChar w:fldCharType="separate"/>
            </w:r>
            <w:r>
              <w:rPr>
                <w:noProof/>
                <w:webHidden/>
              </w:rPr>
              <w:t>21</w:t>
            </w:r>
            <w:r>
              <w:rPr>
                <w:noProof/>
                <w:webHidden/>
              </w:rPr>
              <w:fldChar w:fldCharType="end"/>
            </w:r>
          </w:hyperlink>
        </w:p>
        <w:p w14:paraId="166A384C" w14:textId="107EFC58" w:rsidR="00DC2B79" w:rsidRDefault="00DC2B79" w:rsidP="00DC2B79">
          <w:pPr>
            <w:pStyle w:val="TOC1"/>
          </w:pPr>
          <w:hyperlink w:anchor="_Toc235810319" w:history="1">
            <w:r w:rsidRPr="002B7822">
              <w:rPr>
                <w:rStyle w:val="Hyperlink"/>
              </w:rPr>
              <w:t>References</w:t>
            </w:r>
            <w:r>
              <w:rPr>
                <w:webHidden/>
              </w:rPr>
              <w:tab/>
            </w:r>
            <w:r>
              <w:rPr>
                <w:webHidden/>
              </w:rPr>
              <w:fldChar w:fldCharType="begin"/>
            </w:r>
            <w:r>
              <w:rPr>
                <w:webHidden/>
              </w:rPr>
              <w:instrText xml:space="preserve"> PAGEREF _Toc235810319 \h </w:instrText>
            </w:r>
            <w:r>
              <w:rPr>
                <w:webHidden/>
              </w:rPr>
            </w:r>
            <w:r>
              <w:rPr>
                <w:webHidden/>
              </w:rPr>
              <w:fldChar w:fldCharType="separate"/>
            </w:r>
            <w:r>
              <w:rPr>
                <w:webHidden/>
              </w:rPr>
              <w:t>22</w:t>
            </w:r>
            <w:r>
              <w:rPr>
                <w:webHidden/>
              </w:rPr>
              <w:fldChar w:fldCharType="end"/>
            </w:r>
          </w:hyperlink>
        </w:p>
        <w:p w14:paraId="602304A7" w14:textId="72A36FBE" w:rsidR="00DC2B79" w:rsidRDefault="00DC2B79">
          <w:r>
            <w:rPr>
              <w:b/>
              <w:bCs/>
              <w:noProof/>
            </w:rPr>
            <w:fldChar w:fldCharType="end"/>
          </w:r>
        </w:p>
      </w:sdtContent>
    </w:sdt>
    <w:p w14:paraId="34E8D597" w14:textId="77777777" w:rsidR="00CB3A01" w:rsidRDefault="00CB3A01"/>
    <w:p w14:paraId="124BDA79" w14:textId="77777777" w:rsidR="00CB3A01" w:rsidRDefault="00CB3A01">
      <w:pPr>
        <w:spacing w:after="200" w:line="276" w:lineRule="auto"/>
        <w:jc w:val="left"/>
      </w:pPr>
      <w:r>
        <w:br w:type="page"/>
      </w:r>
    </w:p>
    <w:p w14:paraId="6FAEF172" w14:textId="77777777" w:rsidR="00CB3A01" w:rsidRDefault="00CB3A01"/>
    <w:p w14:paraId="12EE5F5B" w14:textId="77777777" w:rsidR="00CB3A01" w:rsidRDefault="00CB3A01"/>
    <w:p w14:paraId="4049F06B" w14:textId="77777777" w:rsidR="00CB3A01" w:rsidRDefault="00CB3A01" w:rsidP="00CB3A01">
      <w:pPr>
        <w:jc w:val="center"/>
        <w:rPr>
          <w:b/>
          <w:color w:val="0E7C7B"/>
          <w:szCs w:val="24"/>
        </w:rPr>
      </w:pPr>
    </w:p>
    <w:p w14:paraId="5FA62AD3" w14:textId="77777777" w:rsidR="00CB3A01" w:rsidRDefault="00CB3A01" w:rsidP="00CB3A01">
      <w:pPr>
        <w:jc w:val="center"/>
        <w:rPr>
          <w:b/>
          <w:color w:val="0E7C7B"/>
          <w:szCs w:val="24"/>
        </w:rPr>
      </w:pPr>
    </w:p>
    <w:p w14:paraId="31707B5C" w14:textId="77777777" w:rsidR="00CB3A01" w:rsidRDefault="00CB3A01" w:rsidP="00CB3A01">
      <w:pPr>
        <w:jc w:val="center"/>
        <w:rPr>
          <w:b/>
          <w:color w:val="0E7C7B"/>
          <w:szCs w:val="24"/>
        </w:rPr>
      </w:pPr>
    </w:p>
    <w:p w14:paraId="06D6BFE1" w14:textId="77777777" w:rsidR="00CB3A01" w:rsidRDefault="00CB3A01" w:rsidP="00CB3A01">
      <w:pPr>
        <w:jc w:val="center"/>
        <w:rPr>
          <w:b/>
          <w:color w:val="0E7C7B"/>
          <w:szCs w:val="24"/>
        </w:rPr>
      </w:pPr>
    </w:p>
    <w:p w14:paraId="4C2A865B" w14:textId="77777777" w:rsidR="00CB3A01" w:rsidRDefault="00CB3A01" w:rsidP="00CB3A01">
      <w:pPr>
        <w:jc w:val="center"/>
        <w:rPr>
          <w:b/>
          <w:color w:val="0E7C7B"/>
          <w:szCs w:val="24"/>
        </w:rPr>
      </w:pPr>
    </w:p>
    <w:p w14:paraId="0E7C0BBF" w14:textId="77777777" w:rsidR="00CB3A01" w:rsidRDefault="00CB3A01" w:rsidP="00CB3A01">
      <w:pPr>
        <w:jc w:val="center"/>
        <w:rPr>
          <w:b/>
          <w:color w:val="0E7C7B"/>
          <w:szCs w:val="24"/>
        </w:rPr>
      </w:pPr>
    </w:p>
    <w:p w14:paraId="46478148" w14:textId="77777777" w:rsidR="00CB3A01" w:rsidRDefault="00CB3A01" w:rsidP="00CB3A01">
      <w:pPr>
        <w:jc w:val="center"/>
        <w:rPr>
          <w:b/>
          <w:color w:val="0E7C7B"/>
          <w:szCs w:val="24"/>
        </w:rPr>
      </w:pPr>
    </w:p>
    <w:p w14:paraId="2C5C884F" w14:textId="77777777" w:rsidR="00CB3A01" w:rsidRDefault="00CB3A01" w:rsidP="00CB3A01">
      <w:pPr>
        <w:jc w:val="center"/>
        <w:rPr>
          <w:b/>
          <w:color w:val="0E7C7B"/>
          <w:szCs w:val="24"/>
        </w:rPr>
      </w:pPr>
    </w:p>
    <w:p w14:paraId="3A36F895" w14:textId="77777777" w:rsidR="00CB3A01" w:rsidRDefault="00CB3A01" w:rsidP="00CB3A01">
      <w:pPr>
        <w:jc w:val="center"/>
        <w:rPr>
          <w:b/>
          <w:color w:val="0E7C7B"/>
          <w:szCs w:val="24"/>
        </w:rPr>
      </w:pPr>
    </w:p>
    <w:p w14:paraId="7FCBA513" w14:textId="77777777" w:rsidR="00CB3A01" w:rsidRDefault="00CB3A01" w:rsidP="00CB3A01">
      <w:pPr>
        <w:jc w:val="center"/>
        <w:rPr>
          <w:b/>
          <w:color w:val="0E7C7B"/>
          <w:szCs w:val="24"/>
        </w:rPr>
      </w:pPr>
    </w:p>
    <w:p w14:paraId="15CC7367" w14:textId="77777777" w:rsidR="00CB3A01" w:rsidRDefault="00CB3A01" w:rsidP="00CB3A01">
      <w:pPr>
        <w:jc w:val="center"/>
        <w:rPr>
          <w:b/>
          <w:color w:val="0E7C7B"/>
          <w:szCs w:val="24"/>
        </w:rPr>
      </w:pPr>
    </w:p>
    <w:p w14:paraId="7D4B2313" w14:textId="77777777" w:rsidR="00CB3A01" w:rsidRDefault="00CB3A01" w:rsidP="00CB3A01">
      <w:pPr>
        <w:jc w:val="center"/>
        <w:rPr>
          <w:b/>
          <w:color w:val="0E7C7B"/>
          <w:szCs w:val="24"/>
        </w:rPr>
      </w:pPr>
    </w:p>
    <w:p w14:paraId="3FF24CBA" w14:textId="77777777" w:rsidR="00CB3A01" w:rsidRDefault="00CB3A01" w:rsidP="00CB3A01">
      <w:pPr>
        <w:jc w:val="center"/>
        <w:rPr>
          <w:b/>
          <w:color w:val="0E7C7B"/>
          <w:szCs w:val="24"/>
        </w:rPr>
      </w:pPr>
    </w:p>
    <w:p w14:paraId="03722727" w14:textId="050D1ED2" w:rsidR="006E6158" w:rsidRPr="00CB3A01" w:rsidRDefault="00CB3A01" w:rsidP="00CB3A01">
      <w:pPr>
        <w:pStyle w:val="Heading1"/>
      </w:pPr>
      <w:bookmarkStart w:id="0" w:name="_Toc235810303"/>
      <w:r w:rsidRPr="00CB3A01">
        <w:t>PART A: Project Proposal Poster</w:t>
      </w:r>
      <w:bookmarkEnd w:id="0"/>
      <w:r w:rsidRPr="00CB3A01">
        <w:t xml:space="preserve"> </w:t>
      </w:r>
      <w:r w:rsidR="00F41EE1" w:rsidRPr="00CB3A01">
        <w:br w:type="page"/>
      </w:r>
    </w:p>
    <w:p w14:paraId="0AA332D5" w14:textId="77777777" w:rsidR="006E6158" w:rsidRPr="00C81F62" w:rsidRDefault="006E6158">
      <w:pPr>
        <w:sectPr w:rsidR="006E6158" w:rsidRPr="00C81F62">
          <w:headerReference w:type="default" r:id="rId9"/>
          <w:pgSz w:w="11906" w:h="16838"/>
          <w:pgMar w:top="1134" w:right="1134" w:bottom="1134" w:left="1134" w:header="360" w:footer="360" w:gutter="0"/>
          <w:cols w:space="720"/>
          <w:docGrid w:linePitch="360"/>
        </w:sectPr>
      </w:pPr>
    </w:p>
    <w:tbl>
      <w:tblPr>
        <w:tblW w:w="16416" w:type="dxa"/>
        <w:jc w:val="center"/>
        <w:tblLayout w:type="fixed"/>
        <w:tblLook w:val="04A0" w:firstRow="1" w:lastRow="0" w:firstColumn="1" w:lastColumn="0" w:noHBand="0" w:noVBand="1"/>
      </w:tblPr>
      <w:tblGrid>
        <w:gridCol w:w="5400"/>
        <w:gridCol w:w="450"/>
        <w:gridCol w:w="5940"/>
        <w:gridCol w:w="4580"/>
        <w:gridCol w:w="46"/>
      </w:tblGrid>
      <w:tr w:rsidR="00D662AC" w:rsidRPr="005D6C74" w14:paraId="1FEC1ADE" w14:textId="77777777" w:rsidTr="00D662AC">
        <w:trPr>
          <w:gridAfter w:val="1"/>
          <w:wAfter w:w="46" w:type="dxa"/>
          <w:jc w:val="center"/>
        </w:trPr>
        <w:tc>
          <w:tcPr>
            <w:tcW w:w="16370" w:type="dxa"/>
            <w:gridSpan w:val="4"/>
            <w:shd w:val="clear" w:color="auto" w:fill="0D6569"/>
            <w:tcMar>
              <w:top w:w="85" w:type="dxa"/>
              <w:left w:w="80" w:type="dxa"/>
              <w:bottom w:w="85" w:type="dxa"/>
              <w:right w:w="80" w:type="dxa"/>
            </w:tcMar>
          </w:tcPr>
          <w:p w14:paraId="17553492" w14:textId="77777777" w:rsidR="00D662AC" w:rsidRPr="005D6C74" w:rsidRDefault="00D662AC" w:rsidP="00D662AC">
            <w:pPr>
              <w:spacing w:line="240" w:lineRule="auto"/>
              <w:jc w:val="center"/>
              <w:rPr>
                <w:sz w:val="20"/>
                <w:szCs w:val="20"/>
              </w:rPr>
            </w:pPr>
            <w:r w:rsidRPr="005D6C74">
              <w:rPr>
                <w:b/>
                <w:color w:val="FFFFFF"/>
                <w:sz w:val="20"/>
                <w:szCs w:val="20"/>
              </w:rPr>
              <w:lastRenderedPageBreak/>
              <w:t>Redevelopment of the Central Transport Hub</w:t>
            </w:r>
          </w:p>
          <w:p w14:paraId="3ACE85B4" w14:textId="33DE03B7" w:rsidR="00D662AC" w:rsidRPr="005D6C74" w:rsidRDefault="00D662AC" w:rsidP="00D662AC">
            <w:pPr>
              <w:spacing w:line="240" w:lineRule="auto"/>
              <w:jc w:val="center"/>
              <w:rPr>
                <w:sz w:val="12"/>
                <w:szCs w:val="12"/>
              </w:rPr>
            </w:pPr>
            <w:r w:rsidRPr="005D6C74">
              <w:rPr>
                <w:color w:val="E1F5F5"/>
                <w:sz w:val="12"/>
                <w:szCs w:val="12"/>
              </w:rPr>
              <w:t>Part A Project Proposal Poster | LCLM5003 Project Management | Topic 1</w:t>
            </w:r>
            <w:r w:rsidR="008918C9" w:rsidRPr="005D6C74">
              <w:rPr>
                <w:color w:val="E1F5F5"/>
                <w:sz w:val="12"/>
                <w:szCs w:val="12"/>
              </w:rPr>
              <w:t xml:space="preserve"> | Student Name: Sefat Franklin</w:t>
            </w:r>
          </w:p>
        </w:tc>
      </w:tr>
      <w:tr w:rsidR="00D662AC" w:rsidRPr="005D6C74" w14:paraId="11C45059" w14:textId="77777777" w:rsidTr="00D662AC">
        <w:trPr>
          <w:jc w:val="center"/>
        </w:trPr>
        <w:tc>
          <w:tcPr>
            <w:tcW w:w="5400" w:type="dxa"/>
            <w:tcBorders>
              <w:top w:val="single" w:sz="0" w:space="0" w:color="FFFFFF"/>
              <w:left w:val="single" w:sz="0" w:space="0" w:color="FFFFFF"/>
              <w:bottom w:val="single" w:sz="0" w:space="0" w:color="FFFFFF"/>
              <w:right w:val="single" w:sz="0" w:space="0" w:color="FFFFFF"/>
            </w:tcBorders>
            <w:tcMar>
              <w:top w:w="20" w:type="dxa"/>
              <w:left w:w="30" w:type="dxa"/>
              <w:bottom w:w="5" w:type="dxa"/>
              <w:right w:w="30" w:type="dxa"/>
            </w:tcMar>
          </w:tcPr>
          <w:p w14:paraId="24E91162" w14:textId="0AF8E7A2" w:rsidR="00D662AC" w:rsidRPr="005D6C74" w:rsidRDefault="00D662AC" w:rsidP="00D662AC">
            <w:pPr>
              <w:spacing w:line="240" w:lineRule="auto"/>
              <w:jc w:val="center"/>
              <w:rPr>
                <w:noProof/>
                <w:sz w:val="12"/>
                <w:szCs w:val="12"/>
              </w:rPr>
            </w:pPr>
            <w:r w:rsidRPr="005D6C74">
              <w:rPr>
                <w:noProof/>
                <w:sz w:val="12"/>
                <w:szCs w:val="12"/>
              </w:rPr>
              <w:drawing>
                <wp:anchor distT="0" distB="0" distL="114300" distR="114300" simplePos="0" relativeHeight="251659264" behindDoc="1" locked="0" layoutInCell="1" allowOverlap="1" wp14:anchorId="2E7C0F2B" wp14:editId="556C91EE">
                  <wp:simplePos x="0" y="0"/>
                  <wp:positionH relativeFrom="column">
                    <wp:posOffset>-635</wp:posOffset>
                  </wp:positionH>
                  <wp:positionV relativeFrom="paragraph">
                    <wp:posOffset>0</wp:posOffset>
                  </wp:positionV>
                  <wp:extent cx="4191000" cy="1143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hub_concept.png"/>
                          <pic:cNvPicPr/>
                        </pic:nvPicPr>
                        <pic:blipFill>
                          <a:blip r:embed="rId10"/>
                          <a:stretch>
                            <a:fillRect/>
                          </a:stretch>
                        </pic:blipFill>
                        <pic:spPr>
                          <a:xfrm>
                            <a:off x="0" y="0"/>
                            <a:ext cx="4191000" cy="1143000"/>
                          </a:xfrm>
                          <a:prstGeom prst="rect">
                            <a:avLst/>
                          </a:prstGeom>
                        </pic:spPr>
                      </pic:pic>
                    </a:graphicData>
                  </a:graphic>
                  <wp14:sizeRelH relativeFrom="margin">
                    <wp14:pctWidth>0</wp14:pctWidth>
                  </wp14:sizeRelH>
                  <wp14:sizeRelV relativeFrom="margin">
                    <wp14:pctHeight>0</wp14:pctHeight>
                  </wp14:sizeRelV>
                </wp:anchor>
              </w:drawing>
            </w:r>
          </w:p>
          <w:p w14:paraId="40937D30" w14:textId="6146C7C9" w:rsidR="00D662AC" w:rsidRPr="005D6C74" w:rsidRDefault="00D662AC" w:rsidP="00D662AC">
            <w:pPr>
              <w:spacing w:line="240" w:lineRule="auto"/>
              <w:jc w:val="center"/>
              <w:rPr>
                <w:noProof/>
                <w:sz w:val="12"/>
                <w:szCs w:val="12"/>
              </w:rPr>
            </w:pPr>
          </w:p>
          <w:p w14:paraId="3FCF6D46" w14:textId="0DA4EBDB" w:rsidR="00D662AC" w:rsidRPr="005D6C74" w:rsidRDefault="00D662AC" w:rsidP="00D662AC">
            <w:pPr>
              <w:spacing w:line="240" w:lineRule="auto"/>
              <w:jc w:val="center"/>
              <w:rPr>
                <w:sz w:val="12"/>
                <w:szCs w:val="12"/>
              </w:rPr>
            </w:pPr>
          </w:p>
          <w:p w14:paraId="09DAF8BD" w14:textId="77777777" w:rsidR="00D662AC" w:rsidRPr="005D6C74" w:rsidRDefault="00D662AC" w:rsidP="00D662AC">
            <w:pPr>
              <w:spacing w:line="240" w:lineRule="auto"/>
              <w:jc w:val="center"/>
              <w:rPr>
                <w:sz w:val="12"/>
                <w:szCs w:val="12"/>
              </w:rPr>
            </w:pPr>
          </w:p>
          <w:p w14:paraId="308517B1" w14:textId="77777777" w:rsidR="00D662AC" w:rsidRPr="005D6C74" w:rsidRDefault="00D662AC" w:rsidP="00D662AC">
            <w:pPr>
              <w:spacing w:line="240" w:lineRule="auto"/>
              <w:jc w:val="center"/>
              <w:rPr>
                <w:i/>
                <w:color w:val="373C41"/>
                <w:sz w:val="12"/>
                <w:szCs w:val="12"/>
              </w:rPr>
            </w:pPr>
          </w:p>
          <w:p w14:paraId="7CEAC181" w14:textId="77777777" w:rsidR="00D662AC" w:rsidRPr="005D6C74" w:rsidRDefault="00D662AC" w:rsidP="00D662AC">
            <w:pPr>
              <w:spacing w:line="240" w:lineRule="auto"/>
              <w:jc w:val="center"/>
              <w:rPr>
                <w:i/>
                <w:color w:val="373C41"/>
                <w:sz w:val="12"/>
                <w:szCs w:val="12"/>
              </w:rPr>
            </w:pPr>
          </w:p>
          <w:p w14:paraId="550E7AC2" w14:textId="77777777" w:rsidR="00D662AC" w:rsidRPr="005D6C74" w:rsidRDefault="00D662AC" w:rsidP="00D662AC">
            <w:pPr>
              <w:spacing w:line="240" w:lineRule="auto"/>
              <w:jc w:val="center"/>
              <w:rPr>
                <w:i/>
                <w:color w:val="373C41"/>
                <w:sz w:val="12"/>
                <w:szCs w:val="12"/>
              </w:rPr>
            </w:pPr>
          </w:p>
          <w:p w14:paraId="278838EC" w14:textId="77777777" w:rsidR="00D662AC" w:rsidRPr="005D6C74" w:rsidRDefault="00D662AC" w:rsidP="00D662AC">
            <w:pPr>
              <w:spacing w:line="240" w:lineRule="auto"/>
              <w:jc w:val="center"/>
              <w:rPr>
                <w:i/>
                <w:color w:val="373C41"/>
                <w:sz w:val="12"/>
                <w:szCs w:val="12"/>
              </w:rPr>
            </w:pPr>
          </w:p>
          <w:p w14:paraId="2FFC8469" w14:textId="77777777" w:rsidR="00D662AC" w:rsidRPr="005D6C74" w:rsidRDefault="00D662AC" w:rsidP="00D662AC">
            <w:pPr>
              <w:spacing w:line="240" w:lineRule="auto"/>
              <w:jc w:val="center"/>
              <w:rPr>
                <w:i/>
                <w:color w:val="373C41"/>
                <w:sz w:val="12"/>
                <w:szCs w:val="12"/>
              </w:rPr>
            </w:pPr>
          </w:p>
          <w:p w14:paraId="05707F59" w14:textId="77777777" w:rsidR="00D662AC" w:rsidRPr="005D6C74" w:rsidRDefault="00D662AC" w:rsidP="00D662AC">
            <w:pPr>
              <w:spacing w:line="240" w:lineRule="auto"/>
              <w:jc w:val="center"/>
              <w:rPr>
                <w:i/>
                <w:color w:val="373C41"/>
                <w:sz w:val="12"/>
                <w:szCs w:val="12"/>
              </w:rPr>
            </w:pPr>
          </w:p>
          <w:p w14:paraId="65053342" w14:textId="77777777" w:rsidR="00D662AC" w:rsidRPr="005D6C74" w:rsidRDefault="00D662AC" w:rsidP="00D662AC">
            <w:pPr>
              <w:spacing w:line="240" w:lineRule="auto"/>
              <w:jc w:val="center"/>
              <w:rPr>
                <w:i/>
                <w:color w:val="373C41"/>
                <w:sz w:val="12"/>
                <w:szCs w:val="12"/>
              </w:rPr>
            </w:pPr>
            <w:r w:rsidRPr="005D6C74">
              <w:rPr>
                <w:i/>
                <w:color w:val="373C41"/>
                <w:sz w:val="12"/>
                <w:szCs w:val="12"/>
              </w:rPr>
              <w:t>Figure 1: Central transport hub redevelopment concept.</w:t>
            </w:r>
          </w:p>
          <w:p w14:paraId="7D546E0D" w14:textId="138C50BB" w:rsidR="00D662AC" w:rsidRPr="005D6C74" w:rsidRDefault="00D662AC" w:rsidP="00D662AC">
            <w:pPr>
              <w:spacing w:line="240" w:lineRule="auto"/>
              <w:jc w:val="center"/>
              <w:rPr>
                <w:sz w:val="12"/>
                <w:szCs w:val="12"/>
              </w:rPr>
            </w:pPr>
            <w:r w:rsidRPr="005D6C74">
              <w:rPr>
                <w:i/>
                <w:color w:val="373C41"/>
                <w:sz w:val="12"/>
                <w:szCs w:val="12"/>
              </w:rPr>
              <w:t xml:space="preserve"> Source: Author.</w:t>
            </w:r>
          </w:p>
        </w:tc>
        <w:tc>
          <w:tcPr>
            <w:tcW w:w="11016" w:type="dxa"/>
            <w:gridSpan w:val="4"/>
            <w:tcBorders>
              <w:top w:val="single" w:sz="0" w:space="0" w:color="FFFFFF"/>
              <w:left w:val="single" w:sz="0" w:space="0" w:color="FFFFFF"/>
              <w:bottom w:val="single" w:sz="0" w:space="0" w:color="FFFFFF"/>
              <w:right w:val="single" w:sz="0" w:space="0" w:color="FFFFFF"/>
            </w:tcBorders>
            <w:tcMar>
              <w:top w:w="20" w:type="dxa"/>
              <w:left w:w="30" w:type="dxa"/>
              <w:bottom w:w="5" w:type="dxa"/>
              <w:right w:w="30" w:type="dxa"/>
            </w:tcMar>
          </w:tcPr>
          <w:p w14:paraId="2B0EF357" w14:textId="77777777" w:rsidR="00D662AC" w:rsidRPr="005D6C74" w:rsidRDefault="00D662AC" w:rsidP="00D662AC">
            <w:pPr>
              <w:spacing w:line="240" w:lineRule="auto"/>
              <w:ind w:left="1440"/>
              <w:jc w:val="center"/>
              <w:rPr>
                <w:sz w:val="12"/>
                <w:szCs w:val="12"/>
              </w:rPr>
            </w:pPr>
            <w:r w:rsidRPr="005D6C74">
              <w:rPr>
                <w:noProof/>
                <w:sz w:val="12"/>
                <w:szCs w:val="12"/>
              </w:rPr>
              <w:drawing>
                <wp:inline distT="0" distB="0" distL="0" distR="0" wp14:anchorId="15532B54" wp14:editId="4D0369D1">
                  <wp:extent cx="5953125" cy="1085215"/>
                  <wp:effectExtent l="0" t="0" r="952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pathway.png"/>
                          <pic:cNvPicPr/>
                        </pic:nvPicPr>
                        <pic:blipFill>
                          <a:blip r:embed="rId11"/>
                          <a:stretch>
                            <a:fillRect/>
                          </a:stretch>
                        </pic:blipFill>
                        <pic:spPr>
                          <a:xfrm>
                            <a:off x="0" y="0"/>
                            <a:ext cx="6064566" cy="1105530"/>
                          </a:xfrm>
                          <a:prstGeom prst="rect">
                            <a:avLst/>
                          </a:prstGeom>
                        </pic:spPr>
                      </pic:pic>
                    </a:graphicData>
                  </a:graphic>
                </wp:inline>
              </w:drawing>
            </w:r>
          </w:p>
          <w:p w14:paraId="779A2BF1" w14:textId="77777777" w:rsidR="00D662AC" w:rsidRPr="005D6C74" w:rsidRDefault="00D662AC" w:rsidP="00D662AC">
            <w:pPr>
              <w:spacing w:line="240" w:lineRule="auto"/>
              <w:jc w:val="center"/>
              <w:rPr>
                <w:i/>
                <w:color w:val="373C41"/>
                <w:sz w:val="12"/>
                <w:szCs w:val="12"/>
              </w:rPr>
            </w:pPr>
            <w:r w:rsidRPr="005D6C74">
              <w:rPr>
                <w:i/>
                <w:color w:val="373C41"/>
                <w:sz w:val="12"/>
                <w:szCs w:val="12"/>
              </w:rPr>
              <w:t>Figure 2: Redevelopment pathway.</w:t>
            </w:r>
          </w:p>
          <w:p w14:paraId="7094A67F" w14:textId="77777777" w:rsidR="00D662AC" w:rsidRPr="005D6C74" w:rsidRDefault="00D662AC" w:rsidP="00D662AC">
            <w:pPr>
              <w:spacing w:line="240" w:lineRule="auto"/>
              <w:jc w:val="center"/>
              <w:rPr>
                <w:sz w:val="12"/>
                <w:szCs w:val="12"/>
              </w:rPr>
            </w:pPr>
            <w:r w:rsidRPr="005D6C74">
              <w:rPr>
                <w:i/>
                <w:color w:val="373C41"/>
                <w:sz w:val="12"/>
                <w:szCs w:val="12"/>
              </w:rPr>
              <w:t xml:space="preserve"> Source: Author.</w:t>
            </w:r>
          </w:p>
        </w:tc>
      </w:tr>
      <w:tr w:rsidR="00D662AC" w:rsidRPr="005D6C74" w14:paraId="53A96E6D" w14:textId="77777777" w:rsidTr="00D662AC">
        <w:trPr>
          <w:gridAfter w:val="1"/>
          <w:wAfter w:w="46" w:type="dxa"/>
          <w:jc w:val="center"/>
        </w:trPr>
        <w:tc>
          <w:tcPr>
            <w:tcW w:w="5850" w:type="dxa"/>
            <w:gridSpan w:val="2"/>
            <w:tcBorders>
              <w:top w:val="single" w:sz="8" w:space="0" w:color="B8CCD1"/>
              <w:left w:val="single" w:sz="8" w:space="0" w:color="B8CCD1"/>
              <w:bottom w:val="single" w:sz="8" w:space="0" w:color="B8CCD1"/>
              <w:right w:val="single" w:sz="8" w:space="0" w:color="B8CCD1"/>
            </w:tcBorders>
            <w:tcMar>
              <w:top w:w="55" w:type="dxa"/>
              <w:left w:w="65" w:type="dxa"/>
              <w:bottom w:w="45" w:type="dxa"/>
              <w:right w:w="65" w:type="dxa"/>
            </w:tcMar>
          </w:tcPr>
          <w:p w14:paraId="334B23B3" w14:textId="77777777" w:rsidR="00D662AC" w:rsidRPr="005D6C74" w:rsidRDefault="00D662AC" w:rsidP="00D662AC">
            <w:pPr>
              <w:spacing w:before="20" w:line="240" w:lineRule="auto"/>
              <w:rPr>
                <w:sz w:val="12"/>
                <w:szCs w:val="12"/>
              </w:rPr>
            </w:pPr>
            <w:r w:rsidRPr="005D6C74">
              <w:rPr>
                <w:b/>
                <w:color w:val="00555A"/>
                <w:sz w:val="12"/>
                <w:szCs w:val="12"/>
              </w:rPr>
              <w:t>1. Project background and rationale</w:t>
            </w:r>
          </w:p>
          <w:p w14:paraId="64A55ACC" w14:textId="77777777" w:rsidR="00D662AC" w:rsidRPr="005D6C74" w:rsidRDefault="00D662AC" w:rsidP="00D662AC">
            <w:pPr>
              <w:spacing w:line="240" w:lineRule="auto"/>
              <w:rPr>
                <w:sz w:val="12"/>
                <w:szCs w:val="12"/>
              </w:rPr>
            </w:pPr>
            <w:r w:rsidRPr="005D6C74">
              <w:rPr>
                <w:color w:val="142326"/>
                <w:sz w:val="12"/>
                <w:szCs w:val="12"/>
              </w:rPr>
              <w:t>The project is a solution to the need to close a 40-year-old metro transport hub that is no longer safe and accessible. The former hub was a railway, bus and freight exchange and closure has resulted in delays to commuters, strain on supply chains, business losses and loss of public confidence. A temporary or digital-only solution is chosen because it would alleviate symptoms, but not resolve the unsafe asset condition and is therefore not the preferred solution. The scope, interfaces, stakeholder expectations and risk controls have to be defined early in the proposal, as the hub is a complex public infrastructure project (PMI, 2021; Kerzner, 2022).</w:t>
            </w:r>
          </w:p>
          <w:p w14:paraId="36993CF8" w14:textId="77777777" w:rsidR="00D662AC" w:rsidRPr="005D6C74" w:rsidRDefault="00D662AC" w:rsidP="00D662AC">
            <w:pPr>
              <w:spacing w:before="20" w:line="240" w:lineRule="auto"/>
              <w:rPr>
                <w:sz w:val="12"/>
                <w:szCs w:val="12"/>
              </w:rPr>
            </w:pPr>
            <w:r w:rsidRPr="005D6C74">
              <w:rPr>
                <w:b/>
                <w:color w:val="00555A"/>
                <w:sz w:val="12"/>
                <w:szCs w:val="12"/>
              </w:rPr>
              <w:t>2. Project aim and objectives</w:t>
            </w:r>
          </w:p>
          <w:p w14:paraId="2FC4CF69" w14:textId="77777777" w:rsidR="00D662AC" w:rsidRPr="005D6C74" w:rsidRDefault="00D662AC" w:rsidP="00D662AC">
            <w:pPr>
              <w:spacing w:line="240" w:lineRule="auto"/>
              <w:rPr>
                <w:sz w:val="12"/>
                <w:szCs w:val="12"/>
              </w:rPr>
            </w:pPr>
            <w:r w:rsidRPr="005D6C74">
              <w:rPr>
                <w:color w:val="142326"/>
                <w:sz w:val="12"/>
                <w:szCs w:val="12"/>
              </w:rPr>
              <w:t>Aim: to reopen a safe, accessible, digitally coordinated and lower-carbon central transport hub that restores transport capacity and supports long-term social and economic value.</w:t>
            </w:r>
          </w:p>
          <w:p w14:paraId="2C55B667" w14:textId="59CA75BF" w:rsidR="00D662AC" w:rsidRPr="005D6C74" w:rsidRDefault="00D662AC" w:rsidP="00D662AC">
            <w:pPr>
              <w:spacing w:line="240" w:lineRule="auto"/>
              <w:ind w:left="160" w:hanging="120"/>
              <w:rPr>
                <w:sz w:val="12"/>
                <w:szCs w:val="12"/>
              </w:rPr>
            </w:pPr>
            <w:r w:rsidRPr="005D6C74">
              <w:rPr>
                <w:color w:val="142326"/>
                <w:sz w:val="12"/>
                <w:szCs w:val="12"/>
              </w:rPr>
              <w:t>•</w:t>
            </w:r>
            <w:r w:rsidR="00C81F62" w:rsidRPr="005D6C74">
              <w:rPr>
                <w:color w:val="142326"/>
                <w:sz w:val="12"/>
                <w:szCs w:val="12"/>
              </w:rPr>
              <w:t xml:space="preserve"> </w:t>
            </w:r>
            <w:r w:rsidRPr="005D6C74">
              <w:rPr>
                <w:color w:val="142326"/>
                <w:sz w:val="12"/>
                <w:szCs w:val="12"/>
              </w:rPr>
              <w:t>Completed concept design, consents, procurement and phased construction/commissioning within 30 months.</w:t>
            </w:r>
          </w:p>
          <w:p w14:paraId="6F435D4A" w14:textId="77777777" w:rsidR="00D662AC" w:rsidRPr="005D6C74" w:rsidRDefault="00D662AC" w:rsidP="00D662AC">
            <w:pPr>
              <w:spacing w:line="240" w:lineRule="auto"/>
              <w:ind w:left="160" w:hanging="120"/>
              <w:rPr>
                <w:sz w:val="12"/>
                <w:szCs w:val="12"/>
              </w:rPr>
            </w:pPr>
            <w:r w:rsidRPr="005D6C74">
              <w:rPr>
                <w:color w:val="142326"/>
                <w:sz w:val="12"/>
                <w:szCs w:val="12"/>
              </w:rPr>
              <w:t>• Restore interchange capacity for rail, bus and freight operations to at least pre-closure levels with temporary continuity for passengers.</w:t>
            </w:r>
          </w:p>
          <w:p w14:paraId="065ED1DA" w14:textId="77777777" w:rsidR="00D662AC" w:rsidRPr="005D6C74" w:rsidRDefault="00D662AC" w:rsidP="00D662AC">
            <w:pPr>
              <w:spacing w:line="240" w:lineRule="auto"/>
              <w:ind w:left="160" w:hanging="120"/>
              <w:rPr>
                <w:sz w:val="12"/>
                <w:szCs w:val="12"/>
              </w:rPr>
            </w:pPr>
            <w:r w:rsidRPr="005D6C74">
              <w:rPr>
                <w:color w:val="142326"/>
                <w:sz w:val="12"/>
                <w:szCs w:val="12"/>
              </w:rPr>
              <w:t>• Ensure safety, fire, accessibility and inclusive design requirements are met, via early assurance reviews.</w:t>
            </w:r>
          </w:p>
          <w:p w14:paraId="7EA5564F" w14:textId="77777777" w:rsidR="00D662AC" w:rsidRPr="005D6C74" w:rsidRDefault="00D662AC" w:rsidP="00D662AC">
            <w:pPr>
              <w:spacing w:line="240" w:lineRule="auto"/>
              <w:ind w:left="160" w:hanging="120"/>
              <w:rPr>
                <w:sz w:val="12"/>
                <w:szCs w:val="12"/>
              </w:rPr>
            </w:pPr>
            <w:r w:rsidRPr="005D6C74">
              <w:rPr>
                <w:color w:val="142326"/>
                <w:sz w:val="12"/>
                <w:szCs w:val="12"/>
              </w:rPr>
              <w:t>• Ensure that real-time passenger information, CCTV, wayfinding and freight coordination information are integrated at handover.</w:t>
            </w:r>
          </w:p>
          <w:p w14:paraId="27ED04CB" w14:textId="77777777" w:rsidR="00D662AC" w:rsidRPr="005D6C74" w:rsidRDefault="00D662AC" w:rsidP="00D662AC">
            <w:pPr>
              <w:spacing w:line="240" w:lineRule="auto"/>
              <w:ind w:left="160" w:hanging="120"/>
              <w:rPr>
                <w:sz w:val="12"/>
                <w:szCs w:val="12"/>
              </w:rPr>
            </w:pPr>
            <w:r w:rsidRPr="005D6C74">
              <w:rPr>
                <w:color w:val="142326"/>
                <w:sz w:val="12"/>
                <w:szCs w:val="12"/>
              </w:rPr>
              <w:t>• Minimize carbon footprint during operations by utilizing efficient systems, active travel connections and responsible material selection.</w:t>
            </w:r>
          </w:p>
          <w:p w14:paraId="4ADDAF65" w14:textId="77777777" w:rsidR="00D662AC" w:rsidRPr="005D6C74" w:rsidRDefault="00D662AC" w:rsidP="00D662AC">
            <w:pPr>
              <w:spacing w:before="20" w:line="240" w:lineRule="auto"/>
              <w:rPr>
                <w:sz w:val="12"/>
                <w:szCs w:val="12"/>
              </w:rPr>
            </w:pPr>
            <w:r w:rsidRPr="005D6C74">
              <w:rPr>
                <w:b/>
                <w:color w:val="00555A"/>
                <w:sz w:val="12"/>
                <w:szCs w:val="12"/>
              </w:rPr>
              <w:t>3. Scope and boundaries</w:t>
            </w:r>
          </w:p>
          <w:p w14:paraId="359E92C1" w14:textId="77777777" w:rsidR="00D662AC" w:rsidRPr="005D6C74" w:rsidRDefault="00D662AC" w:rsidP="00D662AC">
            <w:pPr>
              <w:spacing w:line="240" w:lineRule="auto"/>
              <w:rPr>
                <w:sz w:val="12"/>
                <w:szCs w:val="12"/>
              </w:rPr>
            </w:pPr>
            <w:r w:rsidRPr="005D6C74">
              <w:rPr>
                <w:color w:val="142326"/>
                <w:sz w:val="12"/>
                <w:szCs w:val="12"/>
              </w:rPr>
              <w:t>Agreed deliverables and exclusions limit scope in infrastructure megaprojects as scope that is not clearly defined can cause increase in costs (He et al., 2015).</w:t>
            </w:r>
          </w:p>
          <w:tbl>
            <w:tblPr>
              <w:tblW w:w="5694" w:type="dxa"/>
              <w:tblLayout w:type="fixed"/>
              <w:tblLook w:val="04A0" w:firstRow="1" w:lastRow="0" w:firstColumn="1" w:lastColumn="0" w:noHBand="0" w:noVBand="1"/>
            </w:tblPr>
            <w:tblGrid>
              <w:gridCol w:w="2634"/>
              <w:gridCol w:w="3060"/>
            </w:tblGrid>
            <w:tr w:rsidR="00D662AC" w:rsidRPr="005D6C74" w14:paraId="7D51C1F9" w14:textId="77777777" w:rsidTr="00D662AC">
              <w:trPr>
                <w:trHeight w:val="327"/>
              </w:trPr>
              <w:tc>
                <w:tcPr>
                  <w:tcW w:w="2634" w:type="dxa"/>
                  <w:tcBorders>
                    <w:top w:val="single" w:sz="5" w:space="0" w:color="C7D9DD"/>
                    <w:left w:val="single" w:sz="5" w:space="0" w:color="C7D9DD"/>
                    <w:bottom w:val="single" w:sz="5" w:space="0" w:color="C7D9DD"/>
                    <w:right w:val="single" w:sz="5" w:space="0" w:color="C7D9DD"/>
                  </w:tcBorders>
                  <w:shd w:val="clear" w:color="auto" w:fill="DCEEEE"/>
                  <w:tcMar>
                    <w:top w:w="35" w:type="dxa"/>
                    <w:left w:w="35" w:type="dxa"/>
                    <w:bottom w:w="35" w:type="dxa"/>
                    <w:right w:w="35" w:type="dxa"/>
                  </w:tcMar>
                </w:tcPr>
                <w:p w14:paraId="1F70C085" w14:textId="77777777" w:rsidR="00D662AC" w:rsidRPr="005D6C74" w:rsidRDefault="00D662AC" w:rsidP="00D662AC">
                  <w:pPr>
                    <w:spacing w:line="240" w:lineRule="auto"/>
                    <w:jc w:val="center"/>
                    <w:rPr>
                      <w:sz w:val="12"/>
                      <w:szCs w:val="12"/>
                    </w:rPr>
                  </w:pPr>
                  <w:r w:rsidRPr="005D6C74">
                    <w:rPr>
                      <w:b/>
                      <w:color w:val="00555A"/>
                      <w:sz w:val="12"/>
                      <w:szCs w:val="12"/>
                    </w:rPr>
                    <w:t>In scope</w:t>
                  </w:r>
                </w:p>
              </w:tc>
              <w:tc>
                <w:tcPr>
                  <w:tcW w:w="3060" w:type="dxa"/>
                  <w:tcBorders>
                    <w:top w:val="single" w:sz="5" w:space="0" w:color="C7D9DD"/>
                    <w:left w:val="single" w:sz="5" w:space="0" w:color="C7D9DD"/>
                    <w:bottom w:val="single" w:sz="5" w:space="0" w:color="C7D9DD"/>
                    <w:right w:val="single" w:sz="5" w:space="0" w:color="C7D9DD"/>
                  </w:tcBorders>
                  <w:shd w:val="clear" w:color="auto" w:fill="DCEEEE"/>
                  <w:tcMar>
                    <w:top w:w="35" w:type="dxa"/>
                    <w:left w:w="35" w:type="dxa"/>
                    <w:bottom w:w="35" w:type="dxa"/>
                    <w:right w:w="35" w:type="dxa"/>
                  </w:tcMar>
                </w:tcPr>
                <w:p w14:paraId="43966FF4" w14:textId="77777777" w:rsidR="00D662AC" w:rsidRPr="005D6C74" w:rsidRDefault="00D662AC" w:rsidP="00D662AC">
                  <w:pPr>
                    <w:spacing w:line="240" w:lineRule="auto"/>
                    <w:jc w:val="center"/>
                    <w:rPr>
                      <w:sz w:val="12"/>
                      <w:szCs w:val="12"/>
                    </w:rPr>
                  </w:pPr>
                  <w:r w:rsidRPr="005D6C74">
                    <w:rPr>
                      <w:b/>
                      <w:color w:val="00555A"/>
                      <w:sz w:val="12"/>
                      <w:szCs w:val="12"/>
                    </w:rPr>
                    <w:t>Out of scope</w:t>
                  </w:r>
                </w:p>
              </w:tc>
            </w:tr>
            <w:tr w:rsidR="00D662AC" w:rsidRPr="005D6C74" w14:paraId="5B1792E9" w14:textId="77777777" w:rsidTr="00D662AC">
              <w:trPr>
                <w:trHeight w:val="96"/>
              </w:trPr>
              <w:tc>
                <w:tcPr>
                  <w:tcW w:w="2634" w:type="dxa"/>
                  <w:tcBorders>
                    <w:top w:val="single" w:sz="5" w:space="0" w:color="C7D9DD"/>
                    <w:left w:val="single" w:sz="5" w:space="0" w:color="C7D9DD"/>
                    <w:bottom w:val="single" w:sz="5" w:space="0" w:color="C7D9DD"/>
                    <w:right w:val="single" w:sz="5" w:space="0" w:color="C7D9DD"/>
                  </w:tcBorders>
                  <w:tcMar>
                    <w:top w:w="35" w:type="dxa"/>
                    <w:left w:w="35" w:type="dxa"/>
                    <w:bottom w:w="35" w:type="dxa"/>
                    <w:right w:w="35" w:type="dxa"/>
                  </w:tcMar>
                </w:tcPr>
                <w:p w14:paraId="448B6199" w14:textId="77777777" w:rsidR="00D662AC" w:rsidRPr="005D6C74" w:rsidRDefault="00D662AC" w:rsidP="00D662AC">
                  <w:pPr>
                    <w:spacing w:line="240" w:lineRule="auto"/>
                    <w:rPr>
                      <w:sz w:val="12"/>
                      <w:szCs w:val="12"/>
                    </w:rPr>
                  </w:pPr>
                  <w:r w:rsidRPr="005D6C74">
                    <w:rPr>
                      <w:color w:val="142326"/>
                      <w:sz w:val="12"/>
                      <w:szCs w:val="12"/>
                    </w:rPr>
                    <w:t xml:space="preserve">Site </w:t>
                  </w:r>
                  <w:proofErr w:type="spellStart"/>
                  <w:r w:rsidRPr="005D6C74">
                    <w:rPr>
                      <w:color w:val="142326"/>
                      <w:sz w:val="12"/>
                      <w:szCs w:val="12"/>
                    </w:rPr>
                    <w:t>stabilisation</w:t>
                  </w:r>
                  <w:proofErr w:type="spellEnd"/>
                  <w:r w:rsidRPr="005D6C74">
                    <w:rPr>
                      <w:color w:val="142326"/>
                      <w:sz w:val="12"/>
                      <w:szCs w:val="12"/>
                    </w:rPr>
                    <w:t>; demolition; concourse; bus interchange; freight access; utilities; digital systems; testing and handover.</w:t>
                  </w:r>
                </w:p>
              </w:tc>
              <w:tc>
                <w:tcPr>
                  <w:tcW w:w="3060" w:type="dxa"/>
                  <w:tcBorders>
                    <w:top w:val="single" w:sz="5" w:space="0" w:color="C7D9DD"/>
                    <w:left w:val="single" w:sz="5" w:space="0" w:color="C7D9DD"/>
                    <w:bottom w:val="single" w:sz="5" w:space="0" w:color="C7D9DD"/>
                    <w:right w:val="single" w:sz="5" w:space="0" w:color="C7D9DD"/>
                  </w:tcBorders>
                  <w:tcMar>
                    <w:top w:w="35" w:type="dxa"/>
                    <w:left w:w="35" w:type="dxa"/>
                    <w:bottom w:w="35" w:type="dxa"/>
                    <w:right w:w="35" w:type="dxa"/>
                  </w:tcMar>
                </w:tcPr>
                <w:p w14:paraId="322BF30A" w14:textId="77777777" w:rsidR="00D662AC" w:rsidRPr="005D6C74" w:rsidRDefault="00D662AC" w:rsidP="00D662AC">
                  <w:pPr>
                    <w:spacing w:line="240" w:lineRule="auto"/>
                    <w:rPr>
                      <w:sz w:val="12"/>
                      <w:szCs w:val="12"/>
                    </w:rPr>
                  </w:pPr>
                  <w:r w:rsidRPr="005D6C74">
                    <w:rPr>
                      <w:color w:val="142326"/>
                      <w:sz w:val="12"/>
                      <w:szCs w:val="12"/>
                    </w:rPr>
                    <w:t>City-wide rail upgrades; private commercial redevelopment beyond agreed retail units; long-term timetable reform; housing renewal.</w:t>
                  </w:r>
                </w:p>
              </w:tc>
            </w:tr>
            <w:tr w:rsidR="00D662AC" w:rsidRPr="005D6C74" w14:paraId="2DC83144" w14:textId="77777777" w:rsidTr="00D662AC">
              <w:trPr>
                <w:trHeight w:val="17"/>
              </w:trPr>
              <w:tc>
                <w:tcPr>
                  <w:tcW w:w="2634" w:type="dxa"/>
                  <w:tcBorders>
                    <w:top w:val="single" w:sz="5" w:space="0" w:color="C7D9DD"/>
                    <w:left w:val="single" w:sz="5" w:space="0" w:color="C7D9DD"/>
                    <w:bottom w:val="single" w:sz="5" w:space="0" w:color="C7D9DD"/>
                    <w:right w:val="single" w:sz="5" w:space="0" w:color="C7D9DD"/>
                  </w:tcBorders>
                  <w:tcMar>
                    <w:top w:w="35" w:type="dxa"/>
                    <w:left w:w="35" w:type="dxa"/>
                    <w:bottom w:w="35" w:type="dxa"/>
                    <w:right w:w="35" w:type="dxa"/>
                  </w:tcMar>
                </w:tcPr>
                <w:p w14:paraId="326BCB0A" w14:textId="77777777" w:rsidR="00D662AC" w:rsidRPr="005D6C74" w:rsidRDefault="00D662AC" w:rsidP="00D662AC">
                  <w:pPr>
                    <w:spacing w:line="240" w:lineRule="auto"/>
                    <w:rPr>
                      <w:sz w:val="12"/>
                      <w:szCs w:val="12"/>
                    </w:rPr>
                  </w:pPr>
                  <w:r w:rsidRPr="005D6C74">
                    <w:rPr>
                      <w:i/>
                      <w:color w:val="142326"/>
                      <w:sz w:val="12"/>
                      <w:szCs w:val="12"/>
                    </w:rPr>
                    <w:t>Boundary: restores the hub and immediate access routes.</w:t>
                  </w:r>
                </w:p>
              </w:tc>
              <w:tc>
                <w:tcPr>
                  <w:tcW w:w="3060" w:type="dxa"/>
                  <w:tcBorders>
                    <w:top w:val="single" w:sz="5" w:space="0" w:color="C7D9DD"/>
                    <w:left w:val="single" w:sz="5" w:space="0" w:color="C7D9DD"/>
                    <w:bottom w:val="single" w:sz="5" w:space="0" w:color="C7D9DD"/>
                    <w:right w:val="single" w:sz="5" w:space="0" w:color="C7D9DD"/>
                  </w:tcBorders>
                  <w:tcMar>
                    <w:top w:w="35" w:type="dxa"/>
                    <w:left w:w="35" w:type="dxa"/>
                    <w:bottom w:w="35" w:type="dxa"/>
                    <w:right w:w="35" w:type="dxa"/>
                  </w:tcMar>
                </w:tcPr>
                <w:p w14:paraId="6C5902AA" w14:textId="77777777" w:rsidR="00D662AC" w:rsidRPr="005D6C74" w:rsidRDefault="00D662AC" w:rsidP="00D662AC">
                  <w:pPr>
                    <w:spacing w:line="240" w:lineRule="auto"/>
                    <w:rPr>
                      <w:sz w:val="12"/>
                      <w:szCs w:val="12"/>
                    </w:rPr>
                  </w:pPr>
                  <w:r w:rsidRPr="005D6C74">
                    <w:rPr>
                      <w:i/>
                      <w:color w:val="142326"/>
                      <w:sz w:val="12"/>
                      <w:szCs w:val="12"/>
                    </w:rPr>
                    <w:t>Boundary: wider regeneration remains separate.</w:t>
                  </w:r>
                </w:p>
              </w:tc>
            </w:tr>
          </w:tbl>
          <w:p w14:paraId="7416BAC4" w14:textId="77777777" w:rsidR="00D662AC" w:rsidRPr="005D6C74" w:rsidRDefault="00D662AC" w:rsidP="00D662AC">
            <w:pPr>
              <w:spacing w:line="240" w:lineRule="auto"/>
              <w:jc w:val="center"/>
              <w:rPr>
                <w:i/>
                <w:color w:val="373C41"/>
                <w:sz w:val="12"/>
                <w:szCs w:val="12"/>
              </w:rPr>
            </w:pPr>
            <w:r w:rsidRPr="005D6C74">
              <w:rPr>
                <w:i/>
                <w:color w:val="373C41"/>
                <w:sz w:val="12"/>
                <w:szCs w:val="12"/>
              </w:rPr>
              <w:t xml:space="preserve">Table 1: Scope and boundaries. </w:t>
            </w:r>
          </w:p>
          <w:p w14:paraId="2707F2D5" w14:textId="182541F8" w:rsidR="00D662AC" w:rsidRPr="005D6C74" w:rsidRDefault="00D662AC" w:rsidP="00D662AC">
            <w:pPr>
              <w:spacing w:line="240" w:lineRule="auto"/>
              <w:jc w:val="center"/>
              <w:rPr>
                <w:i/>
                <w:color w:val="373C41"/>
                <w:sz w:val="12"/>
                <w:szCs w:val="12"/>
              </w:rPr>
            </w:pPr>
            <w:r w:rsidRPr="005D6C74">
              <w:rPr>
                <w:i/>
                <w:color w:val="373C41"/>
                <w:sz w:val="12"/>
                <w:szCs w:val="12"/>
              </w:rPr>
              <w:t>Source: Author</w:t>
            </w:r>
          </w:p>
          <w:p w14:paraId="76FB9225" w14:textId="77777777" w:rsidR="00D662AC" w:rsidRPr="005D6C74" w:rsidRDefault="00D662AC" w:rsidP="00D662AC">
            <w:pPr>
              <w:spacing w:line="240" w:lineRule="auto"/>
              <w:jc w:val="center"/>
              <w:rPr>
                <w:sz w:val="12"/>
                <w:szCs w:val="12"/>
              </w:rPr>
            </w:pPr>
            <w:r w:rsidRPr="005D6C74">
              <w:rPr>
                <w:noProof/>
                <w:sz w:val="12"/>
                <w:szCs w:val="12"/>
              </w:rPr>
              <w:drawing>
                <wp:inline distT="0" distB="0" distL="0" distR="0" wp14:anchorId="6E0D8C66" wp14:editId="58FCA147">
                  <wp:extent cx="2923842" cy="831272"/>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23842" cy="831272"/>
                          </a:xfrm>
                          <a:prstGeom prst="rect">
                            <a:avLst/>
                          </a:prstGeom>
                          <a:noFill/>
                          <a:ln>
                            <a:noFill/>
                          </a:ln>
                        </pic:spPr>
                      </pic:pic>
                    </a:graphicData>
                  </a:graphic>
                </wp:inline>
              </w:drawing>
            </w:r>
          </w:p>
        </w:tc>
        <w:tc>
          <w:tcPr>
            <w:tcW w:w="5940" w:type="dxa"/>
            <w:tcBorders>
              <w:top w:val="single" w:sz="8" w:space="0" w:color="B8CCD1"/>
              <w:left w:val="single" w:sz="8" w:space="0" w:color="B8CCD1"/>
              <w:bottom w:val="single" w:sz="8" w:space="0" w:color="B8CCD1"/>
              <w:right w:val="single" w:sz="8" w:space="0" w:color="B8CCD1"/>
            </w:tcBorders>
            <w:tcMar>
              <w:top w:w="55" w:type="dxa"/>
              <w:left w:w="65" w:type="dxa"/>
              <w:bottom w:w="45" w:type="dxa"/>
              <w:right w:w="65" w:type="dxa"/>
            </w:tcMar>
          </w:tcPr>
          <w:p w14:paraId="2C227B32" w14:textId="77777777" w:rsidR="00D662AC" w:rsidRPr="005D6C74" w:rsidRDefault="00D662AC" w:rsidP="00D662AC">
            <w:pPr>
              <w:spacing w:before="20" w:line="240" w:lineRule="auto"/>
              <w:rPr>
                <w:sz w:val="12"/>
                <w:szCs w:val="12"/>
              </w:rPr>
            </w:pPr>
            <w:r w:rsidRPr="005D6C74">
              <w:rPr>
                <w:b/>
                <w:color w:val="00555A"/>
                <w:sz w:val="12"/>
                <w:szCs w:val="12"/>
              </w:rPr>
              <w:t>4. Key stakeholders</w:t>
            </w:r>
          </w:p>
          <w:p w14:paraId="41DCFA6A" w14:textId="77777777" w:rsidR="00D662AC" w:rsidRPr="005D6C74" w:rsidRDefault="00D662AC" w:rsidP="00D662AC">
            <w:pPr>
              <w:spacing w:line="240" w:lineRule="auto"/>
              <w:jc w:val="center"/>
              <w:rPr>
                <w:sz w:val="12"/>
                <w:szCs w:val="12"/>
              </w:rPr>
            </w:pPr>
            <w:r w:rsidRPr="005D6C74">
              <w:rPr>
                <w:noProof/>
                <w:sz w:val="12"/>
                <w:szCs w:val="12"/>
              </w:rPr>
              <w:drawing>
                <wp:inline distT="0" distB="0" distL="0" distR="0" wp14:anchorId="045D44DD" wp14:editId="4575CDD3">
                  <wp:extent cx="3495675" cy="1953271"/>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stakeholders.png"/>
                          <pic:cNvPicPr/>
                        </pic:nvPicPr>
                        <pic:blipFill>
                          <a:blip r:embed="rId13"/>
                          <a:stretch>
                            <a:fillRect/>
                          </a:stretch>
                        </pic:blipFill>
                        <pic:spPr>
                          <a:xfrm>
                            <a:off x="0" y="0"/>
                            <a:ext cx="3529208" cy="1972008"/>
                          </a:xfrm>
                          <a:prstGeom prst="rect">
                            <a:avLst/>
                          </a:prstGeom>
                        </pic:spPr>
                      </pic:pic>
                    </a:graphicData>
                  </a:graphic>
                </wp:inline>
              </w:drawing>
            </w:r>
          </w:p>
          <w:p w14:paraId="557F98C3" w14:textId="77777777" w:rsidR="00D662AC" w:rsidRPr="005D6C74" w:rsidRDefault="00D662AC" w:rsidP="00D662AC">
            <w:pPr>
              <w:spacing w:line="240" w:lineRule="auto"/>
              <w:jc w:val="center"/>
              <w:rPr>
                <w:i/>
                <w:color w:val="373C41"/>
                <w:sz w:val="12"/>
                <w:szCs w:val="12"/>
              </w:rPr>
            </w:pPr>
            <w:r w:rsidRPr="005D6C74">
              <w:rPr>
                <w:i/>
                <w:color w:val="373C41"/>
                <w:sz w:val="12"/>
                <w:szCs w:val="12"/>
              </w:rPr>
              <w:t>Figure 3: Key stakeholders.</w:t>
            </w:r>
          </w:p>
          <w:p w14:paraId="1B144C08" w14:textId="77777777" w:rsidR="00D662AC" w:rsidRPr="005D6C74" w:rsidRDefault="00D662AC" w:rsidP="00D662AC">
            <w:pPr>
              <w:spacing w:line="240" w:lineRule="auto"/>
              <w:jc w:val="center"/>
              <w:rPr>
                <w:sz w:val="12"/>
                <w:szCs w:val="12"/>
              </w:rPr>
            </w:pPr>
            <w:r w:rsidRPr="005D6C74">
              <w:rPr>
                <w:i/>
                <w:color w:val="373C41"/>
                <w:sz w:val="12"/>
                <w:szCs w:val="12"/>
              </w:rPr>
              <w:t xml:space="preserve"> Source: Author.</w:t>
            </w:r>
          </w:p>
          <w:p w14:paraId="74B5848D" w14:textId="77777777" w:rsidR="00D662AC" w:rsidRPr="005D6C74" w:rsidRDefault="00D662AC" w:rsidP="00D662AC">
            <w:pPr>
              <w:spacing w:line="240" w:lineRule="auto"/>
              <w:rPr>
                <w:sz w:val="12"/>
                <w:szCs w:val="12"/>
              </w:rPr>
            </w:pPr>
            <w:r w:rsidRPr="005D6C74">
              <w:rPr>
                <w:color w:val="142326"/>
                <w:sz w:val="12"/>
                <w:szCs w:val="12"/>
              </w:rPr>
              <w:t>Local authority is the sponsor and client. Key stakeholders include transport operators, passengers, disabled-user-groups, businesses, logistics companies, safety regulators, emergency services, contractors and consultants. Stakeholder management has to be an ongoing process as competing claims, approvals and public acceptability will impact on the performance of the megaproject (Mok, Shen and Yang, 2015). Engagement will be achieved via a monthly project board, public accessibility forum, operator interface meetings, business liaison group and frequent disruption notices.</w:t>
            </w:r>
          </w:p>
          <w:p w14:paraId="72AB1785" w14:textId="77777777" w:rsidR="00D662AC" w:rsidRPr="005D6C74" w:rsidRDefault="00D662AC" w:rsidP="00D662AC">
            <w:pPr>
              <w:spacing w:before="20" w:line="240" w:lineRule="auto"/>
              <w:rPr>
                <w:sz w:val="12"/>
                <w:szCs w:val="12"/>
              </w:rPr>
            </w:pPr>
            <w:r w:rsidRPr="005D6C74">
              <w:rPr>
                <w:b/>
                <w:color w:val="00555A"/>
                <w:sz w:val="12"/>
                <w:szCs w:val="12"/>
              </w:rPr>
              <w:t>5. High-level risks and trade-offs</w:t>
            </w:r>
          </w:p>
          <w:tbl>
            <w:tblPr>
              <w:tblW w:w="6407" w:type="dxa"/>
              <w:tblLayout w:type="fixed"/>
              <w:tblLook w:val="04A0" w:firstRow="1" w:lastRow="0" w:firstColumn="1" w:lastColumn="0" w:noHBand="0" w:noVBand="1"/>
            </w:tblPr>
            <w:tblGrid>
              <w:gridCol w:w="1614"/>
              <w:gridCol w:w="2520"/>
              <w:gridCol w:w="2273"/>
            </w:tblGrid>
            <w:tr w:rsidR="00D662AC" w:rsidRPr="005D6C74" w14:paraId="5AE9F01C" w14:textId="77777777" w:rsidTr="00780154">
              <w:tc>
                <w:tcPr>
                  <w:tcW w:w="1614" w:type="dxa"/>
                  <w:tcBorders>
                    <w:top w:val="single" w:sz="5" w:space="0" w:color="C7D9DD"/>
                    <w:left w:val="single" w:sz="5" w:space="0" w:color="C7D9DD"/>
                    <w:bottom w:val="single" w:sz="5" w:space="0" w:color="C7D9DD"/>
                    <w:right w:val="single" w:sz="5" w:space="0" w:color="C7D9DD"/>
                  </w:tcBorders>
                  <w:shd w:val="clear" w:color="auto" w:fill="DCEEEE"/>
                  <w:tcMar>
                    <w:top w:w="30" w:type="dxa"/>
                    <w:left w:w="30" w:type="dxa"/>
                    <w:bottom w:w="30" w:type="dxa"/>
                    <w:right w:w="30" w:type="dxa"/>
                  </w:tcMar>
                </w:tcPr>
                <w:p w14:paraId="28B244BA" w14:textId="77777777" w:rsidR="00D662AC" w:rsidRPr="005D6C74" w:rsidRDefault="00D662AC" w:rsidP="00D662AC">
                  <w:pPr>
                    <w:spacing w:line="240" w:lineRule="auto"/>
                    <w:jc w:val="center"/>
                    <w:rPr>
                      <w:sz w:val="12"/>
                      <w:szCs w:val="12"/>
                    </w:rPr>
                  </w:pPr>
                  <w:r w:rsidRPr="005D6C74">
                    <w:rPr>
                      <w:b/>
                      <w:color w:val="00555A"/>
                      <w:sz w:val="12"/>
                      <w:szCs w:val="12"/>
                    </w:rPr>
                    <w:t>Risk</w:t>
                  </w:r>
                </w:p>
              </w:tc>
              <w:tc>
                <w:tcPr>
                  <w:tcW w:w="2520" w:type="dxa"/>
                  <w:tcBorders>
                    <w:top w:val="single" w:sz="5" w:space="0" w:color="C7D9DD"/>
                    <w:left w:val="single" w:sz="5" w:space="0" w:color="C7D9DD"/>
                    <w:bottom w:val="single" w:sz="5" w:space="0" w:color="C7D9DD"/>
                    <w:right w:val="single" w:sz="5" w:space="0" w:color="C7D9DD"/>
                  </w:tcBorders>
                  <w:shd w:val="clear" w:color="auto" w:fill="DCEEEE"/>
                  <w:tcMar>
                    <w:top w:w="30" w:type="dxa"/>
                    <w:left w:w="30" w:type="dxa"/>
                    <w:bottom w:w="30" w:type="dxa"/>
                    <w:right w:w="30" w:type="dxa"/>
                  </w:tcMar>
                </w:tcPr>
                <w:p w14:paraId="5A034D57" w14:textId="77777777" w:rsidR="00D662AC" w:rsidRPr="005D6C74" w:rsidRDefault="00D662AC" w:rsidP="00D662AC">
                  <w:pPr>
                    <w:spacing w:line="240" w:lineRule="auto"/>
                    <w:jc w:val="center"/>
                    <w:rPr>
                      <w:sz w:val="12"/>
                      <w:szCs w:val="12"/>
                    </w:rPr>
                  </w:pPr>
                  <w:r w:rsidRPr="005D6C74">
                    <w:rPr>
                      <w:b/>
                      <w:color w:val="00555A"/>
                      <w:sz w:val="12"/>
                      <w:szCs w:val="12"/>
                    </w:rPr>
                    <w:t>Control</w:t>
                  </w:r>
                </w:p>
              </w:tc>
              <w:tc>
                <w:tcPr>
                  <w:tcW w:w="2273" w:type="dxa"/>
                  <w:tcBorders>
                    <w:top w:val="single" w:sz="5" w:space="0" w:color="C7D9DD"/>
                    <w:left w:val="single" w:sz="5" w:space="0" w:color="C7D9DD"/>
                    <w:bottom w:val="single" w:sz="5" w:space="0" w:color="C7D9DD"/>
                    <w:right w:val="single" w:sz="5" w:space="0" w:color="C7D9DD"/>
                  </w:tcBorders>
                  <w:shd w:val="clear" w:color="auto" w:fill="DCEEEE"/>
                  <w:tcMar>
                    <w:top w:w="30" w:type="dxa"/>
                    <w:left w:w="30" w:type="dxa"/>
                    <w:bottom w:w="30" w:type="dxa"/>
                    <w:right w:w="30" w:type="dxa"/>
                  </w:tcMar>
                </w:tcPr>
                <w:p w14:paraId="4BBADE2B" w14:textId="77777777" w:rsidR="00D662AC" w:rsidRPr="005D6C74" w:rsidRDefault="00D662AC" w:rsidP="00D662AC">
                  <w:pPr>
                    <w:spacing w:line="240" w:lineRule="auto"/>
                    <w:jc w:val="center"/>
                    <w:rPr>
                      <w:sz w:val="12"/>
                      <w:szCs w:val="12"/>
                    </w:rPr>
                  </w:pPr>
                  <w:r w:rsidRPr="005D6C74">
                    <w:rPr>
                      <w:b/>
                      <w:color w:val="00555A"/>
                      <w:sz w:val="12"/>
                      <w:szCs w:val="12"/>
                    </w:rPr>
                    <w:t>Trade-off</w:t>
                  </w:r>
                </w:p>
              </w:tc>
            </w:tr>
            <w:tr w:rsidR="00D662AC" w:rsidRPr="005D6C74" w14:paraId="7BE9C563" w14:textId="77777777" w:rsidTr="00780154">
              <w:tc>
                <w:tcPr>
                  <w:tcW w:w="1614"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5BAD4FDE" w14:textId="77777777" w:rsidR="00D662AC" w:rsidRPr="005D6C74" w:rsidRDefault="00D662AC" w:rsidP="00D662AC">
                  <w:pPr>
                    <w:spacing w:line="240" w:lineRule="auto"/>
                    <w:rPr>
                      <w:sz w:val="12"/>
                      <w:szCs w:val="12"/>
                    </w:rPr>
                  </w:pPr>
                  <w:r w:rsidRPr="005D6C74">
                    <w:rPr>
                      <w:color w:val="142326"/>
                      <w:sz w:val="12"/>
                      <w:szCs w:val="12"/>
                    </w:rPr>
                    <w:t>Cost growth</w:t>
                  </w:r>
                </w:p>
              </w:tc>
              <w:tc>
                <w:tcPr>
                  <w:tcW w:w="2520"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22DDCE7E" w14:textId="77777777" w:rsidR="00D662AC" w:rsidRPr="005D6C74" w:rsidRDefault="00D662AC" w:rsidP="00D662AC">
                  <w:pPr>
                    <w:spacing w:line="240" w:lineRule="auto"/>
                    <w:rPr>
                      <w:sz w:val="12"/>
                      <w:szCs w:val="12"/>
                    </w:rPr>
                  </w:pPr>
                  <w:r w:rsidRPr="005D6C74">
                    <w:rPr>
                      <w:color w:val="142326"/>
                      <w:sz w:val="12"/>
                      <w:szCs w:val="12"/>
                    </w:rPr>
                    <w:t>Phase gates, cost plan, change control</w:t>
                  </w:r>
                </w:p>
              </w:tc>
              <w:tc>
                <w:tcPr>
                  <w:tcW w:w="2273"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32477F42" w14:textId="77777777" w:rsidR="00D662AC" w:rsidRPr="005D6C74" w:rsidRDefault="00D662AC" w:rsidP="00D662AC">
                  <w:pPr>
                    <w:spacing w:line="240" w:lineRule="auto"/>
                    <w:rPr>
                      <w:sz w:val="12"/>
                      <w:szCs w:val="12"/>
                    </w:rPr>
                  </w:pPr>
                  <w:r w:rsidRPr="005D6C74">
                    <w:rPr>
                      <w:color w:val="142326"/>
                      <w:sz w:val="12"/>
                      <w:szCs w:val="12"/>
                    </w:rPr>
                    <w:t>Some features deferred</w:t>
                  </w:r>
                </w:p>
              </w:tc>
            </w:tr>
            <w:tr w:rsidR="00D662AC" w:rsidRPr="005D6C74" w14:paraId="0465076E" w14:textId="77777777" w:rsidTr="00780154">
              <w:tc>
                <w:tcPr>
                  <w:tcW w:w="1614"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524672EE" w14:textId="77777777" w:rsidR="00D662AC" w:rsidRPr="005D6C74" w:rsidRDefault="00D662AC" w:rsidP="00D662AC">
                  <w:pPr>
                    <w:spacing w:line="240" w:lineRule="auto"/>
                    <w:rPr>
                      <w:sz w:val="12"/>
                      <w:szCs w:val="12"/>
                    </w:rPr>
                  </w:pPr>
                  <w:r w:rsidRPr="005D6C74">
                    <w:rPr>
                      <w:color w:val="142326"/>
                      <w:sz w:val="12"/>
                      <w:szCs w:val="12"/>
                    </w:rPr>
                    <w:t>Passenger disruption</w:t>
                  </w:r>
                </w:p>
              </w:tc>
              <w:tc>
                <w:tcPr>
                  <w:tcW w:w="2520"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73B3F9FC" w14:textId="77777777" w:rsidR="00D662AC" w:rsidRPr="005D6C74" w:rsidRDefault="00D662AC" w:rsidP="00D662AC">
                  <w:pPr>
                    <w:spacing w:line="240" w:lineRule="auto"/>
                    <w:rPr>
                      <w:sz w:val="12"/>
                      <w:szCs w:val="12"/>
                    </w:rPr>
                  </w:pPr>
                  <w:r w:rsidRPr="005D6C74">
                    <w:rPr>
                      <w:color w:val="142326"/>
                      <w:sz w:val="12"/>
                      <w:szCs w:val="12"/>
                    </w:rPr>
                    <w:t>Temporary routes, night works, logistics plan</w:t>
                  </w:r>
                </w:p>
              </w:tc>
              <w:tc>
                <w:tcPr>
                  <w:tcW w:w="2273"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5A8A3D78" w14:textId="77777777" w:rsidR="00D662AC" w:rsidRPr="005D6C74" w:rsidRDefault="00D662AC" w:rsidP="00D662AC">
                  <w:pPr>
                    <w:spacing w:line="240" w:lineRule="auto"/>
                    <w:rPr>
                      <w:sz w:val="12"/>
                      <w:szCs w:val="12"/>
                    </w:rPr>
                  </w:pPr>
                  <w:r w:rsidRPr="005D6C74">
                    <w:rPr>
                      <w:color w:val="142326"/>
                      <w:sz w:val="12"/>
                      <w:szCs w:val="12"/>
                    </w:rPr>
                    <w:t>Higher enabling cost</w:t>
                  </w:r>
                </w:p>
              </w:tc>
            </w:tr>
            <w:tr w:rsidR="00D662AC" w:rsidRPr="005D6C74" w14:paraId="61EBA499" w14:textId="77777777" w:rsidTr="00780154">
              <w:tc>
                <w:tcPr>
                  <w:tcW w:w="1614"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32DAAA7A" w14:textId="77777777" w:rsidR="00D662AC" w:rsidRPr="005D6C74" w:rsidRDefault="00D662AC" w:rsidP="00D662AC">
                  <w:pPr>
                    <w:spacing w:line="240" w:lineRule="auto"/>
                    <w:rPr>
                      <w:sz w:val="12"/>
                      <w:szCs w:val="12"/>
                    </w:rPr>
                  </w:pPr>
                  <w:r w:rsidRPr="005D6C74">
                    <w:rPr>
                      <w:color w:val="142326"/>
                      <w:sz w:val="12"/>
                      <w:szCs w:val="12"/>
                    </w:rPr>
                    <w:t>Consent delay</w:t>
                  </w:r>
                </w:p>
              </w:tc>
              <w:tc>
                <w:tcPr>
                  <w:tcW w:w="2520"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09CAE7E9" w14:textId="77777777" w:rsidR="00D662AC" w:rsidRPr="005D6C74" w:rsidRDefault="00D662AC" w:rsidP="00D662AC">
                  <w:pPr>
                    <w:spacing w:line="240" w:lineRule="auto"/>
                    <w:rPr>
                      <w:sz w:val="12"/>
                      <w:szCs w:val="12"/>
                    </w:rPr>
                  </w:pPr>
                  <w:r w:rsidRPr="005D6C74">
                    <w:rPr>
                      <w:color w:val="142326"/>
                      <w:sz w:val="12"/>
                      <w:szCs w:val="12"/>
                    </w:rPr>
                    <w:t>Early regulator and fire review</w:t>
                  </w:r>
                </w:p>
              </w:tc>
              <w:tc>
                <w:tcPr>
                  <w:tcW w:w="2273"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482F841A" w14:textId="77777777" w:rsidR="00D662AC" w:rsidRPr="005D6C74" w:rsidRDefault="00D662AC" w:rsidP="00D662AC">
                  <w:pPr>
                    <w:spacing w:line="240" w:lineRule="auto"/>
                    <w:rPr>
                      <w:sz w:val="12"/>
                      <w:szCs w:val="12"/>
                    </w:rPr>
                  </w:pPr>
                  <w:r w:rsidRPr="005D6C74">
                    <w:rPr>
                      <w:color w:val="142326"/>
                      <w:sz w:val="12"/>
                      <w:szCs w:val="12"/>
                    </w:rPr>
                    <w:t>More design iterations</w:t>
                  </w:r>
                </w:p>
              </w:tc>
            </w:tr>
            <w:tr w:rsidR="00D662AC" w:rsidRPr="005D6C74" w14:paraId="395F27F9" w14:textId="77777777" w:rsidTr="00780154">
              <w:tc>
                <w:tcPr>
                  <w:tcW w:w="1614"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2816628B" w14:textId="77777777" w:rsidR="00D662AC" w:rsidRPr="005D6C74" w:rsidRDefault="00D662AC" w:rsidP="00D662AC">
                  <w:pPr>
                    <w:spacing w:line="240" w:lineRule="auto"/>
                    <w:rPr>
                      <w:sz w:val="12"/>
                      <w:szCs w:val="12"/>
                    </w:rPr>
                  </w:pPr>
                  <w:r w:rsidRPr="005D6C74">
                    <w:rPr>
                      <w:color w:val="142326"/>
                      <w:sz w:val="12"/>
                      <w:szCs w:val="12"/>
                    </w:rPr>
                    <w:t>Stakeholder conflict</w:t>
                  </w:r>
                </w:p>
              </w:tc>
              <w:tc>
                <w:tcPr>
                  <w:tcW w:w="2520"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7DCF239E" w14:textId="77777777" w:rsidR="00D662AC" w:rsidRPr="005D6C74" w:rsidRDefault="00D662AC" w:rsidP="00D662AC">
                  <w:pPr>
                    <w:spacing w:line="240" w:lineRule="auto"/>
                    <w:rPr>
                      <w:sz w:val="12"/>
                      <w:szCs w:val="12"/>
                    </w:rPr>
                  </w:pPr>
                  <w:r w:rsidRPr="005D6C74">
                    <w:rPr>
                      <w:color w:val="142326"/>
                      <w:sz w:val="12"/>
                      <w:szCs w:val="12"/>
                    </w:rPr>
                    <w:t>Consultation and benefits map</w:t>
                  </w:r>
                </w:p>
              </w:tc>
              <w:tc>
                <w:tcPr>
                  <w:tcW w:w="2273"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0E965C49" w14:textId="77777777" w:rsidR="00D662AC" w:rsidRPr="005D6C74" w:rsidRDefault="00D662AC" w:rsidP="00D662AC">
                  <w:pPr>
                    <w:spacing w:line="240" w:lineRule="auto"/>
                    <w:rPr>
                      <w:sz w:val="12"/>
                      <w:szCs w:val="12"/>
                    </w:rPr>
                  </w:pPr>
                  <w:r w:rsidRPr="005D6C74">
                    <w:rPr>
                      <w:color w:val="142326"/>
                      <w:sz w:val="12"/>
                      <w:szCs w:val="12"/>
                    </w:rPr>
                    <w:t>Slower decisions</w:t>
                  </w:r>
                </w:p>
              </w:tc>
            </w:tr>
            <w:tr w:rsidR="00D662AC" w:rsidRPr="005D6C74" w14:paraId="66CD2CF5" w14:textId="77777777" w:rsidTr="00780154">
              <w:tc>
                <w:tcPr>
                  <w:tcW w:w="1614"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128D51ED" w14:textId="77777777" w:rsidR="00D662AC" w:rsidRPr="005D6C74" w:rsidRDefault="00D662AC" w:rsidP="00D662AC">
                  <w:pPr>
                    <w:spacing w:line="240" w:lineRule="auto"/>
                    <w:rPr>
                      <w:sz w:val="12"/>
                      <w:szCs w:val="12"/>
                    </w:rPr>
                  </w:pPr>
                  <w:r w:rsidRPr="005D6C74">
                    <w:rPr>
                      <w:color w:val="142326"/>
                      <w:sz w:val="12"/>
                      <w:szCs w:val="12"/>
                    </w:rPr>
                    <w:t>Procurement challenge</w:t>
                  </w:r>
                </w:p>
              </w:tc>
              <w:tc>
                <w:tcPr>
                  <w:tcW w:w="2520"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528CBC1A" w14:textId="77777777" w:rsidR="00D662AC" w:rsidRPr="005D6C74" w:rsidRDefault="00D662AC" w:rsidP="00D662AC">
                  <w:pPr>
                    <w:spacing w:line="240" w:lineRule="auto"/>
                    <w:rPr>
                      <w:sz w:val="12"/>
                      <w:szCs w:val="12"/>
                    </w:rPr>
                  </w:pPr>
                  <w:r w:rsidRPr="005D6C74">
                    <w:rPr>
                      <w:color w:val="142326"/>
                      <w:sz w:val="12"/>
                      <w:szCs w:val="12"/>
                    </w:rPr>
                    <w:t>Open tender and audit trails</w:t>
                  </w:r>
                </w:p>
              </w:tc>
              <w:tc>
                <w:tcPr>
                  <w:tcW w:w="2273" w:type="dxa"/>
                  <w:tcBorders>
                    <w:top w:val="single" w:sz="5" w:space="0" w:color="C7D9DD"/>
                    <w:left w:val="single" w:sz="5" w:space="0" w:color="C7D9DD"/>
                    <w:bottom w:val="single" w:sz="5" w:space="0" w:color="C7D9DD"/>
                    <w:right w:val="single" w:sz="5" w:space="0" w:color="C7D9DD"/>
                  </w:tcBorders>
                  <w:tcMar>
                    <w:top w:w="30" w:type="dxa"/>
                    <w:left w:w="30" w:type="dxa"/>
                    <w:bottom w:w="30" w:type="dxa"/>
                    <w:right w:w="30" w:type="dxa"/>
                  </w:tcMar>
                </w:tcPr>
                <w:p w14:paraId="7C190476" w14:textId="77777777" w:rsidR="00D662AC" w:rsidRPr="005D6C74" w:rsidRDefault="00D662AC" w:rsidP="00D662AC">
                  <w:pPr>
                    <w:spacing w:line="240" w:lineRule="auto"/>
                    <w:rPr>
                      <w:sz w:val="12"/>
                      <w:szCs w:val="12"/>
                    </w:rPr>
                  </w:pPr>
                  <w:r w:rsidRPr="005D6C74">
                    <w:rPr>
                      <w:color w:val="142326"/>
                      <w:sz w:val="12"/>
                      <w:szCs w:val="12"/>
                    </w:rPr>
                    <w:t>More assurance time</w:t>
                  </w:r>
                </w:p>
              </w:tc>
            </w:tr>
          </w:tbl>
          <w:p w14:paraId="6842AA36" w14:textId="77777777" w:rsidR="00D662AC" w:rsidRPr="005D6C74" w:rsidRDefault="00D662AC" w:rsidP="00D662AC">
            <w:pPr>
              <w:spacing w:line="240" w:lineRule="auto"/>
              <w:jc w:val="center"/>
              <w:rPr>
                <w:i/>
                <w:color w:val="373C41"/>
                <w:sz w:val="12"/>
                <w:szCs w:val="12"/>
              </w:rPr>
            </w:pPr>
            <w:r w:rsidRPr="005D6C74">
              <w:rPr>
                <w:i/>
                <w:color w:val="373C41"/>
                <w:sz w:val="12"/>
                <w:szCs w:val="12"/>
              </w:rPr>
              <w:t xml:space="preserve">Table 2: Risk and trade-off overview. </w:t>
            </w:r>
          </w:p>
          <w:p w14:paraId="6088D971" w14:textId="77777777" w:rsidR="00D662AC" w:rsidRPr="005D6C74" w:rsidRDefault="00D662AC" w:rsidP="00D662AC">
            <w:pPr>
              <w:spacing w:line="240" w:lineRule="auto"/>
              <w:jc w:val="center"/>
              <w:rPr>
                <w:sz w:val="12"/>
                <w:szCs w:val="12"/>
              </w:rPr>
            </w:pPr>
            <w:r w:rsidRPr="005D6C74">
              <w:rPr>
                <w:i/>
                <w:color w:val="373C41"/>
                <w:sz w:val="12"/>
                <w:szCs w:val="12"/>
              </w:rPr>
              <w:t>Source: Author.</w:t>
            </w:r>
          </w:p>
        </w:tc>
        <w:tc>
          <w:tcPr>
            <w:tcW w:w="4580" w:type="dxa"/>
            <w:tcBorders>
              <w:top w:val="single" w:sz="8" w:space="0" w:color="B8CCD1"/>
              <w:left w:val="single" w:sz="8" w:space="0" w:color="B8CCD1"/>
              <w:bottom w:val="single" w:sz="8" w:space="0" w:color="B8CCD1"/>
              <w:right w:val="single" w:sz="8" w:space="0" w:color="B8CCD1"/>
            </w:tcBorders>
            <w:tcMar>
              <w:top w:w="55" w:type="dxa"/>
              <w:left w:w="65" w:type="dxa"/>
              <w:bottom w:w="45" w:type="dxa"/>
              <w:right w:w="65" w:type="dxa"/>
            </w:tcMar>
          </w:tcPr>
          <w:p w14:paraId="7D0ABF9B" w14:textId="77777777" w:rsidR="00D662AC" w:rsidRPr="005D6C74" w:rsidRDefault="00D662AC" w:rsidP="00D662AC">
            <w:pPr>
              <w:spacing w:line="240" w:lineRule="auto"/>
              <w:rPr>
                <w:sz w:val="12"/>
                <w:szCs w:val="12"/>
              </w:rPr>
            </w:pPr>
            <w:r w:rsidRPr="005D6C74">
              <w:rPr>
                <w:color w:val="142326"/>
                <w:sz w:val="12"/>
                <w:szCs w:val="12"/>
              </w:rPr>
              <w:t>The trade-off that's crucial is speed versus assurance. A fast rebuild could achieve the restoration of capacity earlier, but poor design review or a lack of scrutiny in procurement could lead to higher legal, safety and cost risk. Therefore, it is important to have transparent reporting, independent review and clear decision records as public controls (Locatelli et al., 2017).</w:t>
            </w:r>
          </w:p>
          <w:p w14:paraId="20658B4E" w14:textId="77777777" w:rsidR="00D662AC" w:rsidRPr="005D6C74" w:rsidRDefault="00D662AC" w:rsidP="00D662AC">
            <w:pPr>
              <w:spacing w:line="240" w:lineRule="auto"/>
              <w:jc w:val="center"/>
              <w:rPr>
                <w:sz w:val="12"/>
                <w:szCs w:val="12"/>
              </w:rPr>
            </w:pPr>
            <w:r w:rsidRPr="005D6C74">
              <w:rPr>
                <w:noProof/>
                <w:sz w:val="12"/>
                <w:szCs w:val="12"/>
              </w:rPr>
              <w:drawing>
                <wp:inline distT="0" distB="0" distL="0" distR="0" wp14:anchorId="4AC50CB6" wp14:editId="5D692F79">
                  <wp:extent cx="2707878" cy="169536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risk_matrix.png"/>
                          <pic:cNvPicPr/>
                        </pic:nvPicPr>
                        <pic:blipFill>
                          <a:blip r:embed="rId14"/>
                          <a:stretch>
                            <a:fillRect/>
                          </a:stretch>
                        </pic:blipFill>
                        <pic:spPr>
                          <a:xfrm>
                            <a:off x="0" y="0"/>
                            <a:ext cx="2720938" cy="1703544"/>
                          </a:xfrm>
                          <a:prstGeom prst="rect">
                            <a:avLst/>
                          </a:prstGeom>
                        </pic:spPr>
                      </pic:pic>
                    </a:graphicData>
                  </a:graphic>
                </wp:inline>
              </w:drawing>
            </w:r>
          </w:p>
          <w:p w14:paraId="729DFBAF" w14:textId="77777777" w:rsidR="00D662AC" w:rsidRPr="005D6C74" w:rsidRDefault="00D662AC" w:rsidP="00D662AC">
            <w:pPr>
              <w:spacing w:line="240" w:lineRule="auto"/>
              <w:jc w:val="center"/>
              <w:rPr>
                <w:i/>
                <w:color w:val="373C41"/>
                <w:sz w:val="12"/>
                <w:szCs w:val="12"/>
              </w:rPr>
            </w:pPr>
            <w:r w:rsidRPr="005D6C74">
              <w:rPr>
                <w:i/>
                <w:color w:val="373C41"/>
                <w:sz w:val="12"/>
                <w:szCs w:val="12"/>
              </w:rPr>
              <w:t xml:space="preserve">Figure 4: High-level risk matrix and controls. </w:t>
            </w:r>
          </w:p>
          <w:p w14:paraId="31CD6C4D" w14:textId="77777777" w:rsidR="00D662AC" w:rsidRPr="005D6C74" w:rsidRDefault="00D662AC" w:rsidP="00D662AC">
            <w:pPr>
              <w:spacing w:line="240" w:lineRule="auto"/>
              <w:jc w:val="center"/>
              <w:rPr>
                <w:sz w:val="12"/>
                <w:szCs w:val="12"/>
              </w:rPr>
            </w:pPr>
            <w:r w:rsidRPr="005D6C74">
              <w:rPr>
                <w:i/>
                <w:color w:val="373C41"/>
                <w:sz w:val="12"/>
                <w:szCs w:val="12"/>
              </w:rPr>
              <w:t>Source: Author.</w:t>
            </w:r>
          </w:p>
          <w:p w14:paraId="30C0860A" w14:textId="77777777" w:rsidR="00D662AC" w:rsidRPr="005D6C74" w:rsidRDefault="00D662AC" w:rsidP="00D662AC">
            <w:pPr>
              <w:spacing w:before="20" w:line="240" w:lineRule="auto"/>
              <w:rPr>
                <w:sz w:val="12"/>
                <w:szCs w:val="12"/>
              </w:rPr>
            </w:pPr>
            <w:r w:rsidRPr="005D6C74">
              <w:rPr>
                <w:b/>
                <w:color w:val="00555A"/>
                <w:sz w:val="12"/>
                <w:szCs w:val="12"/>
              </w:rPr>
              <w:t>6. Strategic value of the project</w:t>
            </w:r>
          </w:p>
          <w:p w14:paraId="64E2ECB8" w14:textId="77777777" w:rsidR="00D662AC" w:rsidRPr="005D6C74" w:rsidRDefault="00D662AC" w:rsidP="00D662AC">
            <w:pPr>
              <w:spacing w:line="240" w:lineRule="auto"/>
              <w:rPr>
                <w:sz w:val="12"/>
                <w:szCs w:val="12"/>
              </w:rPr>
            </w:pPr>
            <w:r w:rsidRPr="005D6C74">
              <w:rPr>
                <w:color w:val="142326"/>
                <w:sz w:val="12"/>
                <w:szCs w:val="12"/>
              </w:rPr>
              <w:t>The strategic value is highest as redevelopment addresses the asset failure and safeguards future mobility. The project revitalizes the city's primary interchange, enhances safety for passengers, ensures reliability for freight and provides a viable recovery plan for local businesses. Lower carbon operations, and accessible urban design and digital coordination also provide a long-term value. Success will be assessed by the positive outcomes of safe handover, re-opened capacity, satisfaction of stakeholders, budget management, reduced disruption complaints and the achievement of agreed accessibility and environmental targets.</w:t>
            </w:r>
          </w:p>
          <w:p w14:paraId="70A04CCC" w14:textId="77777777" w:rsidR="00D662AC" w:rsidRPr="005D6C74" w:rsidRDefault="00D662AC" w:rsidP="00D662AC">
            <w:pPr>
              <w:spacing w:line="240" w:lineRule="auto"/>
              <w:jc w:val="center"/>
              <w:rPr>
                <w:sz w:val="12"/>
                <w:szCs w:val="12"/>
              </w:rPr>
            </w:pPr>
            <w:r w:rsidRPr="005D6C74">
              <w:rPr>
                <w:noProof/>
                <w:sz w:val="12"/>
                <w:szCs w:val="12"/>
              </w:rPr>
              <w:drawing>
                <wp:inline distT="0" distB="0" distL="0" distR="0" wp14:anchorId="11868572" wp14:editId="0E74E263">
                  <wp:extent cx="2457450" cy="9224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_value_map.png"/>
                          <pic:cNvPicPr/>
                        </pic:nvPicPr>
                        <pic:blipFill rotWithShape="1">
                          <a:blip r:embed="rId15"/>
                          <a:srcRect t="4564" b="9103"/>
                          <a:stretch/>
                        </pic:blipFill>
                        <pic:spPr bwMode="auto">
                          <a:xfrm>
                            <a:off x="0" y="0"/>
                            <a:ext cx="2478468" cy="930307"/>
                          </a:xfrm>
                          <a:prstGeom prst="rect">
                            <a:avLst/>
                          </a:prstGeom>
                          <a:ln>
                            <a:noFill/>
                          </a:ln>
                          <a:extLst>
                            <a:ext uri="{53640926-AAD7-44D8-BBD7-CCE9431645EC}">
                              <a14:shadowObscured xmlns:a14="http://schemas.microsoft.com/office/drawing/2010/main"/>
                            </a:ext>
                          </a:extLst>
                        </pic:spPr>
                      </pic:pic>
                    </a:graphicData>
                  </a:graphic>
                </wp:inline>
              </w:drawing>
            </w:r>
          </w:p>
          <w:p w14:paraId="50AF14E9" w14:textId="77777777" w:rsidR="00D662AC" w:rsidRPr="005D6C74" w:rsidRDefault="00D662AC" w:rsidP="00D662AC">
            <w:pPr>
              <w:spacing w:line="240" w:lineRule="auto"/>
              <w:jc w:val="center"/>
              <w:rPr>
                <w:i/>
                <w:color w:val="373C41"/>
                <w:sz w:val="12"/>
                <w:szCs w:val="12"/>
              </w:rPr>
            </w:pPr>
            <w:r w:rsidRPr="005D6C74">
              <w:rPr>
                <w:i/>
                <w:color w:val="373C41"/>
                <w:sz w:val="12"/>
                <w:szCs w:val="12"/>
              </w:rPr>
              <w:t>Figure 5: Strategic value map.</w:t>
            </w:r>
          </w:p>
          <w:p w14:paraId="67C21093" w14:textId="77777777" w:rsidR="00D662AC" w:rsidRPr="005D6C74" w:rsidRDefault="00D662AC" w:rsidP="00D662AC">
            <w:pPr>
              <w:spacing w:line="240" w:lineRule="auto"/>
              <w:jc w:val="center"/>
              <w:rPr>
                <w:i/>
                <w:color w:val="373C41"/>
                <w:sz w:val="12"/>
                <w:szCs w:val="12"/>
              </w:rPr>
            </w:pPr>
            <w:r w:rsidRPr="005D6C74">
              <w:rPr>
                <w:i/>
                <w:color w:val="373C41"/>
                <w:sz w:val="12"/>
                <w:szCs w:val="12"/>
              </w:rPr>
              <w:t xml:space="preserve"> Source: Author.</w:t>
            </w:r>
          </w:p>
          <w:p w14:paraId="1B02C0C1" w14:textId="77777777" w:rsidR="00D662AC" w:rsidRPr="005D6C74" w:rsidRDefault="00D662AC" w:rsidP="00D662AC">
            <w:pPr>
              <w:spacing w:line="240" w:lineRule="auto"/>
              <w:jc w:val="center"/>
              <w:rPr>
                <w:sz w:val="12"/>
                <w:szCs w:val="12"/>
              </w:rPr>
            </w:pPr>
          </w:p>
        </w:tc>
      </w:tr>
    </w:tbl>
    <w:p w14:paraId="21855345" w14:textId="77777777" w:rsidR="00416183" w:rsidRPr="005D6C74" w:rsidRDefault="00416183" w:rsidP="00D662AC">
      <w:pPr>
        <w:rPr>
          <w:sz w:val="12"/>
          <w:szCs w:val="12"/>
        </w:rPr>
      </w:pPr>
    </w:p>
    <w:tbl>
      <w:tblPr>
        <w:tblStyle w:val="TableGridLight"/>
        <w:tblW w:w="16375" w:type="dxa"/>
        <w:tblLayout w:type="fixed"/>
        <w:tblLook w:val="04A0" w:firstRow="1" w:lastRow="0" w:firstColumn="1" w:lastColumn="0" w:noHBand="0" w:noVBand="1"/>
      </w:tblPr>
      <w:tblGrid>
        <w:gridCol w:w="5845"/>
        <w:gridCol w:w="6030"/>
        <w:gridCol w:w="4500"/>
      </w:tblGrid>
      <w:tr w:rsidR="00416183" w:rsidRPr="005D6C74" w14:paraId="5EE5D63D" w14:textId="33795BF7" w:rsidTr="00416183">
        <w:tc>
          <w:tcPr>
            <w:tcW w:w="5845" w:type="dxa"/>
          </w:tcPr>
          <w:p w14:paraId="12D84F71" w14:textId="77777777" w:rsidR="00416183" w:rsidRPr="005D6C74" w:rsidRDefault="00416183" w:rsidP="00780154">
            <w:pPr>
              <w:spacing w:after="4" w:line="240" w:lineRule="auto"/>
              <w:rPr>
                <w:color w:val="142326"/>
                <w:sz w:val="12"/>
                <w:szCs w:val="12"/>
              </w:rPr>
            </w:pPr>
            <w:r w:rsidRPr="005D6C74">
              <w:rPr>
                <w:color w:val="142326"/>
                <w:sz w:val="12"/>
                <w:szCs w:val="12"/>
              </w:rPr>
              <w:t xml:space="preserve">He, Q., Luo, L., Hu, Y. and Chan, A.P.C. (2015) ‘Measuring the complexity of mega construction projects in China: A fuzzy analytic network process analysis’, </w:t>
            </w:r>
            <w:r w:rsidRPr="005D6C74">
              <w:rPr>
                <w:i/>
                <w:iCs/>
                <w:color w:val="142326"/>
                <w:sz w:val="12"/>
                <w:szCs w:val="12"/>
              </w:rPr>
              <w:t>International Journal of Project Management</w:t>
            </w:r>
            <w:r w:rsidRPr="005D6C74">
              <w:rPr>
                <w:color w:val="142326"/>
                <w:sz w:val="12"/>
                <w:szCs w:val="12"/>
              </w:rPr>
              <w:t>, 33(3), pp.</w:t>
            </w:r>
            <w:r w:rsidRPr="005D6C74">
              <w:rPr>
                <w:rFonts w:ascii="Arial" w:hAnsi="Arial" w:cs="Arial"/>
                <w:color w:val="142326"/>
                <w:sz w:val="12"/>
                <w:szCs w:val="12"/>
              </w:rPr>
              <w:t> </w:t>
            </w:r>
            <w:r w:rsidRPr="005D6C74">
              <w:rPr>
                <w:color w:val="142326"/>
                <w:sz w:val="12"/>
                <w:szCs w:val="12"/>
              </w:rPr>
              <w:t>549</w:t>
            </w:r>
            <w:r w:rsidRPr="005D6C74">
              <w:rPr>
                <w:rFonts w:cs="Corbel"/>
                <w:color w:val="142326"/>
                <w:sz w:val="12"/>
                <w:szCs w:val="12"/>
              </w:rPr>
              <w:t>–</w:t>
            </w:r>
            <w:r w:rsidRPr="005D6C74">
              <w:rPr>
                <w:color w:val="142326"/>
                <w:sz w:val="12"/>
                <w:szCs w:val="12"/>
              </w:rPr>
              <w:t xml:space="preserve">563. Available at: </w:t>
            </w:r>
            <w:hyperlink r:id="rId16" w:tgtFrame="_blank" w:tooltip="doi.org" w:history="1">
              <w:r w:rsidRPr="005D6C74">
                <w:rPr>
                  <w:rStyle w:val="Hyperlink"/>
                  <w:sz w:val="12"/>
                  <w:szCs w:val="12"/>
                </w:rPr>
                <w:t>https://doi.org/10.1016/j.ijproman.2014.07.009</w:t>
              </w:r>
            </w:hyperlink>
            <w:r w:rsidRPr="005D6C74">
              <w:rPr>
                <w:color w:val="142326"/>
                <w:sz w:val="12"/>
                <w:szCs w:val="12"/>
              </w:rPr>
              <w:t>.</w:t>
            </w:r>
          </w:p>
          <w:p w14:paraId="0F6C5F92" w14:textId="77777777" w:rsidR="00416183" w:rsidRPr="005D6C74" w:rsidRDefault="00416183" w:rsidP="00780154">
            <w:pPr>
              <w:spacing w:after="4" w:line="240" w:lineRule="auto"/>
              <w:rPr>
                <w:color w:val="142326"/>
                <w:sz w:val="12"/>
                <w:szCs w:val="12"/>
              </w:rPr>
            </w:pPr>
            <w:r w:rsidRPr="005D6C74">
              <w:rPr>
                <w:color w:val="142326"/>
                <w:sz w:val="12"/>
                <w:szCs w:val="12"/>
              </w:rPr>
              <w:t xml:space="preserve">Kerzner, H. (2022) </w:t>
            </w:r>
            <w:r w:rsidRPr="005D6C74">
              <w:rPr>
                <w:i/>
                <w:iCs/>
                <w:color w:val="142326"/>
                <w:sz w:val="12"/>
                <w:szCs w:val="12"/>
              </w:rPr>
              <w:t>Project management: A systems approach to planning, scheduling, and controlling</w:t>
            </w:r>
            <w:r w:rsidRPr="005D6C74">
              <w:rPr>
                <w:color w:val="142326"/>
                <w:sz w:val="12"/>
                <w:szCs w:val="12"/>
              </w:rPr>
              <w:t>. 13th</w:t>
            </w:r>
            <w:r w:rsidRPr="005D6C74">
              <w:rPr>
                <w:rFonts w:ascii="Arial" w:hAnsi="Arial" w:cs="Arial"/>
                <w:color w:val="142326"/>
                <w:sz w:val="12"/>
                <w:szCs w:val="12"/>
              </w:rPr>
              <w:t> </w:t>
            </w:r>
            <w:proofErr w:type="spellStart"/>
            <w:r w:rsidRPr="005D6C74">
              <w:rPr>
                <w:color w:val="142326"/>
                <w:sz w:val="12"/>
                <w:szCs w:val="12"/>
              </w:rPr>
              <w:t>edn</w:t>
            </w:r>
            <w:proofErr w:type="spellEnd"/>
            <w:r w:rsidRPr="005D6C74">
              <w:rPr>
                <w:color w:val="142326"/>
                <w:sz w:val="12"/>
                <w:szCs w:val="12"/>
              </w:rPr>
              <w:t>. Hoboken,</w:t>
            </w:r>
            <w:r w:rsidRPr="005D6C74">
              <w:rPr>
                <w:rFonts w:ascii="Arial" w:hAnsi="Arial" w:cs="Arial"/>
                <w:color w:val="142326"/>
                <w:sz w:val="12"/>
                <w:szCs w:val="12"/>
              </w:rPr>
              <w:t> </w:t>
            </w:r>
            <w:r w:rsidRPr="005D6C74">
              <w:rPr>
                <w:color w:val="142326"/>
                <w:sz w:val="12"/>
                <w:szCs w:val="12"/>
              </w:rPr>
              <w:t>NJ:</w:t>
            </w:r>
            <w:r w:rsidRPr="005D6C74">
              <w:rPr>
                <w:rFonts w:ascii="Arial" w:hAnsi="Arial" w:cs="Arial"/>
                <w:color w:val="142326"/>
                <w:sz w:val="12"/>
                <w:szCs w:val="12"/>
              </w:rPr>
              <w:t> </w:t>
            </w:r>
            <w:r w:rsidRPr="005D6C74">
              <w:rPr>
                <w:color w:val="142326"/>
                <w:sz w:val="12"/>
                <w:szCs w:val="12"/>
              </w:rPr>
              <w:t>Wiley.</w:t>
            </w:r>
          </w:p>
          <w:p w14:paraId="4B9B1C62" w14:textId="77777777" w:rsidR="00416183" w:rsidRPr="005D6C74" w:rsidRDefault="00416183" w:rsidP="00780154">
            <w:pPr>
              <w:spacing w:after="4" w:line="240" w:lineRule="auto"/>
              <w:rPr>
                <w:sz w:val="12"/>
                <w:szCs w:val="12"/>
              </w:rPr>
            </w:pPr>
          </w:p>
        </w:tc>
        <w:tc>
          <w:tcPr>
            <w:tcW w:w="6030" w:type="dxa"/>
          </w:tcPr>
          <w:p w14:paraId="189CCC39" w14:textId="77777777" w:rsidR="00416183" w:rsidRPr="005D6C74" w:rsidRDefault="00416183" w:rsidP="00780154">
            <w:pPr>
              <w:spacing w:after="4" w:line="240" w:lineRule="auto"/>
              <w:rPr>
                <w:color w:val="142326"/>
                <w:sz w:val="12"/>
                <w:szCs w:val="12"/>
              </w:rPr>
            </w:pPr>
            <w:r w:rsidRPr="005D6C74">
              <w:rPr>
                <w:color w:val="142326"/>
                <w:sz w:val="12"/>
                <w:szCs w:val="12"/>
              </w:rPr>
              <w:t xml:space="preserve">Locatelli, G., Mariani, G., </w:t>
            </w:r>
            <w:proofErr w:type="spellStart"/>
            <w:r w:rsidRPr="005D6C74">
              <w:rPr>
                <w:color w:val="142326"/>
                <w:sz w:val="12"/>
                <w:szCs w:val="12"/>
              </w:rPr>
              <w:t>Sainati</w:t>
            </w:r>
            <w:proofErr w:type="spellEnd"/>
            <w:r w:rsidRPr="005D6C74">
              <w:rPr>
                <w:color w:val="142326"/>
                <w:sz w:val="12"/>
                <w:szCs w:val="12"/>
              </w:rPr>
              <w:t xml:space="preserve">, T. and Greco, M. (2017) ‘Corruption in public projects and megaprojects: There is an elephant in the room!’, </w:t>
            </w:r>
            <w:r w:rsidRPr="005D6C74">
              <w:rPr>
                <w:i/>
                <w:iCs/>
                <w:color w:val="142326"/>
                <w:sz w:val="12"/>
                <w:szCs w:val="12"/>
              </w:rPr>
              <w:t>International Journal of Project Management</w:t>
            </w:r>
            <w:r w:rsidRPr="005D6C74">
              <w:rPr>
                <w:color w:val="142326"/>
                <w:sz w:val="12"/>
                <w:szCs w:val="12"/>
              </w:rPr>
              <w:t>, 35(3), pp.</w:t>
            </w:r>
            <w:r w:rsidRPr="005D6C74">
              <w:rPr>
                <w:rFonts w:ascii="Arial" w:hAnsi="Arial" w:cs="Arial"/>
                <w:color w:val="142326"/>
                <w:sz w:val="12"/>
                <w:szCs w:val="12"/>
              </w:rPr>
              <w:t> </w:t>
            </w:r>
            <w:r w:rsidRPr="005D6C74">
              <w:rPr>
                <w:color w:val="142326"/>
                <w:sz w:val="12"/>
                <w:szCs w:val="12"/>
              </w:rPr>
              <w:t>252</w:t>
            </w:r>
            <w:r w:rsidRPr="005D6C74">
              <w:rPr>
                <w:rFonts w:cs="Corbel"/>
                <w:color w:val="142326"/>
                <w:sz w:val="12"/>
                <w:szCs w:val="12"/>
              </w:rPr>
              <w:t>–</w:t>
            </w:r>
            <w:r w:rsidRPr="005D6C74">
              <w:rPr>
                <w:color w:val="142326"/>
                <w:sz w:val="12"/>
                <w:szCs w:val="12"/>
              </w:rPr>
              <w:t xml:space="preserve">268. Available at: </w:t>
            </w:r>
            <w:hyperlink r:id="rId17" w:tgtFrame="_blank" w:tooltip="doi.org" w:history="1">
              <w:r w:rsidRPr="005D6C74">
                <w:rPr>
                  <w:rStyle w:val="Hyperlink"/>
                  <w:sz w:val="12"/>
                  <w:szCs w:val="12"/>
                </w:rPr>
                <w:t>https://doi.org/10.1016/j.ijproman.2016.09.010</w:t>
              </w:r>
            </w:hyperlink>
            <w:r w:rsidRPr="005D6C74">
              <w:rPr>
                <w:color w:val="142326"/>
                <w:sz w:val="12"/>
                <w:szCs w:val="12"/>
              </w:rPr>
              <w:t>.</w:t>
            </w:r>
          </w:p>
          <w:p w14:paraId="52535A68" w14:textId="77777777" w:rsidR="00416183" w:rsidRPr="005D6C74" w:rsidRDefault="00416183" w:rsidP="00780154">
            <w:pPr>
              <w:spacing w:after="4" w:line="240" w:lineRule="auto"/>
              <w:rPr>
                <w:color w:val="142326"/>
                <w:sz w:val="12"/>
                <w:szCs w:val="12"/>
              </w:rPr>
            </w:pPr>
            <w:r w:rsidRPr="005D6C74">
              <w:rPr>
                <w:color w:val="142326"/>
                <w:sz w:val="12"/>
                <w:szCs w:val="12"/>
              </w:rPr>
              <w:t xml:space="preserve">Mok, K.Y., Shen, G.Q. and Yang, J. (2015) ‘Stakeholder management studies in mega construction projects: A review and future directions’, </w:t>
            </w:r>
            <w:r w:rsidRPr="005D6C74">
              <w:rPr>
                <w:i/>
                <w:iCs/>
                <w:color w:val="142326"/>
                <w:sz w:val="12"/>
                <w:szCs w:val="12"/>
              </w:rPr>
              <w:t>International Journal of Project Management</w:t>
            </w:r>
            <w:r w:rsidRPr="005D6C74">
              <w:rPr>
                <w:color w:val="142326"/>
                <w:sz w:val="12"/>
                <w:szCs w:val="12"/>
              </w:rPr>
              <w:t>, 33(2), pp.</w:t>
            </w:r>
            <w:r w:rsidRPr="005D6C74">
              <w:rPr>
                <w:rFonts w:ascii="Arial" w:hAnsi="Arial" w:cs="Arial"/>
                <w:color w:val="142326"/>
                <w:sz w:val="12"/>
                <w:szCs w:val="12"/>
              </w:rPr>
              <w:t> </w:t>
            </w:r>
            <w:r w:rsidRPr="005D6C74">
              <w:rPr>
                <w:color w:val="142326"/>
                <w:sz w:val="12"/>
                <w:szCs w:val="12"/>
              </w:rPr>
              <w:t>446</w:t>
            </w:r>
            <w:r w:rsidRPr="005D6C74">
              <w:rPr>
                <w:rFonts w:cs="Corbel"/>
                <w:color w:val="142326"/>
                <w:sz w:val="12"/>
                <w:szCs w:val="12"/>
              </w:rPr>
              <w:t>–</w:t>
            </w:r>
            <w:r w:rsidRPr="005D6C74">
              <w:rPr>
                <w:color w:val="142326"/>
                <w:sz w:val="12"/>
                <w:szCs w:val="12"/>
              </w:rPr>
              <w:t xml:space="preserve">457. Available at: </w:t>
            </w:r>
            <w:hyperlink r:id="rId18" w:tgtFrame="_blank" w:tooltip="doi.org" w:history="1">
              <w:r w:rsidRPr="005D6C74">
                <w:rPr>
                  <w:rStyle w:val="Hyperlink"/>
                  <w:sz w:val="12"/>
                  <w:szCs w:val="12"/>
                </w:rPr>
                <w:t>https://doi.org/10.1016/j.ijproman.2014.08.007</w:t>
              </w:r>
            </w:hyperlink>
            <w:r w:rsidRPr="005D6C74">
              <w:rPr>
                <w:color w:val="142326"/>
                <w:sz w:val="12"/>
                <w:szCs w:val="12"/>
              </w:rPr>
              <w:t>.</w:t>
            </w:r>
          </w:p>
          <w:p w14:paraId="62C02E5B" w14:textId="77777777" w:rsidR="00416183" w:rsidRPr="005D6C74" w:rsidRDefault="00416183" w:rsidP="00780154">
            <w:pPr>
              <w:spacing w:after="4" w:line="240" w:lineRule="auto"/>
              <w:rPr>
                <w:sz w:val="12"/>
                <w:szCs w:val="12"/>
              </w:rPr>
            </w:pPr>
          </w:p>
        </w:tc>
        <w:tc>
          <w:tcPr>
            <w:tcW w:w="4500" w:type="dxa"/>
          </w:tcPr>
          <w:p w14:paraId="589D173C" w14:textId="77777777" w:rsidR="00416183" w:rsidRPr="005D6C74" w:rsidRDefault="00416183" w:rsidP="00416183">
            <w:pPr>
              <w:spacing w:after="4" w:line="240" w:lineRule="auto"/>
              <w:rPr>
                <w:color w:val="142326"/>
                <w:sz w:val="12"/>
                <w:szCs w:val="12"/>
              </w:rPr>
            </w:pPr>
            <w:r w:rsidRPr="005D6C74">
              <w:rPr>
                <w:color w:val="142326"/>
                <w:sz w:val="12"/>
                <w:szCs w:val="12"/>
              </w:rPr>
              <w:t xml:space="preserve">Project Management Institute (2021) </w:t>
            </w:r>
            <w:r w:rsidRPr="005D6C74">
              <w:rPr>
                <w:i/>
                <w:iCs/>
                <w:color w:val="142326"/>
                <w:sz w:val="12"/>
                <w:szCs w:val="12"/>
              </w:rPr>
              <w:t>A guide to the project management body of knowledge (PMBOK</w:t>
            </w:r>
            <w:r w:rsidRPr="005D6C74">
              <w:rPr>
                <w:rFonts w:ascii="Arial" w:hAnsi="Arial" w:cs="Arial"/>
                <w:i/>
                <w:iCs/>
                <w:color w:val="142326"/>
                <w:sz w:val="12"/>
                <w:szCs w:val="12"/>
              </w:rPr>
              <w:t> </w:t>
            </w:r>
            <w:r w:rsidRPr="005D6C74">
              <w:rPr>
                <w:i/>
                <w:iCs/>
                <w:color w:val="142326"/>
                <w:sz w:val="12"/>
                <w:szCs w:val="12"/>
              </w:rPr>
              <w:t>Guide)</w:t>
            </w:r>
            <w:r w:rsidRPr="005D6C74">
              <w:rPr>
                <w:color w:val="142326"/>
                <w:sz w:val="12"/>
                <w:szCs w:val="12"/>
              </w:rPr>
              <w:t>. 7th</w:t>
            </w:r>
            <w:r w:rsidRPr="005D6C74">
              <w:rPr>
                <w:rFonts w:ascii="Arial" w:hAnsi="Arial" w:cs="Arial"/>
                <w:color w:val="142326"/>
                <w:sz w:val="12"/>
                <w:szCs w:val="12"/>
              </w:rPr>
              <w:t> </w:t>
            </w:r>
            <w:proofErr w:type="spellStart"/>
            <w:r w:rsidRPr="005D6C74">
              <w:rPr>
                <w:color w:val="142326"/>
                <w:sz w:val="12"/>
                <w:szCs w:val="12"/>
              </w:rPr>
              <w:t>edn</w:t>
            </w:r>
            <w:proofErr w:type="spellEnd"/>
            <w:r w:rsidRPr="005D6C74">
              <w:rPr>
                <w:color w:val="142326"/>
                <w:sz w:val="12"/>
                <w:szCs w:val="12"/>
              </w:rPr>
              <w:t>. Newtown</w:t>
            </w:r>
            <w:r w:rsidRPr="005D6C74">
              <w:rPr>
                <w:rFonts w:ascii="Arial" w:hAnsi="Arial" w:cs="Arial"/>
                <w:color w:val="142326"/>
                <w:sz w:val="12"/>
                <w:szCs w:val="12"/>
              </w:rPr>
              <w:t> </w:t>
            </w:r>
            <w:r w:rsidRPr="005D6C74">
              <w:rPr>
                <w:color w:val="142326"/>
                <w:sz w:val="12"/>
                <w:szCs w:val="12"/>
              </w:rPr>
              <w:t>Square,</w:t>
            </w:r>
            <w:r w:rsidRPr="005D6C74">
              <w:rPr>
                <w:rFonts w:ascii="Arial" w:hAnsi="Arial" w:cs="Arial"/>
                <w:color w:val="142326"/>
                <w:sz w:val="12"/>
                <w:szCs w:val="12"/>
              </w:rPr>
              <w:t> </w:t>
            </w:r>
            <w:r w:rsidRPr="005D6C74">
              <w:rPr>
                <w:color w:val="142326"/>
                <w:sz w:val="12"/>
                <w:szCs w:val="12"/>
              </w:rPr>
              <w:t>PA:</w:t>
            </w:r>
            <w:r w:rsidRPr="005D6C74">
              <w:rPr>
                <w:rFonts w:ascii="Arial" w:hAnsi="Arial" w:cs="Arial"/>
                <w:color w:val="142326"/>
                <w:sz w:val="12"/>
                <w:szCs w:val="12"/>
              </w:rPr>
              <w:t> </w:t>
            </w:r>
            <w:r w:rsidRPr="005D6C74">
              <w:rPr>
                <w:color w:val="142326"/>
                <w:sz w:val="12"/>
                <w:szCs w:val="12"/>
              </w:rPr>
              <w:t>Project</w:t>
            </w:r>
            <w:r w:rsidRPr="005D6C74">
              <w:rPr>
                <w:rFonts w:ascii="Arial" w:hAnsi="Arial" w:cs="Arial"/>
                <w:color w:val="142326"/>
                <w:sz w:val="12"/>
                <w:szCs w:val="12"/>
              </w:rPr>
              <w:t> </w:t>
            </w:r>
            <w:r w:rsidRPr="005D6C74">
              <w:rPr>
                <w:color w:val="142326"/>
                <w:sz w:val="12"/>
                <w:szCs w:val="12"/>
              </w:rPr>
              <w:t>Management</w:t>
            </w:r>
            <w:r w:rsidRPr="005D6C74">
              <w:rPr>
                <w:rFonts w:ascii="Arial" w:hAnsi="Arial" w:cs="Arial"/>
                <w:color w:val="142326"/>
                <w:sz w:val="12"/>
                <w:szCs w:val="12"/>
              </w:rPr>
              <w:t> </w:t>
            </w:r>
            <w:r w:rsidRPr="005D6C74">
              <w:rPr>
                <w:color w:val="142326"/>
                <w:sz w:val="12"/>
                <w:szCs w:val="12"/>
              </w:rPr>
              <w:t>Institute.</w:t>
            </w:r>
          </w:p>
          <w:p w14:paraId="51C9CEBF" w14:textId="77777777" w:rsidR="00416183" w:rsidRPr="005D6C74" w:rsidRDefault="00416183" w:rsidP="00780154">
            <w:pPr>
              <w:spacing w:after="4" w:line="240" w:lineRule="auto"/>
              <w:rPr>
                <w:color w:val="142326"/>
                <w:sz w:val="12"/>
                <w:szCs w:val="12"/>
              </w:rPr>
            </w:pPr>
          </w:p>
        </w:tc>
      </w:tr>
    </w:tbl>
    <w:p w14:paraId="3D1174AC" w14:textId="77777777" w:rsidR="006E6158" w:rsidRPr="00687EC2" w:rsidRDefault="006E6158" w:rsidP="00687EC2">
      <w:pPr>
        <w:rPr>
          <w:szCs w:val="24"/>
        </w:rPr>
        <w:sectPr w:rsidR="006E6158" w:rsidRPr="00687EC2">
          <w:pgSz w:w="16838" w:h="11906" w:orient="landscape"/>
          <w:pgMar w:top="190" w:right="190" w:bottom="190" w:left="190" w:header="110" w:footer="110" w:gutter="0"/>
          <w:cols w:space="720"/>
          <w:docGrid w:linePitch="360"/>
        </w:sectPr>
      </w:pPr>
    </w:p>
    <w:p w14:paraId="08681C6E" w14:textId="77777777" w:rsidR="00CB3A01" w:rsidRDefault="00CB3A01" w:rsidP="00CB3A01"/>
    <w:p w14:paraId="226F5CA2" w14:textId="77777777" w:rsidR="00CB3A01" w:rsidRDefault="00CB3A01" w:rsidP="00CB3A01"/>
    <w:p w14:paraId="58F6D693" w14:textId="77777777" w:rsidR="00CB3A01" w:rsidRDefault="00CB3A01" w:rsidP="00CB3A01"/>
    <w:p w14:paraId="65BCEAA1" w14:textId="77777777" w:rsidR="00CB3A01" w:rsidRDefault="00CB3A01" w:rsidP="00CB3A01"/>
    <w:p w14:paraId="69F2980C" w14:textId="77777777" w:rsidR="00CB3A01" w:rsidRDefault="00CB3A01" w:rsidP="00CB3A01"/>
    <w:p w14:paraId="53B27787" w14:textId="77777777" w:rsidR="00CB3A01" w:rsidRDefault="00CB3A01" w:rsidP="00CB3A01"/>
    <w:p w14:paraId="20D7C644" w14:textId="77777777" w:rsidR="00CB3A01" w:rsidRDefault="00CB3A01" w:rsidP="00CB3A01"/>
    <w:p w14:paraId="2DF0F10B" w14:textId="77777777" w:rsidR="00CB3A01" w:rsidRDefault="00CB3A01" w:rsidP="00CB3A01"/>
    <w:p w14:paraId="567B50F9" w14:textId="77777777" w:rsidR="00CB3A01" w:rsidRDefault="00CB3A01" w:rsidP="00CB3A01"/>
    <w:p w14:paraId="11875F21" w14:textId="77777777" w:rsidR="00CB3A01" w:rsidRDefault="00CB3A01" w:rsidP="00CB3A01"/>
    <w:p w14:paraId="23A8F7F5" w14:textId="77777777" w:rsidR="00CB3A01" w:rsidRDefault="00CB3A01" w:rsidP="00CB3A01"/>
    <w:p w14:paraId="5BBF0FBB" w14:textId="77777777" w:rsidR="00CB3A01" w:rsidRDefault="00CB3A01" w:rsidP="00CB3A01"/>
    <w:p w14:paraId="528983B9" w14:textId="77777777" w:rsidR="00CB3A01" w:rsidRDefault="00CB3A01" w:rsidP="00CB3A01"/>
    <w:p w14:paraId="0DF3EF8E" w14:textId="77777777" w:rsidR="00CB3A01" w:rsidRDefault="00CB3A01" w:rsidP="00CB3A01"/>
    <w:p w14:paraId="5DF0E101" w14:textId="77777777" w:rsidR="00CB3A01" w:rsidRDefault="00CB3A01" w:rsidP="00CB3A01"/>
    <w:p w14:paraId="143F6114" w14:textId="1A1A9238" w:rsidR="006E6158" w:rsidRPr="00CB3A01" w:rsidRDefault="00F41EE1" w:rsidP="00CB3A01">
      <w:pPr>
        <w:pStyle w:val="Heading1"/>
      </w:pPr>
      <w:bookmarkStart w:id="1" w:name="_Toc235810304"/>
      <w:r w:rsidRPr="00CB3A01">
        <w:t>PART B</w:t>
      </w:r>
      <w:r w:rsidR="00CB3A01" w:rsidRPr="00CB3A01">
        <w:t xml:space="preserve">: </w:t>
      </w:r>
      <w:r w:rsidRPr="00CB3A01">
        <w:t>Critical Reflection on Tutor and Peer Feedback</w:t>
      </w:r>
      <w:bookmarkEnd w:id="1"/>
    </w:p>
    <w:p w14:paraId="0E1D2088" w14:textId="324FDC03" w:rsidR="00CB3A01" w:rsidRPr="00687EC2" w:rsidRDefault="00CB3A01" w:rsidP="00CB3A01">
      <w:pPr>
        <w:spacing w:after="200" w:line="276" w:lineRule="auto"/>
        <w:jc w:val="left"/>
      </w:pPr>
      <w:r>
        <w:br w:type="page"/>
      </w:r>
    </w:p>
    <w:p w14:paraId="5594A794" w14:textId="77777777" w:rsidR="006E6158" w:rsidRPr="00687EC2" w:rsidRDefault="00F41EE1" w:rsidP="00CB3A01">
      <w:pPr>
        <w:pStyle w:val="Heading2"/>
      </w:pPr>
      <w:bookmarkStart w:id="2" w:name="_Toc235810305"/>
      <w:r w:rsidRPr="00687EC2">
        <w:lastRenderedPageBreak/>
        <w:t>Strengths retained</w:t>
      </w:r>
      <w:bookmarkEnd w:id="2"/>
    </w:p>
    <w:p w14:paraId="302B23AE" w14:textId="77777777" w:rsidR="00FA5D09" w:rsidRPr="00687EC2" w:rsidRDefault="00FA5D09" w:rsidP="00687EC2">
      <w:pPr>
        <w:rPr>
          <w:szCs w:val="24"/>
        </w:rPr>
      </w:pPr>
      <w:r w:rsidRPr="00687EC2">
        <w:rPr>
          <w:szCs w:val="24"/>
        </w:rPr>
        <w:t xml:space="preserve">The comments on the Poster for Part A were constructive and actionable. It requested the total project cost, a breakdown of the costs, their proposed sources of funding, their SMART objectives, a Gantt chart and further clarity on the timing of the redevelopment. The comments did not question the selected option, the rationale for the rebuilding of the hub, the scope, the stakeholder map, the risk and trade-off discussion nor the strategic value map. This indicates that the problem statement and the suggested solution was clearly expressed. The poster also presented a logical redevelopment pathway and the presentation of the complex infrastructure proposal, using visual material to make it accessible to non-specialist stakeholders. These are significant assets as reflection needs to </w:t>
      </w:r>
      <w:proofErr w:type="spellStart"/>
      <w:r w:rsidRPr="00687EC2">
        <w:rPr>
          <w:szCs w:val="24"/>
        </w:rPr>
        <w:t>recognise</w:t>
      </w:r>
      <w:proofErr w:type="spellEnd"/>
      <w:r w:rsidRPr="00687EC2">
        <w:rPr>
          <w:szCs w:val="24"/>
        </w:rPr>
        <w:t xml:space="preserve"> what works and what does not (Bassot, 2016).</w:t>
      </w:r>
    </w:p>
    <w:p w14:paraId="3778ECFC" w14:textId="77777777" w:rsidR="006E6158" w:rsidRPr="00687EC2" w:rsidRDefault="00F41EE1" w:rsidP="00CB3A01">
      <w:pPr>
        <w:pStyle w:val="Heading2"/>
      </w:pPr>
      <w:bookmarkStart w:id="3" w:name="_Toc235810306"/>
      <w:r w:rsidRPr="00687EC2">
        <w:t>Areas for improvement</w:t>
      </w:r>
      <w:bookmarkEnd w:id="3"/>
    </w:p>
    <w:p w14:paraId="478BDA62" w14:textId="77777777" w:rsidR="0088751E" w:rsidRPr="00687EC2" w:rsidRDefault="0088751E" w:rsidP="00687EC2">
      <w:pPr>
        <w:rPr>
          <w:szCs w:val="24"/>
        </w:rPr>
      </w:pPr>
      <w:r w:rsidRPr="00687EC2">
        <w:rPr>
          <w:szCs w:val="24"/>
        </w:rPr>
        <w:t>The main problem was the poster did not make sufficient demonstration that the project was financially and time wise deliverable and was a strategic pitch level. The project was time-bound with the goal to finish the project in 30 months, while other objectives were not necessarily specific and measurable. For instance, the goal to "restore capacity" and "</w:t>
      </w:r>
      <w:proofErr w:type="spellStart"/>
      <w:r w:rsidRPr="00687EC2">
        <w:rPr>
          <w:szCs w:val="24"/>
        </w:rPr>
        <w:t>minimise</w:t>
      </w:r>
      <w:proofErr w:type="spellEnd"/>
      <w:r w:rsidRPr="00687EC2">
        <w:rPr>
          <w:szCs w:val="24"/>
        </w:rPr>
        <w:t xml:space="preserve"> carbon" did not specify capacity or a baseline or performance threshold. There was also no budget or funding plan that was quantified, this hindered stakeholders from making judgements on affordability, value for money and exposure to cost escalation. This is important as early cost estimates are prone to scope problems, optimism bias, and/or political pressures in major transport projects (Flyvbjerg, 2021; Chen et al., 2023). The poster also did not include the major phases, even though the duration was shown, there was no indication of the over-lap, dependency or decision gates. As a result, the 30 month guarantee couldn't be evaluated against a realistic delivery order.</w:t>
      </w:r>
    </w:p>
    <w:p w14:paraId="679B20E7" w14:textId="77777777" w:rsidR="006E6158" w:rsidRPr="00687EC2" w:rsidRDefault="00F41EE1" w:rsidP="00CB3A01">
      <w:pPr>
        <w:pStyle w:val="Heading2"/>
      </w:pPr>
      <w:bookmarkStart w:id="4" w:name="_Toc235810307"/>
      <w:r w:rsidRPr="00687EC2">
        <w:t>How the feedback informed Part C</w:t>
      </w:r>
      <w:bookmarkEnd w:id="4"/>
    </w:p>
    <w:p w14:paraId="6AB01595" w14:textId="77777777" w:rsidR="005E03D1" w:rsidRPr="00687EC2" w:rsidRDefault="005E03D1" w:rsidP="00687EC2">
      <w:pPr>
        <w:rPr>
          <w:szCs w:val="24"/>
        </w:rPr>
      </w:pPr>
      <w:r w:rsidRPr="00687EC2">
        <w:rPr>
          <w:szCs w:val="24"/>
        </w:rPr>
        <w:t>The original goals are thus translated into the six SMART goals in the final project management plan. These include reopening by Month 30, restoring at least 100% of pre-closure peak capacity, ensuring full safety and accessibility compliance, the project's expenditure to be capped at an indicative £650 million approved budget, and the project's forecast operational carbon to be reduced by at least 30% compared to the pre-closure baseline of the former hub. The plan also clarifies that the targets will be based on surveys and concept designs and are not considered facts until these are completed.</w:t>
      </w:r>
    </w:p>
    <w:p w14:paraId="0038EFB7" w14:textId="77777777" w:rsidR="005E03D1" w:rsidRPr="00687EC2" w:rsidRDefault="005E03D1" w:rsidP="00687EC2">
      <w:pPr>
        <w:rPr>
          <w:szCs w:val="24"/>
        </w:rPr>
      </w:pPr>
      <w:r w:rsidRPr="00687EC2">
        <w:rPr>
          <w:szCs w:val="24"/>
        </w:rPr>
        <w:t xml:space="preserve">The financial section now includes an indicative breakdown of the cost at 2026 price levels including a 15% risk and inflation allowance as well as a proposed funding mix of central government, local </w:t>
      </w:r>
      <w:r w:rsidRPr="00687EC2">
        <w:rPr>
          <w:szCs w:val="24"/>
        </w:rPr>
        <w:lastRenderedPageBreak/>
        <w:t>authority, transport operators, green infrastructure funds and commercial contributions. This is based on the approach of evidence-based, transparent and progressively assured (Infrastructure and Projects Authority, 2021) estimates of infrastructure.</w:t>
      </w:r>
    </w:p>
    <w:p w14:paraId="2350F941" w14:textId="77777777" w:rsidR="005E03D1" w:rsidRPr="00687EC2" w:rsidRDefault="005E03D1" w:rsidP="00687EC2">
      <w:pPr>
        <w:rPr>
          <w:szCs w:val="24"/>
        </w:rPr>
      </w:pPr>
      <w:r w:rsidRPr="00687EC2">
        <w:rPr>
          <w:szCs w:val="24"/>
        </w:rPr>
        <w:t>Last, but not least, a detailed 30-month Gantt chart, Milestone Gates and a Work Breakdown Structure have been added. Physical works are tested in a controlled predictive sequence and passenger-information and logistics systems are tested through iterative testing. This hybrid approach is an answer to the different degrees of uncertainty in the project (</w:t>
      </w:r>
      <w:proofErr w:type="spellStart"/>
      <w:r w:rsidRPr="00687EC2">
        <w:rPr>
          <w:szCs w:val="24"/>
        </w:rPr>
        <w:t>Gemino</w:t>
      </w:r>
      <w:proofErr w:type="spellEnd"/>
      <w:r w:rsidRPr="00687EC2">
        <w:rPr>
          <w:szCs w:val="24"/>
        </w:rPr>
        <w:t xml:space="preserve"> et al., 2021). Overall, the feedback has transformed the proposal from a good idea to a more responsible and actionable program with identified dependencies and controls, and measurable outcomes.</w:t>
      </w:r>
    </w:p>
    <w:p w14:paraId="0D605A59" w14:textId="3D3D1088" w:rsidR="006E6158" w:rsidRPr="00687EC2" w:rsidRDefault="006E6158" w:rsidP="00687EC2">
      <w:pPr>
        <w:pStyle w:val="ReportBody"/>
        <w:spacing w:after="0"/>
        <w:rPr>
          <w:rFonts w:ascii="Corbel" w:hAnsi="Corbel"/>
          <w:szCs w:val="24"/>
        </w:rPr>
      </w:pPr>
    </w:p>
    <w:p w14:paraId="4476C9BF" w14:textId="77777777" w:rsidR="006E6158" w:rsidRPr="00687EC2" w:rsidRDefault="00F41EE1" w:rsidP="00687EC2">
      <w:pPr>
        <w:rPr>
          <w:szCs w:val="24"/>
        </w:rPr>
      </w:pPr>
      <w:r w:rsidRPr="00687EC2">
        <w:rPr>
          <w:szCs w:val="24"/>
        </w:rPr>
        <w:br w:type="page"/>
      </w:r>
    </w:p>
    <w:p w14:paraId="5447E45B" w14:textId="77777777" w:rsidR="006E6158" w:rsidRPr="00687EC2" w:rsidRDefault="006E6158" w:rsidP="00687EC2">
      <w:pPr>
        <w:rPr>
          <w:szCs w:val="24"/>
        </w:rPr>
        <w:sectPr w:rsidR="006E6158" w:rsidRPr="00687EC2">
          <w:headerReference w:type="default" r:id="rId19"/>
          <w:pgSz w:w="11906" w:h="16838"/>
          <w:pgMar w:top="1134" w:right="1134" w:bottom="1134" w:left="1134" w:header="360" w:footer="360" w:gutter="0"/>
          <w:cols w:space="720"/>
          <w:docGrid w:linePitch="360"/>
        </w:sectPr>
      </w:pPr>
    </w:p>
    <w:p w14:paraId="0195139F" w14:textId="77777777" w:rsidR="00CB3A01" w:rsidRDefault="00CB3A01" w:rsidP="00CB3A01"/>
    <w:p w14:paraId="1E0DE8CE" w14:textId="77777777" w:rsidR="00CB3A01" w:rsidRDefault="00CB3A01" w:rsidP="00CB3A01"/>
    <w:p w14:paraId="6BD6A6AA" w14:textId="77777777" w:rsidR="00CB3A01" w:rsidRDefault="00CB3A01" w:rsidP="00CB3A01"/>
    <w:p w14:paraId="2AD0AA5B" w14:textId="77777777" w:rsidR="00CB3A01" w:rsidRDefault="00CB3A01" w:rsidP="00CB3A01"/>
    <w:p w14:paraId="6248FDD7" w14:textId="77777777" w:rsidR="00CB3A01" w:rsidRDefault="00CB3A01" w:rsidP="00CB3A01"/>
    <w:p w14:paraId="7CE8BF2D" w14:textId="77777777" w:rsidR="00CB3A01" w:rsidRDefault="00CB3A01" w:rsidP="00CB3A01"/>
    <w:p w14:paraId="484B8FA8" w14:textId="77777777" w:rsidR="00CB3A01" w:rsidRDefault="00CB3A01" w:rsidP="00CB3A01"/>
    <w:p w14:paraId="59F3CFBE" w14:textId="77777777" w:rsidR="00CB3A01" w:rsidRDefault="00CB3A01" w:rsidP="00CB3A01"/>
    <w:p w14:paraId="2EC80800" w14:textId="77777777" w:rsidR="00CB3A01" w:rsidRDefault="00CB3A01" w:rsidP="00CB3A01"/>
    <w:p w14:paraId="33BFD7EC" w14:textId="77777777" w:rsidR="00CB3A01" w:rsidRDefault="00CB3A01" w:rsidP="00CB3A01"/>
    <w:p w14:paraId="4F11EFBF" w14:textId="77777777" w:rsidR="00CB3A01" w:rsidRDefault="00CB3A01" w:rsidP="00CB3A01"/>
    <w:p w14:paraId="479AFC9A" w14:textId="77777777" w:rsidR="00CB3A01" w:rsidRDefault="00CB3A01" w:rsidP="00CB3A01"/>
    <w:p w14:paraId="73057E00" w14:textId="77777777" w:rsidR="00CB3A01" w:rsidRDefault="00CB3A01" w:rsidP="00CB3A01"/>
    <w:p w14:paraId="3D31BE7B" w14:textId="77777777" w:rsidR="00CB3A01" w:rsidRDefault="00CB3A01" w:rsidP="00CB3A01"/>
    <w:p w14:paraId="4132743D" w14:textId="1FCEB1FC" w:rsidR="006E6158" w:rsidRPr="00CB3A01" w:rsidRDefault="00F41EE1" w:rsidP="00CB3A01">
      <w:pPr>
        <w:pStyle w:val="Heading1"/>
      </w:pPr>
      <w:bookmarkStart w:id="5" w:name="_Toc235810308"/>
      <w:r w:rsidRPr="00CB3A01">
        <w:t>Part C: Project Management Plan</w:t>
      </w:r>
      <w:r w:rsidR="00CB3A01" w:rsidRPr="00CB3A01">
        <w:t xml:space="preserve">: </w:t>
      </w:r>
      <w:r w:rsidRPr="00CB3A01">
        <w:t>Redevelopment of the Central Transport Hub</w:t>
      </w:r>
      <w:bookmarkEnd w:id="5"/>
    </w:p>
    <w:p w14:paraId="0FFA0BB9" w14:textId="5B22590C" w:rsidR="00CB3A01" w:rsidRPr="00687EC2" w:rsidRDefault="00CB3A01" w:rsidP="00CB3A01">
      <w:pPr>
        <w:spacing w:after="200" w:line="276" w:lineRule="auto"/>
        <w:jc w:val="left"/>
      </w:pPr>
      <w:r>
        <w:br w:type="page"/>
      </w:r>
    </w:p>
    <w:p w14:paraId="47A22C30" w14:textId="77777777" w:rsidR="006E6158" w:rsidRPr="00687EC2" w:rsidRDefault="00F41EE1" w:rsidP="00CB3A01">
      <w:pPr>
        <w:pStyle w:val="Heading2"/>
      </w:pPr>
      <w:bookmarkStart w:id="6" w:name="_Toc235810309"/>
      <w:r w:rsidRPr="00687EC2">
        <w:lastRenderedPageBreak/>
        <w:t>1. Introduction</w:t>
      </w:r>
      <w:bookmarkEnd w:id="6"/>
    </w:p>
    <w:p w14:paraId="39DF56A3" w14:textId="77777777" w:rsidR="00871699" w:rsidRPr="00687EC2" w:rsidRDefault="00871699" w:rsidP="00687EC2">
      <w:pPr>
        <w:rPr>
          <w:szCs w:val="24"/>
        </w:rPr>
      </w:pPr>
      <w:r w:rsidRPr="00687EC2">
        <w:rPr>
          <w:szCs w:val="24"/>
        </w:rPr>
        <w:t xml:space="preserve">The central transport hub has been closed, eliminating a key hub for the rail, bus and freight transport system, which has caused safety, mobility and economic challenges. Full redevelopment is the preferred solution as temporary and digital solutions would just cover up the failure of the asset. The project is considered as a multifaceted public infrastructure project with several technical interfaces, regulatory interdependencies and conflicting priorities from the stakeholders. The more complex the knowledge and the less coordinated, the more time and money will be spent, while resulting in delay (Bjorvatn and Wald, 2018; </w:t>
      </w:r>
      <w:proofErr w:type="spellStart"/>
      <w:r w:rsidRPr="00687EC2">
        <w:rPr>
          <w:szCs w:val="24"/>
        </w:rPr>
        <w:t>Denicol</w:t>
      </w:r>
      <w:proofErr w:type="spellEnd"/>
      <w:r w:rsidRPr="00687EC2">
        <w:rPr>
          <w:szCs w:val="24"/>
        </w:rPr>
        <w:t xml:space="preserve"> et al., 2020). This plan therefore will incorporate scope, schedule and cost, stakeholder, resource and risk controls. The planning basis is that the school will open in September 2026 and re-open in stages in February 2029. All figures are indicative as there is no site survey, design, demand and tender data provided in the scenario and will be validated at the first gates of the project.</w:t>
      </w:r>
    </w:p>
    <w:p w14:paraId="3AA38001" w14:textId="77777777" w:rsidR="006E6158" w:rsidRPr="00687EC2" w:rsidRDefault="00F41EE1" w:rsidP="00CB3A01">
      <w:pPr>
        <w:pStyle w:val="Heading2"/>
      </w:pPr>
      <w:bookmarkStart w:id="7" w:name="_Toc235810310"/>
      <w:r w:rsidRPr="00687EC2">
        <w:t>2. Project description</w:t>
      </w:r>
      <w:bookmarkEnd w:id="7"/>
    </w:p>
    <w:p w14:paraId="12022DF5" w14:textId="77777777" w:rsidR="005B700A" w:rsidRPr="00687EC2" w:rsidRDefault="005B700A" w:rsidP="00687EC2">
      <w:pPr>
        <w:rPr>
          <w:szCs w:val="24"/>
        </w:rPr>
      </w:pPr>
      <w:r w:rsidRPr="00687EC2">
        <w:rPr>
          <w:szCs w:val="24"/>
        </w:rPr>
        <w:t xml:space="preserve">The project will involve </w:t>
      </w:r>
      <w:proofErr w:type="spellStart"/>
      <w:r w:rsidRPr="00687EC2">
        <w:rPr>
          <w:szCs w:val="24"/>
        </w:rPr>
        <w:t>stabilisation</w:t>
      </w:r>
      <w:proofErr w:type="spellEnd"/>
      <w:r w:rsidRPr="00687EC2">
        <w:rPr>
          <w:szCs w:val="24"/>
        </w:rPr>
        <w:t xml:space="preserve"> and clearance of the existing site, temporary passenger facilities and logistics, a new concourse and modal interfaces, and the upgrading of utilities and installation of safety, accessibility and digital systems. It's not just about the finished building; it's about the business result. Restored capacity, safe and inclusive mobility, resilient freight connectivity, reduced whole-life environmental impacts and re-gained business and passenger confidence are all part of the recipe for success.</w:t>
      </w:r>
    </w:p>
    <w:p w14:paraId="78A9D9CE" w14:textId="77777777" w:rsidR="005B700A" w:rsidRPr="00687EC2" w:rsidRDefault="005B700A" w:rsidP="00687EC2">
      <w:pPr>
        <w:rPr>
          <w:szCs w:val="24"/>
        </w:rPr>
      </w:pPr>
      <w:r w:rsidRPr="00687EC2">
        <w:rPr>
          <w:szCs w:val="24"/>
        </w:rPr>
        <w:t xml:space="preserve">Decision is made to use a hybrid delivery </w:t>
      </w:r>
      <w:proofErr w:type="spellStart"/>
      <w:r w:rsidRPr="00687EC2">
        <w:rPr>
          <w:szCs w:val="24"/>
        </w:rPr>
        <w:t>model.A</w:t>
      </w:r>
      <w:proofErr w:type="spellEnd"/>
      <w:r w:rsidRPr="00687EC2">
        <w:rPr>
          <w:szCs w:val="24"/>
        </w:rPr>
        <w:t xml:space="preserve"> hybrid delivery model is decided. The lifecycle for civil, structural and safety-critical works is a predictive stage-gate process due to the strong dependencies between design assurance, statutory consent, procurement and construction. Short iterative cycle of operator / user testing for digital passenger information, CCTV integration, wayfinding and freight coordination. There is evidence that hybrid models can help maintain schedule and budget control and deliver better stakeholder results, but require good interface control (</w:t>
      </w:r>
      <w:proofErr w:type="spellStart"/>
      <w:r w:rsidRPr="00687EC2">
        <w:rPr>
          <w:szCs w:val="24"/>
        </w:rPr>
        <w:t>Gemino</w:t>
      </w:r>
      <w:proofErr w:type="spellEnd"/>
      <w:r w:rsidRPr="00687EC2">
        <w:rPr>
          <w:szCs w:val="24"/>
        </w:rPr>
        <w:t xml:space="preserve"> et al., 2021). Governance is sponsor-led with a project board, a Senior Responsible Owner, an integrated project management office and independent technical, commercial and safety assurance, in line with professional guidance on governance and accountability for the lifecycle of projects (Association for Project Management, 2019; PMI, 2021). Decision gates are at the business case approval, design freeze, contract award, commissioning readiness and final handover. This helps to hold people accountable and prevents the optimism and escalation bias </w:t>
      </w:r>
      <w:r w:rsidRPr="00687EC2">
        <w:rPr>
          <w:szCs w:val="24"/>
        </w:rPr>
        <w:lastRenderedPageBreak/>
        <w:t>that is often found in large-scale projects (Flyvbjerg, 2021) and uniqueness bias that is often found in small-scale projects.</w:t>
      </w:r>
    </w:p>
    <w:p w14:paraId="2715B0D1" w14:textId="77777777" w:rsidR="005B700A" w:rsidRPr="00687EC2" w:rsidRDefault="005B700A" w:rsidP="00687EC2">
      <w:pPr>
        <w:rPr>
          <w:szCs w:val="24"/>
        </w:rPr>
      </w:pPr>
      <w:r w:rsidRPr="00687EC2">
        <w:rPr>
          <w:szCs w:val="24"/>
        </w:rPr>
        <w:t>The quality management is not only checked at the end, but also integrated. Design reviews assess the constructability, accessibility, fire strategy, maintainability and whole-life carbon of the design prior to design freeze. Contractors then execute to the approved inspection and test plan, noting any non-conformance in the common data environment and closing the non-conformance prior to the payment milestones. Benefits are given to operational owners prior to handover. At opening, 6 months and twelve months capacity, reliability, user satisfaction, complaints are measured, and carbon indicators and local-business indicators are measured at 6 months and twelve months. This avoids a very narrow view of success, which is limited to the time, cost and scope of the investment, and keeps focus on the public value created, which was the reason for investing.</w:t>
      </w:r>
    </w:p>
    <w:p w14:paraId="230ED4F3" w14:textId="1AAC0232" w:rsidR="006E6158" w:rsidRPr="00CB3A01" w:rsidRDefault="005B700A" w:rsidP="00CB3A01">
      <w:pPr>
        <w:rPr>
          <w:szCs w:val="24"/>
        </w:rPr>
      </w:pPr>
      <w:r w:rsidRPr="00687EC2">
        <w:rPr>
          <w:szCs w:val="24"/>
        </w:rPr>
        <w:t>The original poster aims have been converted to SMART objectives in Table 3. Baselines for capacity and carbon will be determined in Months 1-4 and may only be changed following documented impact assessment and project board approval.</w:t>
      </w:r>
    </w:p>
    <w:tbl>
      <w:tblPr>
        <w:tblW w:w="0" w:type="auto"/>
        <w:jc w:val="center"/>
        <w:tblBorders>
          <w:top w:val="single" w:sz="4" w:space="0" w:color="B7C7CE"/>
          <w:left w:val="single" w:sz="4" w:space="0" w:color="B7C7CE"/>
          <w:bottom w:val="single" w:sz="4" w:space="0" w:color="B7C7CE"/>
          <w:right w:val="single" w:sz="4" w:space="0" w:color="B7C7CE"/>
          <w:insideH w:val="single" w:sz="4" w:space="0" w:color="B7C7CE"/>
          <w:insideV w:val="single" w:sz="4" w:space="0" w:color="B7C7CE"/>
        </w:tblBorders>
        <w:tblLook w:val="04A0" w:firstRow="1" w:lastRow="0" w:firstColumn="1" w:lastColumn="0" w:noHBand="0" w:noVBand="1"/>
      </w:tblPr>
      <w:tblGrid>
        <w:gridCol w:w="715"/>
        <w:gridCol w:w="5220"/>
        <w:gridCol w:w="3693"/>
      </w:tblGrid>
      <w:tr w:rsidR="006E6158" w:rsidRPr="00687EC2" w14:paraId="3A04F093" w14:textId="77777777" w:rsidTr="00F5755F">
        <w:trPr>
          <w:tblHeader/>
          <w:jc w:val="center"/>
        </w:trPr>
        <w:tc>
          <w:tcPr>
            <w:tcW w:w="715" w:type="dxa"/>
            <w:shd w:val="clear" w:color="auto" w:fill="123B5D"/>
            <w:tcMar>
              <w:top w:w="55" w:type="dxa"/>
              <w:left w:w="65" w:type="dxa"/>
              <w:bottom w:w="55" w:type="dxa"/>
              <w:right w:w="65" w:type="dxa"/>
            </w:tcMar>
            <w:vAlign w:val="center"/>
          </w:tcPr>
          <w:p w14:paraId="0B0C3AEF" w14:textId="77777777" w:rsidR="006E6158" w:rsidRPr="00687EC2" w:rsidRDefault="00F41EE1" w:rsidP="00687EC2">
            <w:pPr>
              <w:rPr>
                <w:szCs w:val="24"/>
              </w:rPr>
            </w:pPr>
            <w:r w:rsidRPr="00687EC2">
              <w:rPr>
                <w:b/>
                <w:color w:val="FFFFFF"/>
                <w:szCs w:val="24"/>
              </w:rPr>
              <w:t>ID</w:t>
            </w:r>
          </w:p>
        </w:tc>
        <w:tc>
          <w:tcPr>
            <w:tcW w:w="5220" w:type="dxa"/>
            <w:shd w:val="clear" w:color="auto" w:fill="123B5D"/>
            <w:tcMar>
              <w:top w:w="55" w:type="dxa"/>
              <w:left w:w="65" w:type="dxa"/>
              <w:bottom w:w="55" w:type="dxa"/>
              <w:right w:w="65" w:type="dxa"/>
            </w:tcMar>
            <w:vAlign w:val="center"/>
          </w:tcPr>
          <w:p w14:paraId="6F3D8F54" w14:textId="77777777" w:rsidR="006E6158" w:rsidRPr="00687EC2" w:rsidRDefault="00F41EE1" w:rsidP="00687EC2">
            <w:pPr>
              <w:rPr>
                <w:szCs w:val="24"/>
              </w:rPr>
            </w:pPr>
            <w:r w:rsidRPr="00687EC2">
              <w:rPr>
                <w:b/>
                <w:color w:val="FFFFFF"/>
                <w:szCs w:val="24"/>
              </w:rPr>
              <w:t>SMART objective</w:t>
            </w:r>
          </w:p>
        </w:tc>
        <w:tc>
          <w:tcPr>
            <w:tcW w:w="3693" w:type="dxa"/>
            <w:shd w:val="clear" w:color="auto" w:fill="123B5D"/>
            <w:tcMar>
              <w:top w:w="55" w:type="dxa"/>
              <w:left w:w="65" w:type="dxa"/>
              <w:bottom w:w="55" w:type="dxa"/>
              <w:right w:w="65" w:type="dxa"/>
            </w:tcMar>
            <w:vAlign w:val="center"/>
          </w:tcPr>
          <w:p w14:paraId="27B085AC" w14:textId="77777777" w:rsidR="006E6158" w:rsidRPr="00687EC2" w:rsidRDefault="00F41EE1" w:rsidP="00687EC2">
            <w:pPr>
              <w:rPr>
                <w:szCs w:val="24"/>
              </w:rPr>
            </w:pPr>
            <w:r w:rsidRPr="00687EC2">
              <w:rPr>
                <w:b/>
                <w:color w:val="FFFFFF"/>
                <w:szCs w:val="24"/>
              </w:rPr>
              <w:t>Measure / acceptance evidence</w:t>
            </w:r>
          </w:p>
        </w:tc>
      </w:tr>
      <w:tr w:rsidR="006E6158" w:rsidRPr="00687EC2" w14:paraId="550D4EC5" w14:textId="77777777" w:rsidTr="00F5755F">
        <w:trPr>
          <w:jc w:val="center"/>
        </w:trPr>
        <w:tc>
          <w:tcPr>
            <w:tcW w:w="715" w:type="dxa"/>
            <w:tcMar>
              <w:top w:w="55" w:type="dxa"/>
              <w:left w:w="65" w:type="dxa"/>
              <w:bottom w:w="55" w:type="dxa"/>
              <w:right w:w="65" w:type="dxa"/>
            </w:tcMar>
            <w:vAlign w:val="center"/>
          </w:tcPr>
          <w:p w14:paraId="6A8E101D" w14:textId="77777777" w:rsidR="006E6158" w:rsidRPr="00687EC2" w:rsidRDefault="00F41EE1" w:rsidP="00687EC2">
            <w:pPr>
              <w:rPr>
                <w:szCs w:val="24"/>
              </w:rPr>
            </w:pPr>
            <w:r w:rsidRPr="00687EC2">
              <w:rPr>
                <w:color w:val="1F2937"/>
                <w:szCs w:val="24"/>
              </w:rPr>
              <w:t>O1</w:t>
            </w:r>
          </w:p>
        </w:tc>
        <w:tc>
          <w:tcPr>
            <w:tcW w:w="5220" w:type="dxa"/>
            <w:tcMar>
              <w:top w:w="55" w:type="dxa"/>
              <w:left w:w="65" w:type="dxa"/>
              <w:bottom w:w="55" w:type="dxa"/>
              <w:right w:w="65" w:type="dxa"/>
            </w:tcMar>
            <w:vAlign w:val="center"/>
          </w:tcPr>
          <w:p w14:paraId="670D2B22" w14:textId="77777777" w:rsidR="006E6158" w:rsidRPr="00687EC2" w:rsidRDefault="00F41EE1" w:rsidP="00687EC2">
            <w:pPr>
              <w:rPr>
                <w:szCs w:val="24"/>
              </w:rPr>
            </w:pPr>
            <w:r w:rsidRPr="00687EC2">
              <w:rPr>
                <w:color w:val="1F2937"/>
                <w:szCs w:val="24"/>
              </w:rPr>
              <w:t>Reopen the hub by Month 30 (February 2029).</w:t>
            </w:r>
          </w:p>
        </w:tc>
        <w:tc>
          <w:tcPr>
            <w:tcW w:w="3693" w:type="dxa"/>
            <w:tcMar>
              <w:top w:w="55" w:type="dxa"/>
              <w:left w:w="65" w:type="dxa"/>
              <w:bottom w:w="55" w:type="dxa"/>
              <w:right w:w="65" w:type="dxa"/>
            </w:tcMar>
            <w:vAlign w:val="center"/>
          </w:tcPr>
          <w:p w14:paraId="7F3CA831" w14:textId="77777777" w:rsidR="006E6158" w:rsidRPr="00687EC2" w:rsidRDefault="00F41EE1" w:rsidP="00687EC2">
            <w:pPr>
              <w:rPr>
                <w:szCs w:val="24"/>
              </w:rPr>
            </w:pPr>
            <w:r w:rsidRPr="00687EC2">
              <w:rPr>
                <w:color w:val="1F2937"/>
                <w:szCs w:val="24"/>
              </w:rPr>
              <w:t>Safety certificate, operational readiness and phased opening completed.</w:t>
            </w:r>
          </w:p>
        </w:tc>
      </w:tr>
      <w:tr w:rsidR="006E6158" w:rsidRPr="00687EC2" w14:paraId="194AE7DA" w14:textId="77777777" w:rsidTr="00F5755F">
        <w:trPr>
          <w:jc w:val="center"/>
        </w:trPr>
        <w:tc>
          <w:tcPr>
            <w:tcW w:w="715" w:type="dxa"/>
            <w:shd w:val="clear" w:color="auto" w:fill="F4F8FA"/>
            <w:tcMar>
              <w:top w:w="55" w:type="dxa"/>
              <w:left w:w="65" w:type="dxa"/>
              <w:bottom w:w="55" w:type="dxa"/>
              <w:right w:w="65" w:type="dxa"/>
            </w:tcMar>
            <w:vAlign w:val="center"/>
          </w:tcPr>
          <w:p w14:paraId="7A93B5DA" w14:textId="77777777" w:rsidR="006E6158" w:rsidRPr="00687EC2" w:rsidRDefault="00F41EE1" w:rsidP="00687EC2">
            <w:pPr>
              <w:rPr>
                <w:szCs w:val="24"/>
              </w:rPr>
            </w:pPr>
            <w:r w:rsidRPr="00687EC2">
              <w:rPr>
                <w:color w:val="1F2937"/>
                <w:szCs w:val="24"/>
              </w:rPr>
              <w:t>O2</w:t>
            </w:r>
          </w:p>
        </w:tc>
        <w:tc>
          <w:tcPr>
            <w:tcW w:w="5220" w:type="dxa"/>
            <w:shd w:val="clear" w:color="auto" w:fill="F4F8FA"/>
            <w:tcMar>
              <w:top w:w="55" w:type="dxa"/>
              <w:left w:w="65" w:type="dxa"/>
              <w:bottom w:w="55" w:type="dxa"/>
              <w:right w:w="65" w:type="dxa"/>
            </w:tcMar>
            <w:vAlign w:val="center"/>
          </w:tcPr>
          <w:p w14:paraId="0FB467AE" w14:textId="77777777" w:rsidR="006E6158" w:rsidRPr="00687EC2" w:rsidRDefault="00F41EE1" w:rsidP="00687EC2">
            <w:pPr>
              <w:rPr>
                <w:szCs w:val="24"/>
              </w:rPr>
            </w:pPr>
            <w:r w:rsidRPr="00687EC2">
              <w:rPr>
                <w:color w:val="1F2937"/>
                <w:szCs w:val="24"/>
              </w:rPr>
              <w:t>Restore at least 100% of pre-closure peak rail, bus and freight interchange capacity by handover.</w:t>
            </w:r>
          </w:p>
        </w:tc>
        <w:tc>
          <w:tcPr>
            <w:tcW w:w="3693" w:type="dxa"/>
            <w:shd w:val="clear" w:color="auto" w:fill="F4F8FA"/>
            <w:tcMar>
              <w:top w:w="55" w:type="dxa"/>
              <w:left w:w="65" w:type="dxa"/>
              <w:bottom w:w="55" w:type="dxa"/>
              <w:right w:w="65" w:type="dxa"/>
            </w:tcMar>
            <w:vAlign w:val="center"/>
          </w:tcPr>
          <w:p w14:paraId="16FA3EE0" w14:textId="77777777" w:rsidR="006E6158" w:rsidRPr="00687EC2" w:rsidRDefault="00F41EE1" w:rsidP="00687EC2">
            <w:pPr>
              <w:rPr>
                <w:szCs w:val="24"/>
              </w:rPr>
            </w:pPr>
            <w:r w:rsidRPr="00687EC2">
              <w:rPr>
                <w:color w:val="1F2937"/>
                <w:szCs w:val="24"/>
              </w:rPr>
              <w:t>Capacity model and 30-day operational trial.</w:t>
            </w:r>
          </w:p>
        </w:tc>
      </w:tr>
      <w:tr w:rsidR="006E6158" w:rsidRPr="00687EC2" w14:paraId="1B67347A" w14:textId="77777777" w:rsidTr="00F5755F">
        <w:trPr>
          <w:jc w:val="center"/>
        </w:trPr>
        <w:tc>
          <w:tcPr>
            <w:tcW w:w="715" w:type="dxa"/>
            <w:tcMar>
              <w:top w:w="55" w:type="dxa"/>
              <w:left w:w="65" w:type="dxa"/>
              <w:bottom w:w="55" w:type="dxa"/>
              <w:right w:w="65" w:type="dxa"/>
            </w:tcMar>
            <w:vAlign w:val="center"/>
          </w:tcPr>
          <w:p w14:paraId="69AD4CD1" w14:textId="77777777" w:rsidR="006E6158" w:rsidRPr="00687EC2" w:rsidRDefault="00F41EE1" w:rsidP="00687EC2">
            <w:pPr>
              <w:rPr>
                <w:szCs w:val="24"/>
              </w:rPr>
            </w:pPr>
            <w:r w:rsidRPr="00687EC2">
              <w:rPr>
                <w:color w:val="1F2937"/>
                <w:szCs w:val="24"/>
              </w:rPr>
              <w:t>O3</w:t>
            </w:r>
          </w:p>
        </w:tc>
        <w:tc>
          <w:tcPr>
            <w:tcW w:w="5220" w:type="dxa"/>
            <w:tcMar>
              <w:top w:w="55" w:type="dxa"/>
              <w:left w:w="65" w:type="dxa"/>
              <w:bottom w:w="55" w:type="dxa"/>
              <w:right w:w="65" w:type="dxa"/>
            </w:tcMar>
            <w:vAlign w:val="center"/>
          </w:tcPr>
          <w:p w14:paraId="3868D7BA" w14:textId="77777777" w:rsidR="006E6158" w:rsidRPr="00687EC2" w:rsidRDefault="00F41EE1" w:rsidP="00687EC2">
            <w:pPr>
              <w:rPr>
                <w:szCs w:val="24"/>
              </w:rPr>
            </w:pPr>
            <w:r w:rsidRPr="00687EC2">
              <w:rPr>
                <w:color w:val="1F2937"/>
                <w:szCs w:val="24"/>
              </w:rPr>
              <w:t>Achieve full applicable safety, fire and accessibility compliance with zero unresolved category-A defects.</w:t>
            </w:r>
          </w:p>
        </w:tc>
        <w:tc>
          <w:tcPr>
            <w:tcW w:w="3693" w:type="dxa"/>
            <w:tcMar>
              <w:top w:w="55" w:type="dxa"/>
              <w:left w:w="65" w:type="dxa"/>
              <w:bottom w:w="55" w:type="dxa"/>
              <w:right w:w="65" w:type="dxa"/>
            </w:tcMar>
            <w:vAlign w:val="center"/>
          </w:tcPr>
          <w:p w14:paraId="2928C055" w14:textId="77777777" w:rsidR="006E6158" w:rsidRPr="00687EC2" w:rsidRDefault="00F41EE1" w:rsidP="00687EC2">
            <w:pPr>
              <w:rPr>
                <w:szCs w:val="24"/>
              </w:rPr>
            </w:pPr>
            <w:r w:rsidRPr="00687EC2">
              <w:rPr>
                <w:color w:val="1F2937"/>
                <w:szCs w:val="24"/>
              </w:rPr>
              <w:t>Independent assurance and regulator sign-off.</w:t>
            </w:r>
          </w:p>
        </w:tc>
      </w:tr>
      <w:tr w:rsidR="006E6158" w:rsidRPr="00687EC2" w14:paraId="3175AB49" w14:textId="77777777" w:rsidTr="00F5755F">
        <w:trPr>
          <w:jc w:val="center"/>
        </w:trPr>
        <w:tc>
          <w:tcPr>
            <w:tcW w:w="715" w:type="dxa"/>
            <w:shd w:val="clear" w:color="auto" w:fill="F4F8FA"/>
            <w:tcMar>
              <w:top w:w="55" w:type="dxa"/>
              <w:left w:w="65" w:type="dxa"/>
              <w:bottom w:w="55" w:type="dxa"/>
              <w:right w:w="65" w:type="dxa"/>
            </w:tcMar>
            <w:vAlign w:val="center"/>
          </w:tcPr>
          <w:p w14:paraId="6154FD9E" w14:textId="77777777" w:rsidR="006E6158" w:rsidRPr="00687EC2" w:rsidRDefault="00F41EE1" w:rsidP="00687EC2">
            <w:pPr>
              <w:rPr>
                <w:szCs w:val="24"/>
              </w:rPr>
            </w:pPr>
            <w:r w:rsidRPr="00687EC2">
              <w:rPr>
                <w:color w:val="1F2937"/>
                <w:szCs w:val="24"/>
              </w:rPr>
              <w:t>O4</w:t>
            </w:r>
          </w:p>
        </w:tc>
        <w:tc>
          <w:tcPr>
            <w:tcW w:w="5220" w:type="dxa"/>
            <w:shd w:val="clear" w:color="auto" w:fill="F4F8FA"/>
            <w:tcMar>
              <w:top w:w="55" w:type="dxa"/>
              <w:left w:w="65" w:type="dxa"/>
              <w:bottom w:w="55" w:type="dxa"/>
              <w:right w:w="65" w:type="dxa"/>
            </w:tcMar>
            <w:vAlign w:val="center"/>
          </w:tcPr>
          <w:p w14:paraId="14927350" w14:textId="77777777" w:rsidR="006E6158" w:rsidRPr="00687EC2" w:rsidRDefault="00F41EE1" w:rsidP="00687EC2">
            <w:pPr>
              <w:rPr>
                <w:szCs w:val="24"/>
              </w:rPr>
            </w:pPr>
            <w:r w:rsidRPr="00687EC2">
              <w:rPr>
                <w:color w:val="1F2937"/>
                <w:szCs w:val="24"/>
              </w:rPr>
              <w:t>Commission passenger information, CCTV, wayfinding and freight coordination by Month 27 with at least 99.5% availability during a 30-day trial.</w:t>
            </w:r>
          </w:p>
        </w:tc>
        <w:tc>
          <w:tcPr>
            <w:tcW w:w="3693" w:type="dxa"/>
            <w:shd w:val="clear" w:color="auto" w:fill="F4F8FA"/>
            <w:tcMar>
              <w:top w:w="55" w:type="dxa"/>
              <w:left w:w="65" w:type="dxa"/>
              <w:bottom w:w="55" w:type="dxa"/>
              <w:right w:w="65" w:type="dxa"/>
            </w:tcMar>
            <w:vAlign w:val="center"/>
          </w:tcPr>
          <w:p w14:paraId="515E8087" w14:textId="77777777" w:rsidR="006E6158" w:rsidRPr="00687EC2" w:rsidRDefault="00F41EE1" w:rsidP="00687EC2">
            <w:pPr>
              <w:rPr>
                <w:szCs w:val="24"/>
              </w:rPr>
            </w:pPr>
            <w:r w:rsidRPr="00687EC2">
              <w:rPr>
                <w:color w:val="1F2937"/>
                <w:szCs w:val="24"/>
              </w:rPr>
              <w:t>System availability and user-acceptance records.</w:t>
            </w:r>
          </w:p>
        </w:tc>
      </w:tr>
      <w:tr w:rsidR="006E6158" w:rsidRPr="00687EC2" w14:paraId="4B555489" w14:textId="77777777" w:rsidTr="00F5755F">
        <w:trPr>
          <w:jc w:val="center"/>
        </w:trPr>
        <w:tc>
          <w:tcPr>
            <w:tcW w:w="715" w:type="dxa"/>
            <w:tcMar>
              <w:top w:w="55" w:type="dxa"/>
              <w:left w:w="65" w:type="dxa"/>
              <w:bottom w:w="55" w:type="dxa"/>
              <w:right w:w="65" w:type="dxa"/>
            </w:tcMar>
            <w:vAlign w:val="center"/>
          </w:tcPr>
          <w:p w14:paraId="0A38ED1C" w14:textId="77777777" w:rsidR="006E6158" w:rsidRPr="00687EC2" w:rsidRDefault="00F41EE1" w:rsidP="00687EC2">
            <w:pPr>
              <w:rPr>
                <w:szCs w:val="24"/>
              </w:rPr>
            </w:pPr>
            <w:r w:rsidRPr="00687EC2">
              <w:rPr>
                <w:color w:val="1F2937"/>
                <w:szCs w:val="24"/>
              </w:rPr>
              <w:t>O5</w:t>
            </w:r>
          </w:p>
        </w:tc>
        <w:tc>
          <w:tcPr>
            <w:tcW w:w="5220" w:type="dxa"/>
            <w:tcMar>
              <w:top w:w="55" w:type="dxa"/>
              <w:left w:w="65" w:type="dxa"/>
              <w:bottom w:w="55" w:type="dxa"/>
              <w:right w:w="65" w:type="dxa"/>
            </w:tcMar>
            <w:vAlign w:val="center"/>
          </w:tcPr>
          <w:p w14:paraId="44ECF9A1" w14:textId="77777777" w:rsidR="006E6158" w:rsidRPr="00687EC2" w:rsidRDefault="00F41EE1" w:rsidP="00687EC2">
            <w:pPr>
              <w:rPr>
                <w:szCs w:val="24"/>
              </w:rPr>
            </w:pPr>
            <w:r w:rsidRPr="00687EC2">
              <w:rPr>
                <w:color w:val="1F2937"/>
                <w:szCs w:val="24"/>
              </w:rPr>
              <w:t>Deliver within the £650 million approved baseline and keep unapproved schedule or cost variance within 5%.</w:t>
            </w:r>
          </w:p>
        </w:tc>
        <w:tc>
          <w:tcPr>
            <w:tcW w:w="3693" w:type="dxa"/>
            <w:tcMar>
              <w:top w:w="55" w:type="dxa"/>
              <w:left w:w="65" w:type="dxa"/>
              <w:bottom w:w="55" w:type="dxa"/>
              <w:right w:w="65" w:type="dxa"/>
            </w:tcMar>
            <w:vAlign w:val="center"/>
          </w:tcPr>
          <w:p w14:paraId="523160A4" w14:textId="77777777" w:rsidR="006E6158" w:rsidRPr="00687EC2" w:rsidRDefault="00F41EE1" w:rsidP="00687EC2">
            <w:pPr>
              <w:rPr>
                <w:szCs w:val="24"/>
              </w:rPr>
            </w:pPr>
            <w:r w:rsidRPr="00687EC2">
              <w:rPr>
                <w:color w:val="1F2937"/>
                <w:szCs w:val="24"/>
              </w:rPr>
              <w:t>Monthly earned-value and forecast-at-completion reports.</w:t>
            </w:r>
          </w:p>
        </w:tc>
      </w:tr>
      <w:tr w:rsidR="006E6158" w:rsidRPr="00687EC2" w14:paraId="53AE7C1B" w14:textId="77777777" w:rsidTr="00F5755F">
        <w:trPr>
          <w:jc w:val="center"/>
        </w:trPr>
        <w:tc>
          <w:tcPr>
            <w:tcW w:w="715" w:type="dxa"/>
            <w:shd w:val="clear" w:color="auto" w:fill="F4F8FA"/>
            <w:tcMar>
              <w:top w:w="55" w:type="dxa"/>
              <w:left w:w="65" w:type="dxa"/>
              <w:bottom w:w="55" w:type="dxa"/>
              <w:right w:w="65" w:type="dxa"/>
            </w:tcMar>
            <w:vAlign w:val="center"/>
          </w:tcPr>
          <w:p w14:paraId="2398E742" w14:textId="77777777" w:rsidR="006E6158" w:rsidRPr="00687EC2" w:rsidRDefault="00F41EE1" w:rsidP="00687EC2">
            <w:pPr>
              <w:rPr>
                <w:szCs w:val="24"/>
              </w:rPr>
            </w:pPr>
            <w:r w:rsidRPr="00687EC2">
              <w:rPr>
                <w:color w:val="1F2937"/>
                <w:szCs w:val="24"/>
              </w:rPr>
              <w:lastRenderedPageBreak/>
              <w:t>O6</w:t>
            </w:r>
          </w:p>
        </w:tc>
        <w:tc>
          <w:tcPr>
            <w:tcW w:w="5220" w:type="dxa"/>
            <w:shd w:val="clear" w:color="auto" w:fill="F4F8FA"/>
            <w:tcMar>
              <w:top w:w="55" w:type="dxa"/>
              <w:left w:w="65" w:type="dxa"/>
              <w:bottom w:w="55" w:type="dxa"/>
              <w:right w:w="65" w:type="dxa"/>
            </w:tcMar>
            <w:vAlign w:val="center"/>
          </w:tcPr>
          <w:p w14:paraId="3BECA080" w14:textId="77777777" w:rsidR="006E6158" w:rsidRPr="00687EC2" w:rsidRDefault="00F41EE1" w:rsidP="00687EC2">
            <w:pPr>
              <w:rPr>
                <w:szCs w:val="24"/>
              </w:rPr>
            </w:pPr>
            <w:r w:rsidRPr="00687EC2">
              <w:rPr>
                <w:color w:val="1F2937"/>
                <w:szCs w:val="24"/>
              </w:rPr>
              <w:t>Reduce forecast operational carbon by at least 30% against the former hub baseline and divert at least 90% of construction waste from landfill.</w:t>
            </w:r>
          </w:p>
        </w:tc>
        <w:tc>
          <w:tcPr>
            <w:tcW w:w="3693" w:type="dxa"/>
            <w:shd w:val="clear" w:color="auto" w:fill="F4F8FA"/>
            <w:tcMar>
              <w:top w:w="55" w:type="dxa"/>
              <w:left w:w="65" w:type="dxa"/>
              <w:bottom w:w="55" w:type="dxa"/>
              <w:right w:w="65" w:type="dxa"/>
            </w:tcMar>
            <w:vAlign w:val="center"/>
          </w:tcPr>
          <w:p w14:paraId="7FD619F3" w14:textId="77777777" w:rsidR="006E6158" w:rsidRPr="00687EC2" w:rsidRDefault="00F41EE1" w:rsidP="00687EC2">
            <w:pPr>
              <w:rPr>
                <w:szCs w:val="24"/>
              </w:rPr>
            </w:pPr>
            <w:r w:rsidRPr="00687EC2">
              <w:rPr>
                <w:color w:val="1F2937"/>
                <w:szCs w:val="24"/>
              </w:rPr>
              <w:t>Whole-life carbon model and verified waste data.</w:t>
            </w:r>
          </w:p>
        </w:tc>
      </w:tr>
    </w:tbl>
    <w:p w14:paraId="776F7D7F" w14:textId="77777777" w:rsidR="00CB3A01" w:rsidRDefault="00CB3A01" w:rsidP="00CB3A01">
      <w:pPr>
        <w:pStyle w:val="ReportCaption"/>
        <w:spacing w:before="0" w:after="0" w:line="360" w:lineRule="auto"/>
        <w:rPr>
          <w:rFonts w:ascii="Corbel" w:hAnsi="Corbel"/>
          <w:sz w:val="24"/>
          <w:szCs w:val="24"/>
        </w:rPr>
      </w:pPr>
      <w:r w:rsidRPr="00CB3A01">
        <w:rPr>
          <w:rFonts w:ascii="Corbel" w:hAnsi="Corbel"/>
          <w:sz w:val="24"/>
          <w:szCs w:val="24"/>
        </w:rPr>
        <w:t>Table 3: SMART project objectives</w:t>
      </w:r>
      <w:r>
        <w:rPr>
          <w:rFonts w:ascii="Corbel" w:hAnsi="Corbel"/>
          <w:sz w:val="24"/>
          <w:szCs w:val="24"/>
        </w:rPr>
        <w:t xml:space="preserve"> </w:t>
      </w:r>
    </w:p>
    <w:p w14:paraId="67DC0953" w14:textId="0B2E6042" w:rsidR="006E6158" w:rsidRPr="00687EC2" w:rsidRDefault="00CB3A01" w:rsidP="00CB3A01">
      <w:pPr>
        <w:pStyle w:val="ReportCaption"/>
        <w:spacing w:before="0" w:after="0" w:line="360" w:lineRule="auto"/>
        <w:rPr>
          <w:rFonts w:ascii="Corbel" w:hAnsi="Corbel"/>
          <w:sz w:val="24"/>
          <w:szCs w:val="24"/>
        </w:rPr>
      </w:pPr>
      <w:r>
        <w:rPr>
          <w:rFonts w:ascii="Corbel" w:hAnsi="Corbel"/>
          <w:sz w:val="24"/>
          <w:szCs w:val="24"/>
        </w:rPr>
        <w:t>Source: Author</w:t>
      </w:r>
    </w:p>
    <w:p w14:paraId="7F5E961B" w14:textId="77777777" w:rsidR="006E6158" w:rsidRPr="00687EC2" w:rsidRDefault="00F41EE1" w:rsidP="00CB3A01">
      <w:pPr>
        <w:pStyle w:val="Heading2"/>
      </w:pPr>
      <w:bookmarkStart w:id="8" w:name="_Toc235810311"/>
      <w:r w:rsidRPr="00687EC2">
        <w:t>3. Scope</w:t>
      </w:r>
      <w:bookmarkEnd w:id="8"/>
    </w:p>
    <w:p w14:paraId="3B432A2D" w14:textId="56DA9D85" w:rsidR="000A0086" w:rsidRPr="00687EC2" w:rsidRDefault="000A0086" w:rsidP="00687EC2">
      <w:pPr>
        <w:rPr>
          <w:szCs w:val="24"/>
        </w:rPr>
      </w:pPr>
      <w:r w:rsidRPr="00687EC2">
        <w:rPr>
          <w:szCs w:val="24"/>
        </w:rPr>
        <w:t xml:space="preserve">The scope baseline includes the central hub and access routes to this area. In-scope deliverables include: structural </w:t>
      </w:r>
      <w:proofErr w:type="spellStart"/>
      <w:r w:rsidRPr="00687EC2">
        <w:rPr>
          <w:szCs w:val="24"/>
        </w:rPr>
        <w:t>stabilisation</w:t>
      </w:r>
      <w:proofErr w:type="spellEnd"/>
      <w:r w:rsidRPr="00687EC2">
        <w:rPr>
          <w:szCs w:val="24"/>
        </w:rPr>
        <w:t>, demolition and remediation, temporary passenger and freight arrangements, a new concourse, rail, bus and freight interfaces, utilities and building services, fire and security systems, step-free routes, accessible toilets, tactile navigation and inclusive wayfinding, passenger information, CCTV, and logistics coordination systems, public-realm connections, testing, training and handover. Out of scope work is outside of the scope of the agreement, for example city-wide rail enhancements, long term timetable reform, housing renewal and commercial development outside agreed retail units (</w:t>
      </w:r>
      <w:proofErr w:type="spellStart"/>
      <w:r w:rsidRPr="00687EC2">
        <w:rPr>
          <w:szCs w:val="24"/>
        </w:rPr>
        <w:t>Gemino</w:t>
      </w:r>
      <w:proofErr w:type="spellEnd"/>
      <w:r w:rsidRPr="00687EC2">
        <w:rPr>
          <w:szCs w:val="24"/>
        </w:rPr>
        <w:t xml:space="preserve"> et al., 2021).</w:t>
      </w:r>
    </w:p>
    <w:p w14:paraId="1AB5D997" w14:textId="77777777" w:rsidR="000A0086" w:rsidRPr="00687EC2" w:rsidRDefault="000A0086" w:rsidP="00687EC2">
      <w:pPr>
        <w:rPr>
          <w:szCs w:val="24"/>
        </w:rPr>
      </w:pPr>
      <w:r w:rsidRPr="00687EC2">
        <w:rPr>
          <w:szCs w:val="24"/>
        </w:rPr>
        <w:t>To be accepted, the design certificates must be approved, inspection and test plans must be completed, all category-A defects must be resolved, the accessibility must be signed off, emergency exercises must be successful and a 30-day operational trial must have been completed. The constraints are the need for continued service continuity, limited urban space, live utilities, rail possessions, regulatory approvals and a funding limit of £650m. The key assumptions are: when the land is available, no significant contamination present other than what is allowed, and the operators participation and funding approvals at each gate.</w:t>
      </w:r>
    </w:p>
    <w:p w14:paraId="4D693625" w14:textId="77777777" w:rsidR="000A0086" w:rsidRPr="00687EC2" w:rsidRDefault="000A0086" w:rsidP="00687EC2">
      <w:pPr>
        <w:rPr>
          <w:szCs w:val="24"/>
        </w:rPr>
      </w:pPr>
      <w:r w:rsidRPr="00687EC2">
        <w:rPr>
          <w:szCs w:val="24"/>
        </w:rPr>
        <w:t>The baseline is safeguarded by a formal change-control process. All requests are recorded, vetted for necessity and cost, time, carbon, safety, benefits and stakeholder impact. Any changes within delegated tolerance will be approved by the Change Control Board, larger changes will be referred back to the project board and funders. This is because scope ambiguity will create scope complexity and scope exposure (He et al., 2015; ISO, 2020).</w:t>
      </w:r>
    </w:p>
    <w:p w14:paraId="3AC59403" w14:textId="77777777" w:rsidR="006E6158" w:rsidRPr="00687EC2" w:rsidRDefault="00F41EE1" w:rsidP="00CB3A01">
      <w:pPr>
        <w:pStyle w:val="Heading2"/>
      </w:pPr>
      <w:bookmarkStart w:id="9" w:name="_Toc235810312"/>
      <w:r w:rsidRPr="00687EC2">
        <w:t>4. Work breakdown structure</w:t>
      </w:r>
      <w:bookmarkEnd w:id="9"/>
    </w:p>
    <w:p w14:paraId="0BE4ECFC" w14:textId="77777777" w:rsidR="003B18AF" w:rsidRPr="00687EC2" w:rsidRDefault="003B18AF" w:rsidP="00687EC2">
      <w:pPr>
        <w:rPr>
          <w:szCs w:val="24"/>
        </w:rPr>
      </w:pPr>
      <w:r w:rsidRPr="00687EC2">
        <w:rPr>
          <w:szCs w:val="24"/>
        </w:rPr>
        <w:t xml:space="preserve">The work breakdown structure breaks down the end product into smaller and more manageable work packages, which are also accountable. There are six control accounts, as illustrated in Figure 6, which are governance and assurance, design and approvals, temporary operations and enabling </w:t>
      </w:r>
      <w:r w:rsidRPr="00687EC2">
        <w:rPr>
          <w:szCs w:val="24"/>
        </w:rPr>
        <w:lastRenderedPageBreak/>
        <w:t>works, core construction, systems and digital integration and commissioning and benefits transition. Each package is owned by a name, has a budget, activities that need to be scheduled, acceptance criteria and risk allocation. The WBS is used for estimating, procurement, and responsibility assignment and earned value reporting, but it doesn't contain sequence. Dependencies are then passed on to the integrated Gantt baseline. The decomposition is deliverable oriented to minimize duplication of effort, and to track changes from the approved scope to a specific control account (PMI, 2021; ISO, 2018).</w:t>
      </w:r>
    </w:p>
    <w:p w14:paraId="55878517" w14:textId="77777777" w:rsidR="006E6158" w:rsidRPr="00687EC2" w:rsidRDefault="00F41EE1" w:rsidP="00687EC2">
      <w:pPr>
        <w:keepNext/>
        <w:jc w:val="center"/>
        <w:rPr>
          <w:szCs w:val="24"/>
        </w:rPr>
      </w:pPr>
      <w:r w:rsidRPr="00687EC2">
        <w:rPr>
          <w:noProof/>
          <w:szCs w:val="24"/>
        </w:rPr>
        <w:drawing>
          <wp:inline distT="0" distB="0" distL="0" distR="0" wp14:anchorId="13253BEC" wp14:editId="4B558BAE">
            <wp:extent cx="6031652" cy="3472543"/>
            <wp:effectExtent l="0" t="0" r="762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6_wbs.png"/>
                    <pic:cNvPicPr/>
                  </pic:nvPicPr>
                  <pic:blipFill>
                    <a:blip r:embed="rId20"/>
                    <a:stretch>
                      <a:fillRect/>
                    </a:stretch>
                  </pic:blipFill>
                  <pic:spPr>
                    <a:xfrm>
                      <a:off x="0" y="0"/>
                      <a:ext cx="6038465" cy="3476465"/>
                    </a:xfrm>
                    <a:prstGeom prst="rect">
                      <a:avLst/>
                    </a:prstGeom>
                  </pic:spPr>
                </pic:pic>
              </a:graphicData>
            </a:graphic>
          </wp:inline>
        </w:drawing>
      </w:r>
    </w:p>
    <w:p w14:paraId="71747BB9" w14:textId="77777777" w:rsidR="00CB3A01"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 xml:space="preserve">Figure 6: Work breakdown structure for the redevelopment project. </w:t>
      </w:r>
    </w:p>
    <w:p w14:paraId="4B09B8D8" w14:textId="7B57C6D9"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Source: Author.</w:t>
      </w:r>
    </w:p>
    <w:p w14:paraId="4F05091D" w14:textId="77777777" w:rsidR="006E6158" w:rsidRPr="008A419A" w:rsidRDefault="00F41EE1" w:rsidP="008A419A">
      <w:pPr>
        <w:pStyle w:val="Heading2"/>
      </w:pPr>
      <w:bookmarkStart w:id="10" w:name="_Toc235810313"/>
      <w:r w:rsidRPr="008A419A">
        <w:t>5. Quad chart</w:t>
      </w:r>
      <w:bookmarkEnd w:id="10"/>
    </w:p>
    <w:p w14:paraId="2680E6B3" w14:textId="77777777" w:rsidR="005E5635" w:rsidRPr="00687EC2" w:rsidRDefault="005E5635" w:rsidP="00687EC2">
      <w:pPr>
        <w:rPr>
          <w:szCs w:val="24"/>
        </w:rPr>
      </w:pPr>
      <w:r w:rsidRPr="00687EC2">
        <w:rPr>
          <w:szCs w:val="24"/>
        </w:rPr>
        <w:t>The one page executive view of purpose, deliverables, schedule, cost, governance and the key risks is illustrated in Figure 7. The quad chart is provided at project-board meetings at monthly intervals to keep decisionmakers up to date on the project without having to read through individual technical reports. It is limited in compression: new problems are suppressed by summary indicators. The chart will then be connected to the real-time schedule, cost report, risk register and decision log of the project management office.</w:t>
      </w:r>
    </w:p>
    <w:p w14:paraId="7961F865" w14:textId="77777777" w:rsidR="006E6158" w:rsidRPr="00687EC2" w:rsidRDefault="00F41EE1" w:rsidP="00687EC2">
      <w:pPr>
        <w:keepNext/>
        <w:jc w:val="center"/>
        <w:rPr>
          <w:szCs w:val="24"/>
        </w:rPr>
      </w:pPr>
      <w:r w:rsidRPr="00687EC2">
        <w:rPr>
          <w:noProof/>
          <w:szCs w:val="24"/>
        </w:rPr>
        <w:lastRenderedPageBreak/>
        <w:drawing>
          <wp:inline distT="0" distB="0" distL="0" distR="0" wp14:anchorId="273D5067" wp14:editId="76425548">
            <wp:extent cx="5394960" cy="524865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7_quad_chart.png"/>
                    <pic:cNvPicPr/>
                  </pic:nvPicPr>
                  <pic:blipFill>
                    <a:blip r:embed="rId21"/>
                    <a:stretch>
                      <a:fillRect/>
                    </a:stretch>
                  </pic:blipFill>
                  <pic:spPr>
                    <a:xfrm>
                      <a:off x="0" y="0"/>
                      <a:ext cx="5394960" cy="5248656"/>
                    </a:xfrm>
                    <a:prstGeom prst="rect">
                      <a:avLst/>
                    </a:prstGeom>
                  </pic:spPr>
                </pic:pic>
              </a:graphicData>
            </a:graphic>
          </wp:inline>
        </w:drawing>
      </w:r>
    </w:p>
    <w:p w14:paraId="3E8331AE" w14:textId="77777777"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 xml:space="preserve">Figure 7: Executive quad chart </w:t>
      </w:r>
      <w:proofErr w:type="spellStart"/>
      <w:r w:rsidRPr="00687EC2">
        <w:rPr>
          <w:rFonts w:ascii="Corbel" w:hAnsi="Corbel"/>
          <w:sz w:val="24"/>
          <w:szCs w:val="24"/>
        </w:rPr>
        <w:t>summarising</w:t>
      </w:r>
      <w:proofErr w:type="spellEnd"/>
      <w:r w:rsidRPr="00687EC2">
        <w:rPr>
          <w:rFonts w:ascii="Corbel" w:hAnsi="Corbel"/>
          <w:sz w:val="24"/>
          <w:szCs w:val="24"/>
        </w:rPr>
        <w:t xml:space="preserve"> project purpose, deliverables, schedule, cost, governance and risks. Source: Author.</w:t>
      </w:r>
    </w:p>
    <w:p w14:paraId="4A15A4C5" w14:textId="77777777" w:rsidR="006E6158" w:rsidRPr="00687EC2" w:rsidRDefault="00F41EE1" w:rsidP="008A419A">
      <w:pPr>
        <w:pStyle w:val="Heading2"/>
      </w:pPr>
      <w:bookmarkStart w:id="11" w:name="_Toc235810314"/>
      <w:r w:rsidRPr="00687EC2">
        <w:t>6. Gantt chart and time plan</w:t>
      </w:r>
      <w:bookmarkEnd w:id="11"/>
    </w:p>
    <w:p w14:paraId="666CCC10" w14:textId="77777777" w:rsidR="002E4F1F" w:rsidRPr="00687EC2" w:rsidRDefault="002E4F1F" w:rsidP="00687EC2">
      <w:pPr>
        <w:rPr>
          <w:szCs w:val="24"/>
        </w:rPr>
      </w:pPr>
      <w:r w:rsidRPr="00687EC2">
        <w:rPr>
          <w:szCs w:val="24"/>
        </w:rPr>
        <w:t>The 30-month Integrated Schedule September 2026 – February 2029 is shown in Figure 8. To minimize elapsed time, early surveys, temporary operations, design and consultation are interwoven. Enabling works can commence prior to the start of procurement, which commences once a good level of design maturity has been achieved. Core construction takes place from Month 14 to Month 25 and building services/digital integration overlaps from Month 20. The testing phase, emergency exercises and operational readiness are Months 26-29, while the phased reopening is Month 30.</w:t>
      </w:r>
    </w:p>
    <w:p w14:paraId="76DD65FD" w14:textId="77777777" w:rsidR="002E4F1F" w:rsidRPr="00687EC2" w:rsidRDefault="002E4F1F" w:rsidP="00687EC2">
      <w:pPr>
        <w:rPr>
          <w:szCs w:val="24"/>
        </w:rPr>
      </w:pPr>
      <w:r w:rsidRPr="00687EC2">
        <w:rPr>
          <w:szCs w:val="24"/>
        </w:rPr>
        <w:t xml:space="preserve">The key phases anticipated to be on the critical path are surveys, design approval, main procurement, structural completion, systems integration and safety certification. Indiscriminate parallel working is not a way to control schedule compression but rather to achieve it. A 6 week </w:t>
      </w:r>
      <w:r w:rsidRPr="00687EC2">
        <w:rPr>
          <w:szCs w:val="24"/>
        </w:rPr>
        <w:lastRenderedPageBreak/>
        <w:t>look-ahead plan, interface milestones and possession calendar will ensure coordination of contractors and operators. Monthly EA will be performed and input into the comparison of planned value, earned value and actual cost; if the variance exceeds 5% a recovery plan and escalation will be performed (Kerzner, 2022). Non-critical public-realm and retail fit-out work is retained on float and long lead equipment is released early once design assurance has been met.</w:t>
      </w:r>
    </w:p>
    <w:p w14:paraId="269E957F" w14:textId="77777777" w:rsidR="002E4F1F" w:rsidRPr="00687EC2" w:rsidRDefault="002E4F1F" w:rsidP="00687EC2">
      <w:pPr>
        <w:rPr>
          <w:szCs w:val="24"/>
        </w:rPr>
      </w:pPr>
      <w:r w:rsidRPr="00687EC2">
        <w:rPr>
          <w:szCs w:val="24"/>
        </w:rPr>
        <w:t xml:space="preserve"> </w:t>
      </w:r>
    </w:p>
    <w:p w14:paraId="0E020C46" w14:textId="77777777" w:rsidR="006E6158" w:rsidRPr="00687EC2" w:rsidRDefault="00F41EE1" w:rsidP="00687EC2">
      <w:pPr>
        <w:keepNext/>
        <w:jc w:val="center"/>
        <w:rPr>
          <w:szCs w:val="24"/>
        </w:rPr>
      </w:pPr>
      <w:r w:rsidRPr="00687EC2">
        <w:rPr>
          <w:noProof/>
          <w:szCs w:val="24"/>
        </w:rPr>
        <w:drawing>
          <wp:inline distT="0" distB="0" distL="0" distR="0" wp14:anchorId="69CEB180" wp14:editId="397C6F91">
            <wp:extent cx="5852160" cy="31049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8_gantt.png"/>
                    <pic:cNvPicPr/>
                  </pic:nvPicPr>
                  <pic:blipFill>
                    <a:blip r:embed="rId22"/>
                    <a:stretch>
                      <a:fillRect/>
                    </a:stretch>
                  </pic:blipFill>
                  <pic:spPr>
                    <a:xfrm>
                      <a:off x="0" y="0"/>
                      <a:ext cx="5852160" cy="3104949"/>
                    </a:xfrm>
                    <a:prstGeom prst="rect">
                      <a:avLst/>
                    </a:prstGeom>
                  </pic:spPr>
                </pic:pic>
              </a:graphicData>
            </a:graphic>
          </wp:inline>
        </w:drawing>
      </w:r>
    </w:p>
    <w:p w14:paraId="7F9D8183" w14:textId="77777777"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Figure 8: Thirty-month integrated Gantt schedule and milestone gates. Source: Author.</w:t>
      </w:r>
    </w:p>
    <w:p w14:paraId="587E859C" w14:textId="77777777" w:rsidR="006E6158" w:rsidRPr="00687EC2" w:rsidRDefault="00F41EE1" w:rsidP="008A419A">
      <w:pPr>
        <w:pStyle w:val="Heading2"/>
      </w:pPr>
      <w:bookmarkStart w:id="12" w:name="_Toc235810315"/>
      <w:r w:rsidRPr="00687EC2">
        <w:t>7. Stakeholder involvement</w:t>
      </w:r>
      <w:bookmarkEnd w:id="12"/>
    </w:p>
    <w:p w14:paraId="021B8A4B" w14:textId="77777777" w:rsidR="004F3974" w:rsidRPr="00687EC2" w:rsidRDefault="004F3974" w:rsidP="00687EC2">
      <w:pPr>
        <w:rPr>
          <w:szCs w:val="24"/>
        </w:rPr>
      </w:pPr>
      <w:r w:rsidRPr="00687EC2">
        <w:rPr>
          <w:szCs w:val="24"/>
        </w:rPr>
        <w:t>The involvement of stakeholders is based on the principles of stakeholder power, interest and exposure to disruption. The sponsor, the funders, the transport operators and the safety regulators are grouped in the manage-closely group in figure 9, as well as the main contractor. Formal authority is low but interest and exposure high, so they need to be kept well informed and actively engaged in the design and the planning of services. Structured technical engagement maintains satisfaction of emergency services, utilities and planning bodies.</w:t>
      </w:r>
    </w:p>
    <w:p w14:paraId="7594FE1D" w14:textId="77777777" w:rsidR="004F3974" w:rsidRPr="00687EC2" w:rsidRDefault="004F3974" w:rsidP="00687EC2">
      <w:pPr>
        <w:rPr>
          <w:szCs w:val="24"/>
        </w:rPr>
      </w:pPr>
      <w:r w:rsidRPr="00687EC2">
        <w:rPr>
          <w:szCs w:val="24"/>
        </w:rPr>
        <w:t xml:space="preserve">The project board is made up of the Senior Responsible Owner, operator representatives, commercial lead, design lead and project director and meets monthly. For each fortnight, a possession operator interface group is responsible for the possessions, temporary routes and operational risk. Layouts, prototypes and trial operations are considered at concept, detailed design and commissioning stages at an accessibility forum. Logistics briefings are issued to businesses and freight users on a monthly basis and notices are issued to passengers via the </w:t>
      </w:r>
      <w:r w:rsidRPr="00687EC2">
        <w:rPr>
          <w:szCs w:val="24"/>
        </w:rPr>
        <w:lastRenderedPageBreak/>
        <w:t>stations, websites, social media and accessible formats. Complaints are recorded, classified and reported and timescales are adhered to for response.</w:t>
      </w:r>
    </w:p>
    <w:p w14:paraId="56162C33" w14:textId="195BAE49" w:rsidR="004F3974" w:rsidRPr="00687EC2" w:rsidRDefault="004F3974" w:rsidP="00687EC2">
      <w:pPr>
        <w:rPr>
          <w:szCs w:val="24"/>
        </w:rPr>
      </w:pPr>
      <w:r w:rsidRPr="00687EC2">
        <w:rPr>
          <w:szCs w:val="24"/>
        </w:rPr>
        <w:t>This way of doing things does not see stakeholder concerns as communication issues but rather a source of knowledge and a risk for the project. Stakeholder and risk management can be integrated to reduce the objective conflict and enhance the decisions on resource use (Xia et al., 2018). In addition, it is essential to involve external actors in governance as internal formal structures alone do not convey legitimacy, ethics and community impacts (Derakhshan et al., 2019). The Consultation process does not take away the sponsor's responsibility; alternatives considered and rejected, and trade-offs, are documented in an open and transparent decision log.</w:t>
      </w:r>
    </w:p>
    <w:p w14:paraId="6D42AE7C" w14:textId="77777777" w:rsidR="006E6158" w:rsidRPr="00687EC2" w:rsidRDefault="00F41EE1" w:rsidP="00687EC2">
      <w:pPr>
        <w:keepNext/>
        <w:jc w:val="center"/>
        <w:rPr>
          <w:szCs w:val="24"/>
        </w:rPr>
      </w:pPr>
      <w:r w:rsidRPr="00687EC2">
        <w:rPr>
          <w:noProof/>
          <w:szCs w:val="24"/>
        </w:rPr>
        <w:drawing>
          <wp:inline distT="0" distB="0" distL="0" distR="0" wp14:anchorId="75D0CF03" wp14:editId="66A28EEA">
            <wp:extent cx="5669280" cy="42816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9_stakeholder_matrix.png"/>
                    <pic:cNvPicPr/>
                  </pic:nvPicPr>
                  <pic:blipFill>
                    <a:blip r:embed="rId23"/>
                    <a:stretch>
                      <a:fillRect/>
                    </a:stretch>
                  </pic:blipFill>
                  <pic:spPr>
                    <a:xfrm>
                      <a:off x="0" y="0"/>
                      <a:ext cx="5669280" cy="4281611"/>
                    </a:xfrm>
                    <a:prstGeom prst="rect">
                      <a:avLst/>
                    </a:prstGeom>
                  </pic:spPr>
                </pic:pic>
              </a:graphicData>
            </a:graphic>
          </wp:inline>
        </w:drawing>
      </w:r>
    </w:p>
    <w:p w14:paraId="322CC21C" w14:textId="77777777"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 xml:space="preserve">Figure 9: Stakeholder power–interest matrix for engagement </w:t>
      </w:r>
      <w:proofErr w:type="spellStart"/>
      <w:r w:rsidRPr="00687EC2">
        <w:rPr>
          <w:rFonts w:ascii="Corbel" w:hAnsi="Corbel"/>
          <w:sz w:val="24"/>
          <w:szCs w:val="24"/>
        </w:rPr>
        <w:t>prioritisation</w:t>
      </w:r>
      <w:proofErr w:type="spellEnd"/>
      <w:r w:rsidRPr="00687EC2">
        <w:rPr>
          <w:rFonts w:ascii="Corbel" w:hAnsi="Corbel"/>
          <w:sz w:val="24"/>
          <w:szCs w:val="24"/>
        </w:rPr>
        <w:t>. Source: Author.</w:t>
      </w:r>
    </w:p>
    <w:p w14:paraId="7A1F77C5" w14:textId="77777777" w:rsidR="006E6158" w:rsidRPr="00687EC2" w:rsidRDefault="00F41EE1" w:rsidP="008A419A">
      <w:pPr>
        <w:pStyle w:val="Heading2"/>
      </w:pPr>
      <w:bookmarkStart w:id="13" w:name="_Toc235810316"/>
      <w:r w:rsidRPr="00687EC2">
        <w:t>8. Allocation of resources, cost and funding</w:t>
      </w:r>
      <w:bookmarkEnd w:id="13"/>
    </w:p>
    <w:p w14:paraId="317F6501" w14:textId="7EEAA622" w:rsidR="006E6158" w:rsidRPr="008A419A" w:rsidRDefault="00727CF7" w:rsidP="008A419A">
      <w:pPr>
        <w:rPr>
          <w:szCs w:val="24"/>
        </w:rPr>
      </w:pPr>
      <w:r w:rsidRPr="00687EC2">
        <w:rPr>
          <w:szCs w:val="24"/>
        </w:rPr>
        <w:t xml:space="preserve">Resources, as shown in Table 4 are allocated using the WBS and responsibility matrix. The core client team consists of the Senior Responsible Owner, project director, project manager, project management office, commercial manager, design manager, construction manager, safety assurance manager, digital lead, sustainability lead and stakeholder/accessibility lead. The team is augmented during design, construction and commissioning by specialist designers, contractors and operators. A controlled drawing environment is a common data environment which is used to </w:t>
      </w:r>
      <w:r w:rsidRPr="00687EC2">
        <w:rPr>
          <w:szCs w:val="24"/>
        </w:rPr>
        <w:lastRenderedPageBreak/>
        <w:t xml:space="preserve">store controlled drawings, schedules, cost information, risks, requests for information and assurance evidence. Workforce planning, welfare, logistics and competence checks are related to the construction sequence because of the expected high number of peak site </w:t>
      </w:r>
      <w:proofErr w:type="spellStart"/>
      <w:r w:rsidRPr="00687EC2">
        <w:rPr>
          <w:szCs w:val="24"/>
        </w:rPr>
        <w:t>labour</w:t>
      </w:r>
      <w:proofErr w:type="spellEnd"/>
      <w:r w:rsidRPr="00687EC2">
        <w:rPr>
          <w:szCs w:val="24"/>
        </w:rPr>
        <w:t xml:space="preserve"> requirements during Months 16-24.</w:t>
      </w:r>
    </w:p>
    <w:tbl>
      <w:tblPr>
        <w:tblW w:w="0" w:type="auto"/>
        <w:jc w:val="center"/>
        <w:tblBorders>
          <w:top w:val="single" w:sz="4" w:space="0" w:color="B7C7CE"/>
          <w:left w:val="single" w:sz="4" w:space="0" w:color="B7C7CE"/>
          <w:bottom w:val="single" w:sz="4" w:space="0" w:color="B7C7CE"/>
          <w:right w:val="single" w:sz="4" w:space="0" w:color="B7C7CE"/>
          <w:insideH w:val="single" w:sz="4" w:space="0" w:color="B7C7CE"/>
          <w:insideV w:val="single" w:sz="4" w:space="0" w:color="B7C7CE"/>
        </w:tblBorders>
        <w:tblLook w:val="04A0" w:firstRow="1" w:lastRow="0" w:firstColumn="1" w:lastColumn="0" w:noHBand="0" w:noVBand="1"/>
      </w:tblPr>
      <w:tblGrid>
        <w:gridCol w:w="1433"/>
        <w:gridCol w:w="1306"/>
        <w:gridCol w:w="1348"/>
        <w:gridCol w:w="1329"/>
        <w:gridCol w:w="1376"/>
        <w:gridCol w:w="1467"/>
        <w:gridCol w:w="1369"/>
      </w:tblGrid>
      <w:tr w:rsidR="006E6158" w:rsidRPr="00687EC2" w14:paraId="46D84ECE" w14:textId="77777777" w:rsidTr="008A419A">
        <w:trPr>
          <w:tblHeader/>
          <w:jc w:val="center"/>
        </w:trPr>
        <w:tc>
          <w:tcPr>
            <w:tcW w:w="1433" w:type="dxa"/>
            <w:shd w:val="clear" w:color="auto" w:fill="123B5D"/>
            <w:tcMar>
              <w:top w:w="55" w:type="dxa"/>
              <w:left w:w="65" w:type="dxa"/>
              <w:bottom w:w="55" w:type="dxa"/>
              <w:right w:w="65" w:type="dxa"/>
            </w:tcMar>
            <w:vAlign w:val="center"/>
          </w:tcPr>
          <w:p w14:paraId="7F52AB21" w14:textId="77777777" w:rsidR="006E6158" w:rsidRPr="00687EC2" w:rsidRDefault="00F41EE1" w:rsidP="00687EC2">
            <w:pPr>
              <w:rPr>
                <w:szCs w:val="24"/>
              </w:rPr>
            </w:pPr>
            <w:r w:rsidRPr="00687EC2">
              <w:rPr>
                <w:b/>
                <w:color w:val="FFFFFF"/>
                <w:szCs w:val="24"/>
              </w:rPr>
              <w:t>Workstream</w:t>
            </w:r>
          </w:p>
        </w:tc>
        <w:tc>
          <w:tcPr>
            <w:tcW w:w="1306" w:type="dxa"/>
            <w:shd w:val="clear" w:color="auto" w:fill="123B5D"/>
            <w:tcMar>
              <w:top w:w="55" w:type="dxa"/>
              <w:left w:w="65" w:type="dxa"/>
              <w:bottom w:w="55" w:type="dxa"/>
              <w:right w:w="65" w:type="dxa"/>
            </w:tcMar>
            <w:vAlign w:val="center"/>
          </w:tcPr>
          <w:p w14:paraId="217C140A" w14:textId="77777777" w:rsidR="006E6158" w:rsidRPr="00687EC2" w:rsidRDefault="00F41EE1" w:rsidP="00687EC2">
            <w:pPr>
              <w:rPr>
                <w:szCs w:val="24"/>
              </w:rPr>
            </w:pPr>
            <w:r w:rsidRPr="00687EC2">
              <w:rPr>
                <w:b/>
                <w:color w:val="FFFFFF"/>
                <w:szCs w:val="24"/>
              </w:rPr>
              <w:t>SRO</w:t>
            </w:r>
          </w:p>
        </w:tc>
        <w:tc>
          <w:tcPr>
            <w:tcW w:w="1348" w:type="dxa"/>
            <w:shd w:val="clear" w:color="auto" w:fill="123B5D"/>
            <w:tcMar>
              <w:top w:w="55" w:type="dxa"/>
              <w:left w:w="65" w:type="dxa"/>
              <w:bottom w:w="55" w:type="dxa"/>
              <w:right w:w="65" w:type="dxa"/>
            </w:tcMar>
            <w:vAlign w:val="center"/>
          </w:tcPr>
          <w:p w14:paraId="301991A2" w14:textId="77777777" w:rsidR="006E6158" w:rsidRPr="00687EC2" w:rsidRDefault="00F41EE1" w:rsidP="00687EC2">
            <w:pPr>
              <w:rPr>
                <w:szCs w:val="24"/>
              </w:rPr>
            </w:pPr>
            <w:r w:rsidRPr="00687EC2">
              <w:rPr>
                <w:b/>
                <w:color w:val="FFFFFF"/>
                <w:szCs w:val="24"/>
              </w:rPr>
              <w:t>Project manager</w:t>
            </w:r>
          </w:p>
        </w:tc>
        <w:tc>
          <w:tcPr>
            <w:tcW w:w="1329" w:type="dxa"/>
            <w:shd w:val="clear" w:color="auto" w:fill="123B5D"/>
            <w:tcMar>
              <w:top w:w="55" w:type="dxa"/>
              <w:left w:w="65" w:type="dxa"/>
              <w:bottom w:w="55" w:type="dxa"/>
              <w:right w:w="65" w:type="dxa"/>
            </w:tcMar>
            <w:vAlign w:val="center"/>
          </w:tcPr>
          <w:p w14:paraId="5FF4D110" w14:textId="77777777" w:rsidR="006E6158" w:rsidRPr="00687EC2" w:rsidRDefault="00F41EE1" w:rsidP="00687EC2">
            <w:pPr>
              <w:rPr>
                <w:szCs w:val="24"/>
              </w:rPr>
            </w:pPr>
            <w:r w:rsidRPr="00687EC2">
              <w:rPr>
                <w:b/>
                <w:color w:val="FFFFFF"/>
                <w:szCs w:val="24"/>
              </w:rPr>
              <w:t>Design lead</w:t>
            </w:r>
          </w:p>
        </w:tc>
        <w:tc>
          <w:tcPr>
            <w:tcW w:w="1376" w:type="dxa"/>
            <w:shd w:val="clear" w:color="auto" w:fill="123B5D"/>
            <w:tcMar>
              <w:top w:w="55" w:type="dxa"/>
              <w:left w:w="65" w:type="dxa"/>
              <w:bottom w:w="55" w:type="dxa"/>
              <w:right w:w="65" w:type="dxa"/>
            </w:tcMar>
            <w:vAlign w:val="center"/>
          </w:tcPr>
          <w:p w14:paraId="4E052B27" w14:textId="77777777" w:rsidR="006E6158" w:rsidRPr="00687EC2" w:rsidRDefault="00F41EE1" w:rsidP="00687EC2">
            <w:pPr>
              <w:rPr>
                <w:szCs w:val="24"/>
              </w:rPr>
            </w:pPr>
            <w:r w:rsidRPr="00687EC2">
              <w:rPr>
                <w:b/>
                <w:color w:val="FFFFFF"/>
                <w:szCs w:val="24"/>
              </w:rPr>
              <w:t>Commercial lead</w:t>
            </w:r>
          </w:p>
        </w:tc>
        <w:tc>
          <w:tcPr>
            <w:tcW w:w="1467" w:type="dxa"/>
            <w:shd w:val="clear" w:color="auto" w:fill="123B5D"/>
            <w:tcMar>
              <w:top w:w="55" w:type="dxa"/>
              <w:left w:w="65" w:type="dxa"/>
              <w:bottom w:w="55" w:type="dxa"/>
              <w:right w:w="65" w:type="dxa"/>
            </w:tcMar>
            <w:vAlign w:val="center"/>
          </w:tcPr>
          <w:p w14:paraId="375556ED" w14:textId="77777777" w:rsidR="006E6158" w:rsidRPr="00687EC2" w:rsidRDefault="00F41EE1" w:rsidP="00687EC2">
            <w:pPr>
              <w:rPr>
                <w:szCs w:val="24"/>
              </w:rPr>
            </w:pPr>
            <w:r w:rsidRPr="00687EC2">
              <w:rPr>
                <w:b/>
                <w:color w:val="FFFFFF"/>
                <w:szCs w:val="24"/>
              </w:rPr>
              <w:t>Construction lead</w:t>
            </w:r>
          </w:p>
        </w:tc>
        <w:tc>
          <w:tcPr>
            <w:tcW w:w="1369" w:type="dxa"/>
            <w:shd w:val="clear" w:color="auto" w:fill="123B5D"/>
            <w:tcMar>
              <w:top w:w="55" w:type="dxa"/>
              <w:left w:w="65" w:type="dxa"/>
              <w:bottom w:w="55" w:type="dxa"/>
              <w:right w:w="65" w:type="dxa"/>
            </w:tcMar>
            <w:vAlign w:val="center"/>
          </w:tcPr>
          <w:p w14:paraId="5FF4A12E" w14:textId="77777777" w:rsidR="006E6158" w:rsidRPr="00687EC2" w:rsidRDefault="00F41EE1" w:rsidP="00687EC2">
            <w:pPr>
              <w:rPr>
                <w:szCs w:val="24"/>
              </w:rPr>
            </w:pPr>
            <w:r w:rsidRPr="00687EC2">
              <w:rPr>
                <w:b/>
                <w:color w:val="FFFFFF"/>
                <w:szCs w:val="24"/>
              </w:rPr>
              <w:t>Operations / digital</w:t>
            </w:r>
          </w:p>
        </w:tc>
      </w:tr>
      <w:tr w:rsidR="006E6158" w:rsidRPr="00687EC2" w14:paraId="41FC3F53" w14:textId="77777777" w:rsidTr="008A419A">
        <w:trPr>
          <w:jc w:val="center"/>
        </w:trPr>
        <w:tc>
          <w:tcPr>
            <w:tcW w:w="1433" w:type="dxa"/>
            <w:tcMar>
              <w:top w:w="55" w:type="dxa"/>
              <w:left w:w="65" w:type="dxa"/>
              <w:bottom w:w="55" w:type="dxa"/>
              <w:right w:w="65" w:type="dxa"/>
            </w:tcMar>
            <w:vAlign w:val="center"/>
          </w:tcPr>
          <w:p w14:paraId="735420A8" w14:textId="77777777" w:rsidR="006E6158" w:rsidRPr="00687EC2" w:rsidRDefault="00F41EE1" w:rsidP="00687EC2">
            <w:pPr>
              <w:rPr>
                <w:szCs w:val="24"/>
              </w:rPr>
            </w:pPr>
            <w:r w:rsidRPr="00687EC2">
              <w:rPr>
                <w:color w:val="1F2937"/>
                <w:szCs w:val="24"/>
              </w:rPr>
              <w:t>Business case and gates</w:t>
            </w:r>
          </w:p>
        </w:tc>
        <w:tc>
          <w:tcPr>
            <w:tcW w:w="1306" w:type="dxa"/>
            <w:tcMar>
              <w:top w:w="55" w:type="dxa"/>
              <w:left w:w="65" w:type="dxa"/>
              <w:bottom w:w="55" w:type="dxa"/>
              <w:right w:w="65" w:type="dxa"/>
            </w:tcMar>
            <w:vAlign w:val="center"/>
          </w:tcPr>
          <w:p w14:paraId="7D75B57A" w14:textId="77777777" w:rsidR="006E6158" w:rsidRPr="00687EC2" w:rsidRDefault="00F41EE1" w:rsidP="00687EC2">
            <w:pPr>
              <w:rPr>
                <w:szCs w:val="24"/>
              </w:rPr>
            </w:pPr>
            <w:r w:rsidRPr="00687EC2">
              <w:rPr>
                <w:color w:val="1F2937"/>
                <w:szCs w:val="24"/>
              </w:rPr>
              <w:t>A</w:t>
            </w:r>
          </w:p>
        </w:tc>
        <w:tc>
          <w:tcPr>
            <w:tcW w:w="1348" w:type="dxa"/>
            <w:tcMar>
              <w:top w:w="55" w:type="dxa"/>
              <w:left w:w="65" w:type="dxa"/>
              <w:bottom w:w="55" w:type="dxa"/>
              <w:right w:w="65" w:type="dxa"/>
            </w:tcMar>
            <w:vAlign w:val="center"/>
          </w:tcPr>
          <w:p w14:paraId="27C0119E" w14:textId="77777777" w:rsidR="006E6158" w:rsidRPr="00687EC2" w:rsidRDefault="00F41EE1" w:rsidP="00687EC2">
            <w:pPr>
              <w:rPr>
                <w:szCs w:val="24"/>
              </w:rPr>
            </w:pPr>
            <w:r w:rsidRPr="00687EC2">
              <w:rPr>
                <w:color w:val="1F2937"/>
                <w:szCs w:val="24"/>
              </w:rPr>
              <w:t>R</w:t>
            </w:r>
          </w:p>
        </w:tc>
        <w:tc>
          <w:tcPr>
            <w:tcW w:w="1329" w:type="dxa"/>
            <w:tcMar>
              <w:top w:w="55" w:type="dxa"/>
              <w:left w:w="65" w:type="dxa"/>
              <w:bottom w:w="55" w:type="dxa"/>
              <w:right w:w="65" w:type="dxa"/>
            </w:tcMar>
            <w:vAlign w:val="center"/>
          </w:tcPr>
          <w:p w14:paraId="0E709D76" w14:textId="77777777" w:rsidR="006E6158" w:rsidRPr="00687EC2" w:rsidRDefault="00F41EE1" w:rsidP="00687EC2">
            <w:pPr>
              <w:rPr>
                <w:szCs w:val="24"/>
              </w:rPr>
            </w:pPr>
            <w:r w:rsidRPr="00687EC2">
              <w:rPr>
                <w:color w:val="1F2937"/>
                <w:szCs w:val="24"/>
              </w:rPr>
              <w:t>C</w:t>
            </w:r>
          </w:p>
        </w:tc>
        <w:tc>
          <w:tcPr>
            <w:tcW w:w="1376" w:type="dxa"/>
            <w:tcMar>
              <w:top w:w="55" w:type="dxa"/>
              <w:left w:w="65" w:type="dxa"/>
              <w:bottom w:w="55" w:type="dxa"/>
              <w:right w:w="65" w:type="dxa"/>
            </w:tcMar>
            <w:vAlign w:val="center"/>
          </w:tcPr>
          <w:p w14:paraId="11558126" w14:textId="77777777" w:rsidR="006E6158" w:rsidRPr="00687EC2" w:rsidRDefault="00F41EE1" w:rsidP="00687EC2">
            <w:pPr>
              <w:rPr>
                <w:szCs w:val="24"/>
              </w:rPr>
            </w:pPr>
            <w:r w:rsidRPr="00687EC2">
              <w:rPr>
                <w:color w:val="1F2937"/>
                <w:szCs w:val="24"/>
              </w:rPr>
              <w:t>C</w:t>
            </w:r>
          </w:p>
        </w:tc>
        <w:tc>
          <w:tcPr>
            <w:tcW w:w="1467" w:type="dxa"/>
            <w:tcMar>
              <w:top w:w="55" w:type="dxa"/>
              <w:left w:w="65" w:type="dxa"/>
              <w:bottom w:w="55" w:type="dxa"/>
              <w:right w:w="65" w:type="dxa"/>
            </w:tcMar>
            <w:vAlign w:val="center"/>
          </w:tcPr>
          <w:p w14:paraId="18485B02" w14:textId="77777777" w:rsidR="006E6158" w:rsidRPr="00687EC2" w:rsidRDefault="00F41EE1" w:rsidP="00687EC2">
            <w:pPr>
              <w:rPr>
                <w:szCs w:val="24"/>
              </w:rPr>
            </w:pPr>
            <w:r w:rsidRPr="00687EC2">
              <w:rPr>
                <w:color w:val="1F2937"/>
                <w:szCs w:val="24"/>
              </w:rPr>
              <w:t>C</w:t>
            </w:r>
          </w:p>
        </w:tc>
        <w:tc>
          <w:tcPr>
            <w:tcW w:w="1369" w:type="dxa"/>
            <w:tcMar>
              <w:top w:w="55" w:type="dxa"/>
              <w:left w:w="65" w:type="dxa"/>
              <w:bottom w:w="55" w:type="dxa"/>
              <w:right w:w="65" w:type="dxa"/>
            </w:tcMar>
            <w:vAlign w:val="center"/>
          </w:tcPr>
          <w:p w14:paraId="2AD82B27" w14:textId="77777777" w:rsidR="006E6158" w:rsidRPr="00687EC2" w:rsidRDefault="00F41EE1" w:rsidP="00687EC2">
            <w:pPr>
              <w:rPr>
                <w:szCs w:val="24"/>
              </w:rPr>
            </w:pPr>
            <w:r w:rsidRPr="00687EC2">
              <w:rPr>
                <w:color w:val="1F2937"/>
                <w:szCs w:val="24"/>
              </w:rPr>
              <w:t>C</w:t>
            </w:r>
          </w:p>
        </w:tc>
      </w:tr>
      <w:tr w:rsidR="006E6158" w:rsidRPr="00687EC2" w14:paraId="44218E65" w14:textId="77777777" w:rsidTr="008A419A">
        <w:trPr>
          <w:jc w:val="center"/>
        </w:trPr>
        <w:tc>
          <w:tcPr>
            <w:tcW w:w="1433" w:type="dxa"/>
            <w:shd w:val="clear" w:color="auto" w:fill="F4F8FA"/>
            <w:tcMar>
              <w:top w:w="55" w:type="dxa"/>
              <w:left w:w="65" w:type="dxa"/>
              <w:bottom w:w="55" w:type="dxa"/>
              <w:right w:w="65" w:type="dxa"/>
            </w:tcMar>
            <w:vAlign w:val="center"/>
          </w:tcPr>
          <w:p w14:paraId="051629EC" w14:textId="77777777" w:rsidR="006E6158" w:rsidRPr="00687EC2" w:rsidRDefault="00F41EE1" w:rsidP="00687EC2">
            <w:pPr>
              <w:rPr>
                <w:szCs w:val="24"/>
              </w:rPr>
            </w:pPr>
            <w:r w:rsidRPr="00687EC2">
              <w:rPr>
                <w:color w:val="1F2937"/>
                <w:szCs w:val="24"/>
              </w:rPr>
              <w:t>Design and approvals</w:t>
            </w:r>
          </w:p>
        </w:tc>
        <w:tc>
          <w:tcPr>
            <w:tcW w:w="1306" w:type="dxa"/>
            <w:shd w:val="clear" w:color="auto" w:fill="F4F8FA"/>
            <w:tcMar>
              <w:top w:w="55" w:type="dxa"/>
              <w:left w:w="65" w:type="dxa"/>
              <w:bottom w:w="55" w:type="dxa"/>
              <w:right w:w="65" w:type="dxa"/>
            </w:tcMar>
            <w:vAlign w:val="center"/>
          </w:tcPr>
          <w:p w14:paraId="3E530340" w14:textId="77777777" w:rsidR="006E6158" w:rsidRPr="00687EC2" w:rsidRDefault="00F41EE1" w:rsidP="00687EC2">
            <w:pPr>
              <w:rPr>
                <w:szCs w:val="24"/>
              </w:rPr>
            </w:pPr>
            <w:r w:rsidRPr="00687EC2">
              <w:rPr>
                <w:color w:val="1F2937"/>
                <w:szCs w:val="24"/>
              </w:rPr>
              <w:t>A</w:t>
            </w:r>
          </w:p>
        </w:tc>
        <w:tc>
          <w:tcPr>
            <w:tcW w:w="1348" w:type="dxa"/>
            <w:shd w:val="clear" w:color="auto" w:fill="F4F8FA"/>
            <w:tcMar>
              <w:top w:w="55" w:type="dxa"/>
              <w:left w:w="65" w:type="dxa"/>
              <w:bottom w:w="55" w:type="dxa"/>
              <w:right w:w="65" w:type="dxa"/>
            </w:tcMar>
            <w:vAlign w:val="center"/>
          </w:tcPr>
          <w:p w14:paraId="11B070CA" w14:textId="77777777" w:rsidR="006E6158" w:rsidRPr="00687EC2" w:rsidRDefault="00F41EE1" w:rsidP="00687EC2">
            <w:pPr>
              <w:rPr>
                <w:szCs w:val="24"/>
              </w:rPr>
            </w:pPr>
            <w:r w:rsidRPr="00687EC2">
              <w:rPr>
                <w:color w:val="1F2937"/>
                <w:szCs w:val="24"/>
              </w:rPr>
              <w:t>C</w:t>
            </w:r>
          </w:p>
        </w:tc>
        <w:tc>
          <w:tcPr>
            <w:tcW w:w="1329" w:type="dxa"/>
            <w:shd w:val="clear" w:color="auto" w:fill="F4F8FA"/>
            <w:tcMar>
              <w:top w:w="55" w:type="dxa"/>
              <w:left w:w="65" w:type="dxa"/>
              <w:bottom w:w="55" w:type="dxa"/>
              <w:right w:w="65" w:type="dxa"/>
            </w:tcMar>
            <w:vAlign w:val="center"/>
          </w:tcPr>
          <w:p w14:paraId="38E3B440" w14:textId="77777777" w:rsidR="006E6158" w:rsidRPr="00687EC2" w:rsidRDefault="00F41EE1" w:rsidP="00687EC2">
            <w:pPr>
              <w:rPr>
                <w:szCs w:val="24"/>
              </w:rPr>
            </w:pPr>
            <w:r w:rsidRPr="00687EC2">
              <w:rPr>
                <w:color w:val="1F2937"/>
                <w:szCs w:val="24"/>
              </w:rPr>
              <w:t>R</w:t>
            </w:r>
          </w:p>
        </w:tc>
        <w:tc>
          <w:tcPr>
            <w:tcW w:w="1376" w:type="dxa"/>
            <w:shd w:val="clear" w:color="auto" w:fill="F4F8FA"/>
            <w:tcMar>
              <w:top w:w="55" w:type="dxa"/>
              <w:left w:w="65" w:type="dxa"/>
              <w:bottom w:w="55" w:type="dxa"/>
              <w:right w:w="65" w:type="dxa"/>
            </w:tcMar>
            <w:vAlign w:val="center"/>
          </w:tcPr>
          <w:p w14:paraId="1286BDF0" w14:textId="77777777" w:rsidR="006E6158" w:rsidRPr="00687EC2" w:rsidRDefault="00F41EE1" w:rsidP="00687EC2">
            <w:pPr>
              <w:rPr>
                <w:szCs w:val="24"/>
              </w:rPr>
            </w:pPr>
            <w:r w:rsidRPr="00687EC2">
              <w:rPr>
                <w:color w:val="1F2937"/>
                <w:szCs w:val="24"/>
              </w:rPr>
              <w:t>C</w:t>
            </w:r>
          </w:p>
        </w:tc>
        <w:tc>
          <w:tcPr>
            <w:tcW w:w="1467" w:type="dxa"/>
            <w:shd w:val="clear" w:color="auto" w:fill="F4F8FA"/>
            <w:tcMar>
              <w:top w:w="55" w:type="dxa"/>
              <w:left w:w="65" w:type="dxa"/>
              <w:bottom w:w="55" w:type="dxa"/>
              <w:right w:w="65" w:type="dxa"/>
            </w:tcMar>
            <w:vAlign w:val="center"/>
          </w:tcPr>
          <w:p w14:paraId="56316CFD" w14:textId="77777777" w:rsidR="006E6158" w:rsidRPr="00687EC2" w:rsidRDefault="00F41EE1" w:rsidP="00687EC2">
            <w:pPr>
              <w:rPr>
                <w:szCs w:val="24"/>
              </w:rPr>
            </w:pPr>
            <w:r w:rsidRPr="00687EC2">
              <w:rPr>
                <w:color w:val="1F2937"/>
                <w:szCs w:val="24"/>
              </w:rPr>
              <w:t>C</w:t>
            </w:r>
          </w:p>
        </w:tc>
        <w:tc>
          <w:tcPr>
            <w:tcW w:w="1369" w:type="dxa"/>
            <w:shd w:val="clear" w:color="auto" w:fill="F4F8FA"/>
            <w:tcMar>
              <w:top w:w="55" w:type="dxa"/>
              <w:left w:w="65" w:type="dxa"/>
              <w:bottom w:w="55" w:type="dxa"/>
              <w:right w:w="65" w:type="dxa"/>
            </w:tcMar>
            <w:vAlign w:val="center"/>
          </w:tcPr>
          <w:p w14:paraId="412F06B8" w14:textId="77777777" w:rsidR="006E6158" w:rsidRPr="00687EC2" w:rsidRDefault="00F41EE1" w:rsidP="00687EC2">
            <w:pPr>
              <w:rPr>
                <w:szCs w:val="24"/>
              </w:rPr>
            </w:pPr>
            <w:r w:rsidRPr="00687EC2">
              <w:rPr>
                <w:color w:val="1F2937"/>
                <w:szCs w:val="24"/>
              </w:rPr>
              <w:t>C</w:t>
            </w:r>
          </w:p>
        </w:tc>
      </w:tr>
      <w:tr w:rsidR="006E6158" w:rsidRPr="00687EC2" w14:paraId="1D3E6BCB" w14:textId="77777777" w:rsidTr="008A419A">
        <w:trPr>
          <w:jc w:val="center"/>
        </w:trPr>
        <w:tc>
          <w:tcPr>
            <w:tcW w:w="1433" w:type="dxa"/>
            <w:tcMar>
              <w:top w:w="55" w:type="dxa"/>
              <w:left w:w="65" w:type="dxa"/>
              <w:bottom w:w="55" w:type="dxa"/>
              <w:right w:w="65" w:type="dxa"/>
            </w:tcMar>
            <w:vAlign w:val="center"/>
          </w:tcPr>
          <w:p w14:paraId="56609274" w14:textId="77777777" w:rsidR="006E6158" w:rsidRPr="00687EC2" w:rsidRDefault="00F41EE1" w:rsidP="00687EC2">
            <w:pPr>
              <w:rPr>
                <w:szCs w:val="24"/>
              </w:rPr>
            </w:pPr>
            <w:r w:rsidRPr="00687EC2">
              <w:rPr>
                <w:color w:val="1F2937"/>
                <w:szCs w:val="24"/>
              </w:rPr>
              <w:t>Procurement and cost control</w:t>
            </w:r>
          </w:p>
        </w:tc>
        <w:tc>
          <w:tcPr>
            <w:tcW w:w="1306" w:type="dxa"/>
            <w:tcMar>
              <w:top w:w="55" w:type="dxa"/>
              <w:left w:w="65" w:type="dxa"/>
              <w:bottom w:w="55" w:type="dxa"/>
              <w:right w:w="65" w:type="dxa"/>
            </w:tcMar>
            <w:vAlign w:val="center"/>
          </w:tcPr>
          <w:p w14:paraId="51DF5D35" w14:textId="77777777" w:rsidR="006E6158" w:rsidRPr="00687EC2" w:rsidRDefault="00F41EE1" w:rsidP="00687EC2">
            <w:pPr>
              <w:rPr>
                <w:szCs w:val="24"/>
              </w:rPr>
            </w:pPr>
            <w:r w:rsidRPr="00687EC2">
              <w:rPr>
                <w:color w:val="1F2937"/>
                <w:szCs w:val="24"/>
              </w:rPr>
              <w:t>A</w:t>
            </w:r>
          </w:p>
        </w:tc>
        <w:tc>
          <w:tcPr>
            <w:tcW w:w="1348" w:type="dxa"/>
            <w:tcMar>
              <w:top w:w="55" w:type="dxa"/>
              <w:left w:w="65" w:type="dxa"/>
              <w:bottom w:w="55" w:type="dxa"/>
              <w:right w:w="65" w:type="dxa"/>
            </w:tcMar>
            <w:vAlign w:val="center"/>
          </w:tcPr>
          <w:p w14:paraId="010797C5" w14:textId="77777777" w:rsidR="006E6158" w:rsidRPr="00687EC2" w:rsidRDefault="00F41EE1" w:rsidP="00687EC2">
            <w:pPr>
              <w:rPr>
                <w:szCs w:val="24"/>
              </w:rPr>
            </w:pPr>
            <w:r w:rsidRPr="00687EC2">
              <w:rPr>
                <w:color w:val="1F2937"/>
                <w:szCs w:val="24"/>
              </w:rPr>
              <w:t>C</w:t>
            </w:r>
          </w:p>
        </w:tc>
        <w:tc>
          <w:tcPr>
            <w:tcW w:w="1329" w:type="dxa"/>
            <w:tcMar>
              <w:top w:w="55" w:type="dxa"/>
              <w:left w:w="65" w:type="dxa"/>
              <w:bottom w:w="55" w:type="dxa"/>
              <w:right w:w="65" w:type="dxa"/>
            </w:tcMar>
            <w:vAlign w:val="center"/>
          </w:tcPr>
          <w:p w14:paraId="1B56080E" w14:textId="77777777" w:rsidR="006E6158" w:rsidRPr="00687EC2" w:rsidRDefault="00F41EE1" w:rsidP="00687EC2">
            <w:pPr>
              <w:rPr>
                <w:szCs w:val="24"/>
              </w:rPr>
            </w:pPr>
            <w:r w:rsidRPr="00687EC2">
              <w:rPr>
                <w:color w:val="1F2937"/>
                <w:szCs w:val="24"/>
              </w:rPr>
              <w:t>C</w:t>
            </w:r>
          </w:p>
        </w:tc>
        <w:tc>
          <w:tcPr>
            <w:tcW w:w="1376" w:type="dxa"/>
            <w:tcMar>
              <w:top w:w="55" w:type="dxa"/>
              <w:left w:w="65" w:type="dxa"/>
              <w:bottom w:w="55" w:type="dxa"/>
              <w:right w:w="65" w:type="dxa"/>
            </w:tcMar>
            <w:vAlign w:val="center"/>
          </w:tcPr>
          <w:p w14:paraId="4E7FD05C" w14:textId="77777777" w:rsidR="006E6158" w:rsidRPr="00687EC2" w:rsidRDefault="00F41EE1" w:rsidP="00687EC2">
            <w:pPr>
              <w:rPr>
                <w:szCs w:val="24"/>
              </w:rPr>
            </w:pPr>
            <w:r w:rsidRPr="00687EC2">
              <w:rPr>
                <w:color w:val="1F2937"/>
                <w:szCs w:val="24"/>
              </w:rPr>
              <w:t>R</w:t>
            </w:r>
          </w:p>
        </w:tc>
        <w:tc>
          <w:tcPr>
            <w:tcW w:w="1467" w:type="dxa"/>
            <w:tcMar>
              <w:top w:w="55" w:type="dxa"/>
              <w:left w:w="65" w:type="dxa"/>
              <w:bottom w:w="55" w:type="dxa"/>
              <w:right w:w="65" w:type="dxa"/>
            </w:tcMar>
            <w:vAlign w:val="center"/>
          </w:tcPr>
          <w:p w14:paraId="18694582" w14:textId="77777777" w:rsidR="006E6158" w:rsidRPr="00687EC2" w:rsidRDefault="00F41EE1" w:rsidP="00687EC2">
            <w:pPr>
              <w:rPr>
                <w:szCs w:val="24"/>
              </w:rPr>
            </w:pPr>
            <w:r w:rsidRPr="00687EC2">
              <w:rPr>
                <w:color w:val="1F2937"/>
                <w:szCs w:val="24"/>
              </w:rPr>
              <w:t>C</w:t>
            </w:r>
          </w:p>
        </w:tc>
        <w:tc>
          <w:tcPr>
            <w:tcW w:w="1369" w:type="dxa"/>
            <w:tcMar>
              <w:top w:w="55" w:type="dxa"/>
              <w:left w:w="65" w:type="dxa"/>
              <w:bottom w:w="55" w:type="dxa"/>
              <w:right w:w="65" w:type="dxa"/>
            </w:tcMar>
            <w:vAlign w:val="center"/>
          </w:tcPr>
          <w:p w14:paraId="199C5390" w14:textId="77777777" w:rsidR="006E6158" w:rsidRPr="00687EC2" w:rsidRDefault="00F41EE1" w:rsidP="00687EC2">
            <w:pPr>
              <w:rPr>
                <w:szCs w:val="24"/>
              </w:rPr>
            </w:pPr>
            <w:r w:rsidRPr="00687EC2">
              <w:rPr>
                <w:color w:val="1F2937"/>
                <w:szCs w:val="24"/>
              </w:rPr>
              <w:t>I</w:t>
            </w:r>
          </w:p>
        </w:tc>
      </w:tr>
      <w:tr w:rsidR="006E6158" w:rsidRPr="00687EC2" w14:paraId="73EAFC32" w14:textId="77777777" w:rsidTr="008A419A">
        <w:trPr>
          <w:jc w:val="center"/>
        </w:trPr>
        <w:tc>
          <w:tcPr>
            <w:tcW w:w="1433" w:type="dxa"/>
            <w:shd w:val="clear" w:color="auto" w:fill="F4F8FA"/>
            <w:tcMar>
              <w:top w:w="55" w:type="dxa"/>
              <w:left w:w="65" w:type="dxa"/>
              <w:bottom w:w="55" w:type="dxa"/>
              <w:right w:w="65" w:type="dxa"/>
            </w:tcMar>
            <w:vAlign w:val="center"/>
          </w:tcPr>
          <w:p w14:paraId="7EBA1239" w14:textId="77777777" w:rsidR="006E6158" w:rsidRPr="00687EC2" w:rsidRDefault="00F41EE1" w:rsidP="00687EC2">
            <w:pPr>
              <w:rPr>
                <w:szCs w:val="24"/>
              </w:rPr>
            </w:pPr>
            <w:r w:rsidRPr="00687EC2">
              <w:rPr>
                <w:color w:val="1F2937"/>
                <w:szCs w:val="24"/>
              </w:rPr>
              <w:t>Enabling and core construction</w:t>
            </w:r>
          </w:p>
        </w:tc>
        <w:tc>
          <w:tcPr>
            <w:tcW w:w="1306" w:type="dxa"/>
            <w:shd w:val="clear" w:color="auto" w:fill="F4F8FA"/>
            <w:tcMar>
              <w:top w:w="55" w:type="dxa"/>
              <w:left w:w="65" w:type="dxa"/>
              <w:bottom w:w="55" w:type="dxa"/>
              <w:right w:w="65" w:type="dxa"/>
            </w:tcMar>
            <w:vAlign w:val="center"/>
          </w:tcPr>
          <w:p w14:paraId="435A1FD9" w14:textId="77777777" w:rsidR="006E6158" w:rsidRPr="00687EC2" w:rsidRDefault="00F41EE1" w:rsidP="00687EC2">
            <w:pPr>
              <w:rPr>
                <w:szCs w:val="24"/>
              </w:rPr>
            </w:pPr>
            <w:r w:rsidRPr="00687EC2">
              <w:rPr>
                <w:color w:val="1F2937"/>
                <w:szCs w:val="24"/>
              </w:rPr>
              <w:t>I</w:t>
            </w:r>
          </w:p>
        </w:tc>
        <w:tc>
          <w:tcPr>
            <w:tcW w:w="1348" w:type="dxa"/>
            <w:shd w:val="clear" w:color="auto" w:fill="F4F8FA"/>
            <w:tcMar>
              <w:top w:w="55" w:type="dxa"/>
              <w:left w:w="65" w:type="dxa"/>
              <w:bottom w:w="55" w:type="dxa"/>
              <w:right w:w="65" w:type="dxa"/>
            </w:tcMar>
            <w:vAlign w:val="center"/>
          </w:tcPr>
          <w:p w14:paraId="7384AD82" w14:textId="77777777" w:rsidR="006E6158" w:rsidRPr="00687EC2" w:rsidRDefault="00F41EE1" w:rsidP="00687EC2">
            <w:pPr>
              <w:rPr>
                <w:szCs w:val="24"/>
              </w:rPr>
            </w:pPr>
            <w:r w:rsidRPr="00687EC2">
              <w:rPr>
                <w:color w:val="1F2937"/>
                <w:szCs w:val="24"/>
              </w:rPr>
              <w:t>A</w:t>
            </w:r>
          </w:p>
        </w:tc>
        <w:tc>
          <w:tcPr>
            <w:tcW w:w="1329" w:type="dxa"/>
            <w:shd w:val="clear" w:color="auto" w:fill="F4F8FA"/>
            <w:tcMar>
              <w:top w:w="55" w:type="dxa"/>
              <w:left w:w="65" w:type="dxa"/>
              <w:bottom w:w="55" w:type="dxa"/>
              <w:right w:w="65" w:type="dxa"/>
            </w:tcMar>
            <w:vAlign w:val="center"/>
          </w:tcPr>
          <w:p w14:paraId="440140B9" w14:textId="77777777" w:rsidR="006E6158" w:rsidRPr="00687EC2" w:rsidRDefault="00F41EE1" w:rsidP="00687EC2">
            <w:pPr>
              <w:rPr>
                <w:szCs w:val="24"/>
              </w:rPr>
            </w:pPr>
            <w:r w:rsidRPr="00687EC2">
              <w:rPr>
                <w:color w:val="1F2937"/>
                <w:szCs w:val="24"/>
              </w:rPr>
              <w:t>C</w:t>
            </w:r>
          </w:p>
        </w:tc>
        <w:tc>
          <w:tcPr>
            <w:tcW w:w="1376" w:type="dxa"/>
            <w:shd w:val="clear" w:color="auto" w:fill="F4F8FA"/>
            <w:tcMar>
              <w:top w:w="55" w:type="dxa"/>
              <w:left w:w="65" w:type="dxa"/>
              <w:bottom w:w="55" w:type="dxa"/>
              <w:right w:w="65" w:type="dxa"/>
            </w:tcMar>
            <w:vAlign w:val="center"/>
          </w:tcPr>
          <w:p w14:paraId="7F1CD3A4" w14:textId="77777777" w:rsidR="006E6158" w:rsidRPr="00687EC2" w:rsidRDefault="00F41EE1" w:rsidP="00687EC2">
            <w:pPr>
              <w:rPr>
                <w:szCs w:val="24"/>
              </w:rPr>
            </w:pPr>
            <w:r w:rsidRPr="00687EC2">
              <w:rPr>
                <w:color w:val="1F2937"/>
                <w:szCs w:val="24"/>
              </w:rPr>
              <w:t>C</w:t>
            </w:r>
          </w:p>
        </w:tc>
        <w:tc>
          <w:tcPr>
            <w:tcW w:w="1467" w:type="dxa"/>
            <w:shd w:val="clear" w:color="auto" w:fill="F4F8FA"/>
            <w:tcMar>
              <w:top w:w="55" w:type="dxa"/>
              <w:left w:w="65" w:type="dxa"/>
              <w:bottom w:w="55" w:type="dxa"/>
              <w:right w:w="65" w:type="dxa"/>
            </w:tcMar>
            <w:vAlign w:val="center"/>
          </w:tcPr>
          <w:p w14:paraId="0FF04400" w14:textId="77777777" w:rsidR="006E6158" w:rsidRPr="00687EC2" w:rsidRDefault="00F41EE1" w:rsidP="00687EC2">
            <w:pPr>
              <w:rPr>
                <w:szCs w:val="24"/>
              </w:rPr>
            </w:pPr>
            <w:r w:rsidRPr="00687EC2">
              <w:rPr>
                <w:color w:val="1F2937"/>
                <w:szCs w:val="24"/>
              </w:rPr>
              <w:t>R</w:t>
            </w:r>
          </w:p>
        </w:tc>
        <w:tc>
          <w:tcPr>
            <w:tcW w:w="1369" w:type="dxa"/>
            <w:shd w:val="clear" w:color="auto" w:fill="F4F8FA"/>
            <w:tcMar>
              <w:top w:w="55" w:type="dxa"/>
              <w:left w:w="65" w:type="dxa"/>
              <w:bottom w:w="55" w:type="dxa"/>
              <w:right w:w="65" w:type="dxa"/>
            </w:tcMar>
            <w:vAlign w:val="center"/>
          </w:tcPr>
          <w:p w14:paraId="0F6D6C93" w14:textId="77777777" w:rsidR="006E6158" w:rsidRPr="00687EC2" w:rsidRDefault="00F41EE1" w:rsidP="00687EC2">
            <w:pPr>
              <w:rPr>
                <w:szCs w:val="24"/>
              </w:rPr>
            </w:pPr>
            <w:r w:rsidRPr="00687EC2">
              <w:rPr>
                <w:color w:val="1F2937"/>
                <w:szCs w:val="24"/>
              </w:rPr>
              <w:t>C</w:t>
            </w:r>
          </w:p>
        </w:tc>
      </w:tr>
      <w:tr w:rsidR="006E6158" w:rsidRPr="00687EC2" w14:paraId="41BC2F83" w14:textId="77777777" w:rsidTr="008A419A">
        <w:trPr>
          <w:jc w:val="center"/>
        </w:trPr>
        <w:tc>
          <w:tcPr>
            <w:tcW w:w="1433" w:type="dxa"/>
            <w:tcMar>
              <w:top w:w="55" w:type="dxa"/>
              <w:left w:w="65" w:type="dxa"/>
              <w:bottom w:w="55" w:type="dxa"/>
              <w:right w:w="65" w:type="dxa"/>
            </w:tcMar>
            <w:vAlign w:val="center"/>
          </w:tcPr>
          <w:p w14:paraId="18D9FE3B" w14:textId="77777777" w:rsidR="006E6158" w:rsidRPr="00687EC2" w:rsidRDefault="00F41EE1" w:rsidP="00687EC2">
            <w:pPr>
              <w:rPr>
                <w:szCs w:val="24"/>
              </w:rPr>
            </w:pPr>
            <w:r w:rsidRPr="00687EC2">
              <w:rPr>
                <w:color w:val="1F2937"/>
                <w:szCs w:val="24"/>
              </w:rPr>
              <w:t>Digital and operational integration</w:t>
            </w:r>
          </w:p>
        </w:tc>
        <w:tc>
          <w:tcPr>
            <w:tcW w:w="1306" w:type="dxa"/>
            <w:tcMar>
              <w:top w:w="55" w:type="dxa"/>
              <w:left w:w="65" w:type="dxa"/>
              <w:bottom w:w="55" w:type="dxa"/>
              <w:right w:w="65" w:type="dxa"/>
            </w:tcMar>
            <w:vAlign w:val="center"/>
          </w:tcPr>
          <w:p w14:paraId="7DFADED8" w14:textId="77777777" w:rsidR="006E6158" w:rsidRPr="00687EC2" w:rsidRDefault="00F41EE1" w:rsidP="00687EC2">
            <w:pPr>
              <w:rPr>
                <w:szCs w:val="24"/>
              </w:rPr>
            </w:pPr>
            <w:r w:rsidRPr="00687EC2">
              <w:rPr>
                <w:color w:val="1F2937"/>
                <w:szCs w:val="24"/>
              </w:rPr>
              <w:t>I</w:t>
            </w:r>
          </w:p>
        </w:tc>
        <w:tc>
          <w:tcPr>
            <w:tcW w:w="1348" w:type="dxa"/>
            <w:tcMar>
              <w:top w:w="55" w:type="dxa"/>
              <w:left w:w="65" w:type="dxa"/>
              <w:bottom w:w="55" w:type="dxa"/>
              <w:right w:w="65" w:type="dxa"/>
            </w:tcMar>
            <w:vAlign w:val="center"/>
          </w:tcPr>
          <w:p w14:paraId="1C43F444" w14:textId="77777777" w:rsidR="006E6158" w:rsidRPr="00687EC2" w:rsidRDefault="00F41EE1" w:rsidP="00687EC2">
            <w:pPr>
              <w:rPr>
                <w:szCs w:val="24"/>
              </w:rPr>
            </w:pPr>
            <w:r w:rsidRPr="00687EC2">
              <w:rPr>
                <w:color w:val="1F2937"/>
                <w:szCs w:val="24"/>
              </w:rPr>
              <w:t>A</w:t>
            </w:r>
          </w:p>
        </w:tc>
        <w:tc>
          <w:tcPr>
            <w:tcW w:w="1329" w:type="dxa"/>
            <w:tcMar>
              <w:top w:w="55" w:type="dxa"/>
              <w:left w:w="65" w:type="dxa"/>
              <w:bottom w:w="55" w:type="dxa"/>
              <w:right w:w="65" w:type="dxa"/>
            </w:tcMar>
            <w:vAlign w:val="center"/>
          </w:tcPr>
          <w:p w14:paraId="75FE887A" w14:textId="77777777" w:rsidR="006E6158" w:rsidRPr="00687EC2" w:rsidRDefault="00F41EE1" w:rsidP="00687EC2">
            <w:pPr>
              <w:rPr>
                <w:szCs w:val="24"/>
              </w:rPr>
            </w:pPr>
            <w:r w:rsidRPr="00687EC2">
              <w:rPr>
                <w:color w:val="1F2937"/>
                <w:szCs w:val="24"/>
              </w:rPr>
              <w:t>C</w:t>
            </w:r>
          </w:p>
        </w:tc>
        <w:tc>
          <w:tcPr>
            <w:tcW w:w="1376" w:type="dxa"/>
            <w:tcMar>
              <w:top w:w="55" w:type="dxa"/>
              <w:left w:w="65" w:type="dxa"/>
              <w:bottom w:w="55" w:type="dxa"/>
              <w:right w:w="65" w:type="dxa"/>
            </w:tcMar>
            <w:vAlign w:val="center"/>
          </w:tcPr>
          <w:p w14:paraId="40C69DDE" w14:textId="77777777" w:rsidR="006E6158" w:rsidRPr="00687EC2" w:rsidRDefault="00F41EE1" w:rsidP="00687EC2">
            <w:pPr>
              <w:rPr>
                <w:szCs w:val="24"/>
              </w:rPr>
            </w:pPr>
            <w:r w:rsidRPr="00687EC2">
              <w:rPr>
                <w:color w:val="1F2937"/>
                <w:szCs w:val="24"/>
              </w:rPr>
              <w:t>C</w:t>
            </w:r>
          </w:p>
        </w:tc>
        <w:tc>
          <w:tcPr>
            <w:tcW w:w="1467" w:type="dxa"/>
            <w:tcMar>
              <w:top w:w="55" w:type="dxa"/>
              <w:left w:w="65" w:type="dxa"/>
              <w:bottom w:w="55" w:type="dxa"/>
              <w:right w:w="65" w:type="dxa"/>
            </w:tcMar>
            <w:vAlign w:val="center"/>
          </w:tcPr>
          <w:p w14:paraId="1EA316B5" w14:textId="77777777" w:rsidR="006E6158" w:rsidRPr="00687EC2" w:rsidRDefault="00F41EE1" w:rsidP="00687EC2">
            <w:pPr>
              <w:rPr>
                <w:szCs w:val="24"/>
              </w:rPr>
            </w:pPr>
            <w:r w:rsidRPr="00687EC2">
              <w:rPr>
                <w:color w:val="1F2937"/>
                <w:szCs w:val="24"/>
              </w:rPr>
              <w:t>C</w:t>
            </w:r>
          </w:p>
        </w:tc>
        <w:tc>
          <w:tcPr>
            <w:tcW w:w="1369" w:type="dxa"/>
            <w:tcMar>
              <w:top w:w="55" w:type="dxa"/>
              <w:left w:w="65" w:type="dxa"/>
              <w:bottom w:w="55" w:type="dxa"/>
              <w:right w:w="65" w:type="dxa"/>
            </w:tcMar>
            <w:vAlign w:val="center"/>
          </w:tcPr>
          <w:p w14:paraId="71AAD50C" w14:textId="77777777" w:rsidR="006E6158" w:rsidRPr="00687EC2" w:rsidRDefault="00F41EE1" w:rsidP="00687EC2">
            <w:pPr>
              <w:rPr>
                <w:szCs w:val="24"/>
              </w:rPr>
            </w:pPr>
            <w:r w:rsidRPr="00687EC2">
              <w:rPr>
                <w:color w:val="1F2937"/>
                <w:szCs w:val="24"/>
              </w:rPr>
              <w:t>R</w:t>
            </w:r>
          </w:p>
        </w:tc>
      </w:tr>
      <w:tr w:rsidR="006E6158" w:rsidRPr="00687EC2" w14:paraId="1763EFA8" w14:textId="77777777" w:rsidTr="008A419A">
        <w:trPr>
          <w:jc w:val="center"/>
        </w:trPr>
        <w:tc>
          <w:tcPr>
            <w:tcW w:w="1433" w:type="dxa"/>
            <w:shd w:val="clear" w:color="auto" w:fill="F4F8FA"/>
            <w:tcMar>
              <w:top w:w="55" w:type="dxa"/>
              <w:left w:w="65" w:type="dxa"/>
              <w:bottom w:w="55" w:type="dxa"/>
              <w:right w:w="65" w:type="dxa"/>
            </w:tcMar>
            <w:vAlign w:val="center"/>
          </w:tcPr>
          <w:p w14:paraId="6B777BB2" w14:textId="77777777" w:rsidR="006E6158" w:rsidRPr="00687EC2" w:rsidRDefault="00F41EE1" w:rsidP="00687EC2">
            <w:pPr>
              <w:rPr>
                <w:szCs w:val="24"/>
              </w:rPr>
            </w:pPr>
            <w:r w:rsidRPr="00687EC2">
              <w:rPr>
                <w:color w:val="1F2937"/>
                <w:szCs w:val="24"/>
              </w:rPr>
              <w:t>Testing, handover and benefits</w:t>
            </w:r>
          </w:p>
        </w:tc>
        <w:tc>
          <w:tcPr>
            <w:tcW w:w="1306" w:type="dxa"/>
            <w:shd w:val="clear" w:color="auto" w:fill="F4F8FA"/>
            <w:tcMar>
              <w:top w:w="55" w:type="dxa"/>
              <w:left w:w="65" w:type="dxa"/>
              <w:bottom w:w="55" w:type="dxa"/>
              <w:right w:w="65" w:type="dxa"/>
            </w:tcMar>
            <w:vAlign w:val="center"/>
          </w:tcPr>
          <w:p w14:paraId="61D143F6" w14:textId="77777777" w:rsidR="006E6158" w:rsidRPr="00687EC2" w:rsidRDefault="00F41EE1" w:rsidP="00687EC2">
            <w:pPr>
              <w:rPr>
                <w:szCs w:val="24"/>
              </w:rPr>
            </w:pPr>
            <w:r w:rsidRPr="00687EC2">
              <w:rPr>
                <w:color w:val="1F2937"/>
                <w:szCs w:val="24"/>
              </w:rPr>
              <w:t>A</w:t>
            </w:r>
          </w:p>
        </w:tc>
        <w:tc>
          <w:tcPr>
            <w:tcW w:w="1348" w:type="dxa"/>
            <w:shd w:val="clear" w:color="auto" w:fill="F4F8FA"/>
            <w:tcMar>
              <w:top w:w="55" w:type="dxa"/>
              <w:left w:w="65" w:type="dxa"/>
              <w:bottom w:w="55" w:type="dxa"/>
              <w:right w:w="65" w:type="dxa"/>
            </w:tcMar>
            <w:vAlign w:val="center"/>
          </w:tcPr>
          <w:p w14:paraId="34292E94" w14:textId="77777777" w:rsidR="006E6158" w:rsidRPr="00687EC2" w:rsidRDefault="00F41EE1" w:rsidP="00687EC2">
            <w:pPr>
              <w:rPr>
                <w:szCs w:val="24"/>
              </w:rPr>
            </w:pPr>
            <w:r w:rsidRPr="00687EC2">
              <w:rPr>
                <w:color w:val="1F2937"/>
                <w:szCs w:val="24"/>
              </w:rPr>
              <w:t>R</w:t>
            </w:r>
          </w:p>
        </w:tc>
        <w:tc>
          <w:tcPr>
            <w:tcW w:w="1329" w:type="dxa"/>
            <w:shd w:val="clear" w:color="auto" w:fill="F4F8FA"/>
            <w:tcMar>
              <w:top w:w="55" w:type="dxa"/>
              <w:left w:w="65" w:type="dxa"/>
              <w:bottom w:w="55" w:type="dxa"/>
              <w:right w:w="65" w:type="dxa"/>
            </w:tcMar>
            <w:vAlign w:val="center"/>
          </w:tcPr>
          <w:p w14:paraId="2AECA10F" w14:textId="77777777" w:rsidR="006E6158" w:rsidRPr="00687EC2" w:rsidRDefault="00F41EE1" w:rsidP="00687EC2">
            <w:pPr>
              <w:rPr>
                <w:szCs w:val="24"/>
              </w:rPr>
            </w:pPr>
            <w:r w:rsidRPr="00687EC2">
              <w:rPr>
                <w:color w:val="1F2937"/>
                <w:szCs w:val="24"/>
              </w:rPr>
              <w:t>C</w:t>
            </w:r>
          </w:p>
        </w:tc>
        <w:tc>
          <w:tcPr>
            <w:tcW w:w="1376" w:type="dxa"/>
            <w:shd w:val="clear" w:color="auto" w:fill="F4F8FA"/>
            <w:tcMar>
              <w:top w:w="55" w:type="dxa"/>
              <w:left w:w="65" w:type="dxa"/>
              <w:bottom w:w="55" w:type="dxa"/>
              <w:right w:w="65" w:type="dxa"/>
            </w:tcMar>
            <w:vAlign w:val="center"/>
          </w:tcPr>
          <w:p w14:paraId="52EB8641" w14:textId="77777777" w:rsidR="006E6158" w:rsidRPr="00687EC2" w:rsidRDefault="00F41EE1" w:rsidP="00687EC2">
            <w:pPr>
              <w:rPr>
                <w:szCs w:val="24"/>
              </w:rPr>
            </w:pPr>
            <w:r w:rsidRPr="00687EC2">
              <w:rPr>
                <w:color w:val="1F2937"/>
                <w:szCs w:val="24"/>
              </w:rPr>
              <w:t>C</w:t>
            </w:r>
          </w:p>
        </w:tc>
        <w:tc>
          <w:tcPr>
            <w:tcW w:w="1467" w:type="dxa"/>
            <w:shd w:val="clear" w:color="auto" w:fill="F4F8FA"/>
            <w:tcMar>
              <w:top w:w="55" w:type="dxa"/>
              <w:left w:w="65" w:type="dxa"/>
              <w:bottom w:w="55" w:type="dxa"/>
              <w:right w:w="65" w:type="dxa"/>
            </w:tcMar>
            <w:vAlign w:val="center"/>
          </w:tcPr>
          <w:p w14:paraId="308A423B" w14:textId="77777777" w:rsidR="006E6158" w:rsidRPr="00687EC2" w:rsidRDefault="00F41EE1" w:rsidP="00687EC2">
            <w:pPr>
              <w:rPr>
                <w:szCs w:val="24"/>
              </w:rPr>
            </w:pPr>
            <w:r w:rsidRPr="00687EC2">
              <w:rPr>
                <w:color w:val="1F2937"/>
                <w:szCs w:val="24"/>
              </w:rPr>
              <w:t>C</w:t>
            </w:r>
          </w:p>
        </w:tc>
        <w:tc>
          <w:tcPr>
            <w:tcW w:w="1369" w:type="dxa"/>
            <w:shd w:val="clear" w:color="auto" w:fill="F4F8FA"/>
            <w:tcMar>
              <w:top w:w="55" w:type="dxa"/>
              <w:left w:w="65" w:type="dxa"/>
              <w:bottom w:w="55" w:type="dxa"/>
              <w:right w:w="65" w:type="dxa"/>
            </w:tcMar>
            <w:vAlign w:val="center"/>
          </w:tcPr>
          <w:p w14:paraId="431BAA60" w14:textId="77777777" w:rsidR="006E6158" w:rsidRPr="00687EC2" w:rsidRDefault="00F41EE1" w:rsidP="00687EC2">
            <w:pPr>
              <w:rPr>
                <w:szCs w:val="24"/>
              </w:rPr>
            </w:pPr>
            <w:r w:rsidRPr="00687EC2">
              <w:rPr>
                <w:color w:val="1F2937"/>
                <w:szCs w:val="24"/>
              </w:rPr>
              <w:t>R</w:t>
            </w:r>
          </w:p>
        </w:tc>
      </w:tr>
    </w:tbl>
    <w:p w14:paraId="282234DE" w14:textId="48C9CE04" w:rsidR="008A419A" w:rsidRDefault="008A419A" w:rsidP="008A419A">
      <w:pPr>
        <w:pStyle w:val="ReportCaption"/>
        <w:spacing w:before="0" w:after="0" w:line="360" w:lineRule="auto"/>
        <w:rPr>
          <w:rFonts w:ascii="Corbel" w:hAnsi="Corbel"/>
          <w:sz w:val="24"/>
          <w:szCs w:val="24"/>
        </w:rPr>
      </w:pPr>
      <w:r w:rsidRPr="008A419A">
        <w:rPr>
          <w:rFonts w:ascii="Corbel" w:hAnsi="Corbel"/>
          <w:sz w:val="24"/>
          <w:szCs w:val="24"/>
        </w:rPr>
        <w:t>Table 4: High-level responsibility assignment (RACI)</w:t>
      </w:r>
      <w:r>
        <w:rPr>
          <w:rFonts w:ascii="Corbel" w:hAnsi="Corbel"/>
          <w:sz w:val="24"/>
          <w:szCs w:val="24"/>
        </w:rPr>
        <w:t xml:space="preserve"> (</w:t>
      </w:r>
      <w:r w:rsidR="00F41EE1" w:rsidRPr="00687EC2">
        <w:rPr>
          <w:rFonts w:ascii="Corbel" w:hAnsi="Corbel"/>
          <w:sz w:val="24"/>
          <w:szCs w:val="24"/>
        </w:rPr>
        <w:t>Key: A = Accountable; R = Responsible; C = Consulted; I = Informed.</w:t>
      </w:r>
      <w:r>
        <w:rPr>
          <w:rFonts w:ascii="Corbel" w:hAnsi="Corbel"/>
          <w:sz w:val="24"/>
          <w:szCs w:val="24"/>
        </w:rPr>
        <w:t>)</w:t>
      </w:r>
    </w:p>
    <w:p w14:paraId="6FEDBE25" w14:textId="5464551E"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 xml:space="preserve"> Source: Author.</w:t>
      </w:r>
    </w:p>
    <w:p w14:paraId="629F3AA1" w14:textId="77777777" w:rsidR="009F054F" w:rsidRPr="00687EC2" w:rsidRDefault="009F054F" w:rsidP="00687EC2">
      <w:pPr>
        <w:rPr>
          <w:szCs w:val="24"/>
        </w:rPr>
      </w:pPr>
      <w:r w:rsidRPr="00687EC2">
        <w:rPr>
          <w:szCs w:val="24"/>
        </w:rPr>
        <w:t xml:space="preserve">The indicative budget for prices at 2026 level is £650m. The cost breakdown is shown in figure 10, which includes £52 million for surveys, design, consents and project management; £65 million for enabling, demolition and remediation; £182 million for civil and structural works; £91 million for rail, bus and freight interfaces; £71.5 million for mechanical, electrical, fire and accessibility systems; £39 million for testing and training; £32.5 million for temporary transport and disruption </w:t>
      </w:r>
      <w:r w:rsidRPr="00687EC2">
        <w:rPr>
          <w:szCs w:val="24"/>
        </w:rPr>
        <w:lastRenderedPageBreak/>
        <w:t>management; and £97.5 million for risk and inflation allowance. This is an estimate and not a tender price. It will be benchmarked, risk adjusted and independently assured at each stage of the business case following the guidance on Infrastructure and Projects Authority cost-estimating for projects in the UK (Infrastructure and Projects Authority, 2021).</w:t>
      </w:r>
    </w:p>
    <w:p w14:paraId="11991300" w14:textId="77777777" w:rsidR="009F054F" w:rsidRPr="00687EC2" w:rsidRDefault="009F054F" w:rsidP="00687EC2">
      <w:pPr>
        <w:rPr>
          <w:szCs w:val="24"/>
        </w:rPr>
      </w:pPr>
      <w:r w:rsidRPr="00687EC2">
        <w:rPr>
          <w:szCs w:val="24"/>
        </w:rPr>
        <w:t>The proposed split of funding is: 45% transport-related grant from the central government (£292.5m), 25% capital funding from local government (£162.5m), 15% operator contributions (£97.5m), 10% green-transport funding (£65m) and 5% commercial or developer contributions (£32.5m). Funding agreements will be put in place in stages with gates to ensure that expenditure is approved in line with evidence of scope, cost and benefits in line with the public-sector Five Case Model and value-for-money principles (HM Treasury and Government Finance Function, 2026). Commitment tracking, forecast-at-completion, and contingency drawdown approval and earned-value indicators are used for monthly cost control. The reduction of optimism bias is achieved by reference class evidence and independent challenge; these are used in addition to project-specific risk analysis (Chen et al., 2023).</w:t>
      </w:r>
    </w:p>
    <w:p w14:paraId="1A89C9EF" w14:textId="77777777" w:rsidR="006E6158" w:rsidRPr="00687EC2" w:rsidRDefault="00F41EE1" w:rsidP="00687EC2">
      <w:pPr>
        <w:keepNext/>
        <w:jc w:val="center"/>
        <w:rPr>
          <w:szCs w:val="24"/>
        </w:rPr>
      </w:pPr>
      <w:r w:rsidRPr="00687EC2">
        <w:rPr>
          <w:noProof/>
          <w:szCs w:val="24"/>
        </w:rPr>
        <w:drawing>
          <wp:inline distT="0" distB="0" distL="0" distR="0" wp14:anchorId="05518559" wp14:editId="67BB8728">
            <wp:extent cx="6221284" cy="3331029"/>
            <wp:effectExtent l="0" t="0" r="825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0_cost_funding.png"/>
                    <pic:cNvPicPr/>
                  </pic:nvPicPr>
                  <pic:blipFill>
                    <a:blip r:embed="rId24"/>
                    <a:stretch>
                      <a:fillRect/>
                    </a:stretch>
                  </pic:blipFill>
                  <pic:spPr>
                    <a:xfrm>
                      <a:off x="0" y="0"/>
                      <a:ext cx="6225694" cy="3333390"/>
                    </a:xfrm>
                    <a:prstGeom prst="rect">
                      <a:avLst/>
                    </a:prstGeom>
                  </pic:spPr>
                </pic:pic>
              </a:graphicData>
            </a:graphic>
          </wp:inline>
        </w:drawing>
      </w:r>
    </w:p>
    <w:p w14:paraId="3314A03B" w14:textId="77777777" w:rsidR="006E6158" w:rsidRPr="00687EC2" w:rsidRDefault="00F41EE1" w:rsidP="00687EC2">
      <w:pPr>
        <w:pStyle w:val="ReportCaption"/>
        <w:spacing w:before="0" w:after="0" w:line="360" w:lineRule="auto"/>
        <w:rPr>
          <w:rFonts w:ascii="Corbel" w:hAnsi="Corbel"/>
          <w:sz w:val="24"/>
          <w:szCs w:val="24"/>
        </w:rPr>
      </w:pPr>
      <w:r w:rsidRPr="00687EC2">
        <w:rPr>
          <w:rFonts w:ascii="Corbel" w:hAnsi="Corbel"/>
          <w:sz w:val="24"/>
          <w:szCs w:val="24"/>
        </w:rPr>
        <w:t>Figure 10: Indicative £650 million cost breakdown and proposed funding mix. Source: Author.</w:t>
      </w:r>
    </w:p>
    <w:p w14:paraId="3953B912" w14:textId="77777777" w:rsidR="006E6158" w:rsidRPr="00687EC2" w:rsidRDefault="00F41EE1" w:rsidP="008A419A">
      <w:pPr>
        <w:pStyle w:val="Heading2"/>
      </w:pPr>
      <w:bookmarkStart w:id="14" w:name="_Toc235810317"/>
      <w:r w:rsidRPr="00687EC2">
        <w:t>9. Risk analysis</w:t>
      </w:r>
      <w:bookmarkEnd w:id="14"/>
    </w:p>
    <w:p w14:paraId="28D27B1C" w14:textId="77777777" w:rsidR="009B3D00" w:rsidRPr="00687EC2" w:rsidRDefault="009B3D00" w:rsidP="00687EC2">
      <w:pPr>
        <w:rPr>
          <w:szCs w:val="24"/>
        </w:rPr>
      </w:pPr>
      <w:r w:rsidRPr="00687EC2">
        <w:rPr>
          <w:szCs w:val="24"/>
        </w:rPr>
        <w:t xml:space="preserve">Risk management is an ongoing process of identify, assess, respond and monitor and covers threats and opportunities. Probability &amp; impact range from 1 to 5; with 15-25 being high, 8-14 medium and 1-7 low. The key risks, owners and responses are shown in Table 5 and inherent exposure is shown in Figure 11. Triggers and response actions are monitored fortnightly by risk </w:t>
      </w:r>
      <w:r w:rsidRPr="00687EC2">
        <w:rPr>
          <w:szCs w:val="24"/>
        </w:rPr>
        <w:lastRenderedPageBreak/>
        <w:t>owners and high risks are monitored monthly by the project board. Only exposure quantifications and approved response plans will result in a release of contingency.</w:t>
      </w:r>
    </w:p>
    <w:p w14:paraId="2DC99D6A" w14:textId="77777777" w:rsidR="009B3D00" w:rsidRPr="00687EC2" w:rsidRDefault="009B3D00" w:rsidP="00687EC2">
      <w:pPr>
        <w:rPr>
          <w:szCs w:val="24"/>
        </w:rPr>
      </w:pPr>
      <w:r w:rsidRPr="00687EC2">
        <w:rPr>
          <w:szCs w:val="24"/>
        </w:rPr>
        <w:t xml:space="preserve">The greatest dangers are structural or ground conditions that are unknown, escalating costs, disruption of passengers and freight, approval delay and safety incidents. The uncertainty is minimized before the main contract by conducting early intrusive surveys and by having the utility mapping and design maturity. Transparent assumptions, market testing, package benchmarking and open-book reporting and controlled contingency are all ways of managing cost exposure. A temporary interchange is used to </w:t>
      </w:r>
      <w:proofErr w:type="spellStart"/>
      <w:r w:rsidRPr="00687EC2">
        <w:rPr>
          <w:szCs w:val="24"/>
        </w:rPr>
        <w:t>minimise</w:t>
      </w:r>
      <w:proofErr w:type="spellEnd"/>
      <w:r w:rsidRPr="00687EC2">
        <w:rPr>
          <w:szCs w:val="24"/>
        </w:rPr>
        <w:t xml:space="preserve"> service disruption, night or weekend possessions, and segregated routes and coordinated passenger communication. Safety is controlled by construction design and management responsibilities, permit to work systems, independent assurance and rehearsed emergency systems.</w:t>
      </w:r>
    </w:p>
    <w:p w14:paraId="2AA8C6D9" w14:textId="77777777" w:rsidR="009B3D00" w:rsidRPr="00687EC2" w:rsidRDefault="009B3D00" w:rsidP="00687EC2">
      <w:pPr>
        <w:rPr>
          <w:szCs w:val="24"/>
        </w:rPr>
      </w:pPr>
      <w:r w:rsidRPr="00687EC2">
        <w:rPr>
          <w:szCs w:val="24"/>
        </w:rPr>
        <w:t xml:space="preserve">Digital integration, capacity of supply chain, accessibility and carbon outcomes are not considered as secondary workstreams, but as interface risks. Passenger Information and Freight systems are put to the test in a sandbox and in a staged way, through user acceptance. During design, suppliers for long-lead components are identified and alternative suppliers are provided. Disabled-user </w:t>
      </w:r>
      <w:proofErr w:type="spellStart"/>
      <w:r w:rsidRPr="00687EC2">
        <w:rPr>
          <w:szCs w:val="24"/>
        </w:rPr>
        <w:t>organisations</w:t>
      </w:r>
      <w:proofErr w:type="spellEnd"/>
      <w:r w:rsidRPr="00687EC2">
        <w:rPr>
          <w:szCs w:val="24"/>
        </w:rPr>
        <w:t xml:space="preserve"> are involved in design reviews and in operational trials. Embodied and operational carbon and responsible material selection and waste diversion are captured in a project carbon budget. Environmental and social indicators need to be combined with traditional time and cost controls in the implementation of sustainable control (</w:t>
      </w:r>
      <w:proofErr w:type="spellStart"/>
      <w:r w:rsidRPr="00687EC2">
        <w:rPr>
          <w:szCs w:val="24"/>
        </w:rPr>
        <w:t>Kivilä</w:t>
      </w:r>
      <w:proofErr w:type="spellEnd"/>
      <w:r w:rsidRPr="00687EC2">
        <w:rPr>
          <w:szCs w:val="24"/>
        </w:rPr>
        <w:t xml:space="preserve"> et al., 2017; Sabini et al., 2019).</w:t>
      </w:r>
    </w:p>
    <w:p w14:paraId="2831B008" w14:textId="378B960B" w:rsidR="006E6158" w:rsidRPr="00687EC2" w:rsidRDefault="009B3D00" w:rsidP="008A419A">
      <w:pPr>
        <w:rPr>
          <w:szCs w:val="24"/>
        </w:rPr>
      </w:pPr>
      <w:r w:rsidRPr="00687EC2">
        <w:rPr>
          <w:szCs w:val="24"/>
        </w:rPr>
        <w:t>Risk management is only valuable when the measures taken in response to the risks are in line with the interests of stakeholders and decisions made, not when the register is used as a compliance document (Willumsen et al., 2019). Risks that remain after the project is finished, as well as assumptions and accepted trade-offs are therefore described in board papers, and escalation thresholds are related to delegated authority.</w:t>
      </w:r>
    </w:p>
    <w:tbl>
      <w:tblPr>
        <w:tblW w:w="9504" w:type="dxa"/>
        <w:jc w:val="center"/>
        <w:tblBorders>
          <w:top w:val="single" w:sz="4" w:space="0" w:color="B7C7CE"/>
          <w:left w:val="single" w:sz="4" w:space="0" w:color="B7C7CE"/>
          <w:bottom w:val="single" w:sz="4" w:space="0" w:color="B7C7CE"/>
          <w:right w:val="single" w:sz="4" w:space="0" w:color="B7C7CE"/>
          <w:insideH w:val="single" w:sz="4" w:space="0" w:color="B7C7CE"/>
          <w:insideV w:val="single" w:sz="4" w:space="0" w:color="B7C7CE"/>
        </w:tblBorders>
        <w:tblLayout w:type="fixed"/>
        <w:tblLook w:val="04A0" w:firstRow="1" w:lastRow="0" w:firstColumn="1" w:lastColumn="0" w:noHBand="0" w:noVBand="1"/>
      </w:tblPr>
      <w:tblGrid>
        <w:gridCol w:w="430"/>
        <w:gridCol w:w="2450"/>
        <w:gridCol w:w="360"/>
        <w:gridCol w:w="360"/>
        <w:gridCol w:w="715"/>
        <w:gridCol w:w="3015"/>
        <w:gridCol w:w="2174"/>
      </w:tblGrid>
      <w:tr w:rsidR="006E6158" w:rsidRPr="00687EC2" w14:paraId="00D78839" w14:textId="77777777" w:rsidTr="009B3D00">
        <w:trPr>
          <w:tblHeader/>
          <w:jc w:val="center"/>
        </w:trPr>
        <w:tc>
          <w:tcPr>
            <w:tcW w:w="430" w:type="dxa"/>
            <w:shd w:val="clear" w:color="auto" w:fill="123B5D"/>
            <w:tcMar>
              <w:top w:w="25" w:type="dxa"/>
              <w:left w:w="35" w:type="dxa"/>
              <w:bottom w:w="25" w:type="dxa"/>
              <w:right w:w="35" w:type="dxa"/>
            </w:tcMar>
            <w:vAlign w:val="center"/>
          </w:tcPr>
          <w:p w14:paraId="153AE632" w14:textId="77777777" w:rsidR="006E6158" w:rsidRPr="00687EC2" w:rsidRDefault="00F41EE1" w:rsidP="00687EC2">
            <w:pPr>
              <w:rPr>
                <w:szCs w:val="24"/>
              </w:rPr>
            </w:pPr>
            <w:r w:rsidRPr="00687EC2">
              <w:rPr>
                <w:b/>
                <w:color w:val="FFFFFF"/>
                <w:szCs w:val="24"/>
              </w:rPr>
              <w:t>ID</w:t>
            </w:r>
          </w:p>
        </w:tc>
        <w:tc>
          <w:tcPr>
            <w:tcW w:w="2450" w:type="dxa"/>
            <w:shd w:val="clear" w:color="auto" w:fill="123B5D"/>
            <w:tcMar>
              <w:top w:w="25" w:type="dxa"/>
              <w:left w:w="35" w:type="dxa"/>
              <w:bottom w:w="25" w:type="dxa"/>
              <w:right w:w="35" w:type="dxa"/>
            </w:tcMar>
            <w:vAlign w:val="center"/>
          </w:tcPr>
          <w:p w14:paraId="0F9DC3FD" w14:textId="77777777" w:rsidR="006E6158" w:rsidRPr="00687EC2" w:rsidRDefault="00F41EE1" w:rsidP="00687EC2">
            <w:pPr>
              <w:rPr>
                <w:szCs w:val="24"/>
              </w:rPr>
            </w:pPr>
            <w:r w:rsidRPr="00687EC2">
              <w:rPr>
                <w:b/>
                <w:color w:val="FFFFFF"/>
                <w:szCs w:val="24"/>
              </w:rPr>
              <w:t>Risk / trigger</w:t>
            </w:r>
          </w:p>
        </w:tc>
        <w:tc>
          <w:tcPr>
            <w:tcW w:w="360" w:type="dxa"/>
            <w:shd w:val="clear" w:color="auto" w:fill="123B5D"/>
            <w:tcMar>
              <w:top w:w="25" w:type="dxa"/>
              <w:left w:w="35" w:type="dxa"/>
              <w:bottom w:w="25" w:type="dxa"/>
              <w:right w:w="35" w:type="dxa"/>
            </w:tcMar>
            <w:vAlign w:val="center"/>
          </w:tcPr>
          <w:p w14:paraId="327480C0" w14:textId="77777777" w:rsidR="006E6158" w:rsidRPr="00687EC2" w:rsidRDefault="00F41EE1" w:rsidP="00687EC2">
            <w:pPr>
              <w:rPr>
                <w:szCs w:val="24"/>
              </w:rPr>
            </w:pPr>
            <w:r w:rsidRPr="00687EC2">
              <w:rPr>
                <w:b/>
                <w:color w:val="FFFFFF"/>
                <w:szCs w:val="24"/>
              </w:rPr>
              <w:t>P</w:t>
            </w:r>
          </w:p>
        </w:tc>
        <w:tc>
          <w:tcPr>
            <w:tcW w:w="360" w:type="dxa"/>
            <w:shd w:val="clear" w:color="auto" w:fill="123B5D"/>
            <w:tcMar>
              <w:top w:w="25" w:type="dxa"/>
              <w:left w:w="35" w:type="dxa"/>
              <w:bottom w:w="25" w:type="dxa"/>
              <w:right w:w="35" w:type="dxa"/>
            </w:tcMar>
            <w:vAlign w:val="center"/>
          </w:tcPr>
          <w:p w14:paraId="3A7C164C" w14:textId="77777777" w:rsidR="006E6158" w:rsidRPr="00687EC2" w:rsidRDefault="00F41EE1" w:rsidP="00687EC2">
            <w:pPr>
              <w:rPr>
                <w:szCs w:val="24"/>
              </w:rPr>
            </w:pPr>
            <w:r w:rsidRPr="00687EC2">
              <w:rPr>
                <w:b/>
                <w:color w:val="FFFFFF"/>
                <w:szCs w:val="24"/>
              </w:rPr>
              <w:t>I</w:t>
            </w:r>
          </w:p>
        </w:tc>
        <w:tc>
          <w:tcPr>
            <w:tcW w:w="715" w:type="dxa"/>
            <w:shd w:val="clear" w:color="auto" w:fill="123B5D"/>
            <w:tcMar>
              <w:top w:w="25" w:type="dxa"/>
              <w:left w:w="35" w:type="dxa"/>
              <w:bottom w:w="25" w:type="dxa"/>
              <w:right w:w="35" w:type="dxa"/>
            </w:tcMar>
            <w:vAlign w:val="center"/>
          </w:tcPr>
          <w:p w14:paraId="45704590" w14:textId="77777777" w:rsidR="006E6158" w:rsidRPr="00687EC2" w:rsidRDefault="00F41EE1" w:rsidP="00687EC2">
            <w:pPr>
              <w:rPr>
                <w:szCs w:val="24"/>
              </w:rPr>
            </w:pPr>
            <w:r w:rsidRPr="00687EC2">
              <w:rPr>
                <w:b/>
                <w:color w:val="FFFFFF"/>
                <w:szCs w:val="24"/>
              </w:rPr>
              <w:t>Score</w:t>
            </w:r>
          </w:p>
        </w:tc>
        <w:tc>
          <w:tcPr>
            <w:tcW w:w="3015" w:type="dxa"/>
            <w:shd w:val="clear" w:color="auto" w:fill="123B5D"/>
            <w:tcMar>
              <w:top w:w="25" w:type="dxa"/>
              <w:left w:w="35" w:type="dxa"/>
              <w:bottom w:w="25" w:type="dxa"/>
              <w:right w:w="35" w:type="dxa"/>
            </w:tcMar>
            <w:vAlign w:val="center"/>
          </w:tcPr>
          <w:p w14:paraId="7F298AFD" w14:textId="77777777" w:rsidR="006E6158" w:rsidRPr="00687EC2" w:rsidRDefault="00F41EE1" w:rsidP="00687EC2">
            <w:pPr>
              <w:rPr>
                <w:szCs w:val="24"/>
              </w:rPr>
            </w:pPr>
            <w:r w:rsidRPr="00687EC2">
              <w:rPr>
                <w:b/>
                <w:color w:val="FFFFFF"/>
                <w:szCs w:val="24"/>
              </w:rPr>
              <w:t>Primary response</w:t>
            </w:r>
          </w:p>
        </w:tc>
        <w:tc>
          <w:tcPr>
            <w:tcW w:w="2174" w:type="dxa"/>
            <w:shd w:val="clear" w:color="auto" w:fill="123B5D"/>
            <w:tcMar>
              <w:top w:w="25" w:type="dxa"/>
              <w:left w:w="35" w:type="dxa"/>
              <w:bottom w:w="25" w:type="dxa"/>
              <w:right w:w="35" w:type="dxa"/>
            </w:tcMar>
            <w:vAlign w:val="center"/>
          </w:tcPr>
          <w:p w14:paraId="77C5F867" w14:textId="77777777" w:rsidR="006E6158" w:rsidRPr="00687EC2" w:rsidRDefault="00F41EE1" w:rsidP="00687EC2">
            <w:pPr>
              <w:rPr>
                <w:szCs w:val="24"/>
              </w:rPr>
            </w:pPr>
            <w:r w:rsidRPr="00687EC2">
              <w:rPr>
                <w:b/>
                <w:color w:val="FFFFFF"/>
                <w:szCs w:val="24"/>
              </w:rPr>
              <w:t>Owner</w:t>
            </w:r>
          </w:p>
        </w:tc>
      </w:tr>
      <w:tr w:rsidR="006E6158" w:rsidRPr="00687EC2" w14:paraId="60BCC292" w14:textId="77777777" w:rsidTr="009B3D00">
        <w:trPr>
          <w:jc w:val="center"/>
        </w:trPr>
        <w:tc>
          <w:tcPr>
            <w:tcW w:w="430" w:type="dxa"/>
            <w:tcMar>
              <w:top w:w="25" w:type="dxa"/>
              <w:left w:w="35" w:type="dxa"/>
              <w:bottom w:w="25" w:type="dxa"/>
              <w:right w:w="35" w:type="dxa"/>
            </w:tcMar>
            <w:vAlign w:val="center"/>
          </w:tcPr>
          <w:p w14:paraId="6791AF79" w14:textId="77777777" w:rsidR="006E6158" w:rsidRPr="00687EC2" w:rsidRDefault="00F41EE1" w:rsidP="00687EC2">
            <w:pPr>
              <w:rPr>
                <w:szCs w:val="24"/>
              </w:rPr>
            </w:pPr>
            <w:r w:rsidRPr="00687EC2">
              <w:rPr>
                <w:color w:val="1F2937"/>
                <w:szCs w:val="24"/>
              </w:rPr>
              <w:t>R1</w:t>
            </w:r>
          </w:p>
        </w:tc>
        <w:tc>
          <w:tcPr>
            <w:tcW w:w="2450" w:type="dxa"/>
            <w:tcMar>
              <w:top w:w="25" w:type="dxa"/>
              <w:left w:w="35" w:type="dxa"/>
              <w:bottom w:w="25" w:type="dxa"/>
              <w:right w:w="35" w:type="dxa"/>
            </w:tcMar>
            <w:vAlign w:val="center"/>
          </w:tcPr>
          <w:p w14:paraId="5B059AB6" w14:textId="77777777" w:rsidR="006E6158" w:rsidRPr="00687EC2" w:rsidRDefault="00F41EE1" w:rsidP="00687EC2">
            <w:pPr>
              <w:rPr>
                <w:szCs w:val="24"/>
              </w:rPr>
            </w:pPr>
            <w:r w:rsidRPr="00687EC2">
              <w:rPr>
                <w:color w:val="1F2937"/>
                <w:szCs w:val="24"/>
              </w:rPr>
              <w:t>Unknown structural, utility or ground conditions</w:t>
            </w:r>
          </w:p>
        </w:tc>
        <w:tc>
          <w:tcPr>
            <w:tcW w:w="360" w:type="dxa"/>
            <w:tcMar>
              <w:top w:w="25" w:type="dxa"/>
              <w:left w:w="35" w:type="dxa"/>
              <w:bottom w:w="25" w:type="dxa"/>
              <w:right w:w="35" w:type="dxa"/>
            </w:tcMar>
            <w:vAlign w:val="center"/>
          </w:tcPr>
          <w:p w14:paraId="010D10B0" w14:textId="77777777" w:rsidR="006E6158" w:rsidRPr="00687EC2" w:rsidRDefault="00F41EE1" w:rsidP="00687EC2">
            <w:pPr>
              <w:rPr>
                <w:szCs w:val="24"/>
              </w:rPr>
            </w:pPr>
            <w:r w:rsidRPr="00687EC2">
              <w:rPr>
                <w:color w:val="1F2937"/>
                <w:szCs w:val="24"/>
              </w:rPr>
              <w:t>4</w:t>
            </w:r>
          </w:p>
        </w:tc>
        <w:tc>
          <w:tcPr>
            <w:tcW w:w="360" w:type="dxa"/>
            <w:tcMar>
              <w:top w:w="25" w:type="dxa"/>
              <w:left w:w="35" w:type="dxa"/>
              <w:bottom w:w="25" w:type="dxa"/>
              <w:right w:w="35" w:type="dxa"/>
            </w:tcMar>
            <w:vAlign w:val="center"/>
          </w:tcPr>
          <w:p w14:paraId="6D45D7DF" w14:textId="77777777" w:rsidR="006E6158" w:rsidRPr="00687EC2" w:rsidRDefault="00F41EE1" w:rsidP="00687EC2">
            <w:pPr>
              <w:rPr>
                <w:szCs w:val="24"/>
              </w:rPr>
            </w:pPr>
            <w:r w:rsidRPr="00687EC2">
              <w:rPr>
                <w:color w:val="1F2937"/>
                <w:szCs w:val="24"/>
              </w:rPr>
              <w:t>5</w:t>
            </w:r>
          </w:p>
        </w:tc>
        <w:tc>
          <w:tcPr>
            <w:tcW w:w="715" w:type="dxa"/>
            <w:tcMar>
              <w:top w:w="25" w:type="dxa"/>
              <w:left w:w="35" w:type="dxa"/>
              <w:bottom w:w="25" w:type="dxa"/>
              <w:right w:w="35" w:type="dxa"/>
            </w:tcMar>
            <w:vAlign w:val="center"/>
          </w:tcPr>
          <w:p w14:paraId="2B777F19" w14:textId="77777777" w:rsidR="006E6158" w:rsidRPr="00687EC2" w:rsidRDefault="00F41EE1" w:rsidP="00687EC2">
            <w:pPr>
              <w:rPr>
                <w:szCs w:val="24"/>
              </w:rPr>
            </w:pPr>
            <w:r w:rsidRPr="00687EC2">
              <w:rPr>
                <w:color w:val="1F2937"/>
                <w:szCs w:val="24"/>
              </w:rPr>
              <w:t>20</w:t>
            </w:r>
          </w:p>
        </w:tc>
        <w:tc>
          <w:tcPr>
            <w:tcW w:w="3015" w:type="dxa"/>
            <w:tcMar>
              <w:top w:w="25" w:type="dxa"/>
              <w:left w:w="35" w:type="dxa"/>
              <w:bottom w:w="25" w:type="dxa"/>
              <w:right w:w="35" w:type="dxa"/>
            </w:tcMar>
            <w:vAlign w:val="center"/>
          </w:tcPr>
          <w:p w14:paraId="2253B57B" w14:textId="77777777" w:rsidR="006E6158" w:rsidRPr="00687EC2" w:rsidRDefault="00F41EE1" w:rsidP="00687EC2">
            <w:pPr>
              <w:rPr>
                <w:szCs w:val="24"/>
              </w:rPr>
            </w:pPr>
            <w:r w:rsidRPr="00687EC2">
              <w:rPr>
                <w:color w:val="1F2937"/>
                <w:szCs w:val="24"/>
              </w:rPr>
              <w:t>Intrusive surveys, utility mapping, early contractor input</w:t>
            </w:r>
          </w:p>
        </w:tc>
        <w:tc>
          <w:tcPr>
            <w:tcW w:w="2174" w:type="dxa"/>
            <w:tcMar>
              <w:top w:w="25" w:type="dxa"/>
              <w:left w:w="35" w:type="dxa"/>
              <w:bottom w:w="25" w:type="dxa"/>
              <w:right w:w="35" w:type="dxa"/>
            </w:tcMar>
            <w:vAlign w:val="center"/>
          </w:tcPr>
          <w:p w14:paraId="0065E988" w14:textId="77777777" w:rsidR="006E6158" w:rsidRPr="00687EC2" w:rsidRDefault="00F41EE1" w:rsidP="00687EC2">
            <w:pPr>
              <w:rPr>
                <w:szCs w:val="24"/>
              </w:rPr>
            </w:pPr>
            <w:r w:rsidRPr="00687EC2">
              <w:rPr>
                <w:color w:val="1F2937"/>
                <w:szCs w:val="24"/>
              </w:rPr>
              <w:t>Design manager</w:t>
            </w:r>
          </w:p>
        </w:tc>
      </w:tr>
      <w:tr w:rsidR="006E6158" w:rsidRPr="00687EC2" w14:paraId="5C18E9F6" w14:textId="77777777" w:rsidTr="009B3D00">
        <w:trPr>
          <w:jc w:val="center"/>
        </w:trPr>
        <w:tc>
          <w:tcPr>
            <w:tcW w:w="430" w:type="dxa"/>
            <w:shd w:val="clear" w:color="auto" w:fill="F4F8FA"/>
            <w:tcMar>
              <w:top w:w="25" w:type="dxa"/>
              <w:left w:w="35" w:type="dxa"/>
              <w:bottom w:w="25" w:type="dxa"/>
              <w:right w:w="35" w:type="dxa"/>
            </w:tcMar>
            <w:vAlign w:val="center"/>
          </w:tcPr>
          <w:p w14:paraId="448155C6" w14:textId="77777777" w:rsidR="006E6158" w:rsidRPr="00687EC2" w:rsidRDefault="00F41EE1" w:rsidP="00687EC2">
            <w:pPr>
              <w:rPr>
                <w:szCs w:val="24"/>
              </w:rPr>
            </w:pPr>
            <w:r w:rsidRPr="00687EC2">
              <w:rPr>
                <w:color w:val="1F2937"/>
                <w:szCs w:val="24"/>
              </w:rPr>
              <w:t>R2</w:t>
            </w:r>
          </w:p>
        </w:tc>
        <w:tc>
          <w:tcPr>
            <w:tcW w:w="2450" w:type="dxa"/>
            <w:shd w:val="clear" w:color="auto" w:fill="F4F8FA"/>
            <w:tcMar>
              <w:top w:w="25" w:type="dxa"/>
              <w:left w:w="35" w:type="dxa"/>
              <w:bottom w:w="25" w:type="dxa"/>
              <w:right w:w="35" w:type="dxa"/>
            </w:tcMar>
            <w:vAlign w:val="center"/>
          </w:tcPr>
          <w:p w14:paraId="30C46306" w14:textId="77777777" w:rsidR="006E6158" w:rsidRPr="00687EC2" w:rsidRDefault="00F41EE1" w:rsidP="00687EC2">
            <w:pPr>
              <w:rPr>
                <w:szCs w:val="24"/>
              </w:rPr>
            </w:pPr>
            <w:r w:rsidRPr="00687EC2">
              <w:rPr>
                <w:color w:val="1F2937"/>
                <w:szCs w:val="24"/>
              </w:rPr>
              <w:t>Inflation, design growth or weak cost control</w:t>
            </w:r>
          </w:p>
        </w:tc>
        <w:tc>
          <w:tcPr>
            <w:tcW w:w="360" w:type="dxa"/>
            <w:shd w:val="clear" w:color="auto" w:fill="F4F8FA"/>
            <w:tcMar>
              <w:top w:w="25" w:type="dxa"/>
              <w:left w:w="35" w:type="dxa"/>
              <w:bottom w:w="25" w:type="dxa"/>
              <w:right w:w="35" w:type="dxa"/>
            </w:tcMar>
            <w:vAlign w:val="center"/>
          </w:tcPr>
          <w:p w14:paraId="7917ABB4" w14:textId="77777777" w:rsidR="006E6158" w:rsidRPr="00687EC2" w:rsidRDefault="00F41EE1" w:rsidP="00687EC2">
            <w:pPr>
              <w:rPr>
                <w:szCs w:val="24"/>
              </w:rPr>
            </w:pPr>
            <w:r w:rsidRPr="00687EC2">
              <w:rPr>
                <w:color w:val="1F2937"/>
                <w:szCs w:val="24"/>
              </w:rPr>
              <w:t>4</w:t>
            </w:r>
          </w:p>
        </w:tc>
        <w:tc>
          <w:tcPr>
            <w:tcW w:w="360" w:type="dxa"/>
            <w:shd w:val="clear" w:color="auto" w:fill="F4F8FA"/>
            <w:tcMar>
              <w:top w:w="25" w:type="dxa"/>
              <w:left w:w="35" w:type="dxa"/>
              <w:bottom w:w="25" w:type="dxa"/>
              <w:right w:w="35" w:type="dxa"/>
            </w:tcMar>
            <w:vAlign w:val="center"/>
          </w:tcPr>
          <w:p w14:paraId="1C230005" w14:textId="77777777" w:rsidR="006E6158" w:rsidRPr="00687EC2" w:rsidRDefault="00F41EE1" w:rsidP="00687EC2">
            <w:pPr>
              <w:rPr>
                <w:szCs w:val="24"/>
              </w:rPr>
            </w:pPr>
            <w:r w:rsidRPr="00687EC2">
              <w:rPr>
                <w:color w:val="1F2937"/>
                <w:szCs w:val="24"/>
              </w:rPr>
              <w:t>4</w:t>
            </w:r>
          </w:p>
        </w:tc>
        <w:tc>
          <w:tcPr>
            <w:tcW w:w="715" w:type="dxa"/>
            <w:shd w:val="clear" w:color="auto" w:fill="F4F8FA"/>
            <w:tcMar>
              <w:top w:w="25" w:type="dxa"/>
              <w:left w:w="35" w:type="dxa"/>
              <w:bottom w:w="25" w:type="dxa"/>
              <w:right w:w="35" w:type="dxa"/>
            </w:tcMar>
            <w:vAlign w:val="center"/>
          </w:tcPr>
          <w:p w14:paraId="05C47B63" w14:textId="77777777" w:rsidR="006E6158" w:rsidRPr="00687EC2" w:rsidRDefault="00F41EE1" w:rsidP="00687EC2">
            <w:pPr>
              <w:rPr>
                <w:szCs w:val="24"/>
              </w:rPr>
            </w:pPr>
            <w:r w:rsidRPr="00687EC2">
              <w:rPr>
                <w:color w:val="1F2937"/>
                <w:szCs w:val="24"/>
              </w:rPr>
              <w:t>16</w:t>
            </w:r>
          </w:p>
        </w:tc>
        <w:tc>
          <w:tcPr>
            <w:tcW w:w="3015" w:type="dxa"/>
            <w:shd w:val="clear" w:color="auto" w:fill="F4F8FA"/>
            <w:tcMar>
              <w:top w:w="25" w:type="dxa"/>
              <w:left w:w="35" w:type="dxa"/>
              <w:bottom w:w="25" w:type="dxa"/>
              <w:right w:w="35" w:type="dxa"/>
            </w:tcMar>
            <w:vAlign w:val="center"/>
          </w:tcPr>
          <w:p w14:paraId="5DBE47F3" w14:textId="77777777" w:rsidR="006E6158" w:rsidRPr="00687EC2" w:rsidRDefault="00F41EE1" w:rsidP="00687EC2">
            <w:pPr>
              <w:rPr>
                <w:szCs w:val="24"/>
              </w:rPr>
            </w:pPr>
            <w:r w:rsidRPr="00687EC2">
              <w:rPr>
                <w:color w:val="1F2937"/>
                <w:szCs w:val="24"/>
              </w:rPr>
              <w:t>Benchmarking, open-book reporting, 15% allowance, change control</w:t>
            </w:r>
          </w:p>
        </w:tc>
        <w:tc>
          <w:tcPr>
            <w:tcW w:w="2174" w:type="dxa"/>
            <w:shd w:val="clear" w:color="auto" w:fill="F4F8FA"/>
            <w:tcMar>
              <w:top w:w="25" w:type="dxa"/>
              <w:left w:w="35" w:type="dxa"/>
              <w:bottom w:w="25" w:type="dxa"/>
              <w:right w:w="35" w:type="dxa"/>
            </w:tcMar>
            <w:vAlign w:val="center"/>
          </w:tcPr>
          <w:p w14:paraId="67DB1DF3" w14:textId="77777777" w:rsidR="006E6158" w:rsidRPr="00687EC2" w:rsidRDefault="00F41EE1" w:rsidP="00687EC2">
            <w:pPr>
              <w:rPr>
                <w:szCs w:val="24"/>
              </w:rPr>
            </w:pPr>
            <w:r w:rsidRPr="00687EC2">
              <w:rPr>
                <w:color w:val="1F2937"/>
                <w:szCs w:val="24"/>
              </w:rPr>
              <w:t>Commercial manager</w:t>
            </w:r>
          </w:p>
        </w:tc>
      </w:tr>
      <w:tr w:rsidR="006E6158" w:rsidRPr="00687EC2" w14:paraId="65C5D406" w14:textId="77777777" w:rsidTr="009B3D00">
        <w:trPr>
          <w:jc w:val="center"/>
        </w:trPr>
        <w:tc>
          <w:tcPr>
            <w:tcW w:w="430" w:type="dxa"/>
            <w:tcMar>
              <w:top w:w="25" w:type="dxa"/>
              <w:left w:w="35" w:type="dxa"/>
              <w:bottom w:w="25" w:type="dxa"/>
              <w:right w:w="35" w:type="dxa"/>
            </w:tcMar>
            <w:vAlign w:val="center"/>
          </w:tcPr>
          <w:p w14:paraId="42D477C8" w14:textId="77777777" w:rsidR="006E6158" w:rsidRPr="00687EC2" w:rsidRDefault="00F41EE1" w:rsidP="00687EC2">
            <w:pPr>
              <w:rPr>
                <w:szCs w:val="24"/>
              </w:rPr>
            </w:pPr>
            <w:r w:rsidRPr="00687EC2">
              <w:rPr>
                <w:color w:val="1F2937"/>
                <w:szCs w:val="24"/>
              </w:rPr>
              <w:lastRenderedPageBreak/>
              <w:t>R3</w:t>
            </w:r>
          </w:p>
        </w:tc>
        <w:tc>
          <w:tcPr>
            <w:tcW w:w="2450" w:type="dxa"/>
            <w:tcMar>
              <w:top w:w="25" w:type="dxa"/>
              <w:left w:w="35" w:type="dxa"/>
              <w:bottom w:w="25" w:type="dxa"/>
              <w:right w:w="35" w:type="dxa"/>
            </w:tcMar>
            <w:vAlign w:val="center"/>
          </w:tcPr>
          <w:p w14:paraId="6C03FF55" w14:textId="77777777" w:rsidR="006E6158" w:rsidRPr="00687EC2" w:rsidRDefault="00F41EE1" w:rsidP="00687EC2">
            <w:pPr>
              <w:rPr>
                <w:szCs w:val="24"/>
              </w:rPr>
            </w:pPr>
            <w:r w:rsidRPr="00687EC2">
              <w:rPr>
                <w:color w:val="1F2937"/>
                <w:szCs w:val="24"/>
              </w:rPr>
              <w:t>Planning, fire or safety approval delay</w:t>
            </w:r>
          </w:p>
        </w:tc>
        <w:tc>
          <w:tcPr>
            <w:tcW w:w="360" w:type="dxa"/>
            <w:tcMar>
              <w:top w:w="25" w:type="dxa"/>
              <w:left w:w="35" w:type="dxa"/>
              <w:bottom w:w="25" w:type="dxa"/>
              <w:right w:w="35" w:type="dxa"/>
            </w:tcMar>
            <w:vAlign w:val="center"/>
          </w:tcPr>
          <w:p w14:paraId="70674B40" w14:textId="77777777" w:rsidR="006E6158" w:rsidRPr="00687EC2" w:rsidRDefault="00F41EE1" w:rsidP="00687EC2">
            <w:pPr>
              <w:rPr>
                <w:szCs w:val="24"/>
              </w:rPr>
            </w:pPr>
            <w:r w:rsidRPr="00687EC2">
              <w:rPr>
                <w:color w:val="1F2937"/>
                <w:szCs w:val="24"/>
              </w:rPr>
              <w:t>3</w:t>
            </w:r>
          </w:p>
        </w:tc>
        <w:tc>
          <w:tcPr>
            <w:tcW w:w="360" w:type="dxa"/>
            <w:tcMar>
              <w:top w:w="25" w:type="dxa"/>
              <w:left w:w="35" w:type="dxa"/>
              <w:bottom w:w="25" w:type="dxa"/>
              <w:right w:w="35" w:type="dxa"/>
            </w:tcMar>
            <w:vAlign w:val="center"/>
          </w:tcPr>
          <w:p w14:paraId="45BEBB54" w14:textId="77777777" w:rsidR="006E6158" w:rsidRPr="00687EC2" w:rsidRDefault="00F41EE1" w:rsidP="00687EC2">
            <w:pPr>
              <w:rPr>
                <w:szCs w:val="24"/>
              </w:rPr>
            </w:pPr>
            <w:r w:rsidRPr="00687EC2">
              <w:rPr>
                <w:color w:val="1F2937"/>
                <w:szCs w:val="24"/>
              </w:rPr>
              <w:t>5</w:t>
            </w:r>
          </w:p>
        </w:tc>
        <w:tc>
          <w:tcPr>
            <w:tcW w:w="715" w:type="dxa"/>
            <w:tcMar>
              <w:top w:w="25" w:type="dxa"/>
              <w:left w:w="35" w:type="dxa"/>
              <w:bottom w:w="25" w:type="dxa"/>
              <w:right w:w="35" w:type="dxa"/>
            </w:tcMar>
            <w:vAlign w:val="center"/>
          </w:tcPr>
          <w:p w14:paraId="412560B4" w14:textId="77777777" w:rsidR="006E6158" w:rsidRPr="00687EC2" w:rsidRDefault="00F41EE1" w:rsidP="00687EC2">
            <w:pPr>
              <w:rPr>
                <w:szCs w:val="24"/>
              </w:rPr>
            </w:pPr>
            <w:r w:rsidRPr="00687EC2">
              <w:rPr>
                <w:color w:val="1F2937"/>
                <w:szCs w:val="24"/>
              </w:rPr>
              <w:t>15</w:t>
            </w:r>
          </w:p>
        </w:tc>
        <w:tc>
          <w:tcPr>
            <w:tcW w:w="3015" w:type="dxa"/>
            <w:tcMar>
              <w:top w:w="25" w:type="dxa"/>
              <w:left w:w="35" w:type="dxa"/>
              <w:bottom w:w="25" w:type="dxa"/>
              <w:right w:w="35" w:type="dxa"/>
            </w:tcMar>
            <w:vAlign w:val="center"/>
          </w:tcPr>
          <w:p w14:paraId="51FBB567" w14:textId="77777777" w:rsidR="006E6158" w:rsidRPr="00687EC2" w:rsidRDefault="00F41EE1" w:rsidP="00687EC2">
            <w:pPr>
              <w:rPr>
                <w:szCs w:val="24"/>
              </w:rPr>
            </w:pPr>
            <w:r w:rsidRPr="00687EC2">
              <w:rPr>
                <w:color w:val="1F2937"/>
                <w:szCs w:val="24"/>
              </w:rPr>
              <w:t>Regulator workshops, staged submissions, assurance hold points</w:t>
            </w:r>
          </w:p>
        </w:tc>
        <w:tc>
          <w:tcPr>
            <w:tcW w:w="2174" w:type="dxa"/>
            <w:tcMar>
              <w:top w:w="25" w:type="dxa"/>
              <w:left w:w="35" w:type="dxa"/>
              <w:bottom w:w="25" w:type="dxa"/>
              <w:right w:w="35" w:type="dxa"/>
            </w:tcMar>
            <w:vAlign w:val="center"/>
          </w:tcPr>
          <w:p w14:paraId="406B0C5B" w14:textId="77777777" w:rsidR="006E6158" w:rsidRPr="00687EC2" w:rsidRDefault="00F41EE1" w:rsidP="00687EC2">
            <w:pPr>
              <w:rPr>
                <w:szCs w:val="24"/>
              </w:rPr>
            </w:pPr>
            <w:r w:rsidRPr="00687EC2">
              <w:rPr>
                <w:color w:val="1F2937"/>
                <w:szCs w:val="24"/>
              </w:rPr>
              <w:t>Design manager</w:t>
            </w:r>
          </w:p>
        </w:tc>
      </w:tr>
      <w:tr w:rsidR="006E6158" w:rsidRPr="00687EC2" w14:paraId="70D9E436" w14:textId="77777777" w:rsidTr="009B3D00">
        <w:trPr>
          <w:jc w:val="center"/>
        </w:trPr>
        <w:tc>
          <w:tcPr>
            <w:tcW w:w="430" w:type="dxa"/>
            <w:shd w:val="clear" w:color="auto" w:fill="F4F8FA"/>
            <w:tcMar>
              <w:top w:w="25" w:type="dxa"/>
              <w:left w:w="35" w:type="dxa"/>
              <w:bottom w:w="25" w:type="dxa"/>
              <w:right w:w="35" w:type="dxa"/>
            </w:tcMar>
            <w:vAlign w:val="center"/>
          </w:tcPr>
          <w:p w14:paraId="7163E9A1" w14:textId="77777777" w:rsidR="006E6158" w:rsidRPr="00687EC2" w:rsidRDefault="00F41EE1" w:rsidP="00687EC2">
            <w:pPr>
              <w:rPr>
                <w:szCs w:val="24"/>
              </w:rPr>
            </w:pPr>
            <w:r w:rsidRPr="00687EC2">
              <w:rPr>
                <w:color w:val="1F2937"/>
                <w:szCs w:val="24"/>
              </w:rPr>
              <w:t>R4</w:t>
            </w:r>
          </w:p>
        </w:tc>
        <w:tc>
          <w:tcPr>
            <w:tcW w:w="2450" w:type="dxa"/>
            <w:shd w:val="clear" w:color="auto" w:fill="F4F8FA"/>
            <w:tcMar>
              <w:top w:w="25" w:type="dxa"/>
              <w:left w:w="35" w:type="dxa"/>
              <w:bottom w:w="25" w:type="dxa"/>
              <w:right w:w="35" w:type="dxa"/>
            </w:tcMar>
            <w:vAlign w:val="center"/>
          </w:tcPr>
          <w:p w14:paraId="2106C492" w14:textId="77777777" w:rsidR="006E6158" w:rsidRPr="00687EC2" w:rsidRDefault="00F41EE1" w:rsidP="00687EC2">
            <w:pPr>
              <w:rPr>
                <w:szCs w:val="24"/>
              </w:rPr>
            </w:pPr>
            <w:r w:rsidRPr="00687EC2">
              <w:rPr>
                <w:color w:val="1F2937"/>
                <w:szCs w:val="24"/>
              </w:rPr>
              <w:t>Passenger or freight disruption exceeds tolerance</w:t>
            </w:r>
          </w:p>
        </w:tc>
        <w:tc>
          <w:tcPr>
            <w:tcW w:w="360" w:type="dxa"/>
            <w:shd w:val="clear" w:color="auto" w:fill="F4F8FA"/>
            <w:tcMar>
              <w:top w:w="25" w:type="dxa"/>
              <w:left w:w="35" w:type="dxa"/>
              <w:bottom w:w="25" w:type="dxa"/>
              <w:right w:w="35" w:type="dxa"/>
            </w:tcMar>
            <w:vAlign w:val="center"/>
          </w:tcPr>
          <w:p w14:paraId="1BAFCAEA" w14:textId="77777777" w:rsidR="006E6158" w:rsidRPr="00687EC2" w:rsidRDefault="00F41EE1" w:rsidP="00687EC2">
            <w:pPr>
              <w:rPr>
                <w:szCs w:val="24"/>
              </w:rPr>
            </w:pPr>
            <w:r w:rsidRPr="00687EC2">
              <w:rPr>
                <w:color w:val="1F2937"/>
                <w:szCs w:val="24"/>
              </w:rPr>
              <w:t>4</w:t>
            </w:r>
          </w:p>
        </w:tc>
        <w:tc>
          <w:tcPr>
            <w:tcW w:w="360" w:type="dxa"/>
            <w:shd w:val="clear" w:color="auto" w:fill="F4F8FA"/>
            <w:tcMar>
              <w:top w:w="25" w:type="dxa"/>
              <w:left w:w="35" w:type="dxa"/>
              <w:bottom w:w="25" w:type="dxa"/>
              <w:right w:w="35" w:type="dxa"/>
            </w:tcMar>
            <w:vAlign w:val="center"/>
          </w:tcPr>
          <w:p w14:paraId="42083D7D" w14:textId="77777777" w:rsidR="006E6158" w:rsidRPr="00687EC2" w:rsidRDefault="00F41EE1" w:rsidP="00687EC2">
            <w:pPr>
              <w:rPr>
                <w:szCs w:val="24"/>
              </w:rPr>
            </w:pPr>
            <w:r w:rsidRPr="00687EC2">
              <w:rPr>
                <w:color w:val="1F2937"/>
                <w:szCs w:val="24"/>
              </w:rPr>
              <w:t>4</w:t>
            </w:r>
          </w:p>
        </w:tc>
        <w:tc>
          <w:tcPr>
            <w:tcW w:w="715" w:type="dxa"/>
            <w:shd w:val="clear" w:color="auto" w:fill="F4F8FA"/>
            <w:tcMar>
              <w:top w:w="25" w:type="dxa"/>
              <w:left w:w="35" w:type="dxa"/>
              <w:bottom w:w="25" w:type="dxa"/>
              <w:right w:w="35" w:type="dxa"/>
            </w:tcMar>
            <w:vAlign w:val="center"/>
          </w:tcPr>
          <w:p w14:paraId="512BAD04" w14:textId="77777777" w:rsidR="006E6158" w:rsidRPr="00687EC2" w:rsidRDefault="00F41EE1" w:rsidP="00687EC2">
            <w:pPr>
              <w:rPr>
                <w:szCs w:val="24"/>
              </w:rPr>
            </w:pPr>
            <w:r w:rsidRPr="00687EC2">
              <w:rPr>
                <w:color w:val="1F2937"/>
                <w:szCs w:val="24"/>
              </w:rPr>
              <w:t>16</w:t>
            </w:r>
          </w:p>
        </w:tc>
        <w:tc>
          <w:tcPr>
            <w:tcW w:w="3015" w:type="dxa"/>
            <w:shd w:val="clear" w:color="auto" w:fill="F4F8FA"/>
            <w:tcMar>
              <w:top w:w="25" w:type="dxa"/>
              <w:left w:w="35" w:type="dxa"/>
              <w:bottom w:w="25" w:type="dxa"/>
              <w:right w:w="35" w:type="dxa"/>
            </w:tcMar>
            <w:vAlign w:val="center"/>
          </w:tcPr>
          <w:p w14:paraId="13994CAB" w14:textId="77777777" w:rsidR="006E6158" w:rsidRPr="00687EC2" w:rsidRDefault="00F41EE1" w:rsidP="00687EC2">
            <w:pPr>
              <w:rPr>
                <w:szCs w:val="24"/>
              </w:rPr>
            </w:pPr>
            <w:r w:rsidRPr="00687EC2">
              <w:rPr>
                <w:color w:val="1F2937"/>
                <w:szCs w:val="24"/>
              </w:rPr>
              <w:t>Temporary interchange, possessions plan, night works, accessible communications</w:t>
            </w:r>
          </w:p>
        </w:tc>
        <w:tc>
          <w:tcPr>
            <w:tcW w:w="2174" w:type="dxa"/>
            <w:shd w:val="clear" w:color="auto" w:fill="F4F8FA"/>
            <w:tcMar>
              <w:top w:w="25" w:type="dxa"/>
              <w:left w:w="35" w:type="dxa"/>
              <w:bottom w:w="25" w:type="dxa"/>
              <w:right w:w="35" w:type="dxa"/>
            </w:tcMar>
            <w:vAlign w:val="center"/>
          </w:tcPr>
          <w:p w14:paraId="7B1F0A45" w14:textId="77777777" w:rsidR="006E6158" w:rsidRPr="00687EC2" w:rsidRDefault="00F41EE1" w:rsidP="00687EC2">
            <w:pPr>
              <w:rPr>
                <w:szCs w:val="24"/>
              </w:rPr>
            </w:pPr>
            <w:r w:rsidRPr="00687EC2">
              <w:rPr>
                <w:color w:val="1F2937"/>
                <w:szCs w:val="24"/>
              </w:rPr>
              <w:t>Operations lead</w:t>
            </w:r>
          </w:p>
        </w:tc>
      </w:tr>
      <w:tr w:rsidR="006E6158" w:rsidRPr="00687EC2" w14:paraId="7111E089" w14:textId="77777777" w:rsidTr="009B3D00">
        <w:trPr>
          <w:jc w:val="center"/>
        </w:trPr>
        <w:tc>
          <w:tcPr>
            <w:tcW w:w="430" w:type="dxa"/>
            <w:tcMar>
              <w:top w:w="25" w:type="dxa"/>
              <w:left w:w="35" w:type="dxa"/>
              <w:bottom w:w="25" w:type="dxa"/>
              <w:right w:w="35" w:type="dxa"/>
            </w:tcMar>
            <w:vAlign w:val="center"/>
          </w:tcPr>
          <w:p w14:paraId="7214E23A" w14:textId="77777777" w:rsidR="006E6158" w:rsidRPr="00687EC2" w:rsidRDefault="00F41EE1" w:rsidP="00687EC2">
            <w:pPr>
              <w:rPr>
                <w:szCs w:val="24"/>
              </w:rPr>
            </w:pPr>
            <w:r w:rsidRPr="00687EC2">
              <w:rPr>
                <w:color w:val="1F2937"/>
                <w:szCs w:val="24"/>
              </w:rPr>
              <w:t>R5</w:t>
            </w:r>
          </w:p>
        </w:tc>
        <w:tc>
          <w:tcPr>
            <w:tcW w:w="2450" w:type="dxa"/>
            <w:tcMar>
              <w:top w:w="25" w:type="dxa"/>
              <w:left w:w="35" w:type="dxa"/>
              <w:bottom w:w="25" w:type="dxa"/>
              <w:right w:w="35" w:type="dxa"/>
            </w:tcMar>
            <w:vAlign w:val="center"/>
          </w:tcPr>
          <w:p w14:paraId="2637B997" w14:textId="77777777" w:rsidR="006E6158" w:rsidRPr="00687EC2" w:rsidRDefault="00F41EE1" w:rsidP="00687EC2">
            <w:pPr>
              <w:rPr>
                <w:szCs w:val="24"/>
              </w:rPr>
            </w:pPr>
            <w:r w:rsidRPr="00687EC2">
              <w:rPr>
                <w:color w:val="1F2937"/>
                <w:szCs w:val="24"/>
              </w:rPr>
              <w:t>Construction safety incident</w:t>
            </w:r>
          </w:p>
        </w:tc>
        <w:tc>
          <w:tcPr>
            <w:tcW w:w="360" w:type="dxa"/>
            <w:tcMar>
              <w:top w:w="25" w:type="dxa"/>
              <w:left w:w="35" w:type="dxa"/>
              <w:bottom w:w="25" w:type="dxa"/>
              <w:right w:w="35" w:type="dxa"/>
            </w:tcMar>
            <w:vAlign w:val="center"/>
          </w:tcPr>
          <w:p w14:paraId="42D7ACB3" w14:textId="77777777" w:rsidR="006E6158" w:rsidRPr="00687EC2" w:rsidRDefault="00F41EE1" w:rsidP="00687EC2">
            <w:pPr>
              <w:rPr>
                <w:szCs w:val="24"/>
              </w:rPr>
            </w:pPr>
            <w:r w:rsidRPr="00687EC2">
              <w:rPr>
                <w:color w:val="1F2937"/>
                <w:szCs w:val="24"/>
              </w:rPr>
              <w:t>3</w:t>
            </w:r>
          </w:p>
        </w:tc>
        <w:tc>
          <w:tcPr>
            <w:tcW w:w="360" w:type="dxa"/>
            <w:tcMar>
              <w:top w:w="25" w:type="dxa"/>
              <w:left w:w="35" w:type="dxa"/>
              <w:bottom w:w="25" w:type="dxa"/>
              <w:right w:w="35" w:type="dxa"/>
            </w:tcMar>
            <w:vAlign w:val="center"/>
          </w:tcPr>
          <w:p w14:paraId="67091682" w14:textId="77777777" w:rsidR="006E6158" w:rsidRPr="00687EC2" w:rsidRDefault="00F41EE1" w:rsidP="00687EC2">
            <w:pPr>
              <w:rPr>
                <w:szCs w:val="24"/>
              </w:rPr>
            </w:pPr>
            <w:r w:rsidRPr="00687EC2">
              <w:rPr>
                <w:color w:val="1F2937"/>
                <w:szCs w:val="24"/>
              </w:rPr>
              <w:t>5</w:t>
            </w:r>
          </w:p>
        </w:tc>
        <w:tc>
          <w:tcPr>
            <w:tcW w:w="715" w:type="dxa"/>
            <w:tcMar>
              <w:top w:w="25" w:type="dxa"/>
              <w:left w:w="35" w:type="dxa"/>
              <w:bottom w:w="25" w:type="dxa"/>
              <w:right w:w="35" w:type="dxa"/>
            </w:tcMar>
            <w:vAlign w:val="center"/>
          </w:tcPr>
          <w:p w14:paraId="62B15E01" w14:textId="77777777" w:rsidR="006E6158" w:rsidRPr="00687EC2" w:rsidRDefault="00F41EE1" w:rsidP="00687EC2">
            <w:pPr>
              <w:rPr>
                <w:szCs w:val="24"/>
              </w:rPr>
            </w:pPr>
            <w:r w:rsidRPr="00687EC2">
              <w:rPr>
                <w:color w:val="1F2937"/>
                <w:szCs w:val="24"/>
              </w:rPr>
              <w:t>15</w:t>
            </w:r>
          </w:p>
        </w:tc>
        <w:tc>
          <w:tcPr>
            <w:tcW w:w="3015" w:type="dxa"/>
            <w:tcMar>
              <w:top w:w="25" w:type="dxa"/>
              <w:left w:w="35" w:type="dxa"/>
              <w:bottom w:w="25" w:type="dxa"/>
              <w:right w:w="35" w:type="dxa"/>
            </w:tcMar>
            <w:vAlign w:val="center"/>
          </w:tcPr>
          <w:p w14:paraId="497031F7" w14:textId="77777777" w:rsidR="006E6158" w:rsidRPr="00687EC2" w:rsidRDefault="00F41EE1" w:rsidP="00687EC2">
            <w:pPr>
              <w:rPr>
                <w:szCs w:val="24"/>
              </w:rPr>
            </w:pPr>
            <w:r w:rsidRPr="00687EC2">
              <w:rPr>
                <w:color w:val="1F2937"/>
                <w:szCs w:val="24"/>
              </w:rPr>
              <w:t>CDM controls, segregation, permits, independent audits and drills</w:t>
            </w:r>
          </w:p>
        </w:tc>
        <w:tc>
          <w:tcPr>
            <w:tcW w:w="2174" w:type="dxa"/>
            <w:tcMar>
              <w:top w:w="25" w:type="dxa"/>
              <w:left w:w="35" w:type="dxa"/>
              <w:bottom w:w="25" w:type="dxa"/>
              <w:right w:w="35" w:type="dxa"/>
            </w:tcMar>
            <w:vAlign w:val="center"/>
          </w:tcPr>
          <w:p w14:paraId="7039B641" w14:textId="77777777" w:rsidR="006E6158" w:rsidRPr="00687EC2" w:rsidRDefault="00F41EE1" w:rsidP="00687EC2">
            <w:pPr>
              <w:rPr>
                <w:szCs w:val="24"/>
              </w:rPr>
            </w:pPr>
            <w:r w:rsidRPr="00687EC2">
              <w:rPr>
                <w:color w:val="1F2937"/>
                <w:szCs w:val="24"/>
              </w:rPr>
              <w:t>Safety manager</w:t>
            </w:r>
          </w:p>
        </w:tc>
      </w:tr>
      <w:tr w:rsidR="006E6158" w:rsidRPr="00687EC2" w14:paraId="66781921" w14:textId="77777777" w:rsidTr="009B3D00">
        <w:trPr>
          <w:jc w:val="center"/>
        </w:trPr>
        <w:tc>
          <w:tcPr>
            <w:tcW w:w="430" w:type="dxa"/>
            <w:shd w:val="clear" w:color="auto" w:fill="F4F8FA"/>
            <w:tcMar>
              <w:top w:w="25" w:type="dxa"/>
              <w:left w:w="35" w:type="dxa"/>
              <w:bottom w:w="25" w:type="dxa"/>
              <w:right w:w="35" w:type="dxa"/>
            </w:tcMar>
            <w:vAlign w:val="center"/>
          </w:tcPr>
          <w:p w14:paraId="55DFCA99" w14:textId="77777777" w:rsidR="006E6158" w:rsidRPr="00687EC2" w:rsidRDefault="00F41EE1" w:rsidP="00687EC2">
            <w:pPr>
              <w:rPr>
                <w:szCs w:val="24"/>
              </w:rPr>
            </w:pPr>
            <w:r w:rsidRPr="00687EC2">
              <w:rPr>
                <w:color w:val="1F2937"/>
                <w:szCs w:val="24"/>
              </w:rPr>
              <w:t>R6</w:t>
            </w:r>
          </w:p>
        </w:tc>
        <w:tc>
          <w:tcPr>
            <w:tcW w:w="2450" w:type="dxa"/>
            <w:shd w:val="clear" w:color="auto" w:fill="F4F8FA"/>
            <w:tcMar>
              <w:top w:w="25" w:type="dxa"/>
              <w:left w:w="35" w:type="dxa"/>
              <w:bottom w:w="25" w:type="dxa"/>
              <w:right w:w="35" w:type="dxa"/>
            </w:tcMar>
            <w:vAlign w:val="center"/>
          </w:tcPr>
          <w:p w14:paraId="056C3FE7" w14:textId="77777777" w:rsidR="006E6158" w:rsidRPr="00687EC2" w:rsidRDefault="00F41EE1" w:rsidP="00687EC2">
            <w:pPr>
              <w:rPr>
                <w:szCs w:val="24"/>
              </w:rPr>
            </w:pPr>
            <w:r w:rsidRPr="00687EC2">
              <w:rPr>
                <w:color w:val="1F2937"/>
                <w:szCs w:val="24"/>
              </w:rPr>
              <w:t>Long-lead item or supplier failure</w:t>
            </w:r>
          </w:p>
        </w:tc>
        <w:tc>
          <w:tcPr>
            <w:tcW w:w="360" w:type="dxa"/>
            <w:shd w:val="clear" w:color="auto" w:fill="F4F8FA"/>
            <w:tcMar>
              <w:top w:w="25" w:type="dxa"/>
              <w:left w:w="35" w:type="dxa"/>
              <w:bottom w:w="25" w:type="dxa"/>
              <w:right w:w="35" w:type="dxa"/>
            </w:tcMar>
            <w:vAlign w:val="center"/>
          </w:tcPr>
          <w:p w14:paraId="24DC3F1C" w14:textId="77777777" w:rsidR="006E6158" w:rsidRPr="00687EC2" w:rsidRDefault="00F41EE1" w:rsidP="00687EC2">
            <w:pPr>
              <w:rPr>
                <w:szCs w:val="24"/>
              </w:rPr>
            </w:pPr>
            <w:r w:rsidRPr="00687EC2">
              <w:rPr>
                <w:color w:val="1F2937"/>
                <w:szCs w:val="24"/>
              </w:rPr>
              <w:t>3</w:t>
            </w:r>
          </w:p>
        </w:tc>
        <w:tc>
          <w:tcPr>
            <w:tcW w:w="360" w:type="dxa"/>
            <w:shd w:val="clear" w:color="auto" w:fill="F4F8FA"/>
            <w:tcMar>
              <w:top w:w="25" w:type="dxa"/>
              <w:left w:w="35" w:type="dxa"/>
              <w:bottom w:w="25" w:type="dxa"/>
              <w:right w:w="35" w:type="dxa"/>
            </w:tcMar>
            <w:vAlign w:val="center"/>
          </w:tcPr>
          <w:p w14:paraId="306DE5DF" w14:textId="77777777" w:rsidR="006E6158" w:rsidRPr="00687EC2" w:rsidRDefault="00F41EE1" w:rsidP="00687EC2">
            <w:pPr>
              <w:rPr>
                <w:szCs w:val="24"/>
              </w:rPr>
            </w:pPr>
            <w:r w:rsidRPr="00687EC2">
              <w:rPr>
                <w:color w:val="1F2937"/>
                <w:szCs w:val="24"/>
              </w:rPr>
              <w:t>4</w:t>
            </w:r>
          </w:p>
        </w:tc>
        <w:tc>
          <w:tcPr>
            <w:tcW w:w="715" w:type="dxa"/>
            <w:shd w:val="clear" w:color="auto" w:fill="F4F8FA"/>
            <w:tcMar>
              <w:top w:w="25" w:type="dxa"/>
              <w:left w:w="35" w:type="dxa"/>
              <w:bottom w:w="25" w:type="dxa"/>
              <w:right w:w="35" w:type="dxa"/>
            </w:tcMar>
            <w:vAlign w:val="center"/>
          </w:tcPr>
          <w:p w14:paraId="0318678B" w14:textId="77777777" w:rsidR="006E6158" w:rsidRPr="00687EC2" w:rsidRDefault="00F41EE1" w:rsidP="00687EC2">
            <w:pPr>
              <w:rPr>
                <w:szCs w:val="24"/>
              </w:rPr>
            </w:pPr>
            <w:r w:rsidRPr="00687EC2">
              <w:rPr>
                <w:color w:val="1F2937"/>
                <w:szCs w:val="24"/>
              </w:rPr>
              <w:t>12</w:t>
            </w:r>
          </w:p>
        </w:tc>
        <w:tc>
          <w:tcPr>
            <w:tcW w:w="3015" w:type="dxa"/>
            <w:shd w:val="clear" w:color="auto" w:fill="F4F8FA"/>
            <w:tcMar>
              <w:top w:w="25" w:type="dxa"/>
              <w:left w:w="35" w:type="dxa"/>
              <w:bottom w:w="25" w:type="dxa"/>
              <w:right w:w="35" w:type="dxa"/>
            </w:tcMar>
            <w:vAlign w:val="center"/>
          </w:tcPr>
          <w:p w14:paraId="5A48F691" w14:textId="77777777" w:rsidR="006E6158" w:rsidRPr="00687EC2" w:rsidRDefault="00F41EE1" w:rsidP="00687EC2">
            <w:pPr>
              <w:rPr>
                <w:szCs w:val="24"/>
              </w:rPr>
            </w:pPr>
            <w:r w:rsidRPr="00687EC2">
              <w:rPr>
                <w:color w:val="1F2937"/>
                <w:szCs w:val="24"/>
              </w:rPr>
              <w:t>Early market engagement, dual sourcing and procurement schedule</w:t>
            </w:r>
          </w:p>
        </w:tc>
        <w:tc>
          <w:tcPr>
            <w:tcW w:w="2174" w:type="dxa"/>
            <w:shd w:val="clear" w:color="auto" w:fill="F4F8FA"/>
            <w:tcMar>
              <w:top w:w="25" w:type="dxa"/>
              <w:left w:w="35" w:type="dxa"/>
              <w:bottom w:w="25" w:type="dxa"/>
              <w:right w:w="35" w:type="dxa"/>
            </w:tcMar>
            <w:vAlign w:val="center"/>
          </w:tcPr>
          <w:p w14:paraId="3C2805ED" w14:textId="77777777" w:rsidR="006E6158" w:rsidRPr="00687EC2" w:rsidRDefault="00F41EE1" w:rsidP="00687EC2">
            <w:pPr>
              <w:rPr>
                <w:szCs w:val="24"/>
              </w:rPr>
            </w:pPr>
            <w:r w:rsidRPr="00687EC2">
              <w:rPr>
                <w:color w:val="1F2937"/>
                <w:szCs w:val="24"/>
              </w:rPr>
              <w:t>Commercial manager</w:t>
            </w:r>
          </w:p>
        </w:tc>
      </w:tr>
      <w:tr w:rsidR="006E6158" w:rsidRPr="00687EC2" w14:paraId="6557FC15" w14:textId="77777777" w:rsidTr="009B3D00">
        <w:trPr>
          <w:jc w:val="center"/>
        </w:trPr>
        <w:tc>
          <w:tcPr>
            <w:tcW w:w="430" w:type="dxa"/>
            <w:tcMar>
              <w:top w:w="25" w:type="dxa"/>
              <w:left w:w="35" w:type="dxa"/>
              <w:bottom w:w="25" w:type="dxa"/>
              <w:right w:w="35" w:type="dxa"/>
            </w:tcMar>
            <w:vAlign w:val="center"/>
          </w:tcPr>
          <w:p w14:paraId="2869047F" w14:textId="77777777" w:rsidR="006E6158" w:rsidRPr="00687EC2" w:rsidRDefault="00F41EE1" w:rsidP="00687EC2">
            <w:pPr>
              <w:rPr>
                <w:szCs w:val="24"/>
              </w:rPr>
            </w:pPr>
            <w:r w:rsidRPr="00687EC2">
              <w:rPr>
                <w:color w:val="1F2937"/>
                <w:szCs w:val="24"/>
              </w:rPr>
              <w:t>R7</w:t>
            </w:r>
          </w:p>
        </w:tc>
        <w:tc>
          <w:tcPr>
            <w:tcW w:w="2450" w:type="dxa"/>
            <w:tcMar>
              <w:top w:w="25" w:type="dxa"/>
              <w:left w:w="35" w:type="dxa"/>
              <w:bottom w:w="25" w:type="dxa"/>
              <w:right w:w="35" w:type="dxa"/>
            </w:tcMar>
            <w:vAlign w:val="center"/>
          </w:tcPr>
          <w:p w14:paraId="5FDE3920" w14:textId="77777777" w:rsidR="006E6158" w:rsidRPr="00687EC2" w:rsidRDefault="00F41EE1" w:rsidP="00687EC2">
            <w:pPr>
              <w:rPr>
                <w:szCs w:val="24"/>
              </w:rPr>
            </w:pPr>
            <w:r w:rsidRPr="00687EC2">
              <w:rPr>
                <w:color w:val="1F2937"/>
                <w:szCs w:val="24"/>
              </w:rPr>
              <w:t>Digital systems fail to integrate</w:t>
            </w:r>
          </w:p>
        </w:tc>
        <w:tc>
          <w:tcPr>
            <w:tcW w:w="360" w:type="dxa"/>
            <w:tcMar>
              <w:top w:w="25" w:type="dxa"/>
              <w:left w:w="35" w:type="dxa"/>
              <w:bottom w:w="25" w:type="dxa"/>
              <w:right w:w="35" w:type="dxa"/>
            </w:tcMar>
            <w:vAlign w:val="center"/>
          </w:tcPr>
          <w:p w14:paraId="6B427B48" w14:textId="77777777" w:rsidR="006E6158" w:rsidRPr="00687EC2" w:rsidRDefault="00F41EE1" w:rsidP="00687EC2">
            <w:pPr>
              <w:rPr>
                <w:szCs w:val="24"/>
              </w:rPr>
            </w:pPr>
            <w:r w:rsidRPr="00687EC2">
              <w:rPr>
                <w:color w:val="1F2937"/>
                <w:szCs w:val="24"/>
              </w:rPr>
              <w:t>3</w:t>
            </w:r>
          </w:p>
        </w:tc>
        <w:tc>
          <w:tcPr>
            <w:tcW w:w="360" w:type="dxa"/>
            <w:tcMar>
              <w:top w:w="25" w:type="dxa"/>
              <w:left w:w="35" w:type="dxa"/>
              <w:bottom w:w="25" w:type="dxa"/>
              <w:right w:w="35" w:type="dxa"/>
            </w:tcMar>
            <w:vAlign w:val="center"/>
          </w:tcPr>
          <w:p w14:paraId="70806041" w14:textId="77777777" w:rsidR="006E6158" w:rsidRPr="00687EC2" w:rsidRDefault="00F41EE1" w:rsidP="00687EC2">
            <w:pPr>
              <w:rPr>
                <w:szCs w:val="24"/>
              </w:rPr>
            </w:pPr>
            <w:r w:rsidRPr="00687EC2">
              <w:rPr>
                <w:color w:val="1F2937"/>
                <w:szCs w:val="24"/>
              </w:rPr>
              <w:t>4</w:t>
            </w:r>
          </w:p>
        </w:tc>
        <w:tc>
          <w:tcPr>
            <w:tcW w:w="715" w:type="dxa"/>
            <w:tcMar>
              <w:top w:w="25" w:type="dxa"/>
              <w:left w:w="35" w:type="dxa"/>
              <w:bottom w:w="25" w:type="dxa"/>
              <w:right w:w="35" w:type="dxa"/>
            </w:tcMar>
            <w:vAlign w:val="center"/>
          </w:tcPr>
          <w:p w14:paraId="07F99B6C" w14:textId="77777777" w:rsidR="006E6158" w:rsidRPr="00687EC2" w:rsidRDefault="00F41EE1" w:rsidP="00687EC2">
            <w:pPr>
              <w:rPr>
                <w:szCs w:val="24"/>
              </w:rPr>
            </w:pPr>
            <w:r w:rsidRPr="00687EC2">
              <w:rPr>
                <w:color w:val="1F2937"/>
                <w:szCs w:val="24"/>
              </w:rPr>
              <w:t>12</w:t>
            </w:r>
          </w:p>
        </w:tc>
        <w:tc>
          <w:tcPr>
            <w:tcW w:w="3015" w:type="dxa"/>
            <w:tcMar>
              <w:top w:w="25" w:type="dxa"/>
              <w:left w:w="35" w:type="dxa"/>
              <w:bottom w:w="25" w:type="dxa"/>
              <w:right w:w="35" w:type="dxa"/>
            </w:tcMar>
            <w:vAlign w:val="center"/>
          </w:tcPr>
          <w:p w14:paraId="0DCC30D0" w14:textId="77777777" w:rsidR="006E6158" w:rsidRPr="00687EC2" w:rsidRDefault="00F41EE1" w:rsidP="00687EC2">
            <w:pPr>
              <w:rPr>
                <w:szCs w:val="24"/>
              </w:rPr>
            </w:pPr>
            <w:r w:rsidRPr="00687EC2">
              <w:rPr>
                <w:color w:val="1F2937"/>
                <w:szCs w:val="24"/>
              </w:rPr>
              <w:t>Interface control, sandbox testing and staged user acceptance</w:t>
            </w:r>
          </w:p>
        </w:tc>
        <w:tc>
          <w:tcPr>
            <w:tcW w:w="2174" w:type="dxa"/>
            <w:tcMar>
              <w:top w:w="25" w:type="dxa"/>
              <w:left w:w="35" w:type="dxa"/>
              <w:bottom w:w="25" w:type="dxa"/>
              <w:right w:w="35" w:type="dxa"/>
            </w:tcMar>
            <w:vAlign w:val="center"/>
          </w:tcPr>
          <w:p w14:paraId="6D796657" w14:textId="77777777" w:rsidR="006E6158" w:rsidRPr="00687EC2" w:rsidRDefault="00F41EE1" w:rsidP="00687EC2">
            <w:pPr>
              <w:rPr>
                <w:szCs w:val="24"/>
              </w:rPr>
            </w:pPr>
            <w:r w:rsidRPr="00687EC2">
              <w:rPr>
                <w:color w:val="1F2937"/>
                <w:szCs w:val="24"/>
              </w:rPr>
              <w:t>Digital lead</w:t>
            </w:r>
          </w:p>
        </w:tc>
      </w:tr>
      <w:tr w:rsidR="006E6158" w:rsidRPr="00687EC2" w14:paraId="6B4B0856" w14:textId="77777777" w:rsidTr="009B3D00">
        <w:trPr>
          <w:jc w:val="center"/>
        </w:trPr>
        <w:tc>
          <w:tcPr>
            <w:tcW w:w="430" w:type="dxa"/>
            <w:shd w:val="clear" w:color="auto" w:fill="F4F8FA"/>
            <w:tcMar>
              <w:top w:w="25" w:type="dxa"/>
              <w:left w:w="35" w:type="dxa"/>
              <w:bottom w:w="25" w:type="dxa"/>
              <w:right w:w="35" w:type="dxa"/>
            </w:tcMar>
            <w:vAlign w:val="center"/>
          </w:tcPr>
          <w:p w14:paraId="7B6EA1CB" w14:textId="77777777" w:rsidR="006E6158" w:rsidRPr="00687EC2" w:rsidRDefault="00F41EE1" w:rsidP="00687EC2">
            <w:pPr>
              <w:rPr>
                <w:szCs w:val="24"/>
              </w:rPr>
            </w:pPr>
            <w:r w:rsidRPr="00687EC2">
              <w:rPr>
                <w:color w:val="1F2937"/>
                <w:szCs w:val="24"/>
              </w:rPr>
              <w:t>R8</w:t>
            </w:r>
          </w:p>
        </w:tc>
        <w:tc>
          <w:tcPr>
            <w:tcW w:w="2450" w:type="dxa"/>
            <w:shd w:val="clear" w:color="auto" w:fill="F4F8FA"/>
            <w:tcMar>
              <w:top w:w="25" w:type="dxa"/>
              <w:left w:w="35" w:type="dxa"/>
              <w:bottom w:w="25" w:type="dxa"/>
              <w:right w:w="35" w:type="dxa"/>
            </w:tcMar>
            <w:vAlign w:val="center"/>
          </w:tcPr>
          <w:p w14:paraId="5E41E5BA" w14:textId="77777777" w:rsidR="006E6158" w:rsidRPr="00687EC2" w:rsidRDefault="00F41EE1" w:rsidP="00687EC2">
            <w:pPr>
              <w:rPr>
                <w:szCs w:val="24"/>
              </w:rPr>
            </w:pPr>
            <w:r w:rsidRPr="00687EC2">
              <w:rPr>
                <w:color w:val="1F2937"/>
                <w:szCs w:val="24"/>
              </w:rPr>
              <w:t>Accessibility or community requirements are missed</w:t>
            </w:r>
          </w:p>
        </w:tc>
        <w:tc>
          <w:tcPr>
            <w:tcW w:w="360" w:type="dxa"/>
            <w:shd w:val="clear" w:color="auto" w:fill="F4F8FA"/>
            <w:tcMar>
              <w:top w:w="25" w:type="dxa"/>
              <w:left w:w="35" w:type="dxa"/>
              <w:bottom w:w="25" w:type="dxa"/>
              <w:right w:w="35" w:type="dxa"/>
            </w:tcMar>
            <w:vAlign w:val="center"/>
          </w:tcPr>
          <w:p w14:paraId="2116E983" w14:textId="77777777" w:rsidR="006E6158" w:rsidRPr="00687EC2" w:rsidRDefault="00F41EE1" w:rsidP="00687EC2">
            <w:pPr>
              <w:rPr>
                <w:szCs w:val="24"/>
              </w:rPr>
            </w:pPr>
            <w:r w:rsidRPr="00687EC2">
              <w:rPr>
                <w:color w:val="1F2937"/>
                <w:szCs w:val="24"/>
              </w:rPr>
              <w:t>3</w:t>
            </w:r>
          </w:p>
        </w:tc>
        <w:tc>
          <w:tcPr>
            <w:tcW w:w="360" w:type="dxa"/>
            <w:shd w:val="clear" w:color="auto" w:fill="F4F8FA"/>
            <w:tcMar>
              <w:top w:w="25" w:type="dxa"/>
              <w:left w:w="35" w:type="dxa"/>
              <w:bottom w:w="25" w:type="dxa"/>
              <w:right w:w="35" w:type="dxa"/>
            </w:tcMar>
            <w:vAlign w:val="center"/>
          </w:tcPr>
          <w:p w14:paraId="0709115F" w14:textId="77777777" w:rsidR="006E6158" w:rsidRPr="00687EC2" w:rsidRDefault="00F41EE1" w:rsidP="00687EC2">
            <w:pPr>
              <w:rPr>
                <w:szCs w:val="24"/>
              </w:rPr>
            </w:pPr>
            <w:r w:rsidRPr="00687EC2">
              <w:rPr>
                <w:color w:val="1F2937"/>
                <w:szCs w:val="24"/>
              </w:rPr>
              <w:t>4</w:t>
            </w:r>
          </w:p>
        </w:tc>
        <w:tc>
          <w:tcPr>
            <w:tcW w:w="715" w:type="dxa"/>
            <w:shd w:val="clear" w:color="auto" w:fill="F4F8FA"/>
            <w:tcMar>
              <w:top w:w="25" w:type="dxa"/>
              <w:left w:w="35" w:type="dxa"/>
              <w:bottom w:w="25" w:type="dxa"/>
              <w:right w:w="35" w:type="dxa"/>
            </w:tcMar>
            <w:vAlign w:val="center"/>
          </w:tcPr>
          <w:p w14:paraId="01EC27A2" w14:textId="77777777" w:rsidR="006E6158" w:rsidRPr="00687EC2" w:rsidRDefault="00F41EE1" w:rsidP="00687EC2">
            <w:pPr>
              <w:rPr>
                <w:szCs w:val="24"/>
              </w:rPr>
            </w:pPr>
            <w:r w:rsidRPr="00687EC2">
              <w:rPr>
                <w:color w:val="1F2937"/>
                <w:szCs w:val="24"/>
              </w:rPr>
              <w:t>12</w:t>
            </w:r>
          </w:p>
        </w:tc>
        <w:tc>
          <w:tcPr>
            <w:tcW w:w="3015" w:type="dxa"/>
            <w:shd w:val="clear" w:color="auto" w:fill="F4F8FA"/>
            <w:tcMar>
              <w:top w:w="25" w:type="dxa"/>
              <w:left w:w="35" w:type="dxa"/>
              <w:bottom w:w="25" w:type="dxa"/>
              <w:right w:w="35" w:type="dxa"/>
            </w:tcMar>
            <w:vAlign w:val="center"/>
          </w:tcPr>
          <w:p w14:paraId="5BB91537" w14:textId="77777777" w:rsidR="006E6158" w:rsidRPr="00687EC2" w:rsidRDefault="00F41EE1" w:rsidP="00687EC2">
            <w:pPr>
              <w:rPr>
                <w:szCs w:val="24"/>
              </w:rPr>
            </w:pPr>
            <w:r w:rsidRPr="00687EC2">
              <w:rPr>
                <w:color w:val="1F2937"/>
                <w:szCs w:val="24"/>
              </w:rPr>
              <w:t>Co-design, prototype reviews, grievance log and operational trials</w:t>
            </w:r>
          </w:p>
        </w:tc>
        <w:tc>
          <w:tcPr>
            <w:tcW w:w="2174" w:type="dxa"/>
            <w:shd w:val="clear" w:color="auto" w:fill="F4F8FA"/>
            <w:tcMar>
              <w:top w:w="25" w:type="dxa"/>
              <w:left w:w="35" w:type="dxa"/>
              <w:bottom w:w="25" w:type="dxa"/>
              <w:right w:w="35" w:type="dxa"/>
            </w:tcMar>
            <w:vAlign w:val="center"/>
          </w:tcPr>
          <w:p w14:paraId="666FD4FE" w14:textId="77777777" w:rsidR="006E6158" w:rsidRPr="00687EC2" w:rsidRDefault="00F41EE1" w:rsidP="00687EC2">
            <w:pPr>
              <w:rPr>
                <w:szCs w:val="24"/>
              </w:rPr>
            </w:pPr>
            <w:r w:rsidRPr="00687EC2">
              <w:rPr>
                <w:color w:val="1F2937"/>
                <w:szCs w:val="24"/>
              </w:rPr>
              <w:t>Stakeholder lead</w:t>
            </w:r>
          </w:p>
        </w:tc>
      </w:tr>
      <w:tr w:rsidR="006E6158" w:rsidRPr="00687EC2" w14:paraId="3B2A29E7" w14:textId="77777777" w:rsidTr="009B3D00">
        <w:trPr>
          <w:jc w:val="center"/>
        </w:trPr>
        <w:tc>
          <w:tcPr>
            <w:tcW w:w="430" w:type="dxa"/>
            <w:tcMar>
              <w:top w:w="25" w:type="dxa"/>
              <w:left w:w="35" w:type="dxa"/>
              <w:bottom w:w="25" w:type="dxa"/>
              <w:right w:w="35" w:type="dxa"/>
            </w:tcMar>
            <w:vAlign w:val="center"/>
          </w:tcPr>
          <w:p w14:paraId="388BB2F2" w14:textId="77777777" w:rsidR="006E6158" w:rsidRPr="00687EC2" w:rsidRDefault="00F41EE1" w:rsidP="00687EC2">
            <w:pPr>
              <w:rPr>
                <w:szCs w:val="24"/>
              </w:rPr>
            </w:pPr>
            <w:r w:rsidRPr="00687EC2">
              <w:rPr>
                <w:color w:val="1F2937"/>
                <w:szCs w:val="24"/>
              </w:rPr>
              <w:t>R9</w:t>
            </w:r>
          </w:p>
        </w:tc>
        <w:tc>
          <w:tcPr>
            <w:tcW w:w="2450" w:type="dxa"/>
            <w:tcMar>
              <w:top w:w="25" w:type="dxa"/>
              <w:left w:w="35" w:type="dxa"/>
              <w:bottom w:w="25" w:type="dxa"/>
              <w:right w:w="35" w:type="dxa"/>
            </w:tcMar>
            <w:vAlign w:val="center"/>
          </w:tcPr>
          <w:p w14:paraId="625CB060" w14:textId="77777777" w:rsidR="006E6158" w:rsidRPr="00687EC2" w:rsidRDefault="00F41EE1" w:rsidP="00687EC2">
            <w:pPr>
              <w:rPr>
                <w:szCs w:val="24"/>
              </w:rPr>
            </w:pPr>
            <w:r w:rsidRPr="00687EC2">
              <w:rPr>
                <w:color w:val="1F2937"/>
                <w:szCs w:val="24"/>
              </w:rPr>
              <w:t>Carbon and waste targets are not achieved</w:t>
            </w:r>
          </w:p>
        </w:tc>
        <w:tc>
          <w:tcPr>
            <w:tcW w:w="360" w:type="dxa"/>
            <w:tcMar>
              <w:top w:w="25" w:type="dxa"/>
              <w:left w:w="35" w:type="dxa"/>
              <w:bottom w:w="25" w:type="dxa"/>
              <w:right w:w="35" w:type="dxa"/>
            </w:tcMar>
            <w:vAlign w:val="center"/>
          </w:tcPr>
          <w:p w14:paraId="18E73123" w14:textId="77777777" w:rsidR="006E6158" w:rsidRPr="00687EC2" w:rsidRDefault="00F41EE1" w:rsidP="00687EC2">
            <w:pPr>
              <w:rPr>
                <w:szCs w:val="24"/>
              </w:rPr>
            </w:pPr>
            <w:r w:rsidRPr="00687EC2">
              <w:rPr>
                <w:color w:val="1F2937"/>
                <w:szCs w:val="24"/>
              </w:rPr>
              <w:t>3</w:t>
            </w:r>
          </w:p>
        </w:tc>
        <w:tc>
          <w:tcPr>
            <w:tcW w:w="360" w:type="dxa"/>
            <w:tcMar>
              <w:top w:w="25" w:type="dxa"/>
              <w:left w:w="35" w:type="dxa"/>
              <w:bottom w:w="25" w:type="dxa"/>
              <w:right w:w="35" w:type="dxa"/>
            </w:tcMar>
            <w:vAlign w:val="center"/>
          </w:tcPr>
          <w:p w14:paraId="7854D285" w14:textId="77777777" w:rsidR="006E6158" w:rsidRPr="00687EC2" w:rsidRDefault="00F41EE1" w:rsidP="00687EC2">
            <w:pPr>
              <w:rPr>
                <w:szCs w:val="24"/>
              </w:rPr>
            </w:pPr>
            <w:r w:rsidRPr="00687EC2">
              <w:rPr>
                <w:color w:val="1F2937"/>
                <w:szCs w:val="24"/>
              </w:rPr>
              <w:t>3</w:t>
            </w:r>
          </w:p>
        </w:tc>
        <w:tc>
          <w:tcPr>
            <w:tcW w:w="715" w:type="dxa"/>
            <w:tcMar>
              <w:top w:w="25" w:type="dxa"/>
              <w:left w:w="35" w:type="dxa"/>
              <w:bottom w:w="25" w:type="dxa"/>
              <w:right w:w="35" w:type="dxa"/>
            </w:tcMar>
            <w:vAlign w:val="center"/>
          </w:tcPr>
          <w:p w14:paraId="691D2B1B" w14:textId="77777777" w:rsidR="006E6158" w:rsidRPr="00687EC2" w:rsidRDefault="00F41EE1" w:rsidP="00687EC2">
            <w:pPr>
              <w:rPr>
                <w:szCs w:val="24"/>
              </w:rPr>
            </w:pPr>
            <w:r w:rsidRPr="00687EC2">
              <w:rPr>
                <w:color w:val="1F2937"/>
                <w:szCs w:val="24"/>
              </w:rPr>
              <w:t>9</w:t>
            </w:r>
          </w:p>
        </w:tc>
        <w:tc>
          <w:tcPr>
            <w:tcW w:w="3015" w:type="dxa"/>
            <w:tcMar>
              <w:top w:w="25" w:type="dxa"/>
              <w:left w:w="35" w:type="dxa"/>
              <w:bottom w:w="25" w:type="dxa"/>
              <w:right w:w="35" w:type="dxa"/>
            </w:tcMar>
            <w:vAlign w:val="center"/>
          </w:tcPr>
          <w:p w14:paraId="1F0B8F24" w14:textId="77777777" w:rsidR="006E6158" w:rsidRPr="00687EC2" w:rsidRDefault="00F41EE1" w:rsidP="00687EC2">
            <w:pPr>
              <w:rPr>
                <w:szCs w:val="24"/>
              </w:rPr>
            </w:pPr>
            <w:r w:rsidRPr="00687EC2">
              <w:rPr>
                <w:color w:val="1F2937"/>
                <w:szCs w:val="24"/>
              </w:rPr>
              <w:t>Carbon budget, responsible materials, waste tracking and design reviews</w:t>
            </w:r>
          </w:p>
        </w:tc>
        <w:tc>
          <w:tcPr>
            <w:tcW w:w="2174" w:type="dxa"/>
            <w:tcMar>
              <w:top w:w="25" w:type="dxa"/>
              <w:left w:w="35" w:type="dxa"/>
              <w:bottom w:w="25" w:type="dxa"/>
              <w:right w:w="35" w:type="dxa"/>
            </w:tcMar>
            <w:vAlign w:val="center"/>
          </w:tcPr>
          <w:p w14:paraId="197F13E0" w14:textId="77777777" w:rsidR="006E6158" w:rsidRPr="00687EC2" w:rsidRDefault="00F41EE1" w:rsidP="00687EC2">
            <w:pPr>
              <w:rPr>
                <w:szCs w:val="24"/>
              </w:rPr>
            </w:pPr>
            <w:r w:rsidRPr="00687EC2">
              <w:rPr>
                <w:color w:val="1F2937"/>
                <w:szCs w:val="24"/>
              </w:rPr>
              <w:t>Sustainability lead</w:t>
            </w:r>
          </w:p>
        </w:tc>
      </w:tr>
      <w:tr w:rsidR="006E6158" w:rsidRPr="00687EC2" w14:paraId="673741FC" w14:textId="77777777" w:rsidTr="009B3D00">
        <w:trPr>
          <w:jc w:val="center"/>
        </w:trPr>
        <w:tc>
          <w:tcPr>
            <w:tcW w:w="430" w:type="dxa"/>
            <w:shd w:val="clear" w:color="auto" w:fill="F4F8FA"/>
            <w:tcMar>
              <w:top w:w="25" w:type="dxa"/>
              <w:left w:w="35" w:type="dxa"/>
              <w:bottom w:w="25" w:type="dxa"/>
              <w:right w:w="35" w:type="dxa"/>
            </w:tcMar>
            <w:vAlign w:val="center"/>
          </w:tcPr>
          <w:p w14:paraId="5B965F3A" w14:textId="77777777" w:rsidR="006E6158" w:rsidRPr="00687EC2" w:rsidRDefault="00F41EE1" w:rsidP="00687EC2">
            <w:pPr>
              <w:rPr>
                <w:szCs w:val="24"/>
              </w:rPr>
            </w:pPr>
            <w:r w:rsidRPr="00687EC2">
              <w:rPr>
                <w:color w:val="1F2937"/>
                <w:szCs w:val="24"/>
              </w:rPr>
              <w:t>R10</w:t>
            </w:r>
          </w:p>
        </w:tc>
        <w:tc>
          <w:tcPr>
            <w:tcW w:w="2450" w:type="dxa"/>
            <w:shd w:val="clear" w:color="auto" w:fill="F4F8FA"/>
            <w:tcMar>
              <w:top w:w="25" w:type="dxa"/>
              <w:left w:w="35" w:type="dxa"/>
              <w:bottom w:w="25" w:type="dxa"/>
              <w:right w:w="35" w:type="dxa"/>
            </w:tcMar>
            <w:vAlign w:val="center"/>
          </w:tcPr>
          <w:p w14:paraId="32D02BE2" w14:textId="77777777" w:rsidR="006E6158" w:rsidRPr="00687EC2" w:rsidRDefault="00F41EE1" w:rsidP="00687EC2">
            <w:pPr>
              <w:rPr>
                <w:szCs w:val="24"/>
              </w:rPr>
            </w:pPr>
            <w:r w:rsidRPr="00687EC2">
              <w:rPr>
                <w:color w:val="1F2937"/>
                <w:szCs w:val="24"/>
              </w:rPr>
              <w:t xml:space="preserve">Funding shortfall or political </w:t>
            </w:r>
            <w:proofErr w:type="spellStart"/>
            <w:r w:rsidRPr="00687EC2">
              <w:rPr>
                <w:color w:val="1F2937"/>
                <w:szCs w:val="24"/>
              </w:rPr>
              <w:t>reprioritisation</w:t>
            </w:r>
            <w:proofErr w:type="spellEnd"/>
          </w:p>
        </w:tc>
        <w:tc>
          <w:tcPr>
            <w:tcW w:w="360" w:type="dxa"/>
            <w:shd w:val="clear" w:color="auto" w:fill="F4F8FA"/>
            <w:tcMar>
              <w:top w:w="25" w:type="dxa"/>
              <w:left w:w="35" w:type="dxa"/>
              <w:bottom w:w="25" w:type="dxa"/>
              <w:right w:w="35" w:type="dxa"/>
            </w:tcMar>
            <w:vAlign w:val="center"/>
          </w:tcPr>
          <w:p w14:paraId="77304195" w14:textId="77777777" w:rsidR="006E6158" w:rsidRPr="00687EC2" w:rsidRDefault="00F41EE1" w:rsidP="00687EC2">
            <w:pPr>
              <w:rPr>
                <w:szCs w:val="24"/>
              </w:rPr>
            </w:pPr>
            <w:r w:rsidRPr="00687EC2">
              <w:rPr>
                <w:color w:val="1F2937"/>
                <w:szCs w:val="24"/>
              </w:rPr>
              <w:t>2</w:t>
            </w:r>
          </w:p>
        </w:tc>
        <w:tc>
          <w:tcPr>
            <w:tcW w:w="360" w:type="dxa"/>
            <w:shd w:val="clear" w:color="auto" w:fill="F4F8FA"/>
            <w:tcMar>
              <w:top w:w="25" w:type="dxa"/>
              <w:left w:w="35" w:type="dxa"/>
              <w:bottom w:w="25" w:type="dxa"/>
              <w:right w:w="35" w:type="dxa"/>
            </w:tcMar>
            <w:vAlign w:val="center"/>
          </w:tcPr>
          <w:p w14:paraId="1150F215" w14:textId="77777777" w:rsidR="006E6158" w:rsidRPr="00687EC2" w:rsidRDefault="00F41EE1" w:rsidP="00687EC2">
            <w:pPr>
              <w:rPr>
                <w:szCs w:val="24"/>
              </w:rPr>
            </w:pPr>
            <w:r w:rsidRPr="00687EC2">
              <w:rPr>
                <w:color w:val="1F2937"/>
                <w:szCs w:val="24"/>
              </w:rPr>
              <w:t>5</w:t>
            </w:r>
          </w:p>
        </w:tc>
        <w:tc>
          <w:tcPr>
            <w:tcW w:w="715" w:type="dxa"/>
            <w:shd w:val="clear" w:color="auto" w:fill="F4F8FA"/>
            <w:tcMar>
              <w:top w:w="25" w:type="dxa"/>
              <w:left w:w="35" w:type="dxa"/>
              <w:bottom w:w="25" w:type="dxa"/>
              <w:right w:w="35" w:type="dxa"/>
            </w:tcMar>
            <w:vAlign w:val="center"/>
          </w:tcPr>
          <w:p w14:paraId="6963DA55" w14:textId="77777777" w:rsidR="006E6158" w:rsidRPr="00687EC2" w:rsidRDefault="00F41EE1" w:rsidP="00687EC2">
            <w:pPr>
              <w:rPr>
                <w:szCs w:val="24"/>
              </w:rPr>
            </w:pPr>
            <w:r w:rsidRPr="00687EC2">
              <w:rPr>
                <w:color w:val="1F2937"/>
                <w:szCs w:val="24"/>
              </w:rPr>
              <w:t>10</w:t>
            </w:r>
          </w:p>
        </w:tc>
        <w:tc>
          <w:tcPr>
            <w:tcW w:w="3015" w:type="dxa"/>
            <w:shd w:val="clear" w:color="auto" w:fill="F4F8FA"/>
            <w:tcMar>
              <w:top w:w="25" w:type="dxa"/>
              <w:left w:w="35" w:type="dxa"/>
              <w:bottom w:w="25" w:type="dxa"/>
              <w:right w:w="35" w:type="dxa"/>
            </w:tcMar>
            <w:vAlign w:val="center"/>
          </w:tcPr>
          <w:p w14:paraId="36BBCC64" w14:textId="77777777" w:rsidR="006E6158" w:rsidRPr="00687EC2" w:rsidRDefault="00F41EE1" w:rsidP="00687EC2">
            <w:pPr>
              <w:rPr>
                <w:szCs w:val="24"/>
              </w:rPr>
            </w:pPr>
            <w:r w:rsidRPr="00687EC2">
              <w:rPr>
                <w:color w:val="1F2937"/>
                <w:szCs w:val="24"/>
              </w:rPr>
              <w:t xml:space="preserve">Staged agreements, gate-linked approvals and scope </w:t>
            </w:r>
            <w:proofErr w:type="spellStart"/>
            <w:r w:rsidRPr="00687EC2">
              <w:rPr>
                <w:color w:val="1F2937"/>
                <w:szCs w:val="24"/>
              </w:rPr>
              <w:t>prioritisation</w:t>
            </w:r>
            <w:proofErr w:type="spellEnd"/>
          </w:p>
        </w:tc>
        <w:tc>
          <w:tcPr>
            <w:tcW w:w="2174" w:type="dxa"/>
            <w:shd w:val="clear" w:color="auto" w:fill="F4F8FA"/>
            <w:tcMar>
              <w:top w:w="25" w:type="dxa"/>
              <w:left w:w="35" w:type="dxa"/>
              <w:bottom w:w="25" w:type="dxa"/>
              <w:right w:w="35" w:type="dxa"/>
            </w:tcMar>
            <w:vAlign w:val="center"/>
          </w:tcPr>
          <w:p w14:paraId="5D9CE62D" w14:textId="77777777" w:rsidR="006E6158" w:rsidRPr="00687EC2" w:rsidRDefault="00F41EE1" w:rsidP="00687EC2">
            <w:pPr>
              <w:rPr>
                <w:szCs w:val="24"/>
              </w:rPr>
            </w:pPr>
            <w:r w:rsidRPr="00687EC2">
              <w:rPr>
                <w:color w:val="1F2937"/>
                <w:szCs w:val="24"/>
              </w:rPr>
              <w:t>SRO</w:t>
            </w:r>
          </w:p>
        </w:tc>
      </w:tr>
    </w:tbl>
    <w:p w14:paraId="78743190" w14:textId="77777777" w:rsidR="008A419A" w:rsidRDefault="008A419A" w:rsidP="008A419A">
      <w:pPr>
        <w:pStyle w:val="ReportCaption"/>
        <w:spacing w:before="0" w:after="0" w:line="360" w:lineRule="auto"/>
        <w:rPr>
          <w:rFonts w:ascii="Corbel" w:hAnsi="Corbel"/>
          <w:sz w:val="24"/>
          <w:szCs w:val="24"/>
        </w:rPr>
      </w:pPr>
      <w:r w:rsidRPr="008A419A">
        <w:rPr>
          <w:rFonts w:ascii="Corbel" w:hAnsi="Corbel"/>
          <w:sz w:val="24"/>
          <w:szCs w:val="24"/>
        </w:rPr>
        <w:t xml:space="preserve">Table 5: Principal project risk register </w:t>
      </w:r>
    </w:p>
    <w:p w14:paraId="2806EA6B" w14:textId="6F67B413" w:rsidR="008A419A" w:rsidRPr="008A419A" w:rsidRDefault="008A419A" w:rsidP="008A419A">
      <w:pPr>
        <w:pStyle w:val="ReportCaption"/>
        <w:spacing w:before="0" w:after="0" w:line="360" w:lineRule="auto"/>
        <w:rPr>
          <w:rFonts w:ascii="Corbel" w:hAnsi="Corbel"/>
          <w:sz w:val="24"/>
          <w:szCs w:val="24"/>
        </w:rPr>
      </w:pPr>
      <w:r w:rsidRPr="008A419A">
        <w:rPr>
          <w:rFonts w:ascii="Corbel" w:hAnsi="Corbel"/>
          <w:sz w:val="24"/>
          <w:szCs w:val="24"/>
        </w:rPr>
        <w:t>Source: Author</w:t>
      </w:r>
    </w:p>
    <w:p w14:paraId="4DEB4121" w14:textId="0107EC75" w:rsidR="006E6158" w:rsidRPr="00687EC2" w:rsidRDefault="00F41EE1" w:rsidP="00687EC2">
      <w:pPr>
        <w:keepNext/>
        <w:pageBreakBefore/>
        <w:jc w:val="center"/>
        <w:rPr>
          <w:szCs w:val="24"/>
        </w:rPr>
      </w:pPr>
      <w:r w:rsidRPr="00687EC2">
        <w:rPr>
          <w:noProof/>
          <w:szCs w:val="24"/>
        </w:rPr>
        <w:lastRenderedPageBreak/>
        <w:drawing>
          <wp:inline distT="0" distB="0" distL="0" distR="0" wp14:anchorId="665ABDB1" wp14:editId="422C1401">
            <wp:extent cx="5852160" cy="42617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1_risk_heatmap.png"/>
                    <pic:cNvPicPr/>
                  </pic:nvPicPr>
                  <pic:blipFill>
                    <a:blip r:embed="rId25"/>
                    <a:stretch>
                      <a:fillRect/>
                    </a:stretch>
                  </pic:blipFill>
                  <pic:spPr>
                    <a:xfrm>
                      <a:off x="0" y="0"/>
                      <a:ext cx="5852160" cy="4261749"/>
                    </a:xfrm>
                    <a:prstGeom prst="rect">
                      <a:avLst/>
                    </a:prstGeom>
                  </pic:spPr>
                </pic:pic>
              </a:graphicData>
            </a:graphic>
          </wp:inline>
        </w:drawing>
      </w:r>
    </w:p>
    <w:p w14:paraId="0201A2DC" w14:textId="77777777" w:rsidR="008A419A" w:rsidRDefault="00F41EE1" w:rsidP="00687EC2">
      <w:pPr>
        <w:pStyle w:val="ReportCaption"/>
        <w:keepNext w:val="0"/>
        <w:spacing w:before="0" w:after="0" w:line="360" w:lineRule="auto"/>
        <w:rPr>
          <w:rFonts w:ascii="Corbel" w:hAnsi="Corbel"/>
          <w:sz w:val="24"/>
          <w:szCs w:val="24"/>
        </w:rPr>
      </w:pPr>
      <w:r w:rsidRPr="00687EC2">
        <w:rPr>
          <w:rFonts w:ascii="Corbel" w:hAnsi="Corbel"/>
          <w:sz w:val="24"/>
          <w:szCs w:val="24"/>
        </w:rPr>
        <w:t xml:space="preserve">Figure 11: Inherent risk heat map before planned responses. </w:t>
      </w:r>
    </w:p>
    <w:p w14:paraId="552E6DFF" w14:textId="1C9E5A79" w:rsidR="006E6158" w:rsidRPr="00687EC2" w:rsidRDefault="00F41EE1" w:rsidP="00687EC2">
      <w:pPr>
        <w:pStyle w:val="ReportCaption"/>
        <w:keepNext w:val="0"/>
        <w:spacing w:before="0" w:after="0" w:line="360" w:lineRule="auto"/>
        <w:rPr>
          <w:rFonts w:ascii="Corbel" w:hAnsi="Corbel"/>
          <w:sz w:val="24"/>
          <w:szCs w:val="24"/>
        </w:rPr>
      </w:pPr>
      <w:r w:rsidRPr="00687EC2">
        <w:rPr>
          <w:rFonts w:ascii="Corbel" w:hAnsi="Corbel"/>
          <w:sz w:val="24"/>
          <w:szCs w:val="24"/>
        </w:rPr>
        <w:t>Source: Author.</w:t>
      </w:r>
    </w:p>
    <w:p w14:paraId="713EB5C3" w14:textId="77777777" w:rsidR="006E6158" w:rsidRPr="00687EC2" w:rsidRDefault="00F41EE1" w:rsidP="008A419A">
      <w:pPr>
        <w:pStyle w:val="Heading2"/>
      </w:pPr>
      <w:bookmarkStart w:id="15" w:name="_Toc235810318"/>
      <w:r w:rsidRPr="00687EC2">
        <w:t>10. Conclusion</w:t>
      </w:r>
      <w:bookmarkEnd w:id="15"/>
    </w:p>
    <w:p w14:paraId="722F1FD2" w14:textId="77777777" w:rsidR="00687EC2" w:rsidRPr="00687EC2" w:rsidRDefault="00687EC2" w:rsidP="00687EC2">
      <w:pPr>
        <w:rPr>
          <w:szCs w:val="24"/>
        </w:rPr>
      </w:pPr>
      <w:r w:rsidRPr="00687EC2">
        <w:rPr>
          <w:szCs w:val="24"/>
        </w:rPr>
        <w:t>The redevelopment plan is the process of developing the Part A proposal into a comprehensive, viable and practical delivery baseline. A hybrid lifecycle offers safety-critical construction with predictable control, and iterative learning for digital systems. The WBS, the quad chart and the Gantt chart make deliverables, decisions and timing visible, and the stakeholder governance, allocation of resources and controls of risks make accountability visible. The budget of £650m and funding mix is in direct response to the feedback received but is subject to change until surveys and design and market evidence is complete. Disciplined phase gates, change and contingency control that are transparent, and meaningful accessibility engagement and early management of interfaces are key to success. This will allow for the project to restore transport capacity by Month 30, whilst maintaining safety, value for money, inclusion and long-term environmental performance.</w:t>
      </w:r>
    </w:p>
    <w:p w14:paraId="7C4885E1" w14:textId="77777777" w:rsidR="006E6158" w:rsidRPr="00687EC2" w:rsidRDefault="00F41EE1" w:rsidP="00687EC2">
      <w:pPr>
        <w:rPr>
          <w:szCs w:val="24"/>
        </w:rPr>
      </w:pPr>
      <w:r w:rsidRPr="00687EC2">
        <w:rPr>
          <w:szCs w:val="24"/>
        </w:rPr>
        <w:br w:type="page"/>
      </w:r>
    </w:p>
    <w:p w14:paraId="0544FBFB" w14:textId="77777777" w:rsidR="006E6158" w:rsidRPr="00687EC2" w:rsidRDefault="00F41EE1" w:rsidP="008A419A">
      <w:pPr>
        <w:pStyle w:val="Heading1"/>
      </w:pPr>
      <w:bookmarkStart w:id="16" w:name="_Toc235810319"/>
      <w:r w:rsidRPr="00687EC2">
        <w:lastRenderedPageBreak/>
        <w:t>References</w:t>
      </w:r>
      <w:bookmarkEnd w:id="16"/>
    </w:p>
    <w:p w14:paraId="42838DBF" w14:textId="77777777" w:rsidR="006E6158" w:rsidRPr="00687EC2" w:rsidRDefault="00F41EE1" w:rsidP="008A419A">
      <w:r w:rsidRPr="00687EC2">
        <w:t xml:space="preserve">Association for Project Management (2019) </w:t>
      </w:r>
      <w:r w:rsidRPr="00687EC2">
        <w:rPr>
          <w:i/>
        </w:rPr>
        <w:t>APM Body of Knowledge</w:t>
      </w:r>
      <w:r w:rsidRPr="00687EC2">
        <w:t xml:space="preserve">. 7th </w:t>
      </w:r>
      <w:proofErr w:type="spellStart"/>
      <w:r w:rsidRPr="00687EC2">
        <w:t>edn</w:t>
      </w:r>
      <w:proofErr w:type="spellEnd"/>
      <w:r w:rsidRPr="00687EC2">
        <w:t>. Princes Risborough: Association for Project Management.</w:t>
      </w:r>
    </w:p>
    <w:p w14:paraId="4BE1AFC1" w14:textId="77777777" w:rsidR="006E6158" w:rsidRPr="00687EC2" w:rsidRDefault="00F41EE1" w:rsidP="008A419A">
      <w:r w:rsidRPr="00687EC2">
        <w:t xml:space="preserve">Bassot, B. (2016) </w:t>
      </w:r>
      <w:r w:rsidRPr="00687EC2">
        <w:rPr>
          <w:i/>
        </w:rPr>
        <w:t>The Reflective Practice Guide: An Interdisciplinary Approach to Critical Reflection</w:t>
      </w:r>
      <w:r w:rsidRPr="00687EC2">
        <w:t>. Abingdon: Routledge.</w:t>
      </w:r>
    </w:p>
    <w:p w14:paraId="2C205103" w14:textId="5D70250C" w:rsidR="006E6158" w:rsidRPr="00687EC2" w:rsidRDefault="00F41EE1" w:rsidP="008A419A">
      <w:r w:rsidRPr="00687EC2">
        <w:t xml:space="preserve">Bjorvatn, T. and Wald, A. (2018) ‘Project complexity and team-level absorptive capacity as drivers of project management performance’, </w:t>
      </w:r>
      <w:r w:rsidRPr="00687EC2">
        <w:rPr>
          <w:i/>
        </w:rPr>
        <w:t>International Journal of Project Management</w:t>
      </w:r>
      <w:r w:rsidRPr="00687EC2">
        <w:t xml:space="preserve">, 36(6), pp. 876–888. </w:t>
      </w:r>
      <w:hyperlink r:id="rId26" w:history="1">
        <w:r w:rsidR="008A419A" w:rsidRPr="007754BE">
          <w:rPr>
            <w:rStyle w:val="Hyperlink"/>
          </w:rPr>
          <w:t>https://doi.org/10.1016/j.ijproman.2018.05.003</w:t>
        </w:r>
      </w:hyperlink>
      <w:r w:rsidRPr="00687EC2">
        <w:t>.</w:t>
      </w:r>
    </w:p>
    <w:p w14:paraId="6ED0A805" w14:textId="77777777" w:rsidR="006E6158" w:rsidRPr="00687EC2" w:rsidRDefault="00F41EE1" w:rsidP="008A419A">
      <w:r w:rsidRPr="00687EC2">
        <w:t xml:space="preserve">Chen, Y., </w:t>
      </w:r>
      <w:proofErr w:type="spellStart"/>
      <w:r w:rsidRPr="00687EC2">
        <w:t>Ahiaga-Dagbui</w:t>
      </w:r>
      <w:proofErr w:type="spellEnd"/>
      <w:r w:rsidRPr="00687EC2">
        <w:t xml:space="preserve">, D.D., </w:t>
      </w:r>
      <w:proofErr w:type="spellStart"/>
      <w:r w:rsidRPr="00687EC2">
        <w:t>Thaheem</w:t>
      </w:r>
      <w:proofErr w:type="spellEnd"/>
      <w:r w:rsidRPr="00687EC2">
        <w:t xml:space="preserve">, M.J. and Shrestha, A. (2023) ‘Toward a deeper understanding of optimism bias and transport project cost overrun’, </w:t>
      </w:r>
      <w:r w:rsidRPr="00687EC2">
        <w:rPr>
          <w:i/>
        </w:rPr>
        <w:t>Project Management Journal</w:t>
      </w:r>
      <w:r w:rsidRPr="00687EC2">
        <w:t>, 54(5), pp. 561–578. https://doi.org/10.1177/87569728231180268.</w:t>
      </w:r>
    </w:p>
    <w:p w14:paraId="55CAB00A" w14:textId="77777777" w:rsidR="006E6158" w:rsidRPr="00687EC2" w:rsidRDefault="00F41EE1" w:rsidP="008A419A">
      <w:proofErr w:type="spellStart"/>
      <w:r w:rsidRPr="00687EC2">
        <w:t>Denicol</w:t>
      </w:r>
      <w:proofErr w:type="spellEnd"/>
      <w:r w:rsidRPr="00687EC2">
        <w:t xml:space="preserve">, J., Davies, A. and </w:t>
      </w:r>
      <w:proofErr w:type="spellStart"/>
      <w:r w:rsidRPr="00687EC2">
        <w:t>Krystallis</w:t>
      </w:r>
      <w:proofErr w:type="spellEnd"/>
      <w:r w:rsidRPr="00687EC2">
        <w:t xml:space="preserve">, I. (2020) ‘What are the causes and cures of poor megaproject performance? A systematic literature review and research agenda’, </w:t>
      </w:r>
      <w:r w:rsidRPr="00687EC2">
        <w:rPr>
          <w:i/>
        </w:rPr>
        <w:t>Project Management Journal</w:t>
      </w:r>
      <w:r w:rsidRPr="00687EC2">
        <w:t>, 51(3), pp. 328–345. https://doi.org/10.1177/8756972819896113.</w:t>
      </w:r>
    </w:p>
    <w:p w14:paraId="5BD062F2" w14:textId="77777777" w:rsidR="006E6158" w:rsidRPr="00687EC2" w:rsidRDefault="00F41EE1" w:rsidP="008A419A">
      <w:r w:rsidRPr="00687EC2">
        <w:t xml:space="preserve">Derakhshan, R., Turner, R. and Mancini, M. (2019) ‘Project governance and stakeholders: a literature review’, </w:t>
      </w:r>
      <w:r w:rsidRPr="00687EC2">
        <w:rPr>
          <w:i/>
        </w:rPr>
        <w:t>International Journal of Project Management</w:t>
      </w:r>
      <w:r w:rsidRPr="00687EC2">
        <w:t>, 37(1), pp. 98–116. https://doi.org/10.1016/j.ijproman.2018.10.007.</w:t>
      </w:r>
    </w:p>
    <w:p w14:paraId="6470CCA8" w14:textId="77777777" w:rsidR="006E6158" w:rsidRPr="00687EC2" w:rsidRDefault="00F41EE1" w:rsidP="008A419A">
      <w:r w:rsidRPr="00687EC2">
        <w:t xml:space="preserve">Flyvbjerg, B. (2021) ‘Top ten behavioral biases in project management: an overview’, </w:t>
      </w:r>
      <w:r w:rsidRPr="00687EC2">
        <w:rPr>
          <w:i/>
        </w:rPr>
        <w:t>Project Management Journal</w:t>
      </w:r>
      <w:r w:rsidRPr="00687EC2">
        <w:t>, 52(6), pp. 531–546. https://doi.org/10.1177/87569728211049046.</w:t>
      </w:r>
    </w:p>
    <w:p w14:paraId="566834B4" w14:textId="77777777" w:rsidR="006E6158" w:rsidRPr="00687EC2" w:rsidRDefault="00F41EE1" w:rsidP="008A419A">
      <w:proofErr w:type="spellStart"/>
      <w:r w:rsidRPr="00687EC2">
        <w:t>Gemino</w:t>
      </w:r>
      <w:proofErr w:type="spellEnd"/>
      <w:r w:rsidRPr="00687EC2">
        <w:t xml:space="preserve">, A., Horner Reich, B. and </w:t>
      </w:r>
      <w:proofErr w:type="spellStart"/>
      <w:r w:rsidRPr="00687EC2">
        <w:t>Serrador</w:t>
      </w:r>
      <w:proofErr w:type="spellEnd"/>
      <w:r w:rsidRPr="00687EC2">
        <w:t xml:space="preserve">, P.M. (2021) ‘Agile, traditional, and hybrid approaches to project success: is hybrid a poor second choice?’, </w:t>
      </w:r>
      <w:r w:rsidRPr="00687EC2">
        <w:rPr>
          <w:i/>
        </w:rPr>
        <w:t>Project Management Journal</w:t>
      </w:r>
      <w:r w:rsidRPr="00687EC2">
        <w:t>, 52(2), pp. 161–175. https://doi.org/10.1177/8756972820973082.</w:t>
      </w:r>
    </w:p>
    <w:p w14:paraId="76BAB7E7" w14:textId="77777777" w:rsidR="006E6158" w:rsidRPr="00687EC2" w:rsidRDefault="00F41EE1" w:rsidP="008A419A">
      <w:r w:rsidRPr="00687EC2">
        <w:t xml:space="preserve">He, Q., Luo, L., Hu, Y. and Chan, A.P.C. (2015) ‘Measuring the complexity of mega construction projects in China: a fuzzy analytic network process analysis’, </w:t>
      </w:r>
      <w:r w:rsidRPr="00687EC2">
        <w:rPr>
          <w:i/>
        </w:rPr>
        <w:t>International Journal of Project Management</w:t>
      </w:r>
      <w:r w:rsidRPr="00687EC2">
        <w:t>, 33(3), pp. 549–563. https://doi.org/10.1016/j.ijproman.2014.07.009.</w:t>
      </w:r>
    </w:p>
    <w:p w14:paraId="742E02F0" w14:textId="77777777" w:rsidR="006E6158" w:rsidRPr="00687EC2" w:rsidRDefault="00F41EE1" w:rsidP="008A419A">
      <w:r w:rsidRPr="00687EC2">
        <w:t xml:space="preserve">HM Treasury and Government Finance Function (2026) </w:t>
      </w:r>
      <w:r w:rsidRPr="00687EC2">
        <w:rPr>
          <w:i/>
        </w:rPr>
        <w:t>The Green Book</w:t>
      </w:r>
      <w:r w:rsidRPr="00687EC2">
        <w:t>. London: HM Treasury. Available at: https://www.gov.uk/government/publications/the-green-book-appraisal-and-evaluation-in-central-government (Accessed: 24 July 2026).</w:t>
      </w:r>
    </w:p>
    <w:p w14:paraId="2433B24A" w14:textId="77777777" w:rsidR="006E6158" w:rsidRPr="00687EC2" w:rsidRDefault="00F41EE1" w:rsidP="008A419A">
      <w:r w:rsidRPr="00687EC2">
        <w:t xml:space="preserve">Infrastructure and Projects Authority (2021) </w:t>
      </w:r>
      <w:r w:rsidRPr="00687EC2">
        <w:rPr>
          <w:i/>
        </w:rPr>
        <w:t xml:space="preserve">Cost Estimating Guidance: A Best Practice Approach for Infrastructure Projects and </w:t>
      </w:r>
      <w:proofErr w:type="spellStart"/>
      <w:r w:rsidRPr="00687EC2">
        <w:rPr>
          <w:i/>
        </w:rPr>
        <w:t>Programmes</w:t>
      </w:r>
      <w:proofErr w:type="spellEnd"/>
      <w:r w:rsidRPr="00687EC2">
        <w:t>. London: Cabinet Office. Available at: https://www.gov.uk/government/publications/cost-estimating-guidance (Accessed: 24 July 2026).</w:t>
      </w:r>
    </w:p>
    <w:p w14:paraId="6E4B9985" w14:textId="77777777" w:rsidR="006E6158" w:rsidRPr="00687EC2" w:rsidRDefault="00F41EE1" w:rsidP="008A419A">
      <w:r w:rsidRPr="00687EC2">
        <w:t xml:space="preserve">International Organization for Standardization (2018) </w:t>
      </w:r>
      <w:r w:rsidRPr="00687EC2">
        <w:rPr>
          <w:i/>
        </w:rPr>
        <w:t xml:space="preserve">ISO 21511:2018 Project, </w:t>
      </w:r>
      <w:proofErr w:type="spellStart"/>
      <w:r w:rsidRPr="00687EC2">
        <w:rPr>
          <w:i/>
        </w:rPr>
        <w:t>Programme</w:t>
      </w:r>
      <w:proofErr w:type="spellEnd"/>
      <w:r w:rsidRPr="00687EC2">
        <w:rPr>
          <w:i/>
        </w:rPr>
        <w:t xml:space="preserve"> and Portfolio Management – Work Breakdown Structures</w:t>
      </w:r>
      <w:r w:rsidRPr="00687EC2">
        <w:t>. Geneva: ISO.</w:t>
      </w:r>
    </w:p>
    <w:p w14:paraId="654D7EF2" w14:textId="77777777" w:rsidR="006E6158" w:rsidRPr="00687EC2" w:rsidRDefault="00F41EE1" w:rsidP="008A419A">
      <w:r w:rsidRPr="00687EC2">
        <w:lastRenderedPageBreak/>
        <w:t xml:space="preserve">International Organization for Standardization (2020) </w:t>
      </w:r>
      <w:r w:rsidRPr="00687EC2">
        <w:rPr>
          <w:i/>
        </w:rPr>
        <w:t xml:space="preserve">ISO 21502:2020 Project, </w:t>
      </w:r>
      <w:proofErr w:type="spellStart"/>
      <w:r w:rsidRPr="00687EC2">
        <w:rPr>
          <w:i/>
        </w:rPr>
        <w:t>Programme</w:t>
      </w:r>
      <w:proofErr w:type="spellEnd"/>
      <w:r w:rsidRPr="00687EC2">
        <w:rPr>
          <w:i/>
        </w:rPr>
        <w:t xml:space="preserve"> and Portfolio Management – Guidance on Project Management</w:t>
      </w:r>
      <w:r w:rsidRPr="00687EC2">
        <w:t>. Geneva: ISO.</w:t>
      </w:r>
    </w:p>
    <w:p w14:paraId="690BFF06" w14:textId="77777777" w:rsidR="006E6158" w:rsidRPr="00687EC2" w:rsidRDefault="00F41EE1" w:rsidP="008A419A">
      <w:r w:rsidRPr="00687EC2">
        <w:t xml:space="preserve">Kerzner, H. (2022) </w:t>
      </w:r>
      <w:r w:rsidRPr="00687EC2">
        <w:rPr>
          <w:i/>
        </w:rPr>
        <w:t>Project Management: A Systems Approach to Planning, Scheduling, and Controlling</w:t>
      </w:r>
      <w:r w:rsidRPr="00687EC2">
        <w:t xml:space="preserve">. 13th </w:t>
      </w:r>
      <w:proofErr w:type="spellStart"/>
      <w:r w:rsidRPr="00687EC2">
        <w:t>edn</w:t>
      </w:r>
      <w:proofErr w:type="spellEnd"/>
      <w:r w:rsidRPr="00687EC2">
        <w:t>. Hoboken, NJ: Wiley.</w:t>
      </w:r>
    </w:p>
    <w:p w14:paraId="0C4385B7" w14:textId="77777777" w:rsidR="006E6158" w:rsidRPr="00687EC2" w:rsidRDefault="00F41EE1" w:rsidP="008A419A">
      <w:proofErr w:type="spellStart"/>
      <w:r w:rsidRPr="00687EC2">
        <w:t>Kivilä</w:t>
      </w:r>
      <w:proofErr w:type="spellEnd"/>
      <w:r w:rsidRPr="00687EC2">
        <w:t xml:space="preserve">, J., </w:t>
      </w:r>
      <w:proofErr w:type="spellStart"/>
      <w:r w:rsidRPr="00687EC2">
        <w:t>Martinsuo</w:t>
      </w:r>
      <w:proofErr w:type="spellEnd"/>
      <w:r w:rsidRPr="00687EC2">
        <w:t xml:space="preserve">, M. and Vuorinen, L. (2017) ‘Sustainable project management through project control in infrastructure projects’, </w:t>
      </w:r>
      <w:r w:rsidRPr="00687EC2">
        <w:rPr>
          <w:i/>
        </w:rPr>
        <w:t>International Journal of Project Management</w:t>
      </w:r>
      <w:r w:rsidRPr="00687EC2">
        <w:t>, 35(6), pp. 1167–1183. https://doi.org/10.1016/j.ijproman.2017.02.009.</w:t>
      </w:r>
    </w:p>
    <w:p w14:paraId="156D6C9D" w14:textId="77777777" w:rsidR="006E6158" w:rsidRPr="00687EC2" w:rsidRDefault="00F41EE1" w:rsidP="008A419A">
      <w:r w:rsidRPr="00687EC2">
        <w:t xml:space="preserve">Project Management Institute (2021) </w:t>
      </w:r>
      <w:r w:rsidRPr="00687EC2">
        <w:rPr>
          <w:i/>
        </w:rPr>
        <w:t>A Guide to the Project Management Body of Knowledge (PMBOK Guide)</w:t>
      </w:r>
      <w:r w:rsidRPr="00687EC2">
        <w:t xml:space="preserve">. 7th </w:t>
      </w:r>
      <w:proofErr w:type="spellStart"/>
      <w:r w:rsidRPr="00687EC2">
        <w:t>edn</w:t>
      </w:r>
      <w:proofErr w:type="spellEnd"/>
      <w:r w:rsidRPr="00687EC2">
        <w:t>. Newtown Square, PA: Project Management Institute.</w:t>
      </w:r>
    </w:p>
    <w:p w14:paraId="21EC802E" w14:textId="77777777" w:rsidR="006E6158" w:rsidRPr="00687EC2" w:rsidRDefault="00F41EE1" w:rsidP="008A419A">
      <w:pPr>
        <w:rPr>
          <w:szCs w:val="28"/>
        </w:rPr>
      </w:pPr>
      <w:r w:rsidRPr="00687EC2">
        <w:rPr>
          <w:szCs w:val="28"/>
        </w:rPr>
        <w:t xml:space="preserve">Sabini, L., Muzio, D. and Alderman, N. (2019) ‘25 years of sustainable projects: what we know and what the literature says’, </w:t>
      </w:r>
      <w:r w:rsidRPr="00687EC2">
        <w:rPr>
          <w:i/>
          <w:szCs w:val="28"/>
        </w:rPr>
        <w:t>International Journal of Project Management</w:t>
      </w:r>
      <w:r w:rsidRPr="00687EC2">
        <w:rPr>
          <w:szCs w:val="28"/>
        </w:rPr>
        <w:t>, 37(6), pp. 820–838. https://doi.org/10.1016/j.ijproman.2019.05.002.</w:t>
      </w:r>
    </w:p>
    <w:p w14:paraId="08FE2095" w14:textId="77777777" w:rsidR="006E6158" w:rsidRPr="00687EC2" w:rsidRDefault="00F41EE1" w:rsidP="008A419A">
      <w:pPr>
        <w:rPr>
          <w:szCs w:val="28"/>
        </w:rPr>
      </w:pPr>
      <w:r w:rsidRPr="00687EC2">
        <w:rPr>
          <w:szCs w:val="28"/>
        </w:rPr>
        <w:t xml:space="preserve">Willumsen, P., Oehmen, J., Stingl, V. and Geraldi, J. (2019) ‘Value creation through project risk management’, </w:t>
      </w:r>
      <w:r w:rsidRPr="00687EC2">
        <w:rPr>
          <w:i/>
          <w:szCs w:val="28"/>
        </w:rPr>
        <w:t>International Journal of Project Management</w:t>
      </w:r>
      <w:r w:rsidRPr="00687EC2">
        <w:rPr>
          <w:szCs w:val="28"/>
        </w:rPr>
        <w:t>, 37(5), pp. 731–749. https://doi.org/10.1016/j.ijproman.2019.01.007.</w:t>
      </w:r>
    </w:p>
    <w:p w14:paraId="1834ACA1" w14:textId="77777777" w:rsidR="006E6158" w:rsidRPr="00C81F62" w:rsidRDefault="00F41EE1" w:rsidP="008A419A">
      <w:r w:rsidRPr="00687EC2">
        <w:rPr>
          <w:szCs w:val="28"/>
        </w:rPr>
        <w:t xml:space="preserve">Xia, N., Zou, P.X.W., Griffin, M.A., Wang, X. and Zhong, R. (2018) ‘Towards integrating construction risk management and stakeholder management: a systematic literature review and future research agendas’, </w:t>
      </w:r>
      <w:r w:rsidRPr="00687EC2">
        <w:rPr>
          <w:i/>
          <w:szCs w:val="28"/>
        </w:rPr>
        <w:t>International Journal of Project Management</w:t>
      </w:r>
      <w:r w:rsidRPr="00687EC2">
        <w:rPr>
          <w:szCs w:val="28"/>
        </w:rPr>
        <w:t>, 36(5), pp. 701–715. https://doi.org/10.1016/j.ijproman.2018.</w:t>
      </w:r>
      <w:r w:rsidRPr="00C81F62">
        <w:rPr>
          <w:sz w:val="20"/>
        </w:rPr>
        <w:t>03.006.</w:t>
      </w:r>
    </w:p>
    <w:sectPr w:rsidR="006E6158" w:rsidRPr="00C81F62">
      <w:headerReference w:type="default" r:id="rId27"/>
      <w:pgSz w:w="11906" w:h="16838"/>
      <w:pgMar w:top="1134" w:right="1134" w:bottom="1134" w:left="1134"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58CA9" w14:textId="77777777" w:rsidR="00B74DED" w:rsidRDefault="00B74DED" w:rsidP="00C36669">
      <w:pPr>
        <w:spacing w:line="240" w:lineRule="auto"/>
      </w:pPr>
      <w:r>
        <w:separator/>
      </w:r>
    </w:p>
  </w:endnote>
  <w:endnote w:type="continuationSeparator" w:id="0">
    <w:p w14:paraId="1C67B424" w14:textId="77777777" w:rsidR="00B74DED" w:rsidRDefault="00B74DED" w:rsidP="00C3666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6F803" w14:textId="1F1AA0BC" w:rsidR="006E6158" w:rsidRDefault="00F41EE1">
    <w:pPr>
      <w:pStyle w:val="Footer"/>
      <w:jc w:val="center"/>
    </w:pPr>
    <w:r>
      <w:rPr>
        <w:color w:val="6B7280"/>
        <w:sz w:val="14"/>
      </w:rPr>
      <w:fldChar w:fldCharType="begin"/>
    </w:r>
    <w:r>
      <w:rPr>
        <w:rFonts w:ascii="Times New Roman" w:hAnsi="Times New Roman"/>
        <w:color w:val="6B7280"/>
        <w:sz w:val="14"/>
      </w:rPr>
      <w:instrText xml:space="preserve"> PAGE </w:instrText>
    </w:r>
    <w:r>
      <w:rPr>
        <w:color w:val="6B7280"/>
        <w:sz w:val="14"/>
      </w:rPr>
      <w:fldChar w:fldCharType="separate"/>
    </w:r>
    <w:r w:rsidR="00DF17B8">
      <w:rPr>
        <w:noProof/>
        <w:color w:val="6B7280"/>
        <w:sz w:val="14"/>
      </w:rPr>
      <w:t>1</w:t>
    </w:r>
    <w:r>
      <w:rPr>
        <w:color w:val="6B7280"/>
        <w:sz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60391" w14:textId="77777777" w:rsidR="00B74DED" w:rsidRDefault="00B74DED" w:rsidP="00C36669">
      <w:pPr>
        <w:spacing w:line="240" w:lineRule="auto"/>
      </w:pPr>
      <w:r>
        <w:separator/>
      </w:r>
    </w:p>
  </w:footnote>
  <w:footnote w:type="continuationSeparator" w:id="0">
    <w:p w14:paraId="3E1EFE0F" w14:textId="77777777" w:rsidR="00B74DED" w:rsidRDefault="00B74DED" w:rsidP="00C3666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4BC" w14:textId="20611A8A" w:rsidR="006E6158" w:rsidRDefault="008413ED">
    <w:pPr>
      <w:pStyle w:val="Header"/>
      <w:jc w:val="right"/>
    </w:pPr>
    <w:r w:rsidRPr="008413ED">
      <w:rPr>
        <w:rFonts w:ascii="Times New Roman" w:hAnsi="Times New Roman"/>
        <w:color w:val="6B7280"/>
        <w:sz w:val="17"/>
      </w:rPr>
      <w:t xml:space="preserve">Sinde Franklin </w:t>
    </w:r>
    <w:proofErr w:type="spellStart"/>
    <w:r w:rsidRPr="008413ED">
      <w:rPr>
        <w:rFonts w:ascii="Times New Roman" w:hAnsi="Times New Roman"/>
        <w:color w:val="6B7280"/>
        <w:sz w:val="17"/>
      </w:rPr>
      <w:t>Woppiwo</w:t>
    </w:r>
    <w:proofErr w:type="spellEnd"/>
    <w:r w:rsidRPr="008413ED">
      <w:rPr>
        <w:rFonts w:ascii="Times New Roman" w:hAnsi="Times New Roman"/>
        <w:color w:val="6B7280"/>
        <w:sz w:val="17"/>
      </w:rPr>
      <w:t xml:space="preserve"> </w:t>
    </w:r>
    <w:r w:rsidR="00F41EE1">
      <w:rPr>
        <w:rFonts w:ascii="Times New Roman" w:hAnsi="Times New Roman"/>
        <w:color w:val="6B7280"/>
        <w:sz w:val="17"/>
      </w:rPr>
      <w:t>| LCLM5003 Project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C511" w14:textId="77777777" w:rsidR="006E6158" w:rsidRDefault="00F41EE1">
    <w:pPr>
      <w:pStyle w:val="Header"/>
      <w:jc w:val="right"/>
    </w:pPr>
    <w:r>
      <w:rPr>
        <w:rFonts w:ascii="Times New Roman" w:hAnsi="Times New Roman"/>
        <w:color w:val="6B7280"/>
        <w:sz w:val="17"/>
      </w:rPr>
      <w:t>Sefat Franklin | LCLM5003 Project Management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C4B40" w14:textId="77777777" w:rsidR="006E6158" w:rsidRDefault="00F41EE1">
    <w:pPr>
      <w:pStyle w:val="Header"/>
      <w:jc w:val="right"/>
    </w:pPr>
    <w:r>
      <w:rPr>
        <w:rFonts w:ascii="Times New Roman" w:hAnsi="Times New Roman"/>
        <w:color w:val="6B7280"/>
        <w:sz w:val="17"/>
      </w:rPr>
      <w:t>Sefat Franklin | LCLM5003 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47921301">
    <w:abstractNumId w:val="8"/>
  </w:num>
  <w:num w:numId="2" w16cid:durableId="613632780">
    <w:abstractNumId w:val="6"/>
  </w:num>
  <w:num w:numId="3" w16cid:durableId="1194225629">
    <w:abstractNumId w:val="5"/>
  </w:num>
  <w:num w:numId="4" w16cid:durableId="1686664370">
    <w:abstractNumId w:val="4"/>
  </w:num>
  <w:num w:numId="5" w16cid:durableId="1782335885">
    <w:abstractNumId w:val="7"/>
  </w:num>
  <w:num w:numId="6" w16cid:durableId="1490709280">
    <w:abstractNumId w:val="3"/>
  </w:num>
  <w:num w:numId="7" w16cid:durableId="998270850">
    <w:abstractNumId w:val="2"/>
  </w:num>
  <w:num w:numId="8" w16cid:durableId="927466888">
    <w:abstractNumId w:val="1"/>
  </w:num>
  <w:num w:numId="9" w16cid:durableId="123156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BCE"/>
    <w:rsid w:val="00034616"/>
    <w:rsid w:val="0006063C"/>
    <w:rsid w:val="000A0086"/>
    <w:rsid w:val="000D0F3A"/>
    <w:rsid w:val="000E5FA1"/>
    <w:rsid w:val="000E6FA3"/>
    <w:rsid w:val="0015074B"/>
    <w:rsid w:val="001B1E3D"/>
    <w:rsid w:val="001B5C07"/>
    <w:rsid w:val="001E2A26"/>
    <w:rsid w:val="001E7454"/>
    <w:rsid w:val="00280E72"/>
    <w:rsid w:val="0029639D"/>
    <w:rsid w:val="002E4F1F"/>
    <w:rsid w:val="00326F90"/>
    <w:rsid w:val="00375C7F"/>
    <w:rsid w:val="003B18AF"/>
    <w:rsid w:val="00416183"/>
    <w:rsid w:val="004C3342"/>
    <w:rsid w:val="004F3974"/>
    <w:rsid w:val="005030F6"/>
    <w:rsid w:val="00566902"/>
    <w:rsid w:val="005773AB"/>
    <w:rsid w:val="005B700A"/>
    <w:rsid w:val="005D6C74"/>
    <w:rsid w:val="005E03D1"/>
    <w:rsid w:val="005E5635"/>
    <w:rsid w:val="00664193"/>
    <w:rsid w:val="006830A8"/>
    <w:rsid w:val="00687EC2"/>
    <w:rsid w:val="006E6158"/>
    <w:rsid w:val="00722838"/>
    <w:rsid w:val="00727CF7"/>
    <w:rsid w:val="008413ED"/>
    <w:rsid w:val="00871699"/>
    <w:rsid w:val="0088751E"/>
    <w:rsid w:val="008918C9"/>
    <w:rsid w:val="008A419A"/>
    <w:rsid w:val="00905224"/>
    <w:rsid w:val="009B3D00"/>
    <w:rsid w:val="009C236E"/>
    <w:rsid w:val="009F054F"/>
    <w:rsid w:val="00A720E9"/>
    <w:rsid w:val="00A8182C"/>
    <w:rsid w:val="00AA1D8D"/>
    <w:rsid w:val="00B46B4C"/>
    <w:rsid w:val="00B47730"/>
    <w:rsid w:val="00B74DED"/>
    <w:rsid w:val="00C36669"/>
    <w:rsid w:val="00C81F62"/>
    <w:rsid w:val="00CA141B"/>
    <w:rsid w:val="00CA7B6C"/>
    <w:rsid w:val="00CB0664"/>
    <w:rsid w:val="00CB3A01"/>
    <w:rsid w:val="00D662AC"/>
    <w:rsid w:val="00DB75A1"/>
    <w:rsid w:val="00DC2B79"/>
    <w:rsid w:val="00DD6C22"/>
    <w:rsid w:val="00DF17B8"/>
    <w:rsid w:val="00E132EF"/>
    <w:rsid w:val="00EE2996"/>
    <w:rsid w:val="00F017F9"/>
    <w:rsid w:val="00F41EE1"/>
    <w:rsid w:val="00F433DC"/>
    <w:rsid w:val="00F5755F"/>
    <w:rsid w:val="00F61CF1"/>
    <w:rsid w:val="00FA5D0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F57A43"/>
  <w14:defaultImageDpi w14:val="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D09"/>
    <w:pPr>
      <w:spacing w:after="0" w:line="360" w:lineRule="auto"/>
      <w:jc w:val="both"/>
    </w:pPr>
    <w:rPr>
      <w:rFonts w:ascii="Corbel" w:eastAsia="Times New Roman" w:hAnsi="Corbel"/>
      <w:sz w:val="24"/>
    </w:rPr>
  </w:style>
  <w:style w:type="paragraph" w:styleId="Heading1">
    <w:name w:val="heading 1"/>
    <w:basedOn w:val="Normal"/>
    <w:next w:val="Normal"/>
    <w:link w:val="Heading1Char"/>
    <w:autoRedefine/>
    <w:uiPriority w:val="9"/>
    <w:qFormat/>
    <w:rsid w:val="00CB3A01"/>
    <w:pPr>
      <w:keepNext/>
      <w:keepLines/>
      <w:spacing w:before="480"/>
      <w:jc w:val="center"/>
      <w:outlineLvl w:val="0"/>
    </w:pPr>
    <w:rPr>
      <w:rFonts w:eastAsiaTheme="majorEastAsia" w:cstheme="majorBidi"/>
      <w:b/>
      <w:bCs/>
      <w:color w:val="215868" w:themeColor="accent5" w:themeShade="80"/>
      <w:sz w:val="32"/>
      <w:szCs w:val="28"/>
    </w:rPr>
  </w:style>
  <w:style w:type="paragraph" w:styleId="Heading2">
    <w:name w:val="heading 2"/>
    <w:basedOn w:val="Normal"/>
    <w:next w:val="Normal"/>
    <w:link w:val="Heading2Char"/>
    <w:autoRedefine/>
    <w:uiPriority w:val="9"/>
    <w:unhideWhenUsed/>
    <w:qFormat/>
    <w:rsid w:val="008A419A"/>
    <w:pPr>
      <w:keepNext/>
      <w:keepLines/>
      <w:spacing w:before="200"/>
      <w:outlineLvl w:val="1"/>
    </w:pPr>
    <w:rPr>
      <w:rFonts w:eastAsiaTheme="majorEastAsia" w:cstheme="majorBidi"/>
      <w:b/>
      <w:bCs/>
      <w:color w:val="215868" w:themeColor="accent5" w:themeShade="80"/>
      <w:sz w:val="26"/>
      <w:szCs w:val="26"/>
    </w:rPr>
  </w:style>
  <w:style w:type="paragraph" w:styleId="Heading3">
    <w:name w:val="heading 3"/>
    <w:basedOn w:val="Normal"/>
    <w:next w:val="Normal"/>
    <w:link w:val="Heading3Char"/>
    <w:autoRedefine/>
    <w:uiPriority w:val="9"/>
    <w:unhideWhenUsed/>
    <w:qFormat/>
    <w:rsid w:val="00CB3A01"/>
    <w:pPr>
      <w:keepNext/>
      <w:keepLines/>
      <w:spacing w:before="200"/>
      <w:outlineLvl w:val="2"/>
    </w:pPr>
    <w:rPr>
      <w:rFonts w:eastAsiaTheme="majorEastAsia" w:cstheme="majorBidi"/>
      <w:b/>
      <w:bCs/>
      <w:color w:val="215868" w:themeColor="accent5" w:themeShade="8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CB3A01"/>
    <w:rPr>
      <w:rFonts w:ascii="Corbel" w:eastAsiaTheme="majorEastAsia" w:hAnsi="Corbel" w:cstheme="majorBidi"/>
      <w:b/>
      <w:bCs/>
      <w:color w:val="215868" w:themeColor="accent5" w:themeShade="80"/>
      <w:sz w:val="32"/>
      <w:szCs w:val="28"/>
    </w:rPr>
  </w:style>
  <w:style w:type="character" w:customStyle="1" w:styleId="Heading2Char">
    <w:name w:val="Heading 2 Char"/>
    <w:basedOn w:val="DefaultParagraphFont"/>
    <w:link w:val="Heading2"/>
    <w:uiPriority w:val="9"/>
    <w:rsid w:val="008A419A"/>
    <w:rPr>
      <w:rFonts w:ascii="Corbel" w:eastAsiaTheme="majorEastAsia" w:hAnsi="Corbel" w:cstheme="majorBidi"/>
      <w:b/>
      <w:bCs/>
      <w:color w:val="215868" w:themeColor="accent5" w:themeShade="80"/>
      <w:sz w:val="26"/>
      <w:szCs w:val="26"/>
    </w:rPr>
  </w:style>
  <w:style w:type="character" w:customStyle="1" w:styleId="Heading3Char">
    <w:name w:val="Heading 3 Char"/>
    <w:basedOn w:val="DefaultParagraphFont"/>
    <w:link w:val="Heading3"/>
    <w:uiPriority w:val="9"/>
    <w:rsid w:val="00CB3A01"/>
    <w:rPr>
      <w:rFonts w:ascii="Corbel" w:eastAsiaTheme="majorEastAsia" w:hAnsi="Corbel" w:cstheme="majorBidi"/>
      <w:b/>
      <w:bCs/>
      <w:color w:val="215868" w:themeColor="accent5" w:themeShade="80"/>
      <w:sz w:val="24"/>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A720E9"/>
    <w:rPr>
      <w:color w:val="0000FF"/>
      <w:u w:val="single"/>
    </w:rPr>
  </w:style>
  <w:style w:type="character" w:styleId="UnresolvedMention">
    <w:name w:val="Unresolved Mention"/>
    <w:basedOn w:val="DefaultParagraphFont"/>
    <w:uiPriority w:val="99"/>
    <w:semiHidden/>
    <w:unhideWhenUsed/>
    <w:rsid w:val="00664193"/>
    <w:rPr>
      <w:color w:val="605E5C"/>
      <w:shd w:val="clear" w:color="auto" w:fill="E1DFDD"/>
    </w:rPr>
  </w:style>
  <w:style w:type="paragraph" w:customStyle="1" w:styleId="ReportBody">
    <w:name w:val="Report Body"/>
    <w:pPr>
      <w:spacing w:after="120" w:line="360" w:lineRule="auto"/>
      <w:jc w:val="both"/>
    </w:pPr>
    <w:rPr>
      <w:rFonts w:ascii="Times New Roman" w:hAnsi="Times New Roman"/>
      <w:sz w:val="24"/>
    </w:rPr>
  </w:style>
  <w:style w:type="paragraph" w:customStyle="1" w:styleId="ReportHeading1">
    <w:name w:val="Report Heading 1"/>
    <w:pPr>
      <w:keepNext/>
      <w:spacing w:before="200" w:after="100"/>
    </w:pPr>
    <w:rPr>
      <w:rFonts w:ascii="Times New Roman" w:hAnsi="Times New Roman"/>
      <w:b/>
      <w:color w:val="123B5D"/>
      <w:sz w:val="30"/>
    </w:rPr>
  </w:style>
  <w:style w:type="paragraph" w:customStyle="1" w:styleId="ReportHeading2">
    <w:name w:val="Report Heading 2"/>
    <w:pPr>
      <w:keepNext/>
      <w:spacing w:before="160" w:after="80"/>
    </w:pPr>
    <w:rPr>
      <w:rFonts w:ascii="Times New Roman" w:hAnsi="Times New Roman"/>
      <w:b/>
      <w:color w:val="0E7C7B"/>
      <w:sz w:val="26"/>
    </w:rPr>
  </w:style>
  <w:style w:type="paragraph" w:customStyle="1" w:styleId="ReportCaption">
    <w:name w:val="Report Caption"/>
    <w:pPr>
      <w:keepNext/>
      <w:spacing w:before="40" w:after="120"/>
      <w:jc w:val="center"/>
    </w:pPr>
    <w:rPr>
      <w:rFonts w:ascii="Times New Roman" w:hAnsi="Times New Roman"/>
      <w:i/>
      <w:color w:val="4B5563"/>
      <w:sz w:val="18"/>
    </w:rPr>
  </w:style>
  <w:style w:type="paragraph" w:customStyle="1" w:styleId="ReportTableTitle">
    <w:name w:val="Report Table Title"/>
    <w:pPr>
      <w:keepNext/>
      <w:spacing w:before="120" w:after="60"/>
    </w:pPr>
    <w:rPr>
      <w:rFonts w:ascii="Times New Roman" w:hAnsi="Times New Roman"/>
      <w:b/>
      <w:color w:val="123B5D"/>
      <w:sz w:val="20"/>
    </w:rPr>
  </w:style>
  <w:style w:type="paragraph" w:customStyle="1" w:styleId="ReferenceEntry">
    <w:name w:val="Reference Entry"/>
    <w:pPr>
      <w:spacing w:after="80" w:line="240" w:lineRule="auto"/>
      <w:ind w:left="454" w:hanging="454"/>
    </w:pPr>
    <w:rPr>
      <w:rFonts w:ascii="Times New Roman" w:hAnsi="Times New Roman"/>
      <w:sz w:val="20"/>
    </w:rPr>
  </w:style>
  <w:style w:type="table" w:styleId="TableGridLight">
    <w:name w:val="Grid Table Light"/>
    <w:basedOn w:val="TableNormal"/>
    <w:uiPriority w:val="99"/>
    <w:rsid w:val="0041618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8A419A"/>
    <w:rPr>
      <w:color w:val="800080" w:themeColor="followedHyperlink"/>
      <w:u w:val="single"/>
    </w:rPr>
  </w:style>
  <w:style w:type="paragraph" w:styleId="TOC1">
    <w:name w:val="toc 1"/>
    <w:basedOn w:val="Normal"/>
    <w:next w:val="Normal"/>
    <w:autoRedefine/>
    <w:uiPriority w:val="39"/>
    <w:unhideWhenUsed/>
    <w:rsid w:val="00DC2B79"/>
    <w:pPr>
      <w:tabs>
        <w:tab w:val="right" w:leader="dot" w:pos="9628"/>
      </w:tabs>
      <w:spacing w:after="100"/>
    </w:pPr>
    <w:rPr>
      <w:rFonts w:eastAsiaTheme="majorEastAsia"/>
      <w:b/>
      <w:bCs/>
      <w:noProof/>
    </w:rPr>
  </w:style>
  <w:style w:type="paragraph" w:styleId="TOC2">
    <w:name w:val="toc 2"/>
    <w:basedOn w:val="Normal"/>
    <w:next w:val="Normal"/>
    <w:autoRedefine/>
    <w:uiPriority w:val="39"/>
    <w:unhideWhenUsed/>
    <w:rsid w:val="00DC2B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714841">
      <w:bodyDiv w:val="1"/>
      <w:marLeft w:val="0"/>
      <w:marRight w:val="0"/>
      <w:marTop w:val="0"/>
      <w:marBottom w:val="0"/>
      <w:divBdr>
        <w:top w:val="none" w:sz="0" w:space="0" w:color="auto"/>
        <w:left w:val="none" w:sz="0" w:space="0" w:color="auto"/>
        <w:bottom w:val="none" w:sz="0" w:space="0" w:color="auto"/>
        <w:right w:val="none" w:sz="0" w:space="0" w:color="auto"/>
      </w:divBdr>
    </w:div>
    <w:div w:id="815294419">
      <w:bodyDiv w:val="1"/>
      <w:marLeft w:val="0"/>
      <w:marRight w:val="0"/>
      <w:marTop w:val="0"/>
      <w:marBottom w:val="0"/>
      <w:divBdr>
        <w:top w:val="none" w:sz="0" w:space="0" w:color="auto"/>
        <w:left w:val="none" w:sz="0" w:space="0" w:color="auto"/>
        <w:bottom w:val="none" w:sz="0" w:space="0" w:color="auto"/>
        <w:right w:val="none" w:sz="0" w:space="0" w:color="auto"/>
      </w:divBdr>
    </w:div>
    <w:div w:id="1267887715">
      <w:bodyDiv w:val="1"/>
      <w:marLeft w:val="0"/>
      <w:marRight w:val="0"/>
      <w:marTop w:val="0"/>
      <w:marBottom w:val="0"/>
      <w:divBdr>
        <w:top w:val="none" w:sz="0" w:space="0" w:color="auto"/>
        <w:left w:val="none" w:sz="0" w:space="0" w:color="auto"/>
        <w:bottom w:val="none" w:sz="0" w:space="0" w:color="auto"/>
        <w:right w:val="none" w:sz="0" w:space="0" w:color="auto"/>
      </w:divBdr>
    </w:div>
    <w:div w:id="1503351699">
      <w:bodyDiv w:val="1"/>
      <w:marLeft w:val="0"/>
      <w:marRight w:val="0"/>
      <w:marTop w:val="0"/>
      <w:marBottom w:val="0"/>
      <w:divBdr>
        <w:top w:val="none" w:sz="0" w:space="0" w:color="auto"/>
        <w:left w:val="none" w:sz="0" w:space="0" w:color="auto"/>
        <w:bottom w:val="none" w:sz="0" w:space="0" w:color="auto"/>
        <w:right w:val="none" w:sz="0" w:space="0" w:color="auto"/>
      </w:divBdr>
    </w:div>
    <w:div w:id="19374030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hyperlink" Target="https://doi.org/10.1016/j.ijproman.2014.08.007?utm_source=copilot.com" TargetMode="External"/><Relationship Id="rId26" Type="http://schemas.openxmlformats.org/officeDocument/2006/relationships/hyperlink" Target="https://doi.org/10.1016/j.ijproman.2018.05.003"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doi.org/10.1016/j.ijproman.2016.09.010?utm_source=copilot.com" TargetMode="External"/><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doi.org/10.1016/j.ijproman.2014.07.009?utm_source=copilot.com" TargetMode="External"/><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E0380-9F7B-473B-B23D-F0E098162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5436</Words>
  <Characters>30991</Characters>
  <Application>Microsoft Office Word</Application>
  <DocSecurity>0</DocSecurity>
  <Lines>258</Lines>
  <Paragraphs>72</Paragraphs>
  <ScaleCrop>false</ScaleCrop>
  <Manager/>
  <Company/>
  <LinksUpToDate>false</LinksUpToDate>
  <CharactersWithSpaces>36355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LCLM5003 Project Portfolio – Central Transport Hub Redevelopment</dc:title>
  <dc:subject>Part A poster, Part B reflection and Part C project management plan</dc:subject>
  <dc:creator/>
  <cp:keywords>LCLM5003, project management, transport hub, WBS, Gantt, risk analysis</cp:keywords>
  <dc:description/>
  <cp:lastModifiedBy/>
  <cp:revision>1</cp:revision>
  <dcterms:created xsi:type="dcterms:W3CDTF">2026-06-27T12:33:00Z</dcterms:created>
  <dcterms:modified xsi:type="dcterms:W3CDTF">2026-08-18T13:04:00Z</dcterms:modified>
  <cp:category/>
</cp:coreProperties>
</file>