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F9E1E" w14:textId="6607256D" w:rsidR="00C35ED5" w:rsidRDefault="0068568C" w:rsidP="00C35ED5">
      <w:pPr>
        <w:jc w:val="both"/>
        <w:rPr>
          <w:rFonts w:asciiTheme="majorBidi" w:hAnsiTheme="majorBidi" w:cstheme="majorBidi"/>
          <w:sz w:val="36"/>
          <w:szCs w:val="36"/>
          <w:lang w:val="en-GB"/>
        </w:rPr>
      </w:pPr>
      <w:r w:rsidRPr="003F31B2">
        <w:rPr>
          <w:rFonts w:asciiTheme="majorBidi" w:hAnsiTheme="majorBidi" w:cstheme="majorBidi"/>
          <w:sz w:val="36"/>
          <w:szCs w:val="36"/>
        </w:rPr>
        <w:t>Exploring Firefighters’ Perceptions of Microlearning as a Non-Formal Training Approach in Welsh Fire and Rescue Services: A Qualitative Study</w:t>
      </w:r>
    </w:p>
    <w:p w14:paraId="482888A4" w14:textId="3BE2A95E" w:rsidR="00C35ED5" w:rsidRPr="00C35ED5" w:rsidRDefault="00C35ED5" w:rsidP="00C35ED5">
      <w:pPr>
        <w:jc w:val="both"/>
        <w:rPr>
          <w:rFonts w:asciiTheme="majorBidi" w:hAnsiTheme="majorBidi" w:cstheme="majorBidi"/>
          <w:sz w:val="36"/>
          <w:szCs w:val="36"/>
          <w:lang w:val="en-GB"/>
        </w:rPr>
      </w:pPr>
      <w:r>
        <w:rPr>
          <w:rFonts w:asciiTheme="majorBidi" w:hAnsiTheme="majorBidi" w:cstheme="majorBidi"/>
          <w:sz w:val="36"/>
          <w:szCs w:val="36"/>
          <w:lang w:val="en-GB"/>
        </w:rPr>
        <w:t xml:space="preserve">Akram barati </w:t>
      </w:r>
    </w:p>
    <w:p w14:paraId="36FC0FB5" w14:textId="77777777" w:rsidR="003F31B2" w:rsidRPr="006717A2" w:rsidRDefault="003F31B2" w:rsidP="003F31B2">
      <w:pPr>
        <w:jc w:val="both"/>
        <w:rPr>
          <w:rFonts w:asciiTheme="majorBidi" w:hAnsiTheme="majorBidi" w:cstheme="majorBidi"/>
          <w:b/>
          <w:bCs/>
          <w:sz w:val="24"/>
          <w:szCs w:val="24"/>
        </w:rPr>
      </w:pPr>
      <w:r w:rsidRPr="006717A2">
        <w:rPr>
          <w:rFonts w:asciiTheme="majorBidi" w:hAnsiTheme="majorBidi" w:cstheme="majorBidi"/>
          <w:b/>
          <w:bCs/>
          <w:sz w:val="24"/>
          <w:szCs w:val="24"/>
        </w:rPr>
        <w:t>Introduction</w:t>
      </w:r>
    </w:p>
    <w:p w14:paraId="7EF3658C" w14:textId="29A67711" w:rsidR="00A92B6F" w:rsidRPr="003F31B2" w:rsidRDefault="00A92B6F" w:rsidP="003F31B2">
      <w:pPr>
        <w:jc w:val="both"/>
        <w:rPr>
          <w:rFonts w:asciiTheme="majorBidi" w:hAnsiTheme="majorBidi" w:cstheme="majorBidi"/>
          <w:sz w:val="24"/>
          <w:szCs w:val="24"/>
          <w:lang w:bidi="fa-IR"/>
        </w:rPr>
      </w:pPr>
      <w:r w:rsidRPr="003F31B2">
        <w:rPr>
          <w:rFonts w:asciiTheme="majorBidi" w:hAnsiTheme="majorBidi" w:cstheme="majorBidi"/>
          <w:sz w:val="24"/>
          <w:szCs w:val="24"/>
          <w:lang w:bidi="fa-IR"/>
        </w:rPr>
        <w:t xml:space="preserve">UK Fire and Rescue Services (FRS) increasingly operate within complex “all-hazards” environments requiring rapid decision-making, broad technical competence, and sustained skill retention under pressure (HMICFRS, 2023). In Wales, these demands intersect with chronic financial constraints, staffing shortages, and structural disparities between </w:t>
      </w:r>
      <w:r w:rsidR="000448F0" w:rsidRPr="003F31B2">
        <w:rPr>
          <w:rFonts w:asciiTheme="majorBidi" w:hAnsiTheme="majorBidi" w:cstheme="majorBidi"/>
          <w:sz w:val="24"/>
          <w:szCs w:val="24"/>
          <w:lang w:bidi="fa-IR"/>
        </w:rPr>
        <w:t>whole time</w:t>
      </w:r>
      <w:r w:rsidRPr="003F31B2">
        <w:rPr>
          <w:rFonts w:asciiTheme="majorBidi" w:hAnsiTheme="majorBidi" w:cstheme="majorBidi"/>
          <w:sz w:val="24"/>
          <w:szCs w:val="24"/>
          <w:lang w:bidi="fa-IR"/>
        </w:rPr>
        <w:t xml:space="preserve"> and Retained Duty System (RDS) firefighters, resulting in uneven access to formal training and fragmented skill maintenance (Welsh Government, 2022; HMICFRS, 2023). Although recent policy frameworks promote pedagogical innovation and flexible learning models, persistent resource limitations and instructor shortages continue to undermine traditional classroom-based and drill-</w:t>
      </w:r>
      <w:r w:rsidR="000448F0" w:rsidRPr="003F31B2">
        <w:rPr>
          <w:rFonts w:asciiTheme="majorBidi" w:hAnsiTheme="majorBidi" w:cstheme="majorBidi"/>
          <w:sz w:val="24"/>
          <w:szCs w:val="24"/>
          <w:lang w:bidi="fa-IR"/>
        </w:rPr>
        <w:t>centered</w:t>
      </w:r>
      <w:r w:rsidRPr="003F31B2">
        <w:rPr>
          <w:rFonts w:asciiTheme="majorBidi" w:hAnsiTheme="majorBidi" w:cstheme="majorBidi"/>
          <w:sz w:val="24"/>
          <w:szCs w:val="24"/>
          <w:lang w:bidi="fa-IR"/>
        </w:rPr>
        <w:t xml:space="preserve"> approaches (Welsh Government, 2025). Consequently, firefighters often rely on informal and unvalidated learning practices, which may introduce unsafe variability into operational responses.</w:t>
      </w:r>
    </w:p>
    <w:p w14:paraId="5A8BA10C" w14:textId="192A4138" w:rsidR="00A92B6F" w:rsidRPr="003F31B2" w:rsidRDefault="00A92B6F" w:rsidP="003F31B2">
      <w:pPr>
        <w:jc w:val="both"/>
        <w:rPr>
          <w:rFonts w:asciiTheme="majorBidi" w:hAnsiTheme="majorBidi" w:cstheme="majorBidi"/>
          <w:sz w:val="24"/>
          <w:szCs w:val="24"/>
          <w:lang w:bidi="fa-IR"/>
        </w:rPr>
      </w:pPr>
      <w:r w:rsidRPr="003F31B2">
        <w:rPr>
          <w:rFonts w:asciiTheme="majorBidi" w:hAnsiTheme="majorBidi" w:cstheme="majorBidi"/>
          <w:sz w:val="24"/>
          <w:szCs w:val="24"/>
          <w:lang w:bidi="fa-IR"/>
        </w:rPr>
        <w:t>Microlearning has been proposed as a potential response to these constraints, offering short, focused learning interventions designed to integrate with operational workflows and reinforce critical skills incrementally (Cronin &amp; Durham, 2024; De Gagne et al., 2019). Theoretically, microlearning aligns with Cognitive Load Theory by reducing extraneous cognitive demands in high-pressure contexts (</w:t>
      </w:r>
      <w:proofErr w:type="spellStart"/>
      <w:r w:rsidRPr="003F31B2">
        <w:rPr>
          <w:rFonts w:asciiTheme="majorBidi" w:hAnsiTheme="majorBidi" w:cstheme="majorBidi"/>
          <w:sz w:val="24"/>
          <w:szCs w:val="24"/>
          <w:lang w:bidi="fa-IR"/>
        </w:rPr>
        <w:t>Sweller</w:t>
      </w:r>
      <w:proofErr w:type="spellEnd"/>
      <w:r w:rsidRPr="003F31B2">
        <w:rPr>
          <w:rFonts w:asciiTheme="majorBidi" w:hAnsiTheme="majorBidi" w:cstheme="majorBidi"/>
          <w:sz w:val="24"/>
          <w:szCs w:val="24"/>
          <w:lang w:bidi="fa-IR"/>
        </w:rPr>
        <w:t xml:space="preserve">, 2011) and with adult learning principles </w:t>
      </w:r>
      <w:r w:rsidR="000448F0" w:rsidRPr="003F31B2">
        <w:rPr>
          <w:rFonts w:asciiTheme="majorBidi" w:hAnsiTheme="majorBidi" w:cstheme="majorBidi"/>
          <w:sz w:val="24"/>
          <w:szCs w:val="24"/>
          <w:lang w:bidi="fa-IR"/>
        </w:rPr>
        <w:t>emphasizing</w:t>
      </w:r>
      <w:r w:rsidRPr="003F31B2">
        <w:rPr>
          <w:rFonts w:asciiTheme="majorBidi" w:hAnsiTheme="majorBidi" w:cstheme="majorBidi"/>
          <w:sz w:val="24"/>
          <w:szCs w:val="24"/>
          <w:lang w:bidi="fa-IR"/>
        </w:rPr>
        <w:t xml:space="preserve"> relevance and autonomy (Martin et al., 2014). However, evidence—largely derived from healthcare settings—suggests that high engagement does not necessarily translate into improved performance when interventions are poorly aligned with workplace realities (Osegueda et al., 2025). Despite growing interest, there is a notable absence of qualitative research examining firefighters’ perceptions of microlearning within UK or Welsh FRS contexts. Addressing this gap, the present study explores Welsh firefighters’ views on the usefulness, relevance, and practical feasibility of microlearning to inform context-sensitive training innovation in resource-constrained emergency services.</w:t>
      </w:r>
    </w:p>
    <w:p w14:paraId="39AE267F" w14:textId="77777777" w:rsidR="00134FD6" w:rsidRPr="006717A2" w:rsidRDefault="00134FD6" w:rsidP="003F31B2">
      <w:pPr>
        <w:jc w:val="both"/>
        <w:rPr>
          <w:rFonts w:asciiTheme="majorBidi" w:hAnsiTheme="majorBidi" w:cstheme="majorBidi"/>
          <w:b/>
          <w:bCs/>
        </w:rPr>
      </w:pPr>
      <w:r w:rsidRPr="006717A2">
        <w:rPr>
          <w:rFonts w:asciiTheme="majorBidi" w:hAnsiTheme="majorBidi" w:cstheme="majorBidi"/>
          <w:b/>
          <w:bCs/>
        </w:rPr>
        <w:t>Chosen Method</w:t>
      </w:r>
    </w:p>
    <w:p w14:paraId="6907A782" w14:textId="5BB341DB"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This study adopts an exploratory qualitative design to investigate how firefighters within the Welsh Fire and Rescue Services (FRS) perceive microlearning and its potential contribution to operational training, skill retention, and rapid decision-making. Qualitative inquiry is particularly appropriate in emerging pedagogical contexts where limited prior research exists and where in-depth, </w:t>
      </w:r>
      <w:r w:rsidR="000448F0" w:rsidRPr="003F31B2">
        <w:rPr>
          <w:rFonts w:asciiTheme="majorBidi" w:hAnsiTheme="majorBidi" w:cstheme="majorBidi"/>
        </w:rPr>
        <w:t>contextualized</w:t>
      </w:r>
      <w:r w:rsidRPr="003F31B2">
        <w:rPr>
          <w:rFonts w:asciiTheme="majorBidi" w:hAnsiTheme="majorBidi" w:cstheme="majorBidi"/>
        </w:rPr>
        <w:t xml:space="preserve"> understanding of practitioners’ experiences is required before broader policy implementation (De Gagne et al., 2019). Rather than testing predefined hypotheses, the study seeks to generate rich accounts of firefighters’ views on the purpose, usefulness, and feasibility of microlearning in high-risk, time-pressured environments, aligning with educational research paradigms that </w:t>
      </w:r>
      <w:r w:rsidR="000448F0" w:rsidRPr="003F31B2">
        <w:rPr>
          <w:rFonts w:asciiTheme="majorBidi" w:hAnsiTheme="majorBidi" w:cstheme="majorBidi"/>
        </w:rPr>
        <w:t>emphasize</w:t>
      </w:r>
      <w:r w:rsidRPr="003F31B2">
        <w:rPr>
          <w:rFonts w:asciiTheme="majorBidi" w:hAnsiTheme="majorBidi" w:cstheme="majorBidi"/>
        </w:rPr>
        <w:t xml:space="preserve"> practitioner voices in non-formal settings (Cohen et al., 2018).</w:t>
      </w:r>
    </w:p>
    <w:p w14:paraId="65B20A1B" w14:textId="1BE693A8" w:rsidR="00134FD6" w:rsidRPr="003F31B2" w:rsidRDefault="00134FD6" w:rsidP="003F31B2">
      <w:pPr>
        <w:jc w:val="both"/>
        <w:rPr>
          <w:rFonts w:asciiTheme="majorBidi" w:hAnsiTheme="majorBidi" w:cstheme="majorBidi"/>
        </w:rPr>
      </w:pPr>
      <w:r w:rsidRPr="003F31B2">
        <w:rPr>
          <w:rFonts w:asciiTheme="majorBidi" w:hAnsiTheme="majorBidi" w:cstheme="majorBidi"/>
        </w:rPr>
        <w:lastRenderedPageBreak/>
        <w:t xml:space="preserve">Ontologically, the research is grounded in interpretivism, and epistemologically, in constructivism. It assumes that firefighters’ understandings of training, risk, and learning are co-constructed through social interaction, </w:t>
      </w:r>
      <w:r w:rsidR="000448F0" w:rsidRPr="003F31B2">
        <w:rPr>
          <w:rFonts w:asciiTheme="majorBidi" w:hAnsiTheme="majorBidi" w:cstheme="majorBidi"/>
        </w:rPr>
        <w:t>organizational</w:t>
      </w:r>
      <w:r w:rsidRPr="003F31B2">
        <w:rPr>
          <w:rFonts w:asciiTheme="majorBidi" w:hAnsiTheme="majorBidi" w:cstheme="majorBidi"/>
        </w:rPr>
        <w:t xml:space="preserve"> culture, and lived operational experience. Knowledge is therefore viewed not as a fixed entity to be “extracted” from participants but as situated and contingent, emerging through dialogue between researcher and participants (Flick, 2014). This philosophical stance supports the use of in-depth, semi-structured interviews and reflexive thematic analysis, which collectively enable exploration of how meaning around microlearning is negotiated, rather than treating perceptions as static variables to be measured. Such alignment between philosophical assumptions and methodological techniques ensures conceptual coherence and strengthens the credibility of the research design, as advocated in educational research methodologies (Cohen et al., 2018).</w:t>
      </w:r>
    </w:p>
    <w:p w14:paraId="7A3A8C84" w14:textId="54513CC7" w:rsidR="001F18B5" w:rsidRPr="003F31B2" w:rsidRDefault="001F18B5" w:rsidP="003F31B2">
      <w:pPr>
        <w:jc w:val="both"/>
        <w:rPr>
          <w:rFonts w:asciiTheme="majorBidi" w:hAnsiTheme="majorBidi" w:cstheme="majorBidi"/>
        </w:rPr>
      </w:pPr>
      <w:r w:rsidRPr="003F31B2">
        <w:rPr>
          <w:rFonts w:asciiTheme="majorBidi" w:hAnsiTheme="majorBidi" w:cstheme="majorBidi"/>
        </w:rPr>
        <w:t xml:space="preserve">In comparison with quantitative approaches—which typically measure predefined variables such as training satisfaction or learning efficiency via surveys, Likert scales, or metrics—the chosen qualitative strategy </w:t>
      </w:r>
      <w:r w:rsidR="000448F0" w:rsidRPr="003F31B2">
        <w:rPr>
          <w:rFonts w:asciiTheme="majorBidi" w:hAnsiTheme="majorBidi" w:cstheme="majorBidi"/>
        </w:rPr>
        <w:t>prioritizes</w:t>
      </w:r>
      <w:r w:rsidRPr="003F31B2">
        <w:rPr>
          <w:rFonts w:asciiTheme="majorBidi" w:hAnsiTheme="majorBidi" w:cstheme="majorBidi"/>
        </w:rPr>
        <w:t xml:space="preserve"> meaning, depth, and process over mere quantification. For example, while quantitative methods can effectively capture satisfaction scores, they often overlook nuanced sociocultural factors shaping perceptions in FRS contexts (Flick, 2014). This limitation is particularly significant in a pedagogical environment where microlearning remains un-</w:t>
      </w:r>
      <w:r w:rsidR="000448F0" w:rsidRPr="003F31B2">
        <w:rPr>
          <w:rFonts w:asciiTheme="majorBidi" w:hAnsiTheme="majorBidi" w:cstheme="majorBidi"/>
        </w:rPr>
        <w:t>institutionalized</w:t>
      </w:r>
      <w:r w:rsidRPr="003F31B2">
        <w:rPr>
          <w:rFonts w:asciiTheme="majorBidi" w:hAnsiTheme="majorBidi" w:cstheme="majorBidi"/>
        </w:rPr>
        <w:t xml:space="preserve">, yielding wide variation in individual and </w:t>
      </w:r>
      <w:r w:rsidR="000448F0" w:rsidRPr="003F31B2">
        <w:rPr>
          <w:rFonts w:asciiTheme="majorBidi" w:hAnsiTheme="majorBidi" w:cstheme="majorBidi"/>
        </w:rPr>
        <w:t>organizational</w:t>
      </w:r>
      <w:r w:rsidRPr="003F31B2">
        <w:rPr>
          <w:rFonts w:asciiTheme="majorBidi" w:hAnsiTheme="majorBidi" w:cstheme="majorBidi"/>
        </w:rPr>
        <w:t xml:space="preserve"> interpretations. Qualitative inquiry thus offers essential flexibility to uncover emergent factors, unexpected influences, and sociocultural nuances—such as disparities between </w:t>
      </w:r>
      <w:r w:rsidR="000448F0" w:rsidRPr="003F31B2">
        <w:rPr>
          <w:rFonts w:asciiTheme="majorBidi" w:hAnsiTheme="majorBidi" w:cstheme="majorBidi"/>
        </w:rPr>
        <w:t>whole time</w:t>
      </w:r>
      <w:r w:rsidRPr="003F31B2">
        <w:rPr>
          <w:rFonts w:asciiTheme="majorBidi" w:hAnsiTheme="majorBidi" w:cstheme="majorBidi"/>
        </w:rPr>
        <w:t xml:space="preserve"> and RDS personnel—that drive firefighters’ experiences.</w:t>
      </w:r>
    </w:p>
    <w:p w14:paraId="332D9492" w14:textId="7D08E85A" w:rsidR="001F18B5" w:rsidRPr="003F31B2" w:rsidRDefault="001F18B5" w:rsidP="003F31B2">
      <w:pPr>
        <w:jc w:val="both"/>
        <w:rPr>
          <w:rFonts w:asciiTheme="majorBidi" w:hAnsiTheme="majorBidi" w:cstheme="majorBidi"/>
        </w:rPr>
      </w:pPr>
      <w:r w:rsidRPr="003F31B2">
        <w:rPr>
          <w:rFonts w:asciiTheme="majorBidi" w:hAnsiTheme="majorBidi" w:cstheme="majorBidi"/>
        </w:rPr>
        <w:t xml:space="preserve">Critically evaluating alternatives, mixed-methods designs could combine qualitative insights with quantitative data for triangulation, potentially strengthening robustness through thematic depth alongside statistical </w:t>
      </w:r>
      <w:r w:rsidR="000448F0" w:rsidRPr="003F31B2">
        <w:rPr>
          <w:rFonts w:asciiTheme="majorBidi" w:hAnsiTheme="majorBidi" w:cstheme="majorBidi"/>
        </w:rPr>
        <w:t>generalizability</w:t>
      </w:r>
      <w:r w:rsidRPr="003F31B2">
        <w:rPr>
          <w:rFonts w:asciiTheme="majorBidi" w:hAnsiTheme="majorBidi" w:cstheme="majorBidi"/>
        </w:rPr>
        <w:t xml:space="preserve"> (Cohen et al., 2018). However, such an approach was rejected here owing to the study’s exploratory focus and practical constraints in emergency services, including difficulties accessing sufficiently large samples for reliable quantitative components. Purely quantitative designs, meanwhile, risk </w:t>
      </w:r>
      <w:r w:rsidR="000448F0" w:rsidRPr="003F31B2">
        <w:rPr>
          <w:rFonts w:asciiTheme="majorBidi" w:hAnsiTheme="majorBidi" w:cstheme="majorBidi"/>
        </w:rPr>
        <w:t>decontextualizing</w:t>
      </w:r>
      <w:r w:rsidRPr="003F31B2">
        <w:rPr>
          <w:rFonts w:asciiTheme="majorBidi" w:hAnsiTheme="majorBidi" w:cstheme="majorBidi"/>
        </w:rPr>
        <w:t xml:space="preserve"> findings and failing to capture the distinctive informal and non-formal learning dynamics in FRS, such as ad-hoc peer exchanges during shifts (Welsh Government, 2022). Consequently, the selected pure qualitative strategy aligns most closely with the module’s requirement to critically evaluate research models within educational contexts.</w:t>
      </w:r>
    </w:p>
    <w:p w14:paraId="76A97F2D" w14:textId="04419769" w:rsidR="00134FD6" w:rsidRPr="003F31B2" w:rsidRDefault="00134FD6" w:rsidP="003F31B2">
      <w:pPr>
        <w:jc w:val="both"/>
        <w:rPr>
          <w:rFonts w:asciiTheme="majorBidi" w:hAnsiTheme="majorBidi" w:cstheme="majorBidi"/>
        </w:rPr>
      </w:pPr>
      <w:r w:rsidRPr="003F31B2">
        <w:rPr>
          <w:rFonts w:asciiTheme="majorBidi" w:hAnsiTheme="majorBidi" w:cstheme="majorBidi"/>
        </w:rPr>
        <w:t>The methodological framework is further informed by learning theories relevant to high-risk, time-pressured contexts. Cognitive Load Theory (</w:t>
      </w:r>
      <w:proofErr w:type="spellStart"/>
      <w:r w:rsidRPr="003F31B2">
        <w:rPr>
          <w:rFonts w:asciiTheme="majorBidi" w:hAnsiTheme="majorBidi" w:cstheme="majorBidi"/>
        </w:rPr>
        <w:t>Sweller</w:t>
      </w:r>
      <w:proofErr w:type="spellEnd"/>
      <w:r w:rsidRPr="003F31B2">
        <w:rPr>
          <w:rFonts w:asciiTheme="majorBidi" w:hAnsiTheme="majorBidi" w:cstheme="majorBidi"/>
        </w:rPr>
        <w:t>, 2011) suggests that instructional design must account for the limits of working memory, particularly when tasks are complex and stress is high; microlearning's concise units align with reducing extraneous load to facilitate rapid recall in operational scenarios (</w:t>
      </w:r>
      <w:proofErr w:type="spellStart"/>
      <w:r w:rsidRPr="003F31B2">
        <w:rPr>
          <w:rFonts w:asciiTheme="majorBidi" w:hAnsiTheme="majorBidi" w:cstheme="majorBidi"/>
        </w:rPr>
        <w:t>Keshtkaran</w:t>
      </w:r>
      <w:proofErr w:type="spellEnd"/>
      <w:r w:rsidRPr="003F31B2">
        <w:rPr>
          <w:rFonts w:asciiTheme="majorBidi" w:hAnsiTheme="majorBidi" w:cstheme="majorBidi"/>
        </w:rPr>
        <w:t xml:space="preserve"> et al., 2025). Situated Learning Theory (Lave &amp; Wenger, 1991) underscores the importance of embedding knowledge within authentic practice, </w:t>
      </w:r>
      <w:r w:rsidR="000448F0" w:rsidRPr="003F31B2">
        <w:rPr>
          <w:rFonts w:asciiTheme="majorBidi" w:hAnsiTheme="majorBidi" w:cstheme="majorBidi"/>
        </w:rPr>
        <w:t>emphasizing</w:t>
      </w:r>
      <w:r w:rsidRPr="003F31B2">
        <w:rPr>
          <w:rFonts w:asciiTheme="majorBidi" w:hAnsiTheme="majorBidi" w:cstheme="majorBidi"/>
        </w:rPr>
        <w:t xml:space="preserve"> participation in communities of practice as central to learning—this is highly relevant to FRS settings, where learning often occurs through drills, scenarios, and informal peer exchange rather than isolated, </w:t>
      </w:r>
      <w:r w:rsidR="000448F0" w:rsidRPr="003F31B2">
        <w:rPr>
          <w:rFonts w:asciiTheme="majorBidi" w:hAnsiTheme="majorBidi" w:cstheme="majorBidi"/>
        </w:rPr>
        <w:t>decontextualized</w:t>
      </w:r>
      <w:r w:rsidRPr="003F31B2">
        <w:rPr>
          <w:rFonts w:asciiTheme="majorBidi" w:hAnsiTheme="majorBidi" w:cstheme="majorBidi"/>
        </w:rPr>
        <w:t xml:space="preserve"> instruction (Welsh Government, 2022). Additionally, principles of spaced repetition (Cepeda et al., 2006) inform the study’s interest in microlearning as a potential mechanism for reinforcing rarely used but safety-critical competencies over time, addressing skill decay noted in policy reviews (HMICFRS, 2023).</w:t>
      </w:r>
    </w:p>
    <w:p w14:paraId="5F80CEE4" w14:textId="187AB81F" w:rsidR="001F18B5" w:rsidRPr="003F31B2" w:rsidRDefault="001F18B5" w:rsidP="003F31B2">
      <w:pPr>
        <w:jc w:val="both"/>
        <w:rPr>
          <w:rFonts w:asciiTheme="majorBidi" w:hAnsiTheme="majorBidi" w:cstheme="majorBidi"/>
        </w:rPr>
      </w:pPr>
      <w:r w:rsidRPr="003F31B2">
        <w:rPr>
          <w:rFonts w:asciiTheme="majorBidi" w:hAnsiTheme="majorBidi" w:cstheme="majorBidi"/>
        </w:rPr>
        <w:t xml:space="preserve">These theoretical perspectives serve as </w:t>
      </w:r>
      <w:r w:rsidR="000448F0" w:rsidRPr="003F31B2">
        <w:rPr>
          <w:rFonts w:asciiTheme="majorBidi" w:hAnsiTheme="majorBidi" w:cstheme="majorBidi"/>
        </w:rPr>
        <w:t>sensitizing</w:t>
      </w:r>
      <w:r w:rsidRPr="003F31B2">
        <w:rPr>
          <w:rFonts w:asciiTheme="majorBidi" w:hAnsiTheme="majorBidi" w:cstheme="majorBidi"/>
        </w:rPr>
        <w:t xml:space="preserve"> concepts rather than rigid frameworks, informing interview question design (e.g., probing cognitive overload during incidents, peer-based learning, or revisiting rare procedures) while privileging participants’ own meanings. Consistent with Braun and Clarke’s (2019) reflexive approach, theory guides later interpretation without imposing predetermined codes, ensuring fidelity to lived realities.</w:t>
      </w:r>
    </w:p>
    <w:p w14:paraId="6B8DF03F" w14:textId="1CD57E8D" w:rsidR="001F18B5" w:rsidRPr="003F31B2" w:rsidRDefault="001F18B5" w:rsidP="003F31B2">
      <w:pPr>
        <w:jc w:val="both"/>
        <w:rPr>
          <w:rFonts w:asciiTheme="majorBidi" w:hAnsiTheme="majorBidi" w:cstheme="majorBidi"/>
        </w:rPr>
      </w:pPr>
      <w:r w:rsidRPr="003F31B2">
        <w:rPr>
          <w:rFonts w:asciiTheme="majorBidi" w:hAnsiTheme="majorBidi" w:cstheme="majorBidi"/>
        </w:rPr>
        <w:lastRenderedPageBreak/>
        <w:t xml:space="preserve">Semi-structured interviews are chosen as the primary data-collection method for balancing consistency and openness. A flexible schedule covers key domains—current training constraints, digital learning experiences, perceived microlearning strengths/risks, and </w:t>
      </w:r>
      <w:r w:rsidR="000448F0" w:rsidRPr="003F31B2">
        <w:rPr>
          <w:rFonts w:asciiTheme="majorBidi" w:hAnsiTheme="majorBidi" w:cstheme="majorBidi"/>
        </w:rPr>
        <w:t>organizational</w:t>
      </w:r>
      <w:r w:rsidRPr="003F31B2">
        <w:rPr>
          <w:rFonts w:asciiTheme="majorBidi" w:hAnsiTheme="majorBidi" w:cstheme="majorBidi"/>
        </w:rPr>
        <w:t xml:space="preserve"> enablers/barriers—while permitting unanticipated issues to emerge. This flexibility is crucial in emergency-service contexts, where accounts may reference critical incidents, team culture, or informal practices, potentially uncovering barriers such as technological disparities (Foster, 2021). Interviews (30–45 minutes) will be conducted in-person at stations or online, accommodating operational demands to ensure accessibility, depth, and minimal participant fatigue.</w:t>
      </w:r>
    </w:p>
    <w:p w14:paraId="3F467E8C" w14:textId="77777777" w:rsidR="001F18B5" w:rsidRPr="003F31B2" w:rsidRDefault="001F18B5" w:rsidP="003F31B2">
      <w:pPr>
        <w:jc w:val="both"/>
        <w:rPr>
          <w:rFonts w:asciiTheme="majorBidi" w:hAnsiTheme="majorBidi" w:cstheme="majorBidi"/>
        </w:rPr>
      </w:pPr>
      <w:r w:rsidRPr="003F31B2">
        <w:rPr>
          <w:rFonts w:asciiTheme="majorBidi" w:hAnsiTheme="majorBidi" w:cstheme="majorBidi"/>
        </w:rPr>
        <w:t>Trustworthiness will be enhanced through reflexive journaling and pilot testing of questions. Reflexivity monitors researcher assumptions influencing interpretation, while piloting refines language, tone, and length for contextual fit. These measures promote methodological transparency, ethical integrity, and alignment with qualitative validity criteria (Lincoln &amp; Guba, 1985).</w:t>
      </w:r>
    </w:p>
    <w:p w14:paraId="0E719CCD" w14:textId="50F93A5E" w:rsidR="001F18B5" w:rsidRPr="003F31B2" w:rsidRDefault="001F18B5" w:rsidP="003F31B2">
      <w:pPr>
        <w:jc w:val="both"/>
        <w:rPr>
          <w:rFonts w:asciiTheme="majorBidi" w:hAnsiTheme="majorBidi" w:cstheme="majorBidi"/>
        </w:rPr>
      </w:pPr>
      <w:r w:rsidRPr="003F31B2">
        <w:rPr>
          <w:rFonts w:asciiTheme="majorBidi" w:hAnsiTheme="majorBidi" w:cstheme="majorBidi"/>
        </w:rPr>
        <w:t xml:space="preserve">Reflexive Thematic Analysis (RTA), as outlined by Braun and Clarke (2006, 2019), is selected as the analytic method due to its alignment with the study’s interpretivist and constructivist foundations, supporting both inductive and theoretically informed interpretation. The process involves iterative cycles: </w:t>
      </w:r>
      <w:r w:rsidR="000448F0" w:rsidRPr="003F31B2">
        <w:rPr>
          <w:rFonts w:asciiTheme="majorBidi" w:hAnsiTheme="majorBidi" w:cstheme="majorBidi"/>
        </w:rPr>
        <w:t>familiarization</w:t>
      </w:r>
      <w:r w:rsidRPr="003F31B2">
        <w:rPr>
          <w:rFonts w:asciiTheme="majorBidi" w:hAnsiTheme="majorBidi" w:cstheme="majorBidi"/>
        </w:rPr>
        <w:t xml:space="preserve"> with transcripts, inductive generation of initial codes, development and refinement of candidate themes, and construction of a narrative integrating themes with relevant literature and theory. This allows themes on microlearning’s perceived relevance, risks, and practicalities to emerge directly from participants’ accounts, while remaining </w:t>
      </w:r>
      <w:r w:rsidR="000448F0" w:rsidRPr="003F31B2">
        <w:rPr>
          <w:rFonts w:asciiTheme="majorBidi" w:hAnsiTheme="majorBidi" w:cstheme="majorBidi"/>
        </w:rPr>
        <w:t>sensitized</w:t>
      </w:r>
      <w:r w:rsidRPr="003F31B2">
        <w:rPr>
          <w:rFonts w:asciiTheme="majorBidi" w:hAnsiTheme="majorBidi" w:cstheme="majorBidi"/>
        </w:rPr>
        <w:t xml:space="preserve"> to Cognitive Load Theory, Situated Learning, and workplace learning literature—particularly for interpreting issues of time pressure, cognitive demand, team coordination, and informal interactions.</w:t>
      </w:r>
    </w:p>
    <w:p w14:paraId="37991314" w14:textId="4ED622FC" w:rsidR="001F18B5" w:rsidRPr="003F31B2" w:rsidRDefault="001F18B5" w:rsidP="003F31B2">
      <w:pPr>
        <w:jc w:val="both"/>
        <w:rPr>
          <w:rFonts w:asciiTheme="majorBidi" w:hAnsiTheme="majorBidi" w:cstheme="majorBidi"/>
        </w:rPr>
      </w:pPr>
      <w:r w:rsidRPr="003F31B2">
        <w:rPr>
          <w:rFonts w:asciiTheme="majorBidi" w:hAnsiTheme="majorBidi" w:cstheme="majorBidi"/>
        </w:rPr>
        <w:t xml:space="preserve">NVivo software will facilitate systematic data management, coding, and retrieval, promoting transparency and auditability. However, analytical decisions will </w:t>
      </w:r>
      <w:r w:rsidR="000448F0" w:rsidRPr="003F31B2">
        <w:rPr>
          <w:rFonts w:asciiTheme="majorBidi" w:hAnsiTheme="majorBidi" w:cstheme="majorBidi"/>
        </w:rPr>
        <w:t>prioritize</w:t>
      </w:r>
      <w:r w:rsidRPr="003F31B2">
        <w:rPr>
          <w:rFonts w:asciiTheme="majorBidi" w:hAnsiTheme="majorBidi" w:cstheme="majorBidi"/>
        </w:rPr>
        <w:t xml:space="preserve"> the researcher’s interpretive judgement over automation to preserve context-sensitive meaning construction reflective of </w:t>
      </w:r>
      <w:proofErr w:type="gramStart"/>
      <w:r w:rsidRPr="003F31B2">
        <w:rPr>
          <w:rFonts w:asciiTheme="majorBidi" w:hAnsiTheme="majorBidi" w:cstheme="majorBidi"/>
        </w:rPr>
        <w:t>participants’</w:t>
      </w:r>
      <w:proofErr w:type="gramEnd"/>
      <w:r w:rsidRPr="003F31B2">
        <w:rPr>
          <w:rFonts w:asciiTheme="majorBidi" w:hAnsiTheme="majorBidi" w:cstheme="majorBidi"/>
        </w:rPr>
        <w:t xml:space="preserve"> lived realities. Reflexivity will be sustained through analytic memos documenting how the researcher’s background, policy familiarity, or assumptions about digital learning may influence interpretation, thereby mitigating biases (Flick, 2014).</w:t>
      </w:r>
    </w:p>
    <w:p w14:paraId="067DBF5C" w14:textId="77777777" w:rsidR="001F18B5" w:rsidRPr="003F31B2" w:rsidRDefault="001F18B5" w:rsidP="003F31B2">
      <w:pPr>
        <w:jc w:val="both"/>
        <w:rPr>
          <w:rFonts w:asciiTheme="majorBidi" w:hAnsiTheme="majorBidi" w:cstheme="majorBidi"/>
        </w:rPr>
      </w:pPr>
      <w:r w:rsidRPr="003F31B2">
        <w:rPr>
          <w:rFonts w:asciiTheme="majorBidi" w:hAnsiTheme="majorBidi" w:cstheme="majorBidi"/>
        </w:rPr>
        <w:t>To enhance credibility, transferability, and dependability, the study will maintain an explicit decision trail, conduct peer debriefing with supervisors, and—where feasible—member reflection with participants (Lincoln &amp; Guba, 1985).</w:t>
      </w:r>
    </w:p>
    <w:p w14:paraId="2122DEC7" w14:textId="77777777" w:rsidR="001F18B5" w:rsidRPr="003F31B2" w:rsidRDefault="001F18B5" w:rsidP="003F31B2">
      <w:pPr>
        <w:jc w:val="both"/>
        <w:rPr>
          <w:rFonts w:asciiTheme="majorBidi" w:hAnsiTheme="majorBidi" w:cstheme="majorBidi"/>
        </w:rPr>
      </w:pPr>
      <w:r w:rsidRPr="003F31B2">
        <w:rPr>
          <w:rFonts w:asciiTheme="majorBidi" w:hAnsiTheme="majorBidi" w:cstheme="majorBidi"/>
        </w:rPr>
        <w:t>Overall, this qualitative, interpretivist, and theoretically informed approach is purposefully designed to address the study’s three central research questions:</w:t>
      </w:r>
    </w:p>
    <w:p w14:paraId="51C92E2A" w14:textId="77777777" w:rsidR="00134FD6" w:rsidRPr="003F31B2" w:rsidRDefault="00134FD6" w:rsidP="003F31B2">
      <w:pPr>
        <w:numPr>
          <w:ilvl w:val="0"/>
          <w:numId w:val="32"/>
        </w:numPr>
        <w:jc w:val="both"/>
        <w:rPr>
          <w:rFonts w:asciiTheme="majorBidi" w:hAnsiTheme="majorBidi" w:cstheme="majorBidi"/>
        </w:rPr>
      </w:pPr>
      <w:r w:rsidRPr="003F31B2">
        <w:rPr>
          <w:rFonts w:asciiTheme="majorBidi" w:hAnsiTheme="majorBidi" w:cstheme="majorBidi"/>
        </w:rPr>
        <w:t>How do firefighters perceive microlearning’s purpose and usefulness in the FRS context?</w:t>
      </w:r>
    </w:p>
    <w:p w14:paraId="2DFCF21A" w14:textId="77777777" w:rsidR="00134FD6" w:rsidRPr="003F31B2" w:rsidRDefault="00134FD6" w:rsidP="003F31B2">
      <w:pPr>
        <w:numPr>
          <w:ilvl w:val="0"/>
          <w:numId w:val="32"/>
        </w:numPr>
        <w:jc w:val="both"/>
        <w:rPr>
          <w:rFonts w:asciiTheme="majorBidi" w:hAnsiTheme="majorBidi" w:cstheme="majorBidi"/>
        </w:rPr>
      </w:pPr>
      <w:r w:rsidRPr="003F31B2">
        <w:rPr>
          <w:rFonts w:asciiTheme="majorBidi" w:hAnsiTheme="majorBidi" w:cstheme="majorBidi"/>
        </w:rPr>
        <w:t>Which operational skills and forms of knowledge are most suited to microlearning delivery?</w:t>
      </w:r>
    </w:p>
    <w:p w14:paraId="5BE0980D" w14:textId="5B4F3F67" w:rsidR="00134FD6" w:rsidRPr="003F31B2" w:rsidRDefault="00134FD6" w:rsidP="003F31B2">
      <w:pPr>
        <w:numPr>
          <w:ilvl w:val="0"/>
          <w:numId w:val="32"/>
        </w:numPr>
        <w:jc w:val="both"/>
        <w:rPr>
          <w:rFonts w:asciiTheme="majorBidi" w:hAnsiTheme="majorBidi" w:cstheme="majorBidi"/>
        </w:rPr>
      </w:pPr>
      <w:r w:rsidRPr="003F31B2">
        <w:rPr>
          <w:rFonts w:asciiTheme="majorBidi" w:hAnsiTheme="majorBidi" w:cstheme="majorBidi"/>
        </w:rPr>
        <w:t xml:space="preserve">Which </w:t>
      </w:r>
      <w:r w:rsidR="000448F0" w:rsidRPr="003F31B2">
        <w:rPr>
          <w:rFonts w:asciiTheme="majorBidi" w:hAnsiTheme="majorBidi" w:cstheme="majorBidi"/>
        </w:rPr>
        <w:t>organizational</w:t>
      </w:r>
      <w:r w:rsidRPr="003F31B2">
        <w:rPr>
          <w:rFonts w:asciiTheme="majorBidi" w:hAnsiTheme="majorBidi" w:cstheme="majorBidi"/>
        </w:rPr>
        <w:t>, cultural, and workflow factors enable or constrain its integration into everyday practice?</w:t>
      </w:r>
    </w:p>
    <w:p w14:paraId="523604EF" w14:textId="5CAC3D9A" w:rsidR="001F18B5" w:rsidRDefault="00DF5ED8" w:rsidP="003F31B2">
      <w:pPr>
        <w:jc w:val="both"/>
        <w:rPr>
          <w:rFonts w:asciiTheme="majorBidi" w:hAnsiTheme="majorBidi" w:cstheme="majorBidi"/>
        </w:rPr>
      </w:pPr>
      <w:r w:rsidRPr="003F31B2">
        <w:rPr>
          <w:rFonts w:asciiTheme="majorBidi" w:hAnsiTheme="majorBidi" w:cstheme="majorBidi"/>
        </w:rPr>
        <w:t xml:space="preserve">By </w:t>
      </w:r>
      <w:r w:rsidR="000448F0" w:rsidRPr="003F31B2">
        <w:rPr>
          <w:rFonts w:asciiTheme="majorBidi" w:hAnsiTheme="majorBidi" w:cstheme="majorBidi"/>
        </w:rPr>
        <w:t>prioritizing</w:t>
      </w:r>
      <w:r w:rsidRPr="003F31B2">
        <w:rPr>
          <w:rFonts w:asciiTheme="majorBidi" w:hAnsiTheme="majorBidi" w:cstheme="majorBidi"/>
        </w:rPr>
        <w:t xml:space="preserve"> </w:t>
      </w:r>
      <w:proofErr w:type="gramStart"/>
      <w:r w:rsidRPr="003F31B2">
        <w:rPr>
          <w:rFonts w:asciiTheme="majorBidi" w:hAnsiTheme="majorBidi" w:cstheme="majorBidi"/>
        </w:rPr>
        <w:t>firefighters’</w:t>
      </w:r>
      <w:proofErr w:type="gramEnd"/>
      <w:r w:rsidRPr="003F31B2">
        <w:rPr>
          <w:rFonts w:asciiTheme="majorBidi" w:hAnsiTheme="majorBidi" w:cstheme="majorBidi"/>
        </w:rPr>
        <w:t xml:space="preserve"> lived experiences within theoretical and policy frameworks, the study generates context-sensitive, actionable insights for training innovation and evidence-based decision-making, avoiding uncritical cross-sector transfers (e.g., from healthcare) while contributing to non-formal educational research.</w:t>
      </w:r>
    </w:p>
    <w:p w14:paraId="3D9C3852" w14:textId="77777777" w:rsidR="000448F0" w:rsidRPr="003F31B2" w:rsidRDefault="000448F0" w:rsidP="003F31B2">
      <w:pPr>
        <w:jc w:val="both"/>
        <w:rPr>
          <w:rFonts w:asciiTheme="majorBidi" w:hAnsiTheme="majorBidi" w:cstheme="majorBidi"/>
        </w:rPr>
      </w:pPr>
    </w:p>
    <w:p w14:paraId="7D683956" w14:textId="77777777" w:rsidR="00DF5ED8" w:rsidRPr="003F31B2" w:rsidRDefault="00DF5ED8" w:rsidP="003F31B2">
      <w:pPr>
        <w:jc w:val="both"/>
        <w:rPr>
          <w:rFonts w:asciiTheme="majorBidi" w:hAnsiTheme="majorBidi" w:cstheme="majorBidi"/>
          <w:b/>
          <w:bCs/>
        </w:rPr>
      </w:pPr>
      <w:r w:rsidRPr="003F31B2">
        <w:rPr>
          <w:rFonts w:asciiTheme="majorBidi" w:hAnsiTheme="majorBidi" w:cstheme="majorBidi"/>
          <w:b/>
          <w:bCs/>
        </w:rPr>
        <w:lastRenderedPageBreak/>
        <w:t>Sampling</w:t>
      </w:r>
    </w:p>
    <w:p w14:paraId="226C8364" w14:textId="4DF9F032" w:rsidR="00DF5ED8" w:rsidRPr="003F31B2" w:rsidRDefault="00DF5ED8" w:rsidP="003F31B2">
      <w:pPr>
        <w:jc w:val="both"/>
        <w:rPr>
          <w:rFonts w:asciiTheme="majorBidi" w:hAnsiTheme="majorBidi" w:cstheme="majorBidi"/>
        </w:rPr>
      </w:pPr>
      <w:r w:rsidRPr="003F31B2">
        <w:rPr>
          <w:rFonts w:asciiTheme="majorBidi" w:hAnsiTheme="majorBidi" w:cstheme="majorBidi"/>
        </w:rPr>
        <w:t xml:space="preserve">This study will employ purposive sampling to recruit operational firefighters from Welsh Fire and Rescue Services (FRS), aiming to capture diverse perspectives across roles and contractual arrangements. Purposive sampling is selected because the research </w:t>
      </w:r>
      <w:r w:rsidR="000448F0" w:rsidRPr="003F31B2">
        <w:rPr>
          <w:rFonts w:asciiTheme="majorBidi" w:hAnsiTheme="majorBidi" w:cstheme="majorBidi"/>
        </w:rPr>
        <w:t>prioritizes</w:t>
      </w:r>
      <w:r w:rsidRPr="003F31B2">
        <w:rPr>
          <w:rFonts w:asciiTheme="majorBidi" w:hAnsiTheme="majorBidi" w:cstheme="majorBidi"/>
        </w:rPr>
        <w:t xml:space="preserve"> information-rich cases over statistical representativeness, focusing on participants with direct experience of operational training and capacity to provide insight into microlearning’s feasibility in high-risk, resource-constrained settings (Palinkas et al., 2015). This approach aligns with qualitative traditions in educational and </w:t>
      </w:r>
      <w:r w:rsidR="000448F0" w:rsidRPr="003F31B2">
        <w:rPr>
          <w:rFonts w:asciiTheme="majorBidi" w:hAnsiTheme="majorBidi" w:cstheme="majorBidi"/>
        </w:rPr>
        <w:t>organizational</w:t>
      </w:r>
      <w:r w:rsidRPr="003F31B2">
        <w:rPr>
          <w:rFonts w:asciiTheme="majorBidi" w:hAnsiTheme="majorBidi" w:cstheme="majorBidi"/>
        </w:rPr>
        <w:t xml:space="preserve"> research, where the goal is depth of understanding rather than </w:t>
      </w:r>
      <w:r w:rsidR="000448F0" w:rsidRPr="003F31B2">
        <w:rPr>
          <w:rFonts w:asciiTheme="majorBidi" w:hAnsiTheme="majorBidi" w:cstheme="majorBidi"/>
        </w:rPr>
        <w:t>generalizability</w:t>
      </w:r>
      <w:r w:rsidRPr="003F31B2">
        <w:rPr>
          <w:rFonts w:asciiTheme="majorBidi" w:hAnsiTheme="majorBidi" w:cstheme="majorBidi"/>
        </w:rPr>
        <w:t xml:space="preserve"> to larger populations (Cohen et al., 2018). Firefighters are ideally positioned to evaluate how current training aligns (or fails to align) with incident realities, shift patterns, and </w:t>
      </w:r>
      <w:r w:rsidR="000448F0" w:rsidRPr="003F31B2">
        <w:rPr>
          <w:rFonts w:asciiTheme="majorBidi" w:hAnsiTheme="majorBidi" w:cstheme="majorBidi"/>
        </w:rPr>
        <w:t>organizational</w:t>
      </w:r>
      <w:r w:rsidRPr="003F31B2">
        <w:rPr>
          <w:rFonts w:asciiTheme="majorBidi" w:hAnsiTheme="majorBidi" w:cstheme="majorBidi"/>
        </w:rPr>
        <w:t xml:space="preserve"> culture, offering </w:t>
      </w:r>
      <w:r w:rsidR="000448F0" w:rsidRPr="003F31B2">
        <w:rPr>
          <w:rFonts w:asciiTheme="majorBidi" w:hAnsiTheme="majorBidi" w:cstheme="majorBidi"/>
        </w:rPr>
        <w:t>contextualized</w:t>
      </w:r>
      <w:r w:rsidRPr="003F31B2">
        <w:rPr>
          <w:rFonts w:asciiTheme="majorBidi" w:hAnsiTheme="majorBidi" w:cstheme="majorBidi"/>
        </w:rPr>
        <w:t xml:space="preserve"> views essential for exploring non-formal learning innovations.</w:t>
      </w:r>
    </w:p>
    <w:p w14:paraId="37F96394" w14:textId="7612FE55" w:rsidR="00DF5ED8" w:rsidRPr="003F31B2" w:rsidRDefault="00DF5ED8" w:rsidP="003F31B2">
      <w:pPr>
        <w:jc w:val="both"/>
        <w:rPr>
          <w:rFonts w:asciiTheme="majorBidi" w:hAnsiTheme="majorBidi" w:cstheme="majorBidi"/>
        </w:rPr>
      </w:pPr>
      <w:r w:rsidRPr="003F31B2">
        <w:rPr>
          <w:rFonts w:asciiTheme="majorBidi" w:hAnsiTheme="majorBidi" w:cstheme="majorBidi"/>
        </w:rPr>
        <w:t xml:space="preserve">A key criterion is inclusion of both </w:t>
      </w:r>
      <w:r w:rsidR="000448F0" w:rsidRPr="003F31B2">
        <w:rPr>
          <w:rFonts w:asciiTheme="majorBidi" w:hAnsiTheme="majorBidi" w:cstheme="majorBidi"/>
        </w:rPr>
        <w:t>whole time</w:t>
      </w:r>
      <w:r w:rsidRPr="003F31B2">
        <w:rPr>
          <w:rFonts w:asciiTheme="majorBidi" w:hAnsiTheme="majorBidi" w:cstheme="majorBidi"/>
        </w:rPr>
        <w:t xml:space="preserve"> and Retained Duty System (RDS) personnel. Policy reviews highlight persistent disparities, with RDS firefighters facing greater skill decay due to restricted access to scheduled sessions and frequent cancellations (Welsh Government, 2022; HMICFRS, 2023). These inequities stem from structural differences: </w:t>
      </w:r>
      <w:r w:rsidR="000448F0" w:rsidRPr="003F31B2">
        <w:rPr>
          <w:rFonts w:asciiTheme="majorBidi" w:hAnsiTheme="majorBidi" w:cstheme="majorBidi"/>
        </w:rPr>
        <w:t>whole time</w:t>
      </w:r>
      <w:r w:rsidRPr="003F31B2">
        <w:rPr>
          <w:rFonts w:asciiTheme="majorBidi" w:hAnsiTheme="majorBidi" w:cstheme="majorBidi"/>
        </w:rPr>
        <w:t xml:space="preserve"> staff benefit from regular shifts and on-site facilities, while RDS personnel often balance firefighting with primary employment, leading to compressed or missed training. Incorporating both groups enables critical examination of whether microlearning is viewed as an equitable solution—potentially bridging access gaps through flexible, on-demand delivery—or merely an additional burden that exacerbates fatigue without addressing core resourcing issues. Further diversity will be sought in years of service (novice to veteran), station type (urban/rural, reflecting varying incident profiles), and prior exposure to digital learning tools to </w:t>
      </w:r>
      <w:r w:rsidR="000448F0" w:rsidRPr="003F31B2">
        <w:rPr>
          <w:rFonts w:asciiTheme="majorBidi" w:hAnsiTheme="majorBidi" w:cstheme="majorBidi"/>
        </w:rPr>
        <w:t>maximize</w:t>
      </w:r>
      <w:r w:rsidRPr="003F31B2">
        <w:rPr>
          <w:rFonts w:asciiTheme="majorBidi" w:hAnsiTheme="majorBidi" w:cstheme="majorBidi"/>
        </w:rPr>
        <w:t xml:space="preserve"> variation in viewpoints and uncover nuanced influences on perceptions.</w:t>
      </w:r>
    </w:p>
    <w:p w14:paraId="756DECD8" w14:textId="7F23EE30" w:rsidR="00DF5ED8" w:rsidRPr="003F31B2" w:rsidRDefault="00DF5ED8" w:rsidP="003F31B2">
      <w:pPr>
        <w:jc w:val="both"/>
        <w:rPr>
          <w:rFonts w:asciiTheme="majorBidi" w:hAnsiTheme="majorBidi" w:cstheme="majorBidi"/>
        </w:rPr>
      </w:pPr>
      <w:r w:rsidRPr="003F31B2">
        <w:rPr>
          <w:rFonts w:asciiTheme="majorBidi" w:hAnsiTheme="majorBidi" w:cstheme="majorBidi"/>
        </w:rPr>
        <w:t>The target sample size is 8–12 participants, a range consistent with qualitative studies in emergency services that achieve thematic saturation while preserving depth in individual accounts (Heydari et al., 2022). Rather than a fixed target, recruitment will follow an “information power” approach (</w:t>
      </w:r>
      <w:proofErr w:type="spellStart"/>
      <w:r w:rsidRPr="003F31B2">
        <w:rPr>
          <w:rFonts w:asciiTheme="majorBidi" w:hAnsiTheme="majorBidi" w:cstheme="majorBidi"/>
        </w:rPr>
        <w:t>Malterud</w:t>
      </w:r>
      <w:proofErr w:type="spellEnd"/>
      <w:r w:rsidRPr="003F31B2">
        <w:rPr>
          <w:rFonts w:asciiTheme="majorBidi" w:hAnsiTheme="majorBidi" w:cstheme="majorBidi"/>
        </w:rPr>
        <w:t xml:space="preserve"> et al., 2016): the final number will depend on data richness, diversity, research question specificity, and emerging thematic redundancy during concurrent analysis. This flexible stance ensures efficiency without compromising interpretive </w:t>
      </w:r>
      <w:r w:rsidR="000448F0" w:rsidRPr="003F31B2">
        <w:rPr>
          <w:rFonts w:asciiTheme="majorBidi" w:hAnsiTheme="majorBidi" w:cstheme="majorBidi"/>
        </w:rPr>
        <w:t>rigout</w:t>
      </w:r>
      <w:r w:rsidRPr="003F31B2">
        <w:rPr>
          <w:rFonts w:asciiTheme="majorBidi" w:hAnsiTheme="majorBidi" w:cstheme="majorBidi"/>
        </w:rPr>
        <w:t>, particularly in contexts where access is constrained.</w:t>
      </w:r>
    </w:p>
    <w:p w14:paraId="152410A2" w14:textId="5C2C7E33" w:rsidR="00DF5ED8" w:rsidRPr="003F31B2" w:rsidRDefault="00DF5ED8" w:rsidP="003F31B2">
      <w:pPr>
        <w:jc w:val="both"/>
        <w:rPr>
          <w:rFonts w:asciiTheme="majorBidi" w:hAnsiTheme="majorBidi" w:cstheme="majorBidi"/>
        </w:rPr>
      </w:pPr>
      <w:r w:rsidRPr="003F31B2">
        <w:rPr>
          <w:rFonts w:asciiTheme="majorBidi" w:hAnsiTheme="majorBidi" w:cstheme="majorBidi"/>
        </w:rPr>
        <w:t xml:space="preserve">Recruitment will involve collaboration with FRS training or </w:t>
      </w:r>
      <w:r w:rsidR="000448F0" w:rsidRPr="003F31B2">
        <w:rPr>
          <w:rFonts w:asciiTheme="majorBidi" w:hAnsiTheme="majorBidi" w:cstheme="majorBidi"/>
        </w:rPr>
        <w:t>organizational</w:t>
      </w:r>
      <w:r w:rsidRPr="003F31B2">
        <w:rPr>
          <w:rFonts w:asciiTheme="majorBidi" w:hAnsiTheme="majorBidi" w:cstheme="majorBidi"/>
        </w:rPr>
        <w:t xml:space="preserve"> leads acting as gatekeepers, who will circulate a broad invitation outlining the study’s aims, voluntary nature, and minimal time commitment (30–45 minutes). The invitation will explicitly state that participation has no employment consequences, reinforcing ethical voluntariness. To reduce gatekeeper bias and perceived pressure—common in hierarchical </w:t>
      </w:r>
      <w:r w:rsidR="000448F0" w:rsidRPr="003F31B2">
        <w:rPr>
          <w:rFonts w:asciiTheme="majorBidi" w:hAnsiTheme="majorBidi" w:cstheme="majorBidi"/>
        </w:rPr>
        <w:t>organizations</w:t>
      </w:r>
      <w:r w:rsidRPr="003F31B2">
        <w:rPr>
          <w:rFonts w:asciiTheme="majorBidi" w:hAnsiTheme="majorBidi" w:cstheme="majorBidi"/>
        </w:rPr>
        <w:t xml:space="preserve">—instructions will </w:t>
      </w:r>
      <w:r w:rsidR="000448F0" w:rsidRPr="003F31B2">
        <w:rPr>
          <w:rFonts w:asciiTheme="majorBidi" w:hAnsiTheme="majorBidi" w:cstheme="majorBidi"/>
        </w:rPr>
        <w:t>emphasize</w:t>
      </w:r>
      <w:r w:rsidRPr="003F31B2">
        <w:rPr>
          <w:rFonts w:asciiTheme="majorBidi" w:hAnsiTheme="majorBidi" w:cstheme="majorBidi"/>
        </w:rPr>
        <w:t xml:space="preserve"> wide distribution across stations and roles, with interested individuals contacting the researcher directly for confidentiality.</w:t>
      </w:r>
    </w:p>
    <w:p w14:paraId="239EDB90" w14:textId="77777777" w:rsidR="00DF5ED8" w:rsidRPr="003F31B2" w:rsidRDefault="00DF5ED8" w:rsidP="003F31B2">
      <w:pPr>
        <w:jc w:val="both"/>
        <w:rPr>
          <w:rFonts w:asciiTheme="majorBidi" w:hAnsiTheme="majorBidi" w:cstheme="majorBidi"/>
        </w:rPr>
      </w:pPr>
      <w:r w:rsidRPr="003F31B2">
        <w:rPr>
          <w:rFonts w:asciiTheme="majorBidi" w:hAnsiTheme="majorBidi" w:cstheme="majorBidi"/>
        </w:rPr>
        <w:t>Operational realities require flexibility. Unpredictable incidents, shift rotations, and workload fluctuations may disrupt pre-arranged interviews, reflecting the high-stakes nature of FRS work. Recruitment may therefore be supplemented by approaching available personnel during downtime (e.g., post-training or quieter station periods), introducing a convenience element. This hybrid strategy is justified by the context but will be acknowledged as a limitation, potentially introducing availability bias; efforts will include monitoring and diversifying sources to avoid over-reliance on single stations or crews.</w:t>
      </w:r>
    </w:p>
    <w:p w14:paraId="2059EC72" w14:textId="36A5B6C7" w:rsidR="00DF5ED8" w:rsidRPr="003F31B2" w:rsidRDefault="00DF5ED8" w:rsidP="003F31B2">
      <w:pPr>
        <w:jc w:val="both"/>
        <w:rPr>
          <w:rFonts w:asciiTheme="majorBidi" w:hAnsiTheme="majorBidi" w:cstheme="majorBidi"/>
        </w:rPr>
      </w:pPr>
      <w:r w:rsidRPr="003F31B2">
        <w:rPr>
          <w:rFonts w:asciiTheme="majorBidi" w:hAnsiTheme="majorBidi" w:cstheme="majorBidi"/>
        </w:rPr>
        <w:t xml:space="preserve">Inclusion criteria comprise currently serving operational firefighters with experience of </w:t>
      </w:r>
      <w:r w:rsidR="000448F0" w:rsidRPr="003F31B2">
        <w:rPr>
          <w:rFonts w:asciiTheme="majorBidi" w:hAnsiTheme="majorBidi" w:cstheme="majorBidi"/>
        </w:rPr>
        <w:t>organizational</w:t>
      </w:r>
      <w:r w:rsidRPr="003F31B2">
        <w:rPr>
          <w:rFonts w:asciiTheme="majorBidi" w:hAnsiTheme="majorBidi" w:cstheme="majorBidi"/>
        </w:rPr>
        <w:t xml:space="preserve"> training (drills, classroom, e-learning) and willingness to discuss microlearning perceptions. Exclusion criteria cover non-operational staff and senior managers, whose views are more strategic than frontline-</w:t>
      </w:r>
      <w:r w:rsidRPr="003F31B2">
        <w:rPr>
          <w:rFonts w:asciiTheme="majorBidi" w:hAnsiTheme="majorBidi" w:cstheme="majorBidi"/>
        </w:rPr>
        <w:lastRenderedPageBreak/>
        <w:t>focused, ensuring alignment with the study’s emphasis on lived emergency-response experience and practitioner-led insights.</w:t>
      </w:r>
    </w:p>
    <w:p w14:paraId="34D08FAE" w14:textId="62527961" w:rsidR="00DF5ED8" w:rsidRPr="003F31B2" w:rsidRDefault="00DF5ED8" w:rsidP="003F31B2">
      <w:pPr>
        <w:jc w:val="both"/>
        <w:rPr>
          <w:rFonts w:asciiTheme="majorBidi" w:hAnsiTheme="majorBidi" w:cstheme="majorBidi"/>
        </w:rPr>
      </w:pPr>
      <w:r w:rsidRPr="003F31B2">
        <w:rPr>
          <w:rFonts w:asciiTheme="majorBidi" w:hAnsiTheme="majorBidi" w:cstheme="majorBidi"/>
        </w:rPr>
        <w:t xml:space="preserve">Potential biases will be monitored reflexively throughout. Volunteers may lean towards positive attitudes to digital learning (“enthusiasm bias”), while </w:t>
      </w:r>
      <w:r w:rsidR="000448F0" w:rsidRPr="003F31B2">
        <w:rPr>
          <w:rFonts w:asciiTheme="majorBidi" w:hAnsiTheme="majorBidi" w:cstheme="majorBidi"/>
        </w:rPr>
        <w:t>skeptical</w:t>
      </w:r>
      <w:r w:rsidRPr="003F31B2">
        <w:rPr>
          <w:rFonts w:asciiTheme="majorBidi" w:hAnsiTheme="majorBidi" w:cstheme="majorBidi"/>
        </w:rPr>
        <w:t xml:space="preserve"> or fatigued firefighters may self-exclude due to workload or distrust. Mitigation includes an interview schedule that actively invites critical and ambivalent views, plus researcher attentiveness to </w:t>
      </w:r>
      <w:r w:rsidR="000448F0" w:rsidRPr="003F31B2">
        <w:rPr>
          <w:rFonts w:asciiTheme="majorBidi" w:hAnsiTheme="majorBidi" w:cstheme="majorBidi"/>
        </w:rPr>
        <w:t>organizational</w:t>
      </w:r>
      <w:r w:rsidRPr="003F31B2">
        <w:rPr>
          <w:rFonts w:asciiTheme="majorBidi" w:hAnsiTheme="majorBidi" w:cstheme="majorBidi"/>
        </w:rPr>
        <w:t xml:space="preserve"> dynamics influencing participation (e.g., fear of repercussions). Reflexive notes will document these influences for transparent interpretation and enhanced credibility.</w:t>
      </w:r>
    </w:p>
    <w:p w14:paraId="4024DDE1" w14:textId="77777777" w:rsidR="003A1AAD" w:rsidRPr="003F31B2" w:rsidRDefault="007A4077" w:rsidP="003F31B2">
      <w:pPr>
        <w:jc w:val="both"/>
        <w:rPr>
          <w:rFonts w:asciiTheme="majorBidi" w:hAnsiTheme="majorBidi" w:cstheme="majorBidi"/>
          <w:b/>
          <w:bCs/>
        </w:rPr>
      </w:pPr>
      <w:r w:rsidRPr="003F31B2">
        <w:rPr>
          <w:rFonts w:asciiTheme="majorBidi" w:hAnsiTheme="majorBidi" w:cstheme="majorBidi"/>
          <w:b/>
          <w:bCs/>
        </w:rPr>
        <w:t xml:space="preserve">Ethics </w:t>
      </w:r>
    </w:p>
    <w:p w14:paraId="6160C825" w14:textId="79CF3537" w:rsidR="00A92B6F" w:rsidRPr="00A92B6F" w:rsidRDefault="00A92B6F" w:rsidP="003F31B2">
      <w:pPr>
        <w:spacing w:before="100" w:beforeAutospacing="1" w:after="100" w:afterAutospacing="1" w:line="240" w:lineRule="auto"/>
        <w:jc w:val="both"/>
        <w:rPr>
          <w:rFonts w:asciiTheme="majorBidi" w:eastAsia="Times New Roman" w:hAnsiTheme="majorBidi" w:cstheme="majorBidi"/>
          <w:sz w:val="24"/>
          <w:szCs w:val="24"/>
        </w:rPr>
      </w:pPr>
      <w:r w:rsidRPr="00A92B6F">
        <w:rPr>
          <w:rFonts w:asciiTheme="majorBidi" w:eastAsia="Times New Roman" w:hAnsiTheme="majorBidi" w:cstheme="majorBidi"/>
          <w:sz w:val="24"/>
          <w:szCs w:val="24"/>
        </w:rPr>
        <w:t xml:space="preserve">Ethical considerations are central to this study, which involves frontline emergency personnel discussing </w:t>
      </w:r>
      <w:r w:rsidR="000448F0" w:rsidRPr="00A92B6F">
        <w:rPr>
          <w:rFonts w:asciiTheme="majorBidi" w:eastAsia="Times New Roman" w:hAnsiTheme="majorBidi" w:cstheme="majorBidi"/>
          <w:sz w:val="24"/>
          <w:szCs w:val="24"/>
        </w:rPr>
        <w:t>organizational</w:t>
      </w:r>
      <w:r w:rsidRPr="00A92B6F">
        <w:rPr>
          <w:rFonts w:asciiTheme="majorBidi" w:eastAsia="Times New Roman" w:hAnsiTheme="majorBidi" w:cstheme="majorBidi"/>
          <w:sz w:val="24"/>
          <w:szCs w:val="24"/>
        </w:rPr>
        <w:t xml:space="preserve"> practices, training limitations, and potentially sensitive operational experiences. The research will adhere to the University of Wales Trinity Saint David’s ethical guidelines and will obtain formal ethical approval prior to data collection. The study is designed to </w:t>
      </w:r>
      <w:r w:rsidR="000448F0" w:rsidRPr="00A92B6F">
        <w:rPr>
          <w:rFonts w:asciiTheme="majorBidi" w:eastAsia="Times New Roman" w:hAnsiTheme="majorBidi" w:cstheme="majorBidi"/>
          <w:sz w:val="24"/>
          <w:szCs w:val="24"/>
        </w:rPr>
        <w:t>minimize</w:t>
      </w:r>
      <w:r w:rsidRPr="00A92B6F">
        <w:rPr>
          <w:rFonts w:asciiTheme="majorBidi" w:eastAsia="Times New Roman" w:hAnsiTheme="majorBidi" w:cstheme="majorBidi"/>
          <w:sz w:val="24"/>
          <w:szCs w:val="24"/>
        </w:rPr>
        <w:t xml:space="preserve"> potential harm, ensure voluntary participation, protect confidentiality, and safeguard all data. A key ethical tension arises from the hierarchical nature of fire and rescue services, where participants may perceive implicit </w:t>
      </w:r>
      <w:r w:rsidR="000448F0" w:rsidRPr="00A92B6F">
        <w:rPr>
          <w:rFonts w:asciiTheme="majorBidi" w:eastAsia="Times New Roman" w:hAnsiTheme="majorBidi" w:cstheme="majorBidi"/>
          <w:sz w:val="24"/>
          <w:szCs w:val="24"/>
        </w:rPr>
        <w:t>organizational</w:t>
      </w:r>
      <w:r w:rsidRPr="00A92B6F">
        <w:rPr>
          <w:rFonts w:asciiTheme="majorBidi" w:eastAsia="Times New Roman" w:hAnsiTheme="majorBidi" w:cstheme="majorBidi"/>
          <w:sz w:val="24"/>
          <w:szCs w:val="24"/>
        </w:rPr>
        <w:t xml:space="preserve"> pressure or fear that critical reflections on training provision, digital capacity, or management practices could have professional repercussions. This risk is particularly salient in tightly networked services such as Welsh FRS, where anonymity can be difficult to guarantee fully.</w:t>
      </w:r>
    </w:p>
    <w:p w14:paraId="58EB1140" w14:textId="77777777" w:rsidR="00A92B6F" w:rsidRPr="003F31B2" w:rsidRDefault="00A92B6F" w:rsidP="003F31B2">
      <w:pPr>
        <w:spacing w:before="100" w:beforeAutospacing="1" w:after="100" w:afterAutospacing="1" w:line="240" w:lineRule="auto"/>
        <w:jc w:val="both"/>
        <w:rPr>
          <w:rFonts w:asciiTheme="majorBidi" w:eastAsia="Times New Roman" w:hAnsiTheme="majorBidi" w:cstheme="majorBidi"/>
          <w:sz w:val="24"/>
          <w:szCs w:val="24"/>
        </w:rPr>
      </w:pPr>
      <w:r w:rsidRPr="00A92B6F">
        <w:rPr>
          <w:rFonts w:asciiTheme="majorBidi" w:eastAsia="Times New Roman" w:hAnsiTheme="majorBidi" w:cstheme="majorBidi"/>
          <w:sz w:val="24"/>
          <w:szCs w:val="24"/>
        </w:rPr>
        <w:t>To mitigate this, participation will be strictly voluntary, with recruitment conducted through open invitations distributed by appropriate gatekeepers rather than direct managerial selection. The invitation will explicitly state that participation or non-participation will have no impact on employment, appraisal, or career progression. Interested individuals will be asked to contact the researcher directly, reducing managerial visibility and limiting perceived coercion. Informed consent will be obtained prior to each interview. A comprehensive Participant Information Sheet will outline the study’s purpose, procedures, potential risks and benefits, and participants’ rights, including the right to withdraw without consequence at any point before data analysis commences. Consent will be recorded in written or electronic form, and key consent principles—including the right to skip questions or terminate the interview—will be reiterated verbally at the start of each interview.</w:t>
      </w:r>
    </w:p>
    <w:p w14:paraId="4D01ADF9" w14:textId="7D9CCE86" w:rsidR="006717A2" w:rsidRDefault="00A92B6F" w:rsidP="006717A2">
      <w:pPr>
        <w:spacing w:before="100" w:beforeAutospacing="1" w:after="100" w:afterAutospacing="1" w:line="240" w:lineRule="auto"/>
        <w:jc w:val="both"/>
        <w:rPr>
          <w:rFonts w:asciiTheme="majorBidi" w:eastAsia="Times New Roman" w:hAnsiTheme="majorBidi" w:cstheme="majorBidi"/>
          <w:sz w:val="24"/>
          <w:szCs w:val="24"/>
        </w:rPr>
      </w:pPr>
      <w:r w:rsidRPr="003F31B2">
        <w:rPr>
          <w:rFonts w:asciiTheme="majorBidi" w:eastAsia="Times New Roman" w:hAnsiTheme="majorBidi" w:cstheme="majorBidi"/>
          <w:sz w:val="24"/>
          <w:szCs w:val="24"/>
        </w:rPr>
        <w:t xml:space="preserve">Confidentiality poses challenges due to Welsh FRS's small, interconnected nature. Direct identifiers (names, stations, ranks, incidents) will be removed or </w:t>
      </w:r>
      <w:r w:rsidR="000448F0" w:rsidRPr="003F31B2">
        <w:rPr>
          <w:rFonts w:asciiTheme="majorBidi" w:eastAsia="Times New Roman" w:hAnsiTheme="majorBidi" w:cstheme="majorBidi"/>
          <w:sz w:val="24"/>
          <w:szCs w:val="24"/>
        </w:rPr>
        <w:t>pseudonymized</w:t>
      </w:r>
      <w:r w:rsidRPr="003F31B2">
        <w:rPr>
          <w:rFonts w:asciiTheme="majorBidi" w:eastAsia="Times New Roman" w:hAnsiTheme="majorBidi" w:cstheme="majorBidi"/>
          <w:sz w:val="24"/>
          <w:szCs w:val="24"/>
        </w:rPr>
        <w:t xml:space="preserve">, with quotations using broad descriptors (e.g., "RDS firefighter") and contextual details </w:t>
      </w:r>
      <w:r w:rsidR="000448F0" w:rsidRPr="003F31B2">
        <w:rPr>
          <w:rFonts w:asciiTheme="majorBidi" w:eastAsia="Times New Roman" w:hAnsiTheme="majorBidi" w:cstheme="majorBidi"/>
          <w:sz w:val="24"/>
          <w:szCs w:val="24"/>
        </w:rPr>
        <w:t>generalized</w:t>
      </w:r>
      <w:r w:rsidRPr="003F31B2">
        <w:rPr>
          <w:rFonts w:asciiTheme="majorBidi" w:eastAsia="Times New Roman" w:hAnsiTheme="majorBidi" w:cstheme="majorBidi"/>
          <w:sz w:val="24"/>
          <w:szCs w:val="24"/>
        </w:rPr>
        <w:t xml:space="preserve"> to prevent deductive disclosure while preserving meaning. These proportionate measures align with qualitative </w:t>
      </w:r>
      <w:r w:rsidR="000448F0" w:rsidRPr="003F31B2">
        <w:rPr>
          <w:rFonts w:asciiTheme="majorBidi" w:eastAsia="Times New Roman" w:hAnsiTheme="majorBidi" w:cstheme="majorBidi"/>
          <w:sz w:val="24"/>
          <w:szCs w:val="24"/>
        </w:rPr>
        <w:t>organizational</w:t>
      </w:r>
      <w:r w:rsidRPr="003F31B2">
        <w:rPr>
          <w:rFonts w:asciiTheme="majorBidi" w:eastAsia="Times New Roman" w:hAnsiTheme="majorBidi" w:cstheme="majorBidi"/>
          <w:sz w:val="24"/>
          <w:szCs w:val="24"/>
        </w:rPr>
        <w:t xml:space="preserve"> research best practice, acknowledging that absolute anonymity cannot be </w:t>
      </w:r>
      <w:r w:rsidR="000448F0" w:rsidRPr="003F31B2">
        <w:rPr>
          <w:rFonts w:asciiTheme="majorBidi" w:eastAsia="Times New Roman" w:hAnsiTheme="majorBidi" w:cstheme="majorBidi"/>
          <w:sz w:val="24"/>
          <w:szCs w:val="24"/>
        </w:rPr>
        <w:t>guaranteed. Interviews</w:t>
      </w:r>
      <w:r w:rsidRPr="003F31B2">
        <w:rPr>
          <w:rFonts w:asciiTheme="majorBidi" w:eastAsia="Times New Roman" w:hAnsiTheme="majorBidi" w:cstheme="majorBidi"/>
          <w:sz w:val="24"/>
          <w:szCs w:val="24"/>
        </w:rPr>
        <w:t xml:space="preserve"> may touch on stressful incidents or frustrations, risking emotional discomfort despite not seeking trauma. The researcher will use a trauma-aware, participant-led approach, </w:t>
      </w:r>
      <w:r w:rsidR="000448F0" w:rsidRPr="003F31B2">
        <w:rPr>
          <w:rFonts w:asciiTheme="majorBidi" w:eastAsia="Times New Roman" w:hAnsiTheme="majorBidi" w:cstheme="majorBidi"/>
          <w:sz w:val="24"/>
          <w:szCs w:val="24"/>
        </w:rPr>
        <w:t>avoid</w:t>
      </w:r>
      <w:r w:rsidRPr="003F31B2">
        <w:rPr>
          <w:rFonts w:asciiTheme="majorBidi" w:eastAsia="Times New Roman" w:hAnsiTheme="majorBidi" w:cstheme="majorBidi"/>
          <w:sz w:val="24"/>
          <w:szCs w:val="24"/>
        </w:rPr>
        <w:t xml:space="preserve"> intrusive probes and </w:t>
      </w:r>
      <w:r w:rsidR="000448F0" w:rsidRPr="003F31B2">
        <w:rPr>
          <w:rFonts w:asciiTheme="majorBidi" w:eastAsia="Times New Roman" w:hAnsiTheme="majorBidi" w:cstheme="majorBidi"/>
          <w:sz w:val="24"/>
          <w:szCs w:val="24"/>
        </w:rPr>
        <w:t>offer</w:t>
      </w:r>
      <w:r w:rsidRPr="003F31B2">
        <w:rPr>
          <w:rFonts w:asciiTheme="majorBidi" w:eastAsia="Times New Roman" w:hAnsiTheme="majorBidi" w:cstheme="majorBidi"/>
          <w:sz w:val="24"/>
          <w:szCs w:val="24"/>
        </w:rPr>
        <w:t xml:space="preserve"> to pause, redirect, or stop if needed, balancing wellbeing with authentic data </w:t>
      </w:r>
      <w:r w:rsidR="000448F0" w:rsidRPr="003F31B2">
        <w:rPr>
          <w:rFonts w:asciiTheme="majorBidi" w:eastAsia="Times New Roman" w:hAnsiTheme="majorBidi" w:cstheme="majorBidi"/>
          <w:sz w:val="24"/>
          <w:szCs w:val="24"/>
        </w:rPr>
        <w:t>collection. Data</w:t>
      </w:r>
      <w:r w:rsidRPr="003F31B2">
        <w:rPr>
          <w:rFonts w:asciiTheme="majorBidi" w:eastAsia="Times New Roman" w:hAnsiTheme="majorBidi" w:cstheme="majorBidi"/>
          <w:sz w:val="24"/>
          <w:szCs w:val="24"/>
        </w:rPr>
        <w:t xml:space="preserve"> management complies with GDPR/university policy: audio/transcripts stored on encrypted university systems (not personal devices); transcripts </w:t>
      </w:r>
      <w:r w:rsidR="000448F0" w:rsidRPr="003F31B2">
        <w:rPr>
          <w:rFonts w:asciiTheme="majorBidi" w:eastAsia="Times New Roman" w:hAnsiTheme="majorBidi" w:cstheme="majorBidi"/>
          <w:sz w:val="24"/>
          <w:szCs w:val="24"/>
        </w:rPr>
        <w:t>anonymized</w:t>
      </w:r>
      <w:r w:rsidRPr="003F31B2">
        <w:rPr>
          <w:rFonts w:asciiTheme="majorBidi" w:eastAsia="Times New Roman" w:hAnsiTheme="majorBidi" w:cstheme="majorBidi"/>
          <w:sz w:val="24"/>
          <w:szCs w:val="24"/>
        </w:rPr>
        <w:t xml:space="preserve"> promptly; recordings deleted post-verification; data retained per guidelines then </w:t>
      </w:r>
      <w:r w:rsidR="000448F0" w:rsidRPr="003F31B2">
        <w:rPr>
          <w:rFonts w:asciiTheme="majorBidi" w:eastAsia="Times New Roman" w:hAnsiTheme="majorBidi" w:cstheme="majorBidi"/>
          <w:sz w:val="24"/>
          <w:szCs w:val="24"/>
        </w:rPr>
        <w:t>destroyed. Reflexivity</w:t>
      </w:r>
      <w:r w:rsidRPr="003F31B2">
        <w:rPr>
          <w:rFonts w:asciiTheme="majorBidi" w:eastAsia="Times New Roman" w:hAnsiTheme="majorBidi" w:cstheme="majorBidi"/>
          <w:sz w:val="24"/>
          <w:szCs w:val="24"/>
        </w:rPr>
        <w:t xml:space="preserve"> remains integral, with a journal examining researcher assumptions, </w:t>
      </w:r>
      <w:r w:rsidRPr="003F31B2">
        <w:rPr>
          <w:rFonts w:asciiTheme="majorBidi" w:eastAsia="Times New Roman" w:hAnsiTheme="majorBidi" w:cstheme="majorBidi"/>
          <w:sz w:val="24"/>
          <w:szCs w:val="24"/>
        </w:rPr>
        <w:lastRenderedPageBreak/>
        <w:t xml:space="preserve">positionality, and power dynamics to enhance transparency about co-constructed </w:t>
      </w:r>
      <w:r w:rsidR="000448F0" w:rsidRPr="003F31B2">
        <w:rPr>
          <w:rFonts w:asciiTheme="majorBidi" w:eastAsia="Times New Roman" w:hAnsiTheme="majorBidi" w:cstheme="majorBidi"/>
          <w:sz w:val="24"/>
          <w:szCs w:val="24"/>
        </w:rPr>
        <w:t>data. This</w:t>
      </w:r>
      <w:r w:rsidRPr="003F31B2">
        <w:rPr>
          <w:rFonts w:asciiTheme="majorBidi" w:eastAsia="Times New Roman" w:hAnsiTheme="majorBidi" w:cstheme="majorBidi"/>
          <w:sz w:val="24"/>
          <w:szCs w:val="24"/>
        </w:rPr>
        <w:t xml:space="preserve"> framework </w:t>
      </w:r>
      <w:r w:rsidR="000448F0" w:rsidRPr="003F31B2">
        <w:rPr>
          <w:rFonts w:asciiTheme="majorBidi" w:eastAsia="Times New Roman" w:hAnsiTheme="majorBidi" w:cstheme="majorBidi"/>
          <w:sz w:val="24"/>
          <w:szCs w:val="24"/>
        </w:rPr>
        <w:t>prioritizes</w:t>
      </w:r>
      <w:r w:rsidRPr="003F31B2">
        <w:rPr>
          <w:rFonts w:asciiTheme="majorBidi" w:eastAsia="Times New Roman" w:hAnsiTheme="majorBidi" w:cstheme="majorBidi"/>
          <w:sz w:val="24"/>
          <w:szCs w:val="24"/>
        </w:rPr>
        <w:t xml:space="preserve"> autonomy, wellbeing, and confidentiality in high-stakes research.</w:t>
      </w:r>
    </w:p>
    <w:p w14:paraId="547C0E9C" w14:textId="77777777" w:rsidR="006717A2" w:rsidRDefault="00501FA7" w:rsidP="006717A2">
      <w:pPr>
        <w:spacing w:before="100" w:beforeAutospacing="1" w:after="100" w:afterAutospacing="1" w:line="240" w:lineRule="auto"/>
        <w:jc w:val="both"/>
        <w:rPr>
          <w:rFonts w:asciiTheme="majorBidi" w:hAnsiTheme="majorBidi" w:cstheme="majorBidi"/>
          <w:b/>
          <w:bCs/>
        </w:rPr>
      </w:pPr>
      <w:r w:rsidRPr="003F31B2">
        <w:rPr>
          <w:rFonts w:asciiTheme="majorBidi" w:hAnsiTheme="majorBidi" w:cstheme="majorBidi"/>
          <w:b/>
          <w:bCs/>
        </w:rPr>
        <w:t xml:space="preserve">Research Tools </w:t>
      </w:r>
    </w:p>
    <w:p w14:paraId="364958C1" w14:textId="77777777" w:rsidR="006717A2" w:rsidRDefault="00501FA7" w:rsidP="006717A2">
      <w:pPr>
        <w:spacing w:before="100" w:beforeAutospacing="1" w:after="100" w:afterAutospacing="1" w:line="240" w:lineRule="auto"/>
        <w:jc w:val="both"/>
        <w:rPr>
          <w:rFonts w:asciiTheme="majorBidi" w:hAnsiTheme="majorBidi" w:cstheme="majorBidi"/>
        </w:rPr>
      </w:pPr>
      <w:r w:rsidRPr="003F31B2">
        <w:rPr>
          <w:rFonts w:asciiTheme="majorBidi" w:hAnsiTheme="majorBidi" w:cstheme="majorBidi"/>
        </w:rPr>
        <w:t>Semi-structured interviews will serve as the primary research tool, selected for their proven capacity to balance flexibility and structure while capturing firefighters' nuanced, context-embedded perceptions of microlearning (Braun &amp; Clarke, 2019). In the absence of prior qualitative studies specific to UK or Welsh Fire and Rescue Services (FRS), this method offers a practical and well-established means of eliciting rich, detailed accounts of current training experiences, operational pressures, and the contextual constraints that shape non-formal learning practices (Palinkas et al., 2015; Cohen et al., 2018). Unlike quantitative surveys, which risk superficial or low-response rates in time-constrained, high-demand environments, or focus groups, which are often logistically infeasible given irregular shift patterns and station dispersion, semi-structured interviews enable deep individual exploration while remaining sensitive to the unpredictable rhythms of emergency-service work (Heydari et al., 2022).</w:t>
      </w:r>
    </w:p>
    <w:p w14:paraId="36DEB509" w14:textId="4E254B07" w:rsidR="006717A2" w:rsidRDefault="00501FA7" w:rsidP="006717A2">
      <w:pPr>
        <w:spacing w:before="100" w:beforeAutospacing="1" w:after="100" w:afterAutospacing="1" w:line="240" w:lineRule="auto"/>
        <w:jc w:val="both"/>
        <w:rPr>
          <w:rFonts w:asciiTheme="majorBidi" w:hAnsiTheme="majorBidi" w:cstheme="majorBidi"/>
        </w:rPr>
      </w:pPr>
      <w:r w:rsidRPr="003F31B2">
        <w:rPr>
          <w:rFonts w:asciiTheme="majorBidi" w:hAnsiTheme="majorBidi" w:cstheme="majorBidi"/>
        </w:rPr>
        <w:t>Rationale for Using Semi-Structured Interviews This tool aligns seamlessly with the study’s interpretivist and constructivist philosophical foundations, privileging participants’ situated meanings and co-constructed knowledge over researcher-imposed categories (Braun &amp; Clarke, 2006; Flick, 2014). Firefighters’ understandings of training and microlearning are deeply embedded in operational realities—high-stakes incident exposure, team dynamics, station culture, and cognitive demands under stress—that fully structured formats might constrain and purely unstructured conversations could diffuse. Semi-structured interviews maintain thematic focus through a predetermined guide while permitting unanticipated insights to emerge organically. This is particularly critical in contexts where learning is largely tacit, practice-embedded, and influenced by high-pressure decision-making under elevated cognitive load (</w:t>
      </w:r>
      <w:proofErr w:type="spellStart"/>
      <w:r w:rsidRPr="003F31B2">
        <w:rPr>
          <w:rFonts w:asciiTheme="majorBidi" w:hAnsiTheme="majorBidi" w:cstheme="majorBidi"/>
        </w:rPr>
        <w:t>Sweller</w:t>
      </w:r>
      <w:proofErr w:type="spellEnd"/>
      <w:r w:rsidRPr="003F31B2">
        <w:rPr>
          <w:rFonts w:asciiTheme="majorBidi" w:hAnsiTheme="majorBidi" w:cstheme="majorBidi"/>
        </w:rPr>
        <w:t xml:space="preserve">, 2011). The approach also adheres to established conventions in emergency-services research, where individual narratives have repeatedly proven more effective than aggregated data for revealing </w:t>
      </w:r>
      <w:r w:rsidR="000448F0" w:rsidRPr="003F31B2">
        <w:rPr>
          <w:rFonts w:asciiTheme="majorBidi" w:hAnsiTheme="majorBidi" w:cstheme="majorBidi"/>
        </w:rPr>
        <w:t>organizational</w:t>
      </w:r>
      <w:r w:rsidRPr="003F31B2">
        <w:rPr>
          <w:rFonts w:asciiTheme="majorBidi" w:hAnsiTheme="majorBidi" w:cstheme="majorBidi"/>
        </w:rPr>
        <w:t xml:space="preserve"> patterns during exploratory phases (Heydari et al., 2022).</w:t>
      </w:r>
    </w:p>
    <w:p w14:paraId="18D3FAB4" w14:textId="30694762" w:rsidR="00501FA7" w:rsidRPr="003F31B2" w:rsidRDefault="00501FA7" w:rsidP="006717A2">
      <w:pPr>
        <w:spacing w:before="100" w:beforeAutospacing="1" w:after="100" w:afterAutospacing="1" w:line="240" w:lineRule="auto"/>
        <w:jc w:val="both"/>
        <w:rPr>
          <w:rFonts w:asciiTheme="majorBidi" w:hAnsiTheme="majorBidi" w:cstheme="majorBidi"/>
        </w:rPr>
      </w:pPr>
      <w:r w:rsidRPr="003F31B2">
        <w:rPr>
          <w:rFonts w:asciiTheme="majorBidi" w:hAnsiTheme="majorBidi" w:cstheme="majorBidi"/>
        </w:rPr>
        <w:t xml:space="preserve">Interview Guide Design The interview guide is </w:t>
      </w:r>
      <w:r w:rsidR="000448F0" w:rsidRPr="003F31B2">
        <w:rPr>
          <w:rFonts w:asciiTheme="majorBidi" w:hAnsiTheme="majorBidi" w:cstheme="majorBidi"/>
        </w:rPr>
        <w:t>organized</w:t>
      </w:r>
      <w:r w:rsidRPr="003F31B2">
        <w:rPr>
          <w:rFonts w:asciiTheme="majorBidi" w:hAnsiTheme="majorBidi" w:cstheme="majorBidi"/>
        </w:rPr>
        <w:t xml:space="preserve"> around four thematic domains, each explicitly linked to the research questions and </w:t>
      </w:r>
      <w:r w:rsidR="000448F0" w:rsidRPr="003F31B2">
        <w:rPr>
          <w:rFonts w:asciiTheme="majorBidi" w:hAnsiTheme="majorBidi" w:cstheme="majorBidi"/>
        </w:rPr>
        <w:t>sensitized</w:t>
      </w:r>
      <w:r w:rsidRPr="003F31B2">
        <w:rPr>
          <w:rFonts w:asciiTheme="majorBidi" w:hAnsiTheme="majorBidi" w:cstheme="majorBidi"/>
        </w:rPr>
        <w:t xml:space="preserve"> (but not constrained) by the study’s theoretical frameworks:</w:t>
      </w:r>
    </w:p>
    <w:p w14:paraId="17459C77" w14:textId="6A5CD821" w:rsidR="00501FA7" w:rsidRPr="003F31B2" w:rsidRDefault="00501FA7" w:rsidP="006717A2">
      <w:pPr>
        <w:jc w:val="both"/>
        <w:rPr>
          <w:rFonts w:asciiTheme="majorBidi" w:hAnsiTheme="majorBidi" w:cstheme="majorBidi"/>
        </w:rPr>
      </w:pPr>
      <w:r w:rsidRPr="003F31B2">
        <w:rPr>
          <w:rFonts w:asciiTheme="majorBidi" w:hAnsiTheme="majorBidi" w:cstheme="majorBidi"/>
        </w:rPr>
        <w:t>Domain 1: Training experiences and challenges – Probes current access disparities (</w:t>
      </w:r>
      <w:r w:rsidR="000448F0" w:rsidRPr="003F31B2">
        <w:rPr>
          <w:rFonts w:asciiTheme="majorBidi" w:hAnsiTheme="majorBidi" w:cstheme="majorBidi"/>
        </w:rPr>
        <w:t>whole time</w:t>
      </w:r>
      <w:r w:rsidRPr="003F31B2">
        <w:rPr>
          <w:rFonts w:asciiTheme="majorBidi" w:hAnsiTheme="majorBidi" w:cstheme="majorBidi"/>
        </w:rPr>
        <w:t xml:space="preserve"> vs. RDS), digital tool usage, skill decay, and time pressures (linked to RQ1; Welsh Government, 2022). Example: “Can you describe a recent training session and what made it effective or challenging for you?”</w:t>
      </w:r>
    </w:p>
    <w:p w14:paraId="6490493C"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Domain 2: Perceptions of microlearning – Explores usefulness, limitations, realism concerns, and relevance to daily practice (RQ1). Example: “When you hear ‘microlearning’—short, focused digital training bursts during downtime—what comes to mind?”</w:t>
      </w:r>
    </w:p>
    <w:p w14:paraId="0E5671FE" w14:textId="323C7B33"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Domain 3: Operational suitability – Identifies skills/knowledge perceived as suitable for microlearning delivery, especially safety-critical but infrequently used procedures (RQ2; </w:t>
      </w:r>
      <w:r w:rsidR="000448F0" w:rsidRPr="003F31B2">
        <w:rPr>
          <w:rFonts w:asciiTheme="majorBidi" w:hAnsiTheme="majorBidi" w:cstheme="majorBidi"/>
        </w:rPr>
        <w:t>sensitized</w:t>
      </w:r>
      <w:r w:rsidRPr="003F31B2">
        <w:rPr>
          <w:rFonts w:asciiTheme="majorBidi" w:hAnsiTheme="majorBidi" w:cstheme="majorBidi"/>
        </w:rPr>
        <w:t xml:space="preserve"> by Cognitive Load Theory). Example: “Which procedures do you rarely </w:t>
      </w:r>
      <w:r w:rsidR="000448F0" w:rsidRPr="003F31B2">
        <w:rPr>
          <w:rFonts w:asciiTheme="majorBidi" w:hAnsiTheme="majorBidi" w:cstheme="majorBidi"/>
        </w:rPr>
        <w:t>practice</w:t>
      </w:r>
      <w:r w:rsidRPr="003F31B2">
        <w:rPr>
          <w:rFonts w:asciiTheme="majorBidi" w:hAnsiTheme="majorBidi" w:cstheme="majorBidi"/>
        </w:rPr>
        <w:t xml:space="preserve"> but need to recall instantly during incidents?”</w:t>
      </w:r>
    </w:p>
    <w:p w14:paraId="255FE608" w14:textId="5727629A"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Domain 4: </w:t>
      </w:r>
      <w:r w:rsidR="000448F0" w:rsidRPr="003F31B2">
        <w:rPr>
          <w:rFonts w:asciiTheme="majorBidi" w:hAnsiTheme="majorBidi" w:cstheme="majorBidi"/>
        </w:rPr>
        <w:t>Organizational</w:t>
      </w:r>
      <w:r w:rsidRPr="003F31B2">
        <w:rPr>
          <w:rFonts w:asciiTheme="majorBidi" w:hAnsiTheme="majorBidi" w:cstheme="majorBidi"/>
        </w:rPr>
        <w:t xml:space="preserve"> factors – Examines cultural attitudes, technological infrastructure, shift/workflow integration, and potential enablers/barriers (RQ3). Example: “What station-level or </w:t>
      </w:r>
      <w:r w:rsidR="000448F0" w:rsidRPr="003F31B2">
        <w:rPr>
          <w:rFonts w:asciiTheme="majorBidi" w:hAnsiTheme="majorBidi" w:cstheme="majorBidi"/>
        </w:rPr>
        <w:t>organizational</w:t>
      </w:r>
      <w:r w:rsidRPr="003F31B2">
        <w:rPr>
          <w:rFonts w:asciiTheme="majorBidi" w:hAnsiTheme="majorBidi" w:cstheme="majorBidi"/>
        </w:rPr>
        <w:t xml:space="preserve"> changes would make regular digital training more feasible in your view?”</w:t>
      </w:r>
    </w:p>
    <w:p w14:paraId="6B0882B1"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All questions are open-ended, with layered follow-up prompts designed to elicit concrete examples and stories rather than abstract opinions. For instance, if “information overload” is mentioned, a neutral probe </w:t>
      </w:r>
      <w:r w:rsidRPr="003F31B2">
        <w:rPr>
          <w:rFonts w:asciiTheme="majorBidi" w:hAnsiTheme="majorBidi" w:cstheme="majorBidi"/>
        </w:rPr>
        <w:lastRenderedPageBreak/>
        <w:t>might be: “How does that experience manifest during a multi-agency incident?” This encourages linkage to theoretical concepts (e.g., extraneous cognitive load) without introducing technical terminology that could alienate participants (Lave &amp; Wenger, 1991).</w:t>
      </w:r>
    </w:p>
    <w:p w14:paraId="408AAC93" w14:textId="6B783E04"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Pilot Testing Before full deployment, the guide will undergo pilot testing with 1–2 operational firefighters (excluded from the main sample). This iterative process will assess clarity, sequencing, cultural appropriateness, and duration, identifying potential issues such as FRS-specific jargon mismatches, sensitive phrasing, or pacing problems under realistic time constraints. Post-pilot debriefs will directly inform revisions, enhancing instrument validity, contextual relevance, and overall feasibility within the 30–45-minute target (Braun &amp; Clarke, 2019). Piloting also demonstrates methodological reflexivity and </w:t>
      </w:r>
      <w:r w:rsidR="000448F0" w:rsidRPr="003F31B2">
        <w:rPr>
          <w:rFonts w:asciiTheme="majorBidi" w:hAnsiTheme="majorBidi" w:cstheme="majorBidi"/>
        </w:rPr>
        <w:t>rigout</w:t>
      </w:r>
      <w:r w:rsidRPr="003F31B2">
        <w:rPr>
          <w:rFonts w:asciiTheme="majorBidi" w:hAnsiTheme="majorBidi" w:cstheme="majorBidi"/>
        </w:rPr>
        <w:t>, key expectations in applied educational research (Cohen et al., 2018).</w:t>
      </w:r>
    </w:p>
    <w:p w14:paraId="230B4903" w14:textId="1F111698"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Interview Procedure Interviews, lasting approximately 30–45 minutes, will be conducted either in-person at fire stations (in quiet, private rooms, often post-drill or during quieter periods) or via secure online platforms (e.g., Microsoft Teams with end-to-end encryption), </w:t>
      </w:r>
      <w:r w:rsidR="000448F0" w:rsidRPr="003F31B2">
        <w:rPr>
          <w:rFonts w:asciiTheme="majorBidi" w:hAnsiTheme="majorBidi" w:cstheme="majorBidi"/>
        </w:rPr>
        <w:t>prioritizing</w:t>
      </w:r>
      <w:r w:rsidRPr="003F31B2">
        <w:rPr>
          <w:rFonts w:asciiTheme="majorBidi" w:hAnsiTheme="majorBidi" w:cstheme="majorBidi"/>
        </w:rPr>
        <w:t xml:space="preserve"> participant preference and operational availability. Each session will begin with reconfirmation of informed consent and ground rules (anonymity, right to pause, skip questions, or withdraw). With explicit permission, interviews will be audio-recorded and transcribed verbatim using secure, GDPR-compliant processes. The researcher will employ a conversational, empathetic, and non-directive style consistent with reflexive thematic analysis: active listening, reflective paraphrasing for accuracy, sensitivity to signs of fatigue or emotion, and neutral probes (e.g., “Tell me more about that”) to foster authentic disclosure while </w:t>
      </w:r>
      <w:r w:rsidR="000448F0" w:rsidRPr="003F31B2">
        <w:rPr>
          <w:rFonts w:asciiTheme="majorBidi" w:hAnsiTheme="majorBidi" w:cstheme="majorBidi"/>
        </w:rPr>
        <w:t>minimizing</w:t>
      </w:r>
      <w:r w:rsidRPr="003F31B2">
        <w:rPr>
          <w:rFonts w:asciiTheme="majorBidi" w:hAnsiTheme="majorBidi" w:cstheme="majorBidi"/>
        </w:rPr>
        <w:t xml:space="preserve"> acquiescence or social-desirability bias common in hierarchical </w:t>
      </w:r>
      <w:r w:rsidR="000448F0" w:rsidRPr="003F31B2">
        <w:rPr>
          <w:rFonts w:asciiTheme="majorBidi" w:hAnsiTheme="majorBidi" w:cstheme="majorBidi"/>
        </w:rPr>
        <w:t>organizations</w:t>
      </w:r>
      <w:r w:rsidRPr="003F31B2">
        <w:rPr>
          <w:rFonts w:asciiTheme="majorBidi" w:hAnsiTheme="majorBidi" w:cstheme="majorBidi"/>
        </w:rPr>
        <w:t xml:space="preserve"> (Palinkas et al., 2015).</w:t>
      </w:r>
    </w:p>
    <w:p w14:paraId="02FCC81E" w14:textId="29083CBB"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Supporting Materials A suite of </w:t>
      </w:r>
      <w:r w:rsidR="000448F0" w:rsidRPr="003F31B2">
        <w:rPr>
          <w:rFonts w:asciiTheme="majorBidi" w:hAnsiTheme="majorBidi" w:cstheme="majorBidi"/>
        </w:rPr>
        <w:t>standardized</w:t>
      </w:r>
      <w:r w:rsidRPr="003F31B2">
        <w:rPr>
          <w:rFonts w:asciiTheme="majorBidi" w:hAnsiTheme="majorBidi" w:cstheme="majorBidi"/>
        </w:rPr>
        <w:t xml:space="preserve"> materials will ensure procedural consistency, ethical transparency, and analytic traceability:</w:t>
      </w:r>
    </w:p>
    <w:p w14:paraId="3695DA13"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Participant Information Sheet (PIS): Concise one-page overview of study aims, procedures, potential risks/benefits, confidentiality measures, GDPR rights, and contact details.</w:t>
      </w:r>
    </w:p>
    <w:p w14:paraId="2DDBE711"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Consent Form: Explicit, signed agreement covering recording, data usage, anonymity, and withdrawal rights (valid until analysis begins).</w:t>
      </w:r>
    </w:p>
    <w:p w14:paraId="683C51B0"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Brief Demographic Questionnaire: 5–7 items capturing role, years of service, station type (urban/rural), contractual status, and prior digital-learning exposure—providing contextual richness without identifiers.</w:t>
      </w:r>
    </w:p>
    <w:p w14:paraId="6D16B6F5"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Reflexive Journal: Ongoing researcher notes bracketing personal assumptions, documenting power dynamics, rapport observations, and emergent methodological insights.</w:t>
      </w:r>
    </w:p>
    <w:p w14:paraId="1B75D608"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NVivo Project Workspace: Secure digital environment for transcription import, hierarchical coding, memo linkage, and full audit-trail generation.</w:t>
      </w:r>
    </w:p>
    <w:p w14:paraId="12A0C2A8"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These materials collectively strengthen ethical accountability and methodological robustness.</w:t>
      </w:r>
    </w:p>
    <w:p w14:paraId="3C586107" w14:textId="77777777" w:rsidR="003F31B2" w:rsidRDefault="00501FA7" w:rsidP="006717A2">
      <w:pPr>
        <w:jc w:val="both"/>
        <w:rPr>
          <w:rFonts w:asciiTheme="majorBidi" w:hAnsiTheme="majorBidi" w:cstheme="majorBidi"/>
        </w:rPr>
      </w:pPr>
      <w:r w:rsidRPr="003F31B2">
        <w:rPr>
          <w:rFonts w:asciiTheme="majorBidi" w:hAnsiTheme="majorBidi" w:cstheme="majorBidi"/>
        </w:rPr>
        <w:t>Theoretical Alignment</w:t>
      </w:r>
    </w:p>
    <w:p w14:paraId="258F13A6" w14:textId="79EE2944" w:rsidR="00501FA7" w:rsidRPr="003F31B2" w:rsidRDefault="00501FA7" w:rsidP="006717A2">
      <w:pPr>
        <w:jc w:val="both"/>
        <w:rPr>
          <w:rFonts w:asciiTheme="majorBidi" w:hAnsiTheme="majorBidi" w:cstheme="majorBidi"/>
        </w:rPr>
      </w:pPr>
      <w:r w:rsidRPr="003F31B2">
        <w:rPr>
          <w:rFonts w:asciiTheme="majorBidi" w:hAnsiTheme="majorBidi" w:cstheme="majorBidi"/>
        </w:rPr>
        <w:t xml:space="preserve"> The guide </w:t>
      </w:r>
      <w:r w:rsidR="000448F0" w:rsidRPr="003F31B2">
        <w:rPr>
          <w:rFonts w:asciiTheme="majorBidi" w:hAnsiTheme="majorBidi" w:cstheme="majorBidi"/>
        </w:rPr>
        <w:t>operationalizes</w:t>
      </w:r>
      <w:r w:rsidRPr="003F31B2">
        <w:rPr>
          <w:rFonts w:asciiTheme="majorBidi" w:hAnsiTheme="majorBidi" w:cstheme="majorBidi"/>
        </w:rPr>
        <w:t xml:space="preserve"> </w:t>
      </w:r>
      <w:r w:rsidR="000448F0" w:rsidRPr="003F31B2">
        <w:rPr>
          <w:rFonts w:asciiTheme="majorBidi" w:hAnsiTheme="majorBidi" w:cstheme="majorBidi"/>
        </w:rPr>
        <w:t>sensitizing</w:t>
      </w:r>
      <w:r w:rsidRPr="003F31B2">
        <w:rPr>
          <w:rFonts w:asciiTheme="majorBidi" w:hAnsiTheme="majorBidi" w:cstheme="majorBidi"/>
        </w:rPr>
        <w:t xml:space="preserve"> concepts subtly and appropriately: Cognitive Load Theory informs overload and memory-demand probes; Situated Learning Theory shapes questions about drills, teamwork, and informal practice; spaced repetition principles guide exploration of skill-retention strategies. This integration produces data that are descriptively rich yet theoretically amenable, supporting both inductive emergence and later interpretive depth without overburdening participants with academic terminology (Braun &amp; Clarke, 2019).</w:t>
      </w:r>
    </w:p>
    <w:p w14:paraId="7CF1936E" w14:textId="4AD6DF00" w:rsidR="00501FA7" w:rsidRPr="003F31B2" w:rsidRDefault="00501FA7" w:rsidP="006717A2">
      <w:pPr>
        <w:jc w:val="both"/>
        <w:rPr>
          <w:rFonts w:asciiTheme="majorBidi" w:hAnsiTheme="majorBidi" w:cstheme="majorBidi"/>
        </w:rPr>
      </w:pPr>
      <w:r w:rsidRPr="003F31B2">
        <w:rPr>
          <w:rFonts w:asciiTheme="majorBidi" w:hAnsiTheme="majorBidi" w:cstheme="majorBidi"/>
        </w:rPr>
        <w:lastRenderedPageBreak/>
        <w:t xml:space="preserve">Strengths and </w:t>
      </w:r>
      <w:r w:rsidR="000448F0" w:rsidRPr="003F31B2">
        <w:rPr>
          <w:rFonts w:asciiTheme="majorBidi" w:hAnsiTheme="majorBidi" w:cstheme="majorBidi"/>
        </w:rPr>
        <w:t>Limitations Strengths</w:t>
      </w:r>
      <w:r w:rsidRPr="003F31B2">
        <w:rPr>
          <w:rFonts w:asciiTheme="majorBidi" w:hAnsiTheme="majorBidi" w:cstheme="majorBidi"/>
        </w:rPr>
        <w:t xml:space="preserve">: Yields thick, </w:t>
      </w:r>
      <w:r w:rsidR="000448F0" w:rsidRPr="003F31B2">
        <w:rPr>
          <w:rFonts w:asciiTheme="majorBidi" w:hAnsiTheme="majorBidi" w:cstheme="majorBidi"/>
        </w:rPr>
        <w:t>contextualized</w:t>
      </w:r>
      <w:r w:rsidRPr="003F31B2">
        <w:rPr>
          <w:rFonts w:asciiTheme="majorBidi" w:hAnsiTheme="majorBidi" w:cstheme="majorBidi"/>
        </w:rPr>
        <w:t xml:space="preserve"> data grounded in practice; accommodates operational unpredictability; enables inductive/theoretically </w:t>
      </w:r>
      <w:r w:rsidR="000448F0" w:rsidRPr="003F31B2">
        <w:rPr>
          <w:rFonts w:asciiTheme="majorBidi" w:hAnsiTheme="majorBidi" w:cstheme="majorBidi"/>
        </w:rPr>
        <w:t>sensitized</w:t>
      </w:r>
      <w:r w:rsidRPr="003F31B2">
        <w:rPr>
          <w:rFonts w:asciiTheme="majorBidi" w:hAnsiTheme="majorBidi" w:cstheme="majorBidi"/>
        </w:rPr>
        <w:t xml:space="preserve"> synthesis; builds rapport for discussing sensitive </w:t>
      </w:r>
      <w:r w:rsidR="000448F0" w:rsidRPr="003F31B2">
        <w:rPr>
          <w:rFonts w:asciiTheme="majorBidi" w:hAnsiTheme="majorBidi" w:cstheme="majorBidi"/>
        </w:rPr>
        <w:t>organizational</w:t>
      </w:r>
      <w:r w:rsidRPr="003F31B2">
        <w:rPr>
          <w:rFonts w:asciiTheme="majorBidi" w:hAnsiTheme="majorBidi" w:cstheme="majorBidi"/>
        </w:rPr>
        <w:t xml:space="preserve"> issues. Limitations: Time constraints may limit depth in some sessions; </w:t>
      </w:r>
      <w:r w:rsidR="000448F0" w:rsidRPr="003F31B2">
        <w:rPr>
          <w:rFonts w:asciiTheme="majorBidi" w:hAnsiTheme="majorBidi" w:cstheme="majorBidi"/>
        </w:rPr>
        <w:t>organizational</w:t>
      </w:r>
      <w:r w:rsidRPr="003F31B2">
        <w:rPr>
          <w:rFonts w:asciiTheme="majorBidi" w:hAnsiTheme="majorBidi" w:cstheme="majorBidi"/>
        </w:rPr>
        <w:t xml:space="preserve"> loyalty or fear of identification may encourage self-censorship; researcher positionality and interviewer effects remain potential influences. Mitigations: Flexible scheduling and location options; repeated anonymity assurances; sustained reflexivity via journaling and memos; selective member checking; thick methodological description to support transferability (Lincoln &amp; Guba, 1985).</w:t>
      </w:r>
    </w:p>
    <w:p w14:paraId="5AB1D1C7" w14:textId="77777777" w:rsidR="00501FA7" w:rsidRPr="003F31B2" w:rsidRDefault="00501FA7" w:rsidP="006717A2">
      <w:pPr>
        <w:jc w:val="both"/>
        <w:rPr>
          <w:rFonts w:asciiTheme="majorBidi" w:hAnsiTheme="majorBidi" w:cstheme="majorBidi"/>
        </w:rPr>
      </w:pPr>
      <w:r w:rsidRPr="003F31B2">
        <w:rPr>
          <w:rFonts w:asciiTheme="majorBidi" w:hAnsiTheme="majorBidi" w:cstheme="majorBidi"/>
        </w:rPr>
        <w:t>This comprehensive, theoretically aligned, and ethically robust design ensures the semi-structured interview tool delivers high-quality data capable of addressing the study’s aims while meeting rigorous standards for qualitative educational research in non-formal contexts.</w:t>
      </w:r>
    </w:p>
    <w:p w14:paraId="72C9B201" w14:textId="77777777" w:rsidR="00501FA7" w:rsidRPr="003F31B2" w:rsidRDefault="00501FA7" w:rsidP="003F31B2">
      <w:pPr>
        <w:ind w:left="720"/>
        <w:jc w:val="both"/>
        <w:rPr>
          <w:rFonts w:asciiTheme="majorBidi" w:hAnsiTheme="majorBidi" w:cstheme="majorBidi"/>
        </w:rPr>
      </w:pPr>
    </w:p>
    <w:p w14:paraId="3EBED416" w14:textId="77777777" w:rsidR="00531452" w:rsidRPr="003F31B2" w:rsidRDefault="00531452" w:rsidP="003F31B2">
      <w:pPr>
        <w:jc w:val="both"/>
        <w:rPr>
          <w:rFonts w:asciiTheme="majorBidi" w:hAnsiTheme="majorBidi" w:cstheme="majorBidi"/>
          <w:b/>
          <w:bCs/>
        </w:rPr>
      </w:pPr>
      <w:r w:rsidRPr="003F31B2">
        <w:rPr>
          <w:rFonts w:asciiTheme="majorBidi" w:hAnsiTheme="majorBidi" w:cstheme="majorBidi"/>
          <w:b/>
          <w:bCs/>
        </w:rPr>
        <w:t>Data Analysis Methods</w:t>
      </w:r>
    </w:p>
    <w:p w14:paraId="39DB366B" w14:textId="610269EB" w:rsidR="00531452" w:rsidRPr="003F31B2" w:rsidRDefault="00531452" w:rsidP="003F31B2">
      <w:pPr>
        <w:jc w:val="both"/>
        <w:rPr>
          <w:rFonts w:asciiTheme="majorBidi" w:hAnsiTheme="majorBidi" w:cstheme="majorBidi"/>
        </w:rPr>
      </w:pPr>
      <w:r w:rsidRPr="003F31B2">
        <w:rPr>
          <w:rFonts w:asciiTheme="majorBidi" w:hAnsiTheme="majorBidi" w:cstheme="majorBidi"/>
        </w:rPr>
        <w:t xml:space="preserve">Data will be </w:t>
      </w:r>
      <w:r w:rsidR="000448F0" w:rsidRPr="003F31B2">
        <w:rPr>
          <w:rFonts w:asciiTheme="majorBidi" w:hAnsiTheme="majorBidi" w:cstheme="majorBidi"/>
        </w:rPr>
        <w:t>analyzed</w:t>
      </w:r>
      <w:r w:rsidRPr="003F31B2">
        <w:rPr>
          <w:rFonts w:asciiTheme="majorBidi" w:hAnsiTheme="majorBidi" w:cstheme="majorBidi"/>
        </w:rPr>
        <w:t xml:space="preserve"> using Braun and Clarke’s (2006, 2019) Reflexive Thematic Analysis (RTA), a flexible approach that fits the study’s interpretivist and constructivist foundations and supports both semantic (surface</w:t>
      </w:r>
      <w:r w:rsidRPr="003F31B2">
        <w:rPr>
          <w:rFonts w:asciiTheme="majorBidi" w:hAnsiTheme="majorBidi" w:cstheme="majorBidi"/>
        </w:rPr>
        <w:noBreakHyphen/>
        <w:t xml:space="preserve">level) and latent (underlying) interpretation of how firefighters construct meaning around microlearning, training pressures, and operational realities. This method is particularly suitable for exploratory work in complex </w:t>
      </w:r>
      <w:r w:rsidR="000448F0" w:rsidRPr="003F31B2">
        <w:rPr>
          <w:rFonts w:asciiTheme="majorBidi" w:hAnsiTheme="majorBidi" w:cstheme="majorBidi"/>
        </w:rPr>
        <w:t>organizational</w:t>
      </w:r>
      <w:r w:rsidRPr="003F31B2">
        <w:rPr>
          <w:rFonts w:asciiTheme="majorBidi" w:hAnsiTheme="majorBidi" w:cstheme="majorBidi"/>
        </w:rPr>
        <w:t xml:space="preserve"> settings, where multiple contextual and experiential layers shape participants’ accounts.</w:t>
      </w:r>
    </w:p>
    <w:p w14:paraId="29C38C53" w14:textId="69A26E75" w:rsidR="003F31B2" w:rsidRDefault="00531452" w:rsidP="003F31B2">
      <w:pPr>
        <w:jc w:val="both"/>
        <w:rPr>
          <w:rFonts w:asciiTheme="majorBidi" w:hAnsiTheme="majorBidi" w:cstheme="majorBidi"/>
        </w:rPr>
      </w:pPr>
      <w:r w:rsidRPr="003F31B2">
        <w:rPr>
          <w:rFonts w:asciiTheme="majorBidi" w:hAnsiTheme="majorBidi" w:cstheme="majorBidi"/>
        </w:rPr>
        <w:t xml:space="preserve"> </w:t>
      </w:r>
      <w:r w:rsidR="000448F0" w:rsidRPr="003F31B2">
        <w:rPr>
          <w:rFonts w:asciiTheme="majorBidi" w:hAnsiTheme="majorBidi" w:cstheme="majorBidi"/>
        </w:rPr>
        <w:t>Familiarization</w:t>
      </w:r>
      <w:r w:rsidRPr="003F31B2">
        <w:rPr>
          <w:rFonts w:asciiTheme="majorBidi" w:hAnsiTheme="majorBidi" w:cstheme="majorBidi"/>
        </w:rPr>
        <w:br/>
        <w:t>The researcher will begin by immersing themselves in the dataset through repeated reading of interview transcripts and, where useful, re</w:t>
      </w:r>
      <w:r w:rsidRPr="003F31B2">
        <w:rPr>
          <w:rFonts w:asciiTheme="majorBidi" w:hAnsiTheme="majorBidi" w:cstheme="majorBidi"/>
        </w:rPr>
        <w:noBreakHyphen/>
        <w:t xml:space="preserve">listening to audio recordings to attend to tone, emphasis, and pauses. Reflexive notes will be used to capture early impressions, emotional nuances, and provisional patterns that may inform later stages of analysis. </w:t>
      </w:r>
    </w:p>
    <w:p w14:paraId="4DEB23BE" w14:textId="77777777" w:rsidR="003F31B2" w:rsidRDefault="00531452" w:rsidP="003F31B2">
      <w:pPr>
        <w:jc w:val="both"/>
        <w:rPr>
          <w:rFonts w:asciiTheme="majorBidi" w:hAnsiTheme="majorBidi" w:cstheme="majorBidi"/>
        </w:rPr>
      </w:pPr>
      <w:r w:rsidRPr="003F31B2">
        <w:rPr>
          <w:rFonts w:asciiTheme="majorBidi" w:hAnsiTheme="majorBidi" w:cstheme="majorBidi"/>
        </w:rPr>
        <w:t>Generating Initial Codes</w:t>
      </w:r>
    </w:p>
    <w:p w14:paraId="50C716D3" w14:textId="6784A195" w:rsidR="003F31B2" w:rsidRDefault="00531452" w:rsidP="003F31B2">
      <w:pPr>
        <w:jc w:val="both"/>
        <w:rPr>
          <w:rFonts w:asciiTheme="majorBidi" w:hAnsiTheme="majorBidi" w:cstheme="majorBidi"/>
        </w:rPr>
      </w:pPr>
      <w:r w:rsidRPr="003F31B2">
        <w:rPr>
          <w:rFonts w:asciiTheme="majorBidi" w:hAnsiTheme="majorBidi" w:cstheme="majorBidi"/>
        </w:rPr>
        <w:t>Initial coding will be conducted inductively, with close attention to participants’ own language, metaphors, and examples. Codes may capture ideas such as “time</w:t>
      </w:r>
      <w:r w:rsidRPr="003F31B2">
        <w:rPr>
          <w:rFonts w:asciiTheme="majorBidi" w:hAnsiTheme="majorBidi" w:cstheme="majorBidi"/>
        </w:rPr>
        <w:noBreakHyphen/>
        <w:t>poor learning”, “digital fatigue”, “peer</w:t>
      </w:r>
      <w:r w:rsidRPr="003F31B2">
        <w:rPr>
          <w:rFonts w:asciiTheme="majorBidi" w:hAnsiTheme="majorBidi" w:cstheme="majorBidi"/>
        </w:rPr>
        <w:noBreakHyphen/>
        <w:t xml:space="preserve">based learning”, or “risk of oversimplification”, and NVivo will be used to </w:t>
      </w:r>
      <w:r w:rsidR="000448F0" w:rsidRPr="003F31B2">
        <w:rPr>
          <w:rFonts w:asciiTheme="majorBidi" w:hAnsiTheme="majorBidi" w:cstheme="majorBidi"/>
        </w:rPr>
        <w:t>organize</w:t>
      </w:r>
      <w:r w:rsidRPr="003F31B2">
        <w:rPr>
          <w:rFonts w:asciiTheme="majorBidi" w:hAnsiTheme="majorBidi" w:cstheme="majorBidi"/>
        </w:rPr>
        <w:t xml:space="preserve"> and retrieve coded segments systematically without automating or determining analytic decisions. Developing Candidate Themes</w:t>
      </w:r>
      <w:r w:rsidRPr="003F31B2">
        <w:rPr>
          <w:rFonts w:asciiTheme="majorBidi" w:hAnsiTheme="majorBidi" w:cstheme="majorBidi"/>
        </w:rPr>
        <w:br/>
        <w:t>Related codes will then be grouped into broader patterns that represent shared meanings across accounts. For instance, codes relating to limited access to training, shift pressures, and cancelled sessions may cluster into a theme such as “structural constraints on learning”.</w:t>
      </w:r>
    </w:p>
    <w:p w14:paraId="00C37E96" w14:textId="77777777" w:rsidR="003F31B2" w:rsidRDefault="00531452" w:rsidP="003F31B2">
      <w:pPr>
        <w:jc w:val="both"/>
        <w:rPr>
          <w:rFonts w:asciiTheme="majorBidi" w:hAnsiTheme="majorBidi" w:cstheme="majorBidi"/>
        </w:rPr>
      </w:pPr>
      <w:r w:rsidRPr="003F31B2">
        <w:rPr>
          <w:rFonts w:asciiTheme="majorBidi" w:hAnsiTheme="majorBidi" w:cstheme="majorBidi"/>
        </w:rPr>
        <w:t xml:space="preserve"> Reviewing and Refining Themes</w:t>
      </w:r>
    </w:p>
    <w:p w14:paraId="66DC037A" w14:textId="77777777" w:rsidR="003F31B2" w:rsidRDefault="00531452" w:rsidP="003F31B2">
      <w:pPr>
        <w:jc w:val="both"/>
        <w:rPr>
          <w:rFonts w:asciiTheme="majorBidi" w:hAnsiTheme="majorBidi" w:cstheme="majorBidi"/>
        </w:rPr>
      </w:pPr>
      <w:r w:rsidRPr="003F31B2">
        <w:rPr>
          <w:rFonts w:asciiTheme="majorBidi" w:hAnsiTheme="majorBidi" w:cstheme="majorBidi"/>
        </w:rPr>
        <w:t>Candidate themes will be reviewed against the full dataset to ensure that they are coherent internally and distinct from one another. At this stage, some themes may be merged, subdivided, or discarded, and their relevance to the research questions and theoretical perspectives (e.g., Cognitive Load Theory, Situated Learning) will be critically considered.</w:t>
      </w:r>
    </w:p>
    <w:p w14:paraId="217E4800" w14:textId="77777777" w:rsidR="003F31B2" w:rsidRDefault="00531452" w:rsidP="003F31B2">
      <w:pPr>
        <w:jc w:val="both"/>
        <w:rPr>
          <w:rFonts w:asciiTheme="majorBidi" w:hAnsiTheme="majorBidi" w:cstheme="majorBidi"/>
        </w:rPr>
      </w:pPr>
      <w:r w:rsidRPr="003F31B2">
        <w:rPr>
          <w:rFonts w:asciiTheme="majorBidi" w:hAnsiTheme="majorBidi" w:cstheme="majorBidi"/>
        </w:rPr>
        <w:t xml:space="preserve"> Defining and Naming Themes</w:t>
      </w:r>
    </w:p>
    <w:p w14:paraId="049CDD6E" w14:textId="5DB8512C" w:rsidR="003F31B2" w:rsidRDefault="00531452" w:rsidP="003F31B2">
      <w:pPr>
        <w:jc w:val="both"/>
        <w:rPr>
          <w:rFonts w:asciiTheme="majorBidi" w:hAnsiTheme="majorBidi" w:cstheme="majorBidi"/>
        </w:rPr>
      </w:pPr>
      <w:r w:rsidRPr="003F31B2">
        <w:rPr>
          <w:rFonts w:asciiTheme="majorBidi" w:hAnsiTheme="majorBidi" w:cstheme="majorBidi"/>
        </w:rPr>
        <w:br/>
        <w:t xml:space="preserve">Each theme will be refined to capture its core meaning, scope, and contribution to answering the research questions. Themes will be given concise, analytically meaningful names, such as “microlearning as </w:t>
      </w:r>
      <w:r w:rsidRPr="003F31B2">
        <w:rPr>
          <w:rFonts w:asciiTheme="majorBidi" w:hAnsiTheme="majorBidi" w:cstheme="majorBidi"/>
        </w:rPr>
        <w:lastRenderedPageBreak/>
        <w:t>cognitive relief”, “cultural resistance to digital formats”, or “bridging the RDS–</w:t>
      </w:r>
      <w:r w:rsidR="000448F0" w:rsidRPr="003F31B2">
        <w:rPr>
          <w:rFonts w:asciiTheme="majorBidi" w:hAnsiTheme="majorBidi" w:cstheme="majorBidi"/>
        </w:rPr>
        <w:t>whole time</w:t>
      </w:r>
      <w:r w:rsidRPr="003F31B2">
        <w:rPr>
          <w:rFonts w:asciiTheme="majorBidi" w:hAnsiTheme="majorBidi" w:cstheme="majorBidi"/>
        </w:rPr>
        <w:t xml:space="preserve"> divide”, in order to communicate their focus clearly.</w:t>
      </w:r>
    </w:p>
    <w:p w14:paraId="10E765A2" w14:textId="77777777" w:rsidR="003F31B2" w:rsidRDefault="00531452" w:rsidP="003F31B2">
      <w:pPr>
        <w:jc w:val="both"/>
        <w:rPr>
          <w:rFonts w:asciiTheme="majorBidi" w:hAnsiTheme="majorBidi" w:cstheme="majorBidi"/>
        </w:rPr>
      </w:pPr>
      <w:r w:rsidRPr="003F31B2">
        <w:rPr>
          <w:rFonts w:asciiTheme="majorBidi" w:hAnsiTheme="majorBidi" w:cstheme="majorBidi"/>
        </w:rPr>
        <w:t xml:space="preserve"> Producing the Report</w:t>
      </w:r>
    </w:p>
    <w:p w14:paraId="1832B2D3" w14:textId="77777777" w:rsidR="00501FA7" w:rsidRPr="003F31B2" w:rsidRDefault="00531452" w:rsidP="003F31B2">
      <w:pPr>
        <w:jc w:val="both"/>
        <w:rPr>
          <w:rFonts w:asciiTheme="majorBidi" w:hAnsiTheme="majorBidi" w:cstheme="majorBidi"/>
        </w:rPr>
      </w:pPr>
      <w:r w:rsidRPr="003F31B2">
        <w:rPr>
          <w:rFonts w:asciiTheme="majorBidi" w:hAnsiTheme="majorBidi" w:cstheme="majorBidi"/>
        </w:rPr>
        <w:br/>
        <w:t>In the final stage, themes will be woven into a coherent analytic narrative supported by illustrative quotations from participants. Interpretation will draw selectively on Cognitive Load Theory, Situated Learning, and workplace learning literature to deepen understanding of the patterns identified, while avoiding forcing the data into pre</w:t>
      </w:r>
      <w:r w:rsidRPr="003F31B2">
        <w:rPr>
          <w:rFonts w:asciiTheme="majorBidi" w:hAnsiTheme="majorBidi" w:cstheme="majorBidi"/>
        </w:rPr>
        <w:noBreakHyphen/>
        <w:t>existing categories. Throughout the analytic process, reflexivity will be maintained through memo</w:t>
      </w:r>
      <w:r w:rsidRPr="003F31B2">
        <w:rPr>
          <w:rFonts w:asciiTheme="majorBidi" w:hAnsiTheme="majorBidi" w:cstheme="majorBidi"/>
        </w:rPr>
        <w:noBreakHyphen/>
        <w:t>writing and critical self</w:t>
      </w:r>
      <w:r w:rsidRPr="003F31B2">
        <w:rPr>
          <w:rFonts w:asciiTheme="majorBidi" w:hAnsiTheme="majorBidi" w:cstheme="majorBidi"/>
        </w:rPr>
        <w:noBreakHyphen/>
        <w:t>reflection on how the researcher’s assumptions, positionality, and relationship to the field may shape coding and interpretation.</w:t>
      </w:r>
    </w:p>
    <w:p w14:paraId="6C02FA41" w14:textId="77777777" w:rsidR="003F31B2" w:rsidRPr="003F31B2" w:rsidRDefault="00531452" w:rsidP="003F31B2">
      <w:pPr>
        <w:jc w:val="both"/>
        <w:rPr>
          <w:rFonts w:asciiTheme="majorBidi" w:hAnsiTheme="majorBidi" w:cstheme="majorBidi"/>
          <w:b/>
          <w:bCs/>
        </w:rPr>
      </w:pPr>
      <w:r w:rsidRPr="003F31B2">
        <w:rPr>
          <w:rFonts w:asciiTheme="majorBidi" w:hAnsiTheme="majorBidi" w:cstheme="majorBidi"/>
        </w:rPr>
        <w:t xml:space="preserve"> </w:t>
      </w:r>
      <w:r w:rsidRPr="003F31B2">
        <w:rPr>
          <w:rFonts w:asciiTheme="majorBidi" w:hAnsiTheme="majorBidi" w:cstheme="majorBidi"/>
          <w:b/>
          <w:bCs/>
        </w:rPr>
        <w:t>Conclusion</w:t>
      </w:r>
    </w:p>
    <w:p w14:paraId="494772E5" w14:textId="6AD7A13D" w:rsidR="00531452" w:rsidRPr="003F31B2" w:rsidRDefault="00531452" w:rsidP="003F31B2">
      <w:pPr>
        <w:jc w:val="both"/>
        <w:rPr>
          <w:rFonts w:asciiTheme="majorBidi" w:hAnsiTheme="majorBidi" w:cstheme="majorBidi"/>
        </w:rPr>
      </w:pPr>
      <w:r w:rsidRPr="003F31B2">
        <w:rPr>
          <w:rFonts w:asciiTheme="majorBidi" w:hAnsiTheme="majorBidi" w:cstheme="majorBidi"/>
        </w:rPr>
        <w:br/>
        <w:t xml:space="preserve">Overall, the study </w:t>
      </w:r>
      <w:r w:rsidR="000448F0" w:rsidRPr="003F31B2">
        <w:rPr>
          <w:rFonts w:asciiTheme="majorBidi" w:hAnsiTheme="majorBidi" w:cstheme="majorBidi"/>
        </w:rPr>
        <w:t>ayes</w:t>
      </w:r>
      <w:r w:rsidRPr="003F31B2">
        <w:rPr>
          <w:rFonts w:asciiTheme="majorBidi" w:hAnsiTheme="majorBidi" w:cstheme="majorBidi"/>
        </w:rPr>
        <w:t xml:space="preserve"> a qualitative, theoretically informed design that combines semi</w:t>
      </w:r>
      <w:r w:rsidRPr="003F31B2">
        <w:rPr>
          <w:rFonts w:asciiTheme="majorBidi" w:hAnsiTheme="majorBidi" w:cstheme="majorBidi"/>
        </w:rPr>
        <w:noBreakHyphen/>
        <w:t>structured interviews, purposive sampling, and reflexive thematic analysis to explore firefighters’ perceptions of microlearning within Welsh FRS. This methodological framework is intended to generate context</w:t>
      </w:r>
      <w:r w:rsidRPr="003F31B2">
        <w:rPr>
          <w:rFonts w:asciiTheme="majorBidi" w:hAnsiTheme="majorBidi" w:cstheme="majorBidi"/>
        </w:rPr>
        <w:noBreakHyphen/>
        <w:t xml:space="preserve">sensitive insights that can inform future training innovation and address existing operational and </w:t>
      </w:r>
      <w:r w:rsidR="000448F0" w:rsidRPr="003F31B2">
        <w:rPr>
          <w:rFonts w:asciiTheme="majorBidi" w:hAnsiTheme="majorBidi" w:cstheme="majorBidi"/>
        </w:rPr>
        <w:t>organizational</w:t>
      </w:r>
      <w:r w:rsidRPr="003F31B2">
        <w:rPr>
          <w:rFonts w:asciiTheme="majorBidi" w:hAnsiTheme="majorBidi" w:cstheme="majorBidi"/>
        </w:rPr>
        <w:t xml:space="preserve"> challenges in a nuanced, practice</w:t>
      </w:r>
      <w:r w:rsidRPr="003F31B2">
        <w:rPr>
          <w:rFonts w:asciiTheme="majorBidi" w:hAnsiTheme="majorBidi" w:cstheme="majorBidi"/>
        </w:rPr>
        <w:noBreakHyphen/>
        <w:t>relevant way.</w:t>
      </w:r>
    </w:p>
    <w:p w14:paraId="550F8897" w14:textId="77777777" w:rsidR="00134FD6" w:rsidRPr="003F31B2" w:rsidRDefault="00134FD6" w:rsidP="003F31B2">
      <w:pPr>
        <w:jc w:val="both"/>
        <w:rPr>
          <w:rFonts w:asciiTheme="majorBidi" w:hAnsiTheme="majorBidi" w:cstheme="majorBidi"/>
          <w:b/>
          <w:bCs/>
        </w:rPr>
      </w:pPr>
      <w:r w:rsidRPr="003F31B2">
        <w:rPr>
          <w:rFonts w:asciiTheme="majorBidi" w:hAnsiTheme="majorBidi" w:cstheme="majorBidi"/>
        </w:rPr>
        <w:t xml:space="preserve"> </w:t>
      </w:r>
      <w:r w:rsidR="003F31B2" w:rsidRPr="003F31B2">
        <w:rPr>
          <w:rFonts w:asciiTheme="majorBidi" w:hAnsiTheme="majorBidi" w:cstheme="majorBidi"/>
          <w:b/>
          <w:bCs/>
        </w:rPr>
        <w:t>References</w:t>
      </w:r>
    </w:p>
    <w:p w14:paraId="4FF7FB0C" w14:textId="452E828B"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Braun, V. and Clarke, V. (2006) ‘Using thematic analysis in psychology’, Qualitative Research in Psychology, 3(2), pp. 77–101. </w:t>
      </w:r>
      <w:r w:rsidR="000448F0" w:rsidRPr="003F31B2">
        <w:rPr>
          <w:rFonts w:asciiTheme="majorBidi" w:hAnsiTheme="majorBidi" w:cstheme="majorBidi"/>
        </w:rPr>
        <w:t>Doi</w:t>
      </w:r>
      <w:r w:rsidRPr="003F31B2">
        <w:rPr>
          <w:rFonts w:asciiTheme="majorBidi" w:hAnsiTheme="majorBidi" w:cstheme="majorBidi"/>
        </w:rPr>
        <w:t>: 10.1191/1478088706qp063oa.</w:t>
      </w:r>
    </w:p>
    <w:p w14:paraId="7766CE4D" w14:textId="77777777" w:rsidR="00134FD6" w:rsidRPr="003F31B2" w:rsidRDefault="00134FD6" w:rsidP="003F31B2">
      <w:pPr>
        <w:jc w:val="both"/>
        <w:rPr>
          <w:rFonts w:asciiTheme="majorBidi" w:hAnsiTheme="majorBidi" w:cstheme="majorBidi"/>
        </w:rPr>
      </w:pPr>
    </w:p>
    <w:p w14:paraId="3E056319" w14:textId="19047B4F"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Braun, V. and Clarke, V. (2019) ‘Reflecting on reflexive thematic analysis’, Qualitative Research in Sport, Exercise and Health, 11(4), pp. 589–597. </w:t>
      </w:r>
      <w:r w:rsidR="000448F0" w:rsidRPr="003F31B2">
        <w:rPr>
          <w:rFonts w:asciiTheme="majorBidi" w:hAnsiTheme="majorBidi" w:cstheme="majorBidi"/>
        </w:rPr>
        <w:t>Doi</w:t>
      </w:r>
      <w:r w:rsidRPr="003F31B2">
        <w:rPr>
          <w:rFonts w:asciiTheme="majorBidi" w:hAnsiTheme="majorBidi" w:cstheme="majorBidi"/>
        </w:rPr>
        <w:t>: 10.1080/2159676X.2019.1628806.</w:t>
      </w:r>
    </w:p>
    <w:p w14:paraId="6FB78B20" w14:textId="77777777" w:rsidR="00134FD6" w:rsidRPr="003F31B2" w:rsidRDefault="00134FD6" w:rsidP="003F31B2">
      <w:pPr>
        <w:jc w:val="both"/>
        <w:rPr>
          <w:rFonts w:asciiTheme="majorBidi" w:hAnsiTheme="majorBidi" w:cstheme="majorBidi"/>
        </w:rPr>
      </w:pPr>
    </w:p>
    <w:p w14:paraId="6F612AAE" w14:textId="51408CE0"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Cepeda, N. J., </w:t>
      </w:r>
      <w:proofErr w:type="spellStart"/>
      <w:r w:rsidRPr="003F31B2">
        <w:rPr>
          <w:rFonts w:asciiTheme="majorBidi" w:hAnsiTheme="majorBidi" w:cstheme="majorBidi"/>
        </w:rPr>
        <w:t>Pashler</w:t>
      </w:r>
      <w:proofErr w:type="spellEnd"/>
      <w:r w:rsidRPr="003F31B2">
        <w:rPr>
          <w:rFonts w:asciiTheme="majorBidi" w:hAnsiTheme="majorBidi" w:cstheme="majorBidi"/>
        </w:rPr>
        <w:t xml:space="preserve">, H., </w:t>
      </w:r>
      <w:proofErr w:type="spellStart"/>
      <w:r w:rsidRPr="003F31B2">
        <w:rPr>
          <w:rFonts w:asciiTheme="majorBidi" w:hAnsiTheme="majorBidi" w:cstheme="majorBidi"/>
        </w:rPr>
        <w:t>Vul</w:t>
      </w:r>
      <w:proofErr w:type="spellEnd"/>
      <w:r w:rsidRPr="003F31B2">
        <w:rPr>
          <w:rFonts w:asciiTheme="majorBidi" w:hAnsiTheme="majorBidi" w:cstheme="majorBidi"/>
        </w:rPr>
        <w:t xml:space="preserve">, E., Wixted, J. T. and Rohrer, D. (2006) ‘Distributed practice in verbal recall tasks: A review and quantitative synthesis’, Psychological Bulletin, 132(3), pp. 354–380. </w:t>
      </w:r>
      <w:r w:rsidR="000448F0" w:rsidRPr="003F31B2">
        <w:rPr>
          <w:rFonts w:asciiTheme="majorBidi" w:hAnsiTheme="majorBidi" w:cstheme="majorBidi"/>
        </w:rPr>
        <w:t>Doi</w:t>
      </w:r>
      <w:r w:rsidRPr="003F31B2">
        <w:rPr>
          <w:rFonts w:asciiTheme="majorBidi" w:hAnsiTheme="majorBidi" w:cstheme="majorBidi"/>
        </w:rPr>
        <w:t>: 10.1037/0033-2909.132.3.354.</w:t>
      </w:r>
    </w:p>
    <w:p w14:paraId="7DAF5051" w14:textId="77777777" w:rsidR="00134FD6" w:rsidRPr="003F31B2" w:rsidRDefault="00134FD6" w:rsidP="003F31B2">
      <w:pPr>
        <w:jc w:val="both"/>
        <w:rPr>
          <w:rFonts w:asciiTheme="majorBidi" w:hAnsiTheme="majorBidi" w:cstheme="majorBidi"/>
        </w:rPr>
      </w:pPr>
    </w:p>
    <w:p w14:paraId="49A91E0C" w14:textId="77777777"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Cronin, J. and Durham, M. L. (2024) ‘Microlearning: a concept analysis’, CIN: Computers, Informatics, Nursing, 42(6), pp. 413–420. </w:t>
      </w:r>
      <w:proofErr w:type="spellStart"/>
      <w:r w:rsidRPr="003F31B2">
        <w:rPr>
          <w:rFonts w:asciiTheme="majorBidi" w:hAnsiTheme="majorBidi" w:cstheme="majorBidi"/>
        </w:rPr>
        <w:t>doi</w:t>
      </w:r>
      <w:proofErr w:type="spellEnd"/>
      <w:r w:rsidRPr="003F31B2">
        <w:rPr>
          <w:rFonts w:asciiTheme="majorBidi" w:hAnsiTheme="majorBidi" w:cstheme="majorBidi"/>
        </w:rPr>
        <w:t>: 10.1097/CIN.0000000000000910.</w:t>
      </w:r>
    </w:p>
    <w:p w14:paraId="77F29E7A" w14:textId="77777777" w:rsidR="00134FD6" w:rsidRPr="003F31B2" w:rsidRDefault="00134FD6" w:rsidP="003F31B2">
      <w:pPr>
        <w:jc w:val="both"/>
        <w:rPr>
          <w:rFonts w:asciiTheme="majorBidi" w:hAnsiTheme="majorBidi" w:cstheme="majorBidi"/>
        </w:rPr>
      </w:pPr>
    </w:p>
    <w:p w14:paraId="31B6B2A5" w14:textId="5A99F16A"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Crowe, A., Glass, J. S., Waggy, M. R. et al. (2017) ‘A content analysis of psychological resilience among first responders and the general population’, SAGE Open, 7(2). </w:t>
      </w:r>
      <w:r w:rsidR="000448F0" w:rsidRPr="003F31B2">
        <w:rPr>
          <w:rFonts w:asciiTheme="majorBidi" w:hAnsiTheme="majorBidi" w:cstheme="majorBidi"/>
        </w:rPr>
        <w:t>Doi</w:t>
      </w:r>
      <w:r w:rsidRPr="003F31B2">
        <w:rPr>
          <w:rFonts w:asciiTheme="majorBidi" w:hAnsiTheme="majorBidi" w:cstheme="majorBidi"/>
        </w:rPr>
        <w:t>: 10.1177/2158244017698530.</w:t>
      </w:r>
    </w:p>
    <w:p w14:paraId="48F03563" w14:textId="77777777" w:rsidR="00134FD6" w:rsidRPr="003F31B2" w:rsidRDefault="00134FD6" w:rsidP="003F31B2">
      <w:pPr>
        <w:jc w:val="both"/>
        <w:rPr>
          <w:rFonts w:asciiTheme="majorBidi" w:hAnsiTheme="majorBidi" w:cstheme="majorBidi"/>
        </w:rPr>
      </w:pPr>
    </w:p>
    <w:p w14:paraId="423D01D0" w14:textId="6F800057"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De Gagne, J. C., Park, H. K., Hall, K., Woodward, A., Yamane, S. and Kim, S. S. (2019) ‘Microlearning in health professions education: Scoping review’, JMIR Medical Education, 5(2), e13997. </w:t>
      </w:r>
      <w:r w:rsidR="000448F0" w:rsidRPr="003F31B2">
        <w:rPr>
          <w:rFonts w:asciiTheme="majorBidi" w:hAnsiTheme="majorBidi" w:cstheme="majorBidi"/>
        </w:rPr>
        <w:t>Doi</w:t>
      </w:r>
      <w:r w:rsidRPr="003F31B2">
        <w:rPr>
          <w:rFonts w:asciiTheme="majorBidi" w:hAnsiTheme="majorBidi" w:cstheme="majorBidi"/>
        </w:rPr>
        <w:t>: 10.2196/13997.</w:t>
      </w:r>
    </w:p>
    <w:p w14:paraId="397B6327" w14:textId="77777777" w:rsidR="00134FD6" w:rsidRPr="003F31B2" w:rsidRDefault="00134FD6" w:rsidP="003F31B2">
      <w:pPr>
        <w:jc w:val="both"/>
        <w:rPr>
          <w:rFonts w:asciiTheme="majorBidi" w:hAnsiTheme="majorBidi" w:cstheme="majorBidi"/>
        </w:rPr>
      </w:pPr>
    </w:p>
    <w:p w14:paraId="4D9799CC" w14:textId="740C0987"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Foster, L. (2021) ‘Youth decision-making and contextual learning in the emergency services’, Journal of Vocational Education and Training, 73(4), pp. 522–538. </w:t>
      </w:r>
      <w:r w:rsidR="000448F0" w:rsidRPr="003F31B2">
        <w:rPr>
          <w:rFonts w:asciiTheme="majorBidi" w:hAnsiTheme="majorBidi" w:cstheme="majorBidi"/>
        </w:rPr>
        <w:t>Doi</w:t>
      </w:r>
      <w:r w:rsidRPr="003F31B2">
        <w:rPr>
          <w:rFonts w:asciiTheme="majorBidi" w:hAnsiTheme="majorBidi" w:cstheme="majorBidi"/>
        </w:rPr>
        <w:t>: 10.1080/13636820.2021.1880457.</w:t>
      </w:r>
    </w:p>
    <w:p w14:paraId="4BF3FDA7" w14:textId="77777777" w:rsidR="00134FD6" w:rsidRPr="003F31B2" w:rsidRDefault="00134FD6" w:rsidP="003F31B2">
      <w:pPr>
        <w:jc w:val="both"/>
        <w:rPr>
          <w:rFonts w:asciiTheme="majorBidi" w:hAnsiTheme="majorBidi" w:cstheme="majorBidi"/>
        </w:rPr>
      </w:pPr>
    </w:p>
    <w:p w14:paraId="6A56C1A3" w14:textId="2B50C99C"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Heydari, A., </w:t>
      </w:r>
      <w:proofErr w:type="spellStart"/>
      <w:r w:rsidRPr="003F31B2">
        <w:rPr>
          <w:rFonts w:asciiTheme="majorBidi" w:hAnsiTheme="majorBidi" w:cstheme="majorBidi"/>
        </w:rPr>
        <w:t>Ostadtaghizadeh</w:t>
      </w:r>
      <w:proofErr w:type="spellEnd"/>
      <w:r w:rsidRPr="003F31B2">
        <w:rPr>
          <w:rFonts w:asciiTheme="majorBidi" w:hAnsiTheme="majorBidi" w:cstheme="majorBidi"/>
        </w:rPr>
        <w:t xml:space="preserve">, A., Ardalan, A., Ebadi, A., </w:t>
      </w:r>
      <w:proofErr w:type="spellStart"/>
      <w:r w:rsidRPr="003F31B2">
        <w:rPr>
          <w:rFonts w:asciiTheme="majorBidi" w:hAnsiTheme="majorBidi" w:cstheme="majorBidi"/>
        </w:rPr>
        <w:t>Mohammadfam</w:t>
      </w:r>
      <w:proofErr w:type="spellEnd"/>
      <w:r w:rsidRPr="003F31B2">
        <w:rPr>
          <w:rFonts w:asciiTheme="majorBidi" w:hAnsiTheme="majorBidi" w:cstheme="majorBidi"/>
        </w:rPr>
        <w:t>, I. and Khorasani-</w:t>
      </w:r>
      <w:proofErr w:type="spellStart"/>
      <w:r w:rsidRPr="003F31B2">
        <w:rPr>
          <w:rFonts w:asciiTheme="majorBidi" w:hAnsiTheme="majorBidi" w:cstheme="majorBidi"/>
        </w:rPr>
        <w:t>Zavareh</w:t>
      </w:r>
      <w:proofErr w:type="spellEnd"/>
      <w:r w:rsidRPr="003F31B2">
        <w:rPr>
          <w:rFonts w:asciiTheme="majorBidi" w:hAnsiTheme="majorBidi" w:cstheme="majorBidi"/>
        </w:rPr>
        <w:t xml:space="preserve">, D. (2022) ‘Exploring the criteria and factors affecting firefighters’ resilience: A qualitative study’, Chinese Journal of Traumatology, 25(2), pp. 107–114. </w:t>
      </w:r>
      <w:r w:rsidR="000448F0" w:rsidRPr="003F31B2">
        <w:rPr>
          <w:rFonts w:asciiTheme="majorBidi" w:hAnsiTheme="majorBidi" w:cstheme="majorBidi"/>
        </w:rPr>
        <w:t>Doi</w:t>
      </w:r>
      <w:r w:rsidRPr="003F31B2">
        <w:rPr>
          <w:rFonts w:asciiTheme="majorBidi" w:hAnsiTheme="majorBidi" w:cstheme="majorBidi"/>
        </w:rPr>
        <w:t>: 10.1016/j.cjt.2021.10.004.</w:t>
      </w:r>
    </w:p>
    <w:p w14:paraId="1D4F7F7B" w14:textId="77777777" w:rsidR="00134FD6" w:rsidRPr="003F31B2" w:rsidRDefault="00134FD6" w:rsidP="003F31B2">
      <w:pPr>
        <w:jc w:val="both"/>
        <w:rPr>
          <w:rFonts w:asciiTheme="majorBidi" w:hAnsiTheme="majorBidi" w:cstheme="majorBidi"/>
        </w:rPr>
      </w:pPr>
    </w:p>
    <w:p w14:paraId="0DDA4F6E" w14:textId="77777777" w:rsidR="00134FD6" w:rsidRPr="003F31B2" w:rsidRDefault="00134FD6" w:rsidP="003F31B2">
      <w:pPr>
        <w:jc w:val="both"/>
        <w:rPr>
          <w:rFonts w:asciiTheme="majorBidi" w:hAnsiTheme="majorBidi" w:cstheme="majorBidi"/>
        </w:rPr>
      </w:pPr>
      <w:r w:rsidRPr="003F31B2">
        <w:rPr>
          <w:rFonts w:asciiTheme="majorBidi" w:hAnsiTheme="majorBidi" w:cstheme="majorBidi"/>
        </w:rPr>
        <w:t>His Majesty’s Inspectorate of Constabulary and Fire &amp; Rescue Services (HMICFRS) (2023) State of Fire and Rescue: The Annual Assessment of Fire and Rescue Services in England 2022. London: Home Office. Available at: https://assets.publishing.service.gov.uk/media/63d39b02e90e077e9487e75a/state-of-fire-and-rescue-2022.pdf (Accessed: 28 December 2025).</w:t>
      </w:r>
    </w:p>
    <w:p w14:paraId="0B25D5DA" w14:textId="77777777" w:rsidR="00134FD6" w:rsidRPr="003F31B2" w:rsidRDefault="00134FD6" w:rsidP="003F31B2">
      <w:pPr>
        <w:jc w:val="both"/>
        <w:rPr>
          <w:rFonts w:asciiTheme="majorBidi" w:hAnsiTheme="majorBidi" w:cstheme="majorBidi"/>
        </w:rPr>
      </w:pPr>
    </w:p>
    <w:p w14:paraId="4589CA16" w14:textId="77777777" w:rsidR="00134FD6" w:rsidRPr="003F31B2" w:rsidRDefault="00134FD6" w:rsidP="003F31B2">
      <w:pPr>
        <w:jc w:val="both"/>
        <w:rPr>
          <w:rFonts w:asciiTheme="majorBidi" w:hAnsiTheme="majorBidi" w:cstheme="majorBidi"/>
        </w:rPr>
      </w:pPr>
      <w:proofErr w:type="spellStart"/>
      <w:r w:rsidRPr="003F31B2">
        <w:rPr>
          <w:rFonts w:asciiTheme="majorBidi" w:hAnsiTheme="majorBidi" w:cstheme="majorBidi"/>
        </w:rPr>
        <w:t>Keshtkaran</w:t>
      </w:r>
      <w:proofErr w:type="spellEnd"/>
      <w:r w:rsidRPr="003F31B2">
        <w:rPr>
          <w:rFonts w:asciiTheme="majorBidi" w:hAnsiTheme="majorBidi" w:cstheme="majorBidi"/>
        </w:rPr>
        <w:t xml:space="preserve">, Z., Dadgar, F., Karimian, Z., Raesi, R. and </w:t>
      </w:r>
      <w:proofErr w:type="spellStart"/>
      <w:r w:rsidRPr="003F31B2">
        <w:rPr>
          <w:rFonts w:asciiTheme="majorBidi" w:hAnsiTheme="majorBidi" w:cstheme="majorBidi"/>
        </w:rPr>
        <w:t>Kavoosi</w:t>
      </w:r>
      <w:proofErr w:type="spellEnd"/>
      <w:r w:rsidRPr="003F31B2">
        <w:rPr>
          <w:rFonts w:asciiTheme="majorBidi" w:hAnsiTheme="majorBidi" w:cstheme="majorBidi"/>
        </w:rPr>
        <w:t xml:space="preserve">, J. (2025) ‘The effect of microlearning educational intervention on communication skills of nurses working in Shiraz Trauma Hospital in 2021’, Journal of Education and Health Promotion, 14(3), 3. </w:t>
      </w:r>
      <w:proofErr w:type="spellStart"/>
      <w:r w:rsidRPr="003F31B2">
        <w:rPr>
          <w:rFonts w:asciiTheme="majorBidi" w:hAnsiTheme="majorBidi" w:cstheme="majorBidi"/>
        </w:rPr>
        <w:t>doi</w:t>
      </w:r>
      <w:proofErr w:type="spellEnd"/>
      <w:r w:rsidRPr="003F31B2">
        <w:rPr>
          <w:rFonts w:asciiTheme="majorBidi" w:hAnsiTheme="majorBidi" w:cstheme="majorBidi"/>
        </w:rPr>
        <w:t>: 10.4103/jehp.jehp_1096_23.</w:t>
      </w:r>
    </w:p>
    <w:p w14:paraId="521A892E" w14:textId="77777777" w:rsidR="00134FD6" w:rsidRPr="003F31B2" w:rsidRDefault="00134FD6" w:rsidP="003F31B2">
      <w:pPr>
        <w:jc w:val="both"/>
        <w:rPr>
          <w:rFonts w:asciiTheme="majorBidi" w:hAnsiTheme="majorBidi" w:cstheme="majorBidi"/>
        </w:rPr>
      </w:pPr>
    </w:p>
    <w:p w14:paraId="5F0D85B9" w14:textId="512355A1"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Lave, J. and Wenger, E. (1991) Situated Learning: Legitimate Peripheral Participation. Cambridge: Cambridge University Press. </w:t>
      </w:r>
      <w:r w:rsidR="000448F0" w:rsidRPr="003F31B2">
        <w:rPr>
          <w:rFonts w:asciiTheme="majorBidi" w:hAnsiTheme="majorBidi" w:cstheme="majorBidi"/>
        </w:rPr>
        <w:t>Doi</w:t>
      </w:r>
      <w:r w:rsidRPr="003F31B2">
        <w:rPr>
          <w:rFonts w:asciiTheme="majorBidi" w:hAnsiTheme="majorBidi" w:cstheme="majorBidi"/>
        </w:rPr>
        <w:t>: 10.1017/CBO9780511815355.</w:t>
      </w:r>
    </w:p>
    <w:p w14:paraId="24CFE625" w14:textId="77777777" w:rsidR="00134FD6" w:rsidRPr="003F31B2" w:rsidRDefault="00134FD6" w:rsidP="003F31B2">
      <w:pPr>
        <w:jc w:val="both"/>
        <w:rPr>
          <w:rFonts w:asciiTheme="majorBidi" w:hAnsiTheme="majorBidi" w:cstheme="majorBidi"/>
        </w:rPr>
      </w:pPr>
    </w:p>
    <w:p w14:paraId="56BCEE69" w14:textId="77777777"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Martin, B. O., </w:t>
      </w:r>
      <w:proofErr w:type="spellStart"/>
      <w:r w:rsidRPr="003F31B2">
        <w:rPr>
          <w:rFonts w:asciiTheme="majorBidi" w:hAnsiTheme="majorBidi" w:cstheme="majorBidi"/>
        </w:rPr>
        <w:t>Kolomitro</w:t>
      </w:r>
      <w:proofErr w:type="spellEnd"/>
      <w:r w:rsidRPr="003F31B2">
        <w:rPr>
          <w:rFonts w:asciiTheme="majorBidi" w:hAnsiTheme="majorBidi" w:cstheme="majorBidi"/>
        </w:rPr>
        <w:t>, K. and Lam, T. C. (2014) ‘Training methods: A review and analysis’, Human Resource Development Review, 13(1), pp. 11–35.</w:t>
      </w:r>
    </w:p>
    <w:p w14:paraId="29130B3C" w14:textId="77777777" w:rsidR="00134FD6" w:rsidRPr="003F31B2" w:rsidRDefault="00134FD6" w:rsidP="003F31B2">
      <w:pPr>
        <w:jc w:val="both"/>
        <w:rPr>
          <w:rFonts w:asciiTheme="majorBidi" w:hAnsiTheme="majorBidi" w:cstheme="majorBidi"/>
        </w:rPr>
      </w:pPr>
    </w:p>
    <w:p w14:paraId="5AA2D583" w14:textId="1BFA22F3"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Osegueda, E. R., Pestka, D. L., Usher, M. et al. (2025) ‘Lessons learned from sepsis microlearning intervention’, Applied Clinical Informatics, 16(4), pp. 1165–1171. </w:t>
      </w:r>
      <w:r w:rsidR="000448F0" w:rsidRPr="003F31B2">
        <w:rPr>
          <w:rFonts w:asciiTheme="majorBidi" w:hAnsiTheme="majorBidi" w:cstheme="majorBidi"/>
        </w:rPr>
        <w:t>Doi</w:t>
      </w:r>
      <w:r w:rsidRPr="003F31B2">
        <w:rPr>
          <w:rFonts w:asciiTheme="majorBidi" w:hAnsiTheme="majorBidi" w:cstheme="majorBidi"/>
        </w:rPr>
        <w:t>: 10.1055/a-2677-6012.</w:t>
      </w:r>
    </w:p>
    <w:p w14:paraId="33E5DED4" w14:textId="77777777" w:rsidR="00134FD6" w:rsidRPr="003F31B2" w:rsidRDefault="00134FD6" w:rsidP="003F31B2">
      <w:pPr>
        <w:jc w:val="both"/>
        <w:rPr>
          <w:rFonts w:asciiTheme="majorBidi" w:hAnsiTheme="majorBidi" w:cstheme="majorBidi"/>
        </w:rPr>
      </w:pPr>
    </w:p>
    <w:p w14:paraId="14A2357F" w14:textId="16BE2A9D" w:rsidR="00134FD6" w:rsidRPr="003F31B2" w:rsidRDefault="00134FD6" w:rsidP="003F31B2">
      <w:pPr>
        <w:jc w:val="both"/>
        <w:rPr>
          <w:rFonts w:asciiTheme="majorBidi" w:hAnsiTheme="majorBidi" w:cstheme="majorBidi"/>
        </w:rPr>
      </w:pPr>
      <w:r w:rsidRPr="003F31B2">
        <w:rPr>
          <w:rFonts w:asciiTheme="majorBidi" w:hAnsiTheme="majorBidi" w:cstheme="majorBidi"/>
        </w:rPr>
        <w:t xml:space="preserve">Palinkas, L. A., Horwitz, S. M., Green, C. A., Wisdom, J. P., Duan, N. and Hoagwood, K. (2015) ‘Purposeful sampling for qualitative data collection and analysis in mixed method implementation research’, Administration and Policy in Mental Health and Mental Health Services Research, 42(5), pp. 533–544. </w:t>
      </w:r>
      <w:r w:rsidR="000448F0" w:rsidRPr="003F31B2">
        <w:rPr>
          <w:rFonts w:asciiTheme="majorBidi" w:hAnsiTheme="majorBidi" w:cstheme="majorBidi"/>
        </w:rPr>
        <w:t>Doi</w:t>
      </w:r>
      <w:r w:rsidRPr="003F31B2">
        <w:rPr>
          <w:rFonts w:asciiTheme="majorBidi" w:hAnsiTheme="majorBidi" w:cstheme="majorBidi"/>
        </w:rPr>
        <w:t>: 10.1007/s10488-013-0528-y.</w:t>
      </w:r>
    </w:p>
    <w:p w14:paraId="2DEB11BE" w14:textId="77777777" w:rsidR="00134FD6" w:rsidRPr="003F31B2" w:rsidRDefault="00134FD6" w:rsidP="003F31B2">
      <w:pPr>
        <w:jc w:val="both"/>
        <w:rPr>
          <w:rFonts w:asciiTheme="majorBidi" w:hAnsiTheme="majorBidi" w:cstheme="majorBidi"/>
        </w:rPr>
      </w:pPr>
    </w:p>
    <w:p w14:paraId="2E14803D" w14:textId="48970439" w:rsidR="00134FD6" w:rsidRPr="003F31B2" w:rsidRDefault="00134FD6" w:rsidP="003F31B2">
      <w:pPr>
        <w:jc w:val="both"/>
        <w:rPr>
          <w:rFonts w:asciiTheme="majorBidi" w:hAnsiTheme="majorBidi" w:cstheme="majorBidi"/>
        </w:rPr>
      </w:pPr>
      <w:proofErr w:type="spellStart"/>
      <w:r w:rsidRPr="003F31B2">
        <w:rPr>
          <w:rFonts w:asciiTheme="majorBidi" w:hAnsiTheme="majorBidi" w:cstheme="majorBidi"/>
        </w:rPr>
        <w:t>Sweller</w:t>
      </w:r>
      <w:proofErr w:type="spellEnd"/>
      <w:r w:rsidRPr="003F31B2">
        <w:rPr>
          <w:rFonts w:asciiTheme="majorBidi" w:hAnsiTheme="majorBidi" w:cstheme="majorBidi"/>
        </w:rPr>
        <w:t xml:space="preserve">, J. (2011) ‘Cognitive load theory’, in Psychology of Learning and Motivation, Vol. 55. London: Academic Press, pp. 37–76. </w:t>
      </w:r>
      <w:r w:rsidR="000448F0" w:rsidRPr="003F31B2">
        <w:rPr>
          <w:rFonts w:asciiTheme="majorBidi" w:hAnsiTheme="majorBidi" w:cstheme="majorBidi"/>
        </w:rPr>
        <w:t>Doi</w:t>
      </w:r>
      <w:r w:rsidRPr="003F31B2">
        <w:rPr>
          <w:rFonts w:asciiTheme="majorBidi" w:hAnsiTheme="majorBidi" w:cstheme="majorBidi"/>
        </w:rPr>
        <w:t>: 10.1016/B978-0-12-387691-1.00002-8.</w:t>
      </w:r>
    </w:p>
    <w:p w14:paraId="6388724F" w14:textId="77777777" w:rsidR="00134FD6" w:rsidRPr="003F31B2" w:rsidRDefault="00134FD6" w:rsidP="003F31B2">
      <w:pPr>
        <w:jc w:val="both"/>
        <w:rPr>
          <w:rFonts w:asciiTheme="majorBidi" w:hAnsiTheme="majorBidi" w:cstheme="majorBidi"/>
        </w:rPr>
      </w:pPr>
    </w:p>
    <w:p w14:paraId="04962BDA" w14:textId="77777777" w:rsidR="00134FD6" w:rsidRPr="003F31B2" w:rsidRDefault="00134FD6" w:rsidP="003F31B2">
      <w:pPr>
        <w:jc w:val="both"/>
        <w:rPr>
          <w:rFonts w:asciiTheme="majorBidi" w:hAnsiTheme="majorBidi" w:cstheme="majorBidi"/>
        </w:rPr>
      </w:pPr>
      <w:r w:rsidRPr="003F31B2">
        <w:rPr>
          <w:rFonts w:asciiTheme="majorBidi" w:hAnsiTheme="majorBidi" w:cstheme="majorBidi"/>
        </w:rPr>
        <w:lastRenderedPageBreak/>
        <w:t>Welsh Government (2022) Fire and rescue service operational training: Thematic review. Cardiff: Welsh Government. Available at: https://www.gov.wales/fire-and-rescue-service-operational-training-thematic-review (Accessed: 28 December 2025).</w:t>
      </w:r>
    </w:p>
    <w:p w14:paraId="101CF3EF" w14:textId="77777777" w:rsidR="00134FD6" w:rsidRPr="003F31B2" w:rsidRDefault="00134FD6" w:rsidP="003F31B2">
      <w:pPr>
        <w:jc w:val="both"/>
        <w:rPr>
          <w:rFonts w:asciiTheme="majorBidi" w:hAnsiTheme="majorBidi" w:cstheme="majorBidi"/>
        </w:rPr>
      </w:pPr>
    </w:p>
    <w:p w14:paraId="41C6D1F8" w14:textId="77777777" w:rsidR="0020324F" w:rsidRPr="003F31B2" w:rsidRDefault="00134FD6" w:rsidP="003F31B2">
      <w:pPr>
        <w:jc w:val="both"/>
        <w:rPr>
          <w:rFonts w:asciiTheme="majorBidi" w:hAnsiTheme="majorBidi" w:cstheme="majorBidi"/>
        </w:rPr>
      </w:pPr>
      <w:r w:rsidRPr="003F31B2">
        <w:rPr>
          <w:rFonts w:asciiTheme="majorBidi" w:hAnsiTheme="majorBidi" w:cstheme="majorBidi"/>
        </w:rPr>
        <w:t>Welsh Government (2025) Draft National Framework for Fire and Rescue Services (Consultation Document). Cardiff: Welsh Government. Available at: https://www.gov.wales/draft-national-framework-fire-and-rescue-services-wales-consultation (Accessed: 28 December 2025).</w:t>
      </w:r>
    </w:p>
    <w:sectPr w:rsidR="0020324F" w:rsidRPr="003F31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33A95"/>
    <w:multiLevelType w:val="multilevel"/>
    <w:tmpl w:val="546C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D7238"/>
    <w:multiLevelType w:val="multilevel"/>
    <w:tmpl w:val="1AC65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B6412"/>
    <w:multiLevelType w:val="multilevel"/>
    <w:tmpl w:val="BA70E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14013"/>
    <w:multiLevelType w:val="multilevel"/>
    <w:tmpl w:val="9A9CF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A7BB4"/>
    <w:multiLevelType w:val="multilevel"/>
    <w:tmpl w:val="F0EA06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EC4B91"/>
    <w:multiLevelType w:val="multilevel"/>
    <w:tmpl w:val="7C8A3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06329F"/>
    <w:multiLevelType w:val="multilevel"/>
    <w:tmpl w:val="536E1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2E0DAE"/>
    <w:multiLevelType w:val="multilevel"/>
    <w:tmpl w:val="F87E8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170F11"/>
    <w:multiLevelType w:val="multilevel"/>
    <w:tmpl w:val="5212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5F4AA6"/>
    <w:multiLevelType w:val="multilevel"/>
    <w:tmpl w:val="06B00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04531"/>
    <w:multiLevelType w:val="multilevel"/>
    <w:tmpl w:val="4142D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E23501"/>
    <w:multiLevelType w:val="multilevel"/>
    <w:tmpl w:val="48FA1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356892"/>
    <w:multiLevelType w:val="multilevel"/>
    <w:tmpl w:val="D63C5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2E0FEE"/>
    <w:multiLevelType w:val="multilevel"/>
    <w:tmpl w:val="BF2C7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B102F0B"/>
    <w:multiLevelType w:val="multilevel"/>
    <w:tmpl w:val="C71C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AF13C5"/>
    <w:multiLevelType w:val="multilevel"/>
    <w:tmpl w:val="1B585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C0317B8"/>
    <w:multiLevelType w:val="multilevel"/>
    <w:tmpl w:val="3C3EAA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B81BB3"/>
    <w:multiLevelType w:val="multilevel"/>
    <w:tmpl w:val="BBD092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F10E03"/>
    <w:multiLevelType w:val="multilevel"/>
    <w:tmpl w:val="592A0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2D2287"/>
    <w:multiLevelType w:val="multilevel"/>
    <w:tmpl w:val="8D5A443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015E15"/>
    <w:multiLevelType w:val="multilevel"/>
    <w:tmpl w:val="38F0A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0E33D8"/>
    <w:multiLevelType w:val="multilevel"/>
    <w:tmpl w:val="530203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AF5EE1"/>
    <w:multiLevelType w:val="multilevel"/>
    <w:tmpl w:val="74FA2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B948F6"/>
    <w:multiLevelType w:val="multilevel"/>
    <w:tmpl w:val="772E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BF2FF3"/>
    <w:multiLevelType w:val="multilevel"/>
    <w:tmpl w:val="8EA26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FA31B3"/>
    <w:multiLevelType w:val="multilevel"/>
    <w:tmpl w:val="CD585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5E0868"/>
    <w:multiLevelType w:val="multilevel"/>
    <w:tmpl w:val="6D388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8349CC"/>
    <w:multiLevelType w:val="multilevel"/>
    <w:tmpl w:val="B49A1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4A36AD"/>
    <w:multiLevelType w:val="multilevel"/>
    <w:tmpl w:val="74488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280A66"/>
    <w:multiLevelType w:val="multilevel"/>
    <w:tmpl w:val="5756D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343F9F"/>
    <w:multiLevelType w:val="multilevel"/>
    <w:tmpl w:val="F918A5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C881877"/>
    <w:multiLevelType w:val="multilevel"/>
    <w:tmpl w:val="703AF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441FA3"/>
    <w:multiLevelType w:val="multilevel"/>
    <w:tmpl w:val="AE36F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B476E0"/>
    <w:multiLevelType w:val="multilevel"/>
    <w:tmpl w:val="9CB41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6D1712"/>
    <w:multiLevelType w:val="multilevel"/>
    <w:tmpl w:val="777A0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40F5EB1"/>
    <w:multiLevelType w:val="multilevel"/>
    <w:tmpl w:val="E892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344C2D"/>
    <w:multiLevelType w:val="multilevel"/>
    <w:tmpl w:val="4EA81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A51E90"/>
    <w:multiLevelType w:val="multilevel"/>
    <w:tmpl w:val="80BC4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C515B1"/>
    <w:multiLevelType w:val="multilevel"/>
    <w:tmpl w:val="D7685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A1A4445"/>
    <w:multiLevelType w:val="multilevel"/>
    <w:tmpl w:val="8D48A9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C4081F"/>
    <w:multiLevelType w:val="multilevel"/>
    <w:tmpl w:val="66AE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850784"/>
    <w:multiLevelType w:val="multilevel"/>
    <w:tmpl w:val="13167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EF6B01"/>
    <w:multiLevelType w:val="multilevel"/>
    <w:tmpl w:val="9C260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4246E3"/>
    <w:multiLevelType w:val="multilevel"/>
    <w:tmpl w:val="4B160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969015D"/>
    <w:multiLevelType w:val="multilevel"/>
    <w:tmpl w:val="E1DC4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B38535E"/>
    <w:multiLevelType w:val="multilevel"/>
    <w:tmpl w:val="F41A3F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9404043">
    <w:abstractNumId w:val="41"/>
  </w:num>
  <w:num w:numId="2" w16cid:durableId="1051926602">
    <w:abstractNumId w:val="44"/>
  </w:num>
  <w:num w:numId="3" w16cid:durableId="894120483">
    <w:abstractNumId w:val="5"/>
  </w:num>
  <w:num w:numId="4" w16cid:durableId="499849922">
    <w:abstractNumId w:val="17"/>
  </w:num>
  <w:num w:numId="5" w16cid:durableId="499345294">
    <w:abstractNumId w:val="42"/>
  </w:num>
  <w:num w:numId="6" w16cid:durableId="523833898">
    <w:abstractNumId w:val="35"/>
  </w:num>
  <w:num w:numId="7" w16cid:durableId="807283325">
    <w:abstractNumId w:val="37"/>
  </w:num>
  <w:num w:numId="8" w16cid:durableId="840966158">
    <w:abstractNumId w:val="39"/>
  </w:num>
  <w:num w:numId="9" w16cid:durableId="645401621">
    <w:abstractNumId w:val="33"/>
  </w:num>
  <w:num w:numId="10" w16cid:durableId="926422532">
    <w:abstractNumId w:val="20"/>
  </w:num>
  <w:num w:numId="11" w16cid:durableId="1380207216">
    <w:abstractNumId w:val="14"/>
  </w:num>
  <w:num w:numId="12" w16cid:durableId="1276719804">
    <w:abstractNumId w:val="11"/>
  </w:num>
  <w:num w:numId="13" w16cid:durableId="121578170">
    <w:abstractNumId w:val="0"/>
  </w:num>
  <w:num w:numId="14" w16cid:durableId="1220635334">
    <w:abstractNumId w:val="29"/>
  </w:num>
  <w:num w:numId="15" w16cid:durableId="534580957">
    <w:abstractNumId w:val="8"/>
  </w:num>
  <w:num w:numId="16" w16cid:durableId="2094399716">
    <w:abstractNumId w:val="32"/>
  </w:num>
  <w:num w:numId="17" w16cid:durableId="1988628689">
    <w:abstractNumId w:val="18"/>
  </w:num>
  <w:num w:numId="18" w16cid:durableId="354619059">
    <w:abstractNumId w:val="36"/>
  </w:num>
  <w:num w:numId="19" w16cid:durableId="641154227">
    <w:abstractNumId w:val="2"/>
  </w:num>
  <w:num w:numId="20" w16cid:durableId="358431615">
    <w:abstractNumId w:val="38"/>
  </w:num>
  <w:num w:numId="21" w16cid:durableId="995836865">
    <w:abstractNumId w:val="22"/>
  </w:num>
  <w:num w:numId="22" w16cid:durableId="1243487151">
    <w:abstractNumId w:val="26"/>
  </w:num>
  <w:num w:numId="23" w16cid:durableId="82460105">
    <w:abstractNumId w:val="30"/>
  </w:num>
  <w:num w:numId="24" w16cid:durableId="902641541">
    <w:abstractNumId w:val="34"/>
  </w:num>
  <w:num w:numId="25" w16cid:durableId="1898584968">
    <w:abstractNumId w:val="4"/>
  </w:num>
  <w:num w:numId="26" w16cid:durableId="982540989">
    <w:abstractNumId w:val="16"/>
  </w:num>
  <w:num w:numId="27" w16cid:durableId="161045563">
    <w:abstractNumId w:val="23"/>
  </w:num>
  <w:num w:numId="28" w16cid:durableId="1886091993">
    <w:abstractNumId w:val="45"/>
  </w:num>
  <w:num w:numId="29" w16cid:durableId="1913999747">
    <w:abstractNumId w:val="3"/>
  </w:num>
  <w:num w:numId="30" w16cid:durableId="1327829297">
    <w:abstractNumId w:val="12"/>
  </w:num>
  <w:num w:numId="31" w16cid:durableId="1924297241">
    <w:abstractNumId w:val="6"/>
  </w:num>
  <w:num w:numId="32" w16cid:durableId="1160652327">
    <w:abstractNumId w:val="25"/>
  </w:num>
  <w:num w:numId="33" w16cid:durableId="2128305204">
    <w:abstractNumId w:val="15"/>
  </w:num>
  <w:num w:numId="34" w16cid:durableId="1992711229">
    <w:abstractNumId w:val="10"/>
  </w:num>
  <w:num w:numId="35" w16cid:durableId="1364209967">
    <w:abstractNumId w:val="43"/>
  </w:num>
  <w:num w:numId="36" w16cid:durableId="438909822">
    <w:abstractNumId w:val="28"/>
  </w:num>
  <w:num w:numId="37" w16cid:durableId="1383866341">
    <w:abstractNumId w:val="7"/>
  </w:num>
  <w:num w:numId="38" w16cid:durableId="1748989518">
    <w:abstractNumId w:val="9"/>
  </w:num>
  <w:num w:numId="39" w16cid:durableId="400636240">
    <w:abstractNumId w:val="24"/>
  </w:num>
  <w:num w:numId="40" w16cid:durableId="1265070049">
    <w:abstractNumId w:val="13"/>
  </w:num>
  <w:num w:numId="41" w16cid:durableId="1659335266">
    <w:abstractNumId w:val="1"/>
  </w:num>
  <w:num w:numId="42" w16cid:durableId="1541477965">
    <w:abstractNumId w:val="31"/>
  </w:num>
  <w:num w:numId="43" w16cid:durableId="2067025947">
    <w:abstractNumId w:val="21"/>
  </w:num>
  <w:num w:numId="44" w16cid:durableId="24254782">
    <w:abstractNumId w:val="40"/>
  </w:num>
  <w:num w:numId="45" w16cid:durableId="845709029">
    <w:abstractNumId w:val="19"/>
  </w:num>
  <w:num w:numId="46" w16cid:durableId="191824491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68C"/>
    <w:rsid w:val="000448F0"/>
    <w:rsid w:val="00064BE3"/>
    <w:rsid w:val="000A0688"/>
    <w:rsid w:val="00134FD6"/>
    <w:rsid w:val="00137A6D"/>
    <w:rsid w:val="001951AF"/>
    <w:rsid w:val="001F18B5"/>
    <w:rsid w:val="0020324F"/>
    <w:rsid w:val="002536B3"/>
    <w:rsid w:val="00331A97"/>
    <w:rsid w:val="00333262"/>
    <w:rsid w:val="003A1AAD"/>
    <w:rsid w:val="003B1E77"/>
    <w:rsid w:val="003F31B2"/>
    <w:rsid w:val="00477803"/>
    <w:rsid w:val="00493B23"/>
    <w:rsid w:val="004D1532"/>
    <w:rsid w:val="00501FA7"/>
    <w:rsid w:val="00531452"/>
    <w:rsid w:val="006717A2"/>
    <w:rsid w:val="0068568C"/>
    <w:rsid w:val="006A2C89"/>
    <w:rsid w:val="00762056"/>
    <w:rsid w:val="007A4077"/>
    <w:rsid w:val="00906EF3"/>
    <w:rsid w:val="0099633D"/>
    <w:rsid w:val="009E47FC"/>
    <w:rsid w:val="009E6C68"/>
    <w:rsid w:val="00A92B6F"/>
    <w:rsid w:val="00AA5993"/>
    <w:rsid w:val="00AA71C4"/>
    <w:rsid w:val="00B20E5A"/>
    <w:rsid w:val="00BD17D4"/>
    <w:rsid w:val="00C35ED5"/>
    <w:rsid w:val="00DE2A81"/>
    <w:rsid w:val="00DF15B9"/>
    <w:rsid w:val="00DF5ED8"/>
    <w:rsid w:val="00E94635"/>
    <w:rsid w:val="00FC311A"/>
    <w:rsid w:val="00FD69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72366"/>
  <w15:chartTrackingRefBased/>
  <w15:docId w15:val="{49800207-8150-474D-BD57-AD26DBA6A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568C"/>
    <w:pPr>
      <w:ind w:left="720"/>
      <w:contextualSpacing/>
    </w:pPr>
  </w:style>
  <w:style w:type="character" w:styleId="Hyperlink">
    <w:name w:val="Hyperlink"/>
    <w:basedOn w:val="DefaultParagraphFont"/>
    <w:uiPriority w:val="99"/>
    <w:unhideWhenUsed/>
    <w:rsid w:val="0068568C"/>
    <w:rPr>
      <w:color w:val="0563C1" w:themeColor="hyperlink"/>
      <w:u w:val="single"/>
    </w:rPr>
  </w:style>
  <w:style w:type="paragraph" w:styleId="NormalWeb">
    <w:name w:val="Normal (Web)"/>
    <w:basedOn w:val="Normal"/>
    <w:uiPriority w:val="99"/>
    <w:semiHidden/>
    <w:unhideWhenUsed/>
    <w:rsid w:val="009E47F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152">
      <w:bodyDiv w:val="1"/>
      <w:marLeft w:val="0"/>
      <w:marRight w:val="0"/>
      <w:marTop w:val="0"/>
      <w:marBottom w:val="0"/>
      <w:divBdr>
        <w:top w:val="none" w:sz="0" w:space="0" w:color="auto"/>
        <w:left w:val="none" w:sz="0" w:space="0" w:color="auto"/>
        <w:bottom w:val="none" w:sz="0" w:space="0" w:color="auto"/>
        <w:right w:val="none" w:sz="0" w:space="0" w:color="auto"/>
      </w:divBdr>
      <w:divsChild>
        <w:div w:id="1272587336">
          <w:marLeft w:val="0"/>
          <w:marRight w:val="0"/>
          <w:marTop w:val="0"/>
          <w:marBottom w:val="0"/>
          <w:divBdr>
            <w:top w:val="none" w:sz="0" w:space="0" w:color="auto"/>
            <w:left w:val="none" w:sz="0" w:space="0" w:color="auto"/>
            <w:bottom w:val="none" w:sz="0" w:space="0" w:color="auto"/>
            <w:right w:val="none" w:sz="0" w:space="0" w:color="auto"/>
          </w:divBdr>
        </w:div>
      </w:divsChild>
    </w:div>
    <w:div w:id="17507449">
      <w:bodyDiv w:val="1"/>
      <w:marLeft w:val="0"/>
      <w:marRight w:val="0"/>
      <w:marTop w:val="0"/>
      <w:marBottom w:val="0"/>
      <w:divBdr>
        <w:top w:val="none" w:sz="0" w:space="0" w:color="auto"/>
        <w:left w:val="none" w:sz="0" w:space="0" w:color="auto"/>
        <w:bottom w:val="none" w:sz="0" w:space="0" w:color="auto"/>
        <w:right w:val="none" w:sz="0" w:space="0" w:color="auto"/>
      </w:divBdr>
      <w:divsChild>
        <w:div w:id="366610950">
          <w:marLeft w:val="0"/>
          <w:marRight w:val="0"/>
          <w:marTop w:val="0"/>
          <w:marBottom w:val="0"/>
          <w:divBdr>
            <w:top w:val="none" w:sz="0" w:space="0" w:color="auto"/>
            <w:left w:val="none" w:sz="0" w:space="0" w:color="auto"/>
            <w:bottom w:val="none" w:sz="0" w:space="0" w:color="auto"/>
            <w:right w:val="none" w:sz="0" w:space="0" w:color="auto"/>
          </w:divBdr>
        </w:div>
      </w:divsChild>
    </w:div>
    <w:div w:id="26372459">
      <w:bodyDiv w:val="1"/>
      <w:marLeft w:val="0"/>
      <w:marRight w:val="0"/>
      <w:marTop w:val="0"/>
      <w:marBottom w:val="0"/>
      <w:divBdr>
        <w:top w:val="none" w:sz="0" w:space="0" w:color="auto"/>
        <w:left w:val="none" w:sz="0" w:space="0" w:color="auto"/>
        <w:bottom w:val="none" w:sz="0" w:space="0" w:color="auto"/>
        <w:right w:val="none" w:sz="0" w:space="0" w:color="auto"/>
      </w:divBdr>
      <w:divsChild>
        <w:div w:id="1314483497">
          <w:marLeft w:val="0"/>
          <w:marRight w:val="0"/>
          <w:marTop w:val="0"/>
          <w:marBottom w:val="0"/>
          <w:divBdr>
            <w:top w:val="none" w:sz="0" w:space="0" w:color="auto"/>
            <w:left w:val="none" w:sz="0" w:space="0" w:color="auto"/>
            <w:bottom w:val="none" w:sz="0" w:space="0" w:color="auto"/>
            <w:right w:val="none" w:sz="0" w:space="0" w:color="auto"/>
          </w:divBdr>
        </w:div>
      </w:divsChild>
    </w:div>
    <w:div w:id="26487928">
      <w:bodyDiv w:val="1"/>
      <w:marLeft w:val="0"/>
      <w:marRight w:val="0"/>
      <w:marTop w:val="0"/>
      <w:marBottom w:val="0"/>
      <w:divBdr>
        <w:top w:val="none" w:sz="0" w:space="0" w:color="auto"/>
        <w:left w:val="none" w:sz="0" w:space="0" w:color="auto"/>
        <w:bottom w:val="none" w:sz="0" w:space="0" w:color="auto"/>
        <w:right w:val="none" w:sz="0" w:space="0" w:color="auto"/>
      </w:divBdr>
      <w:divsChild>
        <w:div w:id="2022924969">
          <w:marLeft w:val="0"/>
          <w:marRight w:val="0"/>
          <w:marTop w:val="0"/>
          <w:marBottom w:val="0"/>
          <w:divBdr>
            <w:top w:val="none" w:sz="0" w:space="0" w:color="auto"/>
            <w:left w:val="none" w:sz="0" w:space="0" w:color="auto"/>
            <w:bottom w:val="none" w:sz="0" w:space="0" w:color="auto"/>
            <w:right w:val="none" w:sz="0" w:space="0" w:color="auto"/>
          </w:divBdr>
        </w:div>
      </w:divsChild>
    </w:div>
    <w:div w:id="86778608">
      <w:bodyDiv w:val="1"/>
      <w:marLeft w:val="0"/>
      <w:marRight w:val="0"/>
      <w:marTop w:val="0"/>
      <w:marBottom w:val="0"/>
      <w:divBdr>
        <w:top w:val="none" w:sz="0" w:space="0" w:color="auto"/>
        <w:left w:val="none" w:sz="0" w:space="0" w:color="auto"/>
        <w:bottom w:val="none" w:sz="0" w:space="0" w:color="auto"/>
        <w:right w:val="none" w:sz="0" w:space="0" w:color="auto"/>
      </w:divBdr>
      <w:divsChild>
        <w:div w:id="1323777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772153">
      <w:bodyDiv w:val="1"/>
      <w:marLeft w:val="0"/>
      <w:marRight w:val="0"/>
      <w:marTop w:val="0"/>
      <w:marBottom w:val="0"/>
      <w:divBdr>
        <w:top w:val="none" w:sz="0" w:space="0" w:color="auto"/>
        <w:left w:val="none" w:sz="0" w:space="0" w:color="auto"/>
        <w:bottom w:val="none" w:sz="0" w:space="0" w:color="auto"/>
        <w:right w:val="none" w:sz="0" w:space="0" w:color="auto"/>
      </w:divBdr>
    </w:div>
    <w:div w:id="153188500">
      <w:bodyDiv w:val="1"/>
      <w:marLeft w:val="0"/>
      <w:marRight w:val="0"/>
      <w:marTop w:val="0"/>
      <w:marBottom w:val="0"/>
      <w:divBdr>
        <w:top w:val="none" w:sz="0" w:space="0" w:color="auto"/>
        <w:left w:val="none" w:sz="0" w:space="0" w:color="auto"/>
        <w:bottom w:val="none" w:sz="0" w:space="0" w:color="auto"/>
        <w:right w:val="none" w:sz="0" w:space="0" w:color="auto"/>
      </w:divBdr>
    </w:div>
    <w:div w:id="162360204">
      <w:bodyDiv w:val="1"/>
      <w:marLeft w:val="0"/>
      <w:marRight w:val="0"/>
      <w:marTop w:val="0"/>
      <w:marBottom w:val="0"/>
      <w:divBdr>
        <w:top w:val="none" w:sz="0" w:space="0" w:color="auto"/>
        <w:left w:val="none" w:sz="0" w:space="0" w:color="auto"/>
        <w:bottom w:val="none" w:sz="0" w:space="0" w:color="auto"/>
        <w:right w:val="none" w:sz="0" w:space="0" w:color="auto"/>
      </w:divBdr>
      <w:divsChild>
        <w:div w:id="17425572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923361">
      <w:bodyDiv w:val="1"/>
      <w:marLeft w:val="0"/>
      <w:marRight w:val="0"/>
      <w:marTop w:val="0"/>
      <w:marBottom w:val="0"/>
      <w:divBdr>
        <w:top w:val="none" w:sz="0" w:space="0" w:color="auto"/>
        <w:left w:val="none" w:sz="0" w:space="0" w:color="auto"/>
        <w:bottom w:val="none" w:sz="0" w:space="0" w:color="auto"/>
        <w:right w:val="none" w:sz="0" w:space="0" w:color="auto"/>
      </w:divBdr>
    </w:div>
    <w:div w:id="178935084">
      <w:bodyDiv w:val="1"/>
      <w:marLeft w:val="0"/>
      <w:marRight w:val="0"/>
      <w:marTop w:val="0"/>
      <w:marBottom w:val="0"/>
      <w:divBdr>
        <w:top w:val="none" w:sz="0" w:space="0" w:color="auto"/>
        <w:left w:val="none" w:sz="0" w:space="0" w:color="auto"/>
        <w:bottom w:val="none" w:sz="0" w:space="0" w:color="auto"/>
        <w:right w:val="none" w:sz="0" w:space="0" w:color="auto"/>
      </w:divBdr>
    </w:div>
    <w:div w:id="209346626">
      <w:bodyDiv w:val="1"/>
      <w:marLeft w:val="0"/>
      <w:marRight w:val="0"/>
      <w:marTop w:val="0"/>
      <w:marBottom w:val="0"/>
      <w:divBdr>
        <w:top w:val="none" w:sz="0" w:space="0" w:color="auto"/>
        <w:left w:val="none" w:sz="0" w:space="0" w:color="auto"/>
        <w:bottom w:val="none" w:sz="0" w:space="0" w:color="auto"/>
        <w:right w:val="none" w:sz="0" w:space="0" w:color="auto"/>
      </w:divBdr>
    </w:div>
    <w:div w:id="224071872">
      <w:bodyDiv w:val="1"/>
      <w:marLeft w:val="0"/>
      <w:marRight w:val="0"/>
      <w:marTop w:val="0"/>
      <w:marBottom w:val="0"/>
      <w:divBdr>
        <w:top w:val="none" w:sz="0" w:space="0" w:color="auto"/>
        <w:left w:val="none" w:sz="0" w:space="0" w:color="auto"/>
        <w:bottom w:val="none" w:sz="0" w:space="0" w:color="auto"/>
        <w:right w:val="none" w:sz="0" w:space="0" w:color="auto"/>
      </w:divBdr>
      <w:divsChild>
        <w:div w:id="93093664">
          <w:marLeft w:val="0"/>
          <w:marRight w:val="0"/>
          <w:marTop w:val="0"/>
          <w:marBottom w:val="0"/>
          <w:divBdr>
            <w:top w:val="none" w:sz="0" w:space="0" w:color="auto"/>
            <w:left w:val="none" w:sz="0" w:space="0" w:color="auto"/>
            <w:bottom w:val="none" w:sz="0" w:space="0" w:color="auto"/>
            <w:right w:val="none" w:sz="0" w:space="0" w:color="auto"/>
          </w:divBdr>
        </w:div>
      </w:divsChild>
    </w:div>
    <w:div w:id="283998708">
      <w:bodyDiv w:val="1"/>
      <w:marLeft w:val="0"/>
      <w:marRight w:val="0"/>
      <w:marTop w:val="0"/>
      <w:marBottom w:val="0"/>
      <w:divBdr>
        <w:top w:val="none" w:sz="0" w:space="0" w:color="auto"/>
        <w:left w:val="none" w:sz="0" w:space="0" w:color="auto"/>
        <w:bottom w:val="none" w:sz="0" w:space="0" w:color="auto"/>
        <w:right w:val="none" w:sz="0" w:space="0" w:color="auto"/>
      </w:divBdr>
      <w:divsChild>
        <w:div w:id="1582254992">
          <w:marLeft w:val="0"/>
          <w:marRight w:val="0"/>
          <w:marTop w:val="0"/>
          <w:marBottom w:val="0"/>
          <w:divBdr>
            <w:top w:val="none" w:sz="0" w:space="0" w:color="auto"/>
            <w:left w:val="none" w:sz="0" w:space="0" w:color="auto"/>
            <w:bottom w:val="none" w:sz="0" w:space="0" w:color="auto"/>
            <w:right w:val="none" w:sz="0" w:space="0" w:color="auto"/>
          </w:divBdr>
        </w:div>
      </w:divsChild>
    </w:div>
    <w:div w:id="395931966">
      <w:bodyDiv w:val="1"/>
      <w:marLeft w:val="0"/>
      <w:marRight w:val="0"/>
      <w:marTop w:val="0"/>
      <w:marBottom w:val="0"/>
      <w:divBdr>
        <w:top w:val="none" w:sz="0" w:space="0" w:color="auto"/>
        <w:left w:val="none" w:sz="0" w:space="0" w:color="auto"/>
        <w:bottom w:val="none" w:sz="0" w:space="0" w:color="auto"/>
        <w:right w:val="none" w:sz="0" w:space="0" w:color="auto"/>
      </w:divBdr>
      <w:divsChild>
        <w:div w:id="175120438">
          <w:marLeft w:val="0"/>
          <w:marRight w:val="0"/>
          <w:marTop w:val="0"/>
          <w:marBottom w:val="0"/>
          <w:divBdr>
            <w:top w:val="none" w:sz="0" w:space="0" w:color="auto"/>
            <w:left w:val="none" w:sz="0" w:space="0" w:color="auto"/>
            <w:bottom w:val="none" w:sz="0" w:space="0" w:color="auto"/>
            <w:right w:val="none" w:sz="0" w:space="0" w:color="auto"/>
          </w:divBdr>
        </w:div>
      </w:divsChild>
    </w:div>
    <w:div w:id="410156895">
      <w:bodyDiv w:val="1"/>
      <w:marLeft w:val="0"/>
      <w:marRight w:val="0"/>
      <w:marTop w:val="0"/>
      <w:marBottom w:val="0"/>
      <w:divBdr>
        <w:top w:val="none" w:sz="0" w:space="0" w:color="auto"/>
        <w:left w:val="none" w:sz="0" w:space="0" w:color="auto"/>
        <w:bottom w:val="none" w:sz="0" w:space="0" w:color="auto"/>
        <w:right w:val="none" w:sz="0" w:space="0" w:color="auto"/>
      </w:divBdr>
    </w:div>
    <w:div w:id="448821600">
      <w:bodyDiv w:val="1"/>
      <w:marLeft w:val="0"/>
      <w:marRight w:val="0"/>
      <w:marTop w:val="0"/>
      <w:marBottom w:val="0"/>
      <w:divBdr>
        <w:top w:val="none" w:sz="0" w:space="0" w:color="auto"/>
        <w:left w:val="none" w:sz="0" w:space="0" w:color="auto"/>
        <w:bottom w:val="none" w:sz="0" w:space="0" w:color="auto"/>
        <w:right w:val="none" w:sz="0" w:space="0" w:color="auto"/>
      </w:divBdr>
    </w:div>
    <w:div w:id="476192805">
      <w:bodyDiv w:val="1"/>
      <w:marLeft w:val="0"/>
      <w:marRight w:val="0"/>
      <w:marTop w:val="0"/>
      <w:marBottom w:val="0"/>
      <w:divBdr>
        <w:top w:val="none" w:sz="0" w:space="0" w:color="auto"/>
        <w:left w:val="none" w:sz="0" w:space="0" w:color="auto"/>
        <w:bottom w:val="none" w:sz="0" w:space="0" w:color="auto"/>
        <w:right w:val="none" w:sz="0" w:space="0" w:color="auto"/>
      </w:divBdr>
    </w:div>
    <w:div w:id="480659846">
      <w:bodyDiv w:val="1"/>
      <w:marLeft w:val="0"/>
      <w:marRight w:val="0"/>
      <w:marTop w:val="0"/>
      <w:marBottom w:val="0"/>
      <w:divBdr>
        <w:top w:val="none" w:sz="0" w:space="0" w:color="auto"/>
        <w:left w:val="none" w:sz="0" w:space="0" w:color="auto"/>
        <w:bottom w:val="none" w:sz="0" w:space="0" w:color="auto"/>
        <w:right w:val="none" w:sz="0" w:space="0" w:color="auto"/>
      </w:divBdr>
    </w:div>
    <w:div w:id="555973182">
      <w:bodyDiv w:val="1"/>
      <w:marLeft w:val="0"/>
      <w:marRight w:val="0"/>
      <w:marTop w:val="0"/>
      <w:marBottom w:val="0"/>
      <w:divBdr>
        <w:top w:val="none" w:sz="0" w:space="0" w:color="auto"/>
        <w:left w:val="none" w:sz="0" w:space="0" w:color="auto"/>
        <w:bottom w:val="none" w:sz="0" w:space="0" w:color="auto"/>
        <w:right w:val="none" w:sz="0" w:space="0" w:color="auto"/>
      </w:divBdr>
      <w:divsChild>
        <w:div w:id="1037662117">
          <w:marLeft w:val="0"/>
          <w:marRight w:val="0"/>
          <w:marTop w:val="0"/>
          <w:marBottom w:val="0"/>
          <w:divBdr>
            <w:top w:val="none" w:sz="0" w:space="0" w:color="auto"/>
            <w:left w:val="none" w:sz="0" w:space="0" w:color="auto"/>
            <w:bottom w:val="none" w:sz="0" w:space="0" w:color="auto"/>
            <w:right w:val="none" w:sz="0" w:space="0" w:color="auto"/>
          </w:divBdr>
        </w:div>
        <w:div w:id="703796368">
          <w:marLeft w:val="0"/>
          <w:marRight w:val="0"/>
          <w:marTop w:val="0"/>
          <w:marBottom w:val="0"/>
          <w:divBdr>
            <w:top w:val="none" w:sz="0" w:space="0" w:color="auto"/>
            <w:left w:val="none" w:sz="0" w:space="0" w:color="auto"/>
            <w:bottom w:val="none" w:sz="0" w:space="0" w:color="auto"/>
            <w:right w:val="none" w:sz="0" w:space="0" w:color="auto"/>
          </w:divBdr>
          <w:divsChild>
            <w:div w:id="1254121837">
              <w:marLeft w:val="0"/>
              <w:marRight w:val="0"/>
              <w:marTop w:val="0"/>
              <w:marBottom w:val="0"/>
              <w:divBdr>
                <w:top w:val="none" w:sz="0" w:space="0" w:color="auto"/>
                <w:left w:val="none" w:sz="0" w:space="0" w:color="auto"/>
                <w:bottom w:val="none" w:sz="0" w:space="0" w:color="auto"/>
                <w:right w:val="none" w:sz="0" w:space="0" w:color="auto"/>
              </w:divBdr>
              <w:divsChild>
                <w:div w:id="914706926">
                  <w:marLeft w:val="0"/>
                  <w:marRight w:val="0"/>
                  <w:marTop w:val="0"/>
                  <w:marBottom w:val="0"/>
                  <w:divBdr>
                    <w:top w:val="none" w:sz="0" w:space="0" w:color="auto"/>
                    <w:left w:val="none" w:sz="0" w:space="0" w:color="auto"/>
                    <w:bottom w:val="none" w:sz="0" w:space="0" w:color="auto"/>
                    <w:right w:val="none" w:sz="0" w:space="0" w:color="auto"/>
                  </w:divBdr>
                  <w:divsChild>
                    <w:div w:id="384138971">
                      <w:marLeft w:val="0"/>
                      <w:marRight w:val="0"/>
                      <w:marTop w:val="0"/>
                      <w:marBottom w:val="0"/>
                      <w:divBdr>
                        <w:top w:val="none" w:sz="0" w:space="0" w:color="auto"/>
                        <w:left w:val="none" w:sz="0" w:space="0" w:color="auto"/>
                        <w:bottom w:val="none" w:sz="0" w:space="0" w:color="auto"/>
                        <w:right w:val="none" w:sz="0" w:space="0" w:color="auto"/>
                      </w:divBdr>
                    </w:div>
                  </w:divsChild>
                </w:div>
                <w:div w:id="2112895739">
                  <w:marLeft w:val="0"/>
                  <w:marRight w:val="0"/>
                  <w:marTop w:val="0"/>
                  <w:marBottom w:val="0"/>
                  <w:divBdr>
                    <w:top w:val="none" w:sz="0" w:space="0" w:color="auto"/>
                    <w:left w:val="none" w:sz="0" w:space="0" w:color="auto"/>
                    <w:bottom w:val="none" w:sz="0" w:space="0" w:color="auto"/>
                    <w:right w:val="none" w:sz="0" w:space="0" w:color="auto"/>
                  </w:divBdr>
                  <w:divsChild>
                    <w:div w:id="107370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308931">
      <w:bodyDiv w:val="1"/>
      <w:marLeft w:val="0"/>
      <w:marRight w:val="0"/>
      <w:marTop w:val="0"/>
      <w:marBottom w:val="0"/>
      <w:divBdr>
        <w:top w:val="none" w:sz="0" w:space="0" w:color="auto"/>
        <w:left w:val="none" w:sz="0" w:space="0" w:color="auto"/>
        <w:bottom w:val="none" w:sz="0" w:space="0" w:color="auto"/>
        <w:right w:val="none" w:sz="0" w:space="0" w:color="auto"/>
      </w:divBdr>
    </w:div>
    <w:div w:id="649293245">
      <w:bodyDiv w:val="1"/>
      <w:marLeft w:val="0"/>
      <w:marRight w:val="0"/>
      <w:marTop w:val="0"/>
      <w:marBottom w:val="0"/>
      <w:divBdr>
        <w:top w:val="none" w:sz="0" w:space="0" w:color="auto"/>
        <w:left w:val="none" w:sz="0" w:space="0" w:color="auto"/>
        <w:bottom w:val="none" w:sz="0" w:space="0" w:color="auto"/>
        <w:right w:val="none" w:sz="0" w:space="0" w:color="auto"/>
      </w:divBdr>
    </w:div>
    <w:div w:id="742021283">
      <w:bodyDiv w:val="1"/>
      <w:marLeft w:val="0"/>
      <w:marRight w:val="0"/>
      <w:marTop w:val="0"/>
      <w:marBottom w:val="0"/>
      <w:divBdr>
        <w:top w:val="none" w:sz="0" w:space="0" w:color="auto"/>
        <w:left w:val="none" w:sz="0" w:space="0" w:color="auto"/>
        <w:bottom w:val="none" w:sz="0" w:space="0" w:color="auto"/>
        <w:right w:val="none" w:sz="0" w:space="0" w:color="auto"/>
      </w:divBdr>
    </w:div>
    <w:div w:id="1015421047">
      <w:bodyDiv w:val="1"/>
      <w:marLeft w:val="0"/>
      <w:marRight w:val="0"/>
      <w:marTop w:val="0"/>
      <w:marBottom w:val="0"/>
      <w:divBdr>
        <w:top w:val="none" w:sz="0" w:space="0" w:color="auto"/>
        <w:left w:val="none" w:sz="0" w:space="0" w:color="auto"/>
        <w:bottom w:val="none" w:sz="0" w:space="0" w:color="auto"/>
        <w:right w:val="none" w:sz="0" w:space="0" w:color="auto"/>
      </w:divBdr>
    </w:div>
    <w:div w:id="1106576675">
      <w:bodyDiv w:val="1"/>
      <w:marLeft w:val="0"/>
      <w:marRight w:val="0"/>
      <w:marTop w:val="0"/>
      <w:marBottom w:val="0"/>
      <w:divBdr>
        <w:top w:val="none" w:sz="0" w:space="0" w:color="auto"/>
        <w:left w:val="none" w:sz="0" w:space="0" w:color="auto"/>
        <w:bottom w:val="none" w:sz="0" w:space="0" w:color="auto"/>
        <w:right w:val="none" w:sz="0" w:space="0" w:color="auto"/>
      </w:divBdr>
      <w:divsChild>
        <w:div w:id="337272963">
          <w:marLeft w:val="0"/>
          <w:marRight w:val="0"/>
          <w:marTop w:val="0"/>
          <w:marBottom w:val="0"/>
          <w:divBdr>
            <w:top w:val="none" w:sz="0" w:space="0" w:color="auto"/>
            <w:left w:val="none" w:sz="0" w:space="0" w:color="auto"/>
            <w:bottom w:val="none" w:sz="0" w:space="0" w:color="auto"/>
            <w:right w:val="none" w:sz="0" w:space="0" w:color="auto"/>
          </w:divBdr>
          <w:divsChild>
            <w:div w:id="318964583">
              <w:marLeft w:val="0"/>
              <w:marRight w:val="0"/>
              <w:marTop w:val="0"/>
              <w:marBottom w:val="0"/>
              <w:divBdr>
                <w:top w:val="none" w:sz="0" w:space="0" w:color="auto"/>
                <w:left w:val="none" w:sz="0" w:space="0" w:color="auto"/>
                <w:bottom w:val="none" w:sz="0" w:space="0" w:color="auto"/>
                <w:right w:val="none" w:sz="0" w:space="0" w:color="auto"/>
              </w:divBdr>
              <w:divsChild>
                <w:div w:id="2030066188">
                  <w:marLeft w:val="0"/>
                  <w:marRight w:val="0"/>
                  <w:marTop w:val="0"/>
                  <w:marBottom w:val="0"/>
                  <w:divBdr>
                    <w:top w:val="none" w:sz="0" w:space="0" w:color="auto"/>
                    <w:left w:val="none" w:sz="0" w:space="0" w:color="auto"/>
                    <w:bottom w:val="none" w:sz="0" w:space="0" w:color="auto"/>
                    <w:right w:val="none" w:sz="0" w:space="0" w:color="auto"/>
                  </w:divBdr>
                  <w:divsChild>
                    <w:div w:id="914585585">
                      <w:marLeft w:val="0"/>
                      <w:marRight w:val="0"/>
                      <w:marTop w:val="0"/>
                      <w:marBottom w:val="0"/>
                      <w:divBdr>
                        <w:top w:val="none" w:sz="0" w:space="0" w:color="auto"/>
                        <w:left w:val="none" w:sz="0" w:space="0" w:color="auto"/>
                        <w:bottom w:val="none" w:sz="0" w:space="0" w:color="auto"/>
                        <w:right w:val="none" w:sz="0" w:space="0" w:color="auto"/>
                      </w:divBdr>
                      <w:divsChild>
                        <w:div w:id="1054965517">
                          <w:marLeft w:val="0"/>
                          <w:marRight w:val="0"/>
                          <w:marTop w:val="0"/>
                          <w:marBottom w:val="0"/>
                          <w:divBdr>
                            <w:top w:val="none" w:sz="0" w:space="0" w:color="auto"/>
                            <w:left w:val="none" w:sz="0" w:space="0" w:color="auto"/>
                            <w:bottom w:val="none" w:sz="0" w:space="0" w:color="auto"/>
                            <w:right w:val="none" w:sz="0" w:space="0" w:color="auto"/>
                          </w:divBdr>
                          <w:divsChild>
                            <w:div w:id="1116679463">
                              <w:marLeft w:val="0"/>
                              <w:marRight w:val="0"/>
                              <w:marTop w:val="0"/>
                              <w:marBottom w:val="0"/>
                              <w:divBdr>
                                <w:top w:val="none" w:sz="0" w:space="0" w:color="auto"/>
                                <w:left w:val="none" w:sz="0" w:space="0" w:color="auto"/>
                                <w:bottom w:val="none" w:sz="0" w:space="0" w:color="auto"/>
                                <w:right w:val="none" w:sz="0" w:space="0" w:color="auto"/>
                              </w:divBdr>
                            </w:div>
                          </w:divsChild>
                        </w:div>
                        <w:div w:id="132693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401900">
          <w:marLeft w:val="0"/>
          <w:marRight w:val="0"/>
          <w:marTop w:val="0"/>
          <w:marBottom w:val="0"/>
          <w:divBdr>
            <w:top w:val="none" w:sz="0" w:space="0" w:color="auto"/>
            <w:left w:val="none" w:sz="0" w:space="0" w:color="auto"/>
            <w:bottom w:val="none" w:sz="0" w:space="0" w:color="auto"/>
            <w:right w:val="none" w:sz="0" w:space="0" w:color="auto"/>
          </w:divBdr>
          <w:divsChild>
            <w:div w:id="1631590561">
              <w:marLeft w:val="0"/>
              <w:marRight w:val="0"/>
              <w:marTop w:val="0"/>
              <w:marBottom w:val="0"/>
              <w:divBdr>
                <w:top w:val="none" w:sz="0" w:space="0" w:color="auto"/>
                <w:left w:val="none" w:sz="0" w:space="0" w:color="auto"/>
                <w:bottom w:val="none" w:sz="0" w:space="0" w:color="auto"/>
                <w:right w:val="none" w:sz="0" w:space="0" w:color="auto"/>
              </w:divBdr>
              <w:divsChild>
                <w:div w:id="839613962">
                  <w:marLeft w:val="0"/>
                  <w:marRight w:val="0"/>
                  <w:marTop w:val="0"/>
                  <w:marBottom w:val="0"/>
                  <w:divBdr>
                    <w:top w:val="none" w:sz="0" w:space="0" w:color="auto"/>
                    <w:left w:val="none" w:sz="0" w:space="0" w:color="auto"/>
                    <w:bottom w:val="none" w:sz="0" w:space="0" w:color="auto"/>
                    <w:right w:val="none" w:sz="0" w:space="0" w:color="auto"/>
                  </w:divBdr>
                  <w:divsChild>
                    <w:div w:id="453716919">
                      <w:marLeft w:val="0"/>
                      <w:marRight w:val="0"/>
                      <w:marTop w:val="0"/>
                      <w:marBottom w:val="0"/>
                      <w:divBdr>
                        <w:top w:val="none" w:sz="0" w:space="0" w:color="auto"/>
                        <w:left w:val="none" w:sz="0" w:space="0" w:color="auto"/>
                        <w:bottom w:val="none" w:sz="0" w:space="0" w:color="auto"/>
                        <w:right w:val="none" w:sz="0" w:space="0" w:color="auto"/>
                      </w:divBdr>
                    </w:div>
                  </w:divsChild>
                </w:div>
                <w:div w:id="1179268356">
                  <w:marLeft w:val="0"/>
                  <w:marRight w:val="0"/>
                  <w:marTop w:val="0"/>
                  <w:marBottom w:val="0"/>
                  <w:divBdr>
                    <w:top w:val="none" w:sz="0" w:space="0" w:color="auto"/>
                    <w:left w:val="none" w:sz="0" w:space="0" w:color="auto"/>
                    <w:bottom w:val="none" w:sz="0" w:space="0" w:color="auto"/>
                    <w:right w:val="none" w:sz="0" w:space="0" w:color="auto"/>
                  </w:divBdr>
                  <w:divsChild>
                    <w:div w:id="162214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098390">
      <w:bodyDiv w:val="1"/>
      <w:marLeft w:val="0"/>
      <w:marRight w:val="0"/>
      <w:marTop w:val="0"/>
      <w:marBottom w:val="0"/>
      <w:divBdr>
        <w:top w:val="none" w:sz="0" w:space="0" w:color="auto"/>
        <w:left w:val="none" w:sz="0" w:space="0" w:color="auto"/>
        <w:bottom w:val="none" w:sz="0" w:space="0" w:color="auto"/>
        <w:right w:val="none" w:sz="0" w:space="0" w:color="auto"/>
      </w:divBdr>
    </w:div>
    <w:div w:id="1218123899">
      <w:bodyDiv w:val="1"/>
      <w:marLeft w:val="0"/>
      <w:marRight w:val="0"/>
      <w:marTop w:val="0"/>
      <w:marBottom w:val="0"/>
      <w:divBdr>
        <w:top w:val="none" w:sz="0" w:space="0" w:color="auto"/>
        <w:left w:val="none" w:sz="0" w:space="0" w:color="auto"/>
        <w:bottom w:val="none" w:sz="0" w:space="0" w:color="auto"/>
        <w:right w:val="none" w:sz="0" w:space="0" w:color="auto"/>
      </w:divBdr>
    </w:div>
    <w:div w:id="1221477211">
      <w:bodyDiv w:val="1"/>
      <w:marLeft w:val="0"/>
      <w:marRight w:val="0"/>
      <w:marTop w:val="0"/>
      <w:marBottom w:val="0"/>
      <w:divBdr>
        <w:top w:val="none" w:sz="0" w:space="0" w:color="auto"/>
        <w:left w:val="none" w:sz="0" w:space="0" w:color="auto"/>
        <w:bottom w:val="none" w:sz="0" w:space="0" w:color="auto"/>
        <w:right w:val="none" w:sz="0" w:space="0" w:color="auto"/>
      </w:divBdr>
    </w:div>
    <w:div w:id="1327705835">
      <w:bodyDiv w:val="1"/>
      <w:marLeft w:val="0"/>
      <w:marRight w:val="0"/>
      <w:marTop w:val="0"/>
      <w:marBottom w:val="0"/>
      <w:divBdr>
        <w:top w:val="none" w:sz="0" w:space="0" w:color="auto"/>
        <w:left w:val="none" w:sz="0" w:space="0" w:color="auto"/>
        <w:bottom w:val="none" w:sz="0" w:space="0" w:color="auto"/>
        <w:right w:val="none" w:sz="0" w:space="0" w:color="auto"/>
      </w:divBdr>
      <w:divsChild>
        <w:div w:id="124154228">
          <w:marLeft w:val="0"/>
          <w:marRight w:val="0"/>
          <w:marTop w:val="0"/>
          <w:marBottom w:val="0"/>
          <w:divBdr>
            <w:top w:val="none" w:sz="0" w:space="0" w:color="auto"/>
            <w:left w:val="none" w:sz="0" w:space="0" w:color="auto"/>
            <w:bottom w:val="none" w:sz="0" w:space="0" w:color="auto"/>
            <w:right w:val="none" w:sz="0" w:space="0" w:color="auto"/>
          </w:divBdr>
        </w:div>
      </w:divsChild>
    </w:div>
    <w:div w:id="1357466458">
      <w:bodyDiv w:val="1"/>
      <w:marLeft w:val="0"/>
      <w:marRight w:val="0"/>
      <w:marTop w:val="0"/>
      <w:marBottom w:val="0"/>
      <w:divBdr>
        <w:top w:val="none" w:sz="0" w:space="0" w:color="auto"/>
        <w:left w:val="none" w:sz="0" w:space="0" w:color="auto"/>
        <w:bottom w:val="none" w:sz="0" w:space="0" w:color="auto"/>
        <w:right w:val="none" w:sz="0" w:space="0" w:color="auto"/>
      </w:divBdr>
    </w:div>
    <w:div w:id="1466123403">
      <w:bodyDiv w:val="1"/>
      <w:marLeft w:val="0"/>
      <w:marRight w:val="0"/>
      <w:marTop w:val="0"/>
      <w:marBottom w:val="0"/>
      <w:divBdr>
        <w:top w:val="none" w:sz="0" w:space="0" w:color="auto"/>
        <w:left w:val="none" w:sz="0" w:space="0" w:color="auto"/>
        <w:bottom w:val="none" w:sz="0" w:space="0" w:color="auto"/>
        <w:right w:val="none" w:sz="0" w:space="0" w:color="auto"/>
      </w:divBdr>
      <w:divsChild>
        <w:div w:id="15689600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7422618">
      <w:bodyDiv w:val="1"/>
      <w:marLeft w:val="0"/>
      <w:marRight w:val="0"/>
      <w:marTop w:val="0"/>
      <w:marBottom w:val="0"/>
      <w:divBdr>
        <w:top w:val="none" w:sz="0" w:space="0" w:color="auto"/>
        <w:left w:val="none" w:sz="0" w:space="0" w:color="auto"/>
        <w:bottom w:val="none" w:sz="0" w:space="0" w:color="auto"/>
        <w:right w:val="none" w:sz="0" w:space="0" w:color="auto"/>
      </w:divBdr>
    </w:div>
    <w:div w:id="1554346075">
      <w:bodyDiv w:val="1"/>
      <w:marLeft w:val="0"/>
      <w:marRight w:val="0"/>
      <w:marTop w:val="0"/>
      <w:marBottom w:val="0"/>
      <w:divBdr>
        <w:top w:val="none" w:sz="0" w:space="0" w:color="auto"/>
        <w:left w:val="none" w:sz="0" w:space="0" w:color="auto"/>
        <w:bottom w:val="none" w:sz="0" w:space="0" w:color="auto"/>
        <w:right w:val="none" w:sz="0" w:space="0" w:color="auto"/>
      </w:divBdr>
    </w:div>
    <w:div w:id="1582179039">
      <w:bodyDiv w:val="1"/>
      <w:marLeft w:val="0"/>
      <w:marRight w:val="0"/>
      <w:marTop w:val="0"/>
      <w:marBottom w:val="0"/>
      <w:divBdr>
        <w:top w:val="none" w:sz="0" w:space="0" w:color="auto"/>
        <w:left w:val="none" w:sz="0" w:space="0" w:color="auto"/>
        <w:bottom w:val="none" w:sz="0" w:space="0" w:color="auto"/>
        <w:right w:val="none" w:sz="0" w:space="0" w:color="auto"/>
      </w:divBdr>
    </w:div>
    <w:div w:id="1591964308">
      <w:bodyDiv w:val="1"/>
      <w:marLeft w:val="0"/>
      <w:marRight w:val="0"/>
      <w:marTop w:val="0"/>
      <w:marBottom w:val="0"/>
      <w:divBdr>
        <w:top w:val="none" w:sz="0" w:space="0" w:color="auto"/>
        <w:left w:val="none" w:sz="0" w:space="0" w:color="auto"/>
        <w:bottom w:val="none" w:sz="0" w:space="0" w:color="auto"/>
        <w:right w:val="none" w:sz="0" w:space="0" w:color="auto"/>
      </w:divBdr>
      <w:divsChild>
        <w:div w:id="1760250211">
          <w:marLeft w:val="0"/>
          <w:marRight w:val="0"/>
          <w:marTop w:val="0"/>
          <w:marBottom w:val="0"/>
          <w:divBdr>
            <w:top w:val="none" w:sz="0" w:space="0" w:color="auto"/>
            <w:left w:val="none" w:sz="0" w:space="0" w:color="auto"/>
            <w:bottom w:val="none" w:sz="0" w:space="0" w:color="auto"/>
            <w:right w:val="none" w:sz="0" w:space="0" w:color="auto"/>
          </w:divBdr>
        </w:div>
        <w:div w:id="269894131">
          <w:marLeft w:val="0"/>
          <w:marRight w:val="0"/>
          <w:marTop w:val="0"/>
          <w:marBottom w:val="0"/>
          <w:divBdr>
            <w:top w:val="none" w:sz="0" w:space="0" w:color="auto"/>
            <w:left w:val="none" w:sz="0" w:space="0" w:color="auto"/>
            <w:bottom w:val="none" w:sz="0" w:space="0" w:color="auto"/>
            <w:right w:val="none" w:sz="0" w:space="0" w:color="auto"/>
          </w:divBdr>
          <w:divsChild>
            <w:div w:id="1988319762">
              <w:marLeft w:val="0"/>
              <w:marRight w:val="0"/>
              <w:marTop w:val="0"/>
              <w:marBottom w:val="0"/>
              <w:divBdr>
                <w:top w:val="none" w:sz="0" w:space="0" w:color="auto"/>
                <w:left w:val="none" w:sz="0" w:space="0" w:color="auto"/>
                <w:bottom w:val="none" w:sz="0" w:space="0" w:color="auto"/>
                <w:right w:val="none" w:sz="0" w:space="0" w:color="auto"/>
              </w:divBdr>
              <w:divsChild>
                <w:div w:id="1877113011">
                  <w:marLeft w:val="0"/>
                  <w:marRight w:val="0"/>
                  <w:marTop w:val="0"/>
                  <w:marBottom w:val="0"/>
                  <w:divBdr>
                    <w:top w:val="none" w:sz="0" w:space="0" w:color="auto"/>
                    <w:left w:val="none" w:sz="0" w:space="0" w:color="auto"/>
                    <w:bottom w:val="none" w:sz="0" w:space="0" w:color="auto"/>
                    <w:right w:val="none" w:sz="0" w:space="0" w:color="auto"/>
                  </w:divBdr>
                  <w:divsChild>
                    <w:div w:id="71855982">
                      <w:marLeft w:val="0"/>
                      <w:marRight w:val="0"/>
                      <w:marTop w:val="0"/>
                      <w:marBottom w:val="0"/>
                      <w:divBdr>
                        <w:top w:val="none" w:sz="0" w:space="0" w:color="auto"/>
                        <w:left w:val="none" w:sz="0" w:space="0" w:color="auto"/>
                        <w:bottom w:val="none" w:sz="0" w:space="0" w:color="auto"/>
                        <w:right w:val="none" w:sz="0" w:space="0" w:color="auto"/>
                      </w:divBdr>
                    </w:div>
                  </w:divsChild>
                </w:div>
                <w:div w:id="2091000621">
                  <w:marLeft w:val="0"/>
                  <w:marRight w:val="0"/>
                  <w:marTop w:val="0"/>
                  <w:marBottom w:val="0"/>
                  <w:divBdr>
                    <w:top w:val="none" w:sz="0" w:space="0" w:color="auto"/>
                    <w:left w:val="none" w:sz="0" w:space="0" w:color="auto"/>
                    <w:bottom w:val="none" w:sz="0" w:space="0" w:color="auto"/>
                    <w:right w:val="none" w:sz="0" w:space="0" w:color="auto"/>
                  </w:divBdr>
                  <w:divsChild>
                    <w:div w:id="14270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895450">
      <w:bodyDiv w:val="1"/>
      <w:marLeft w:val="0"/>
      <w:marRight w:val="0"/>
      <w:marTop w:val="0"/>
      <w:marBottom w:val="0"/>
      <w:divBdr>
        <w:top w:val="none" w:sz="0" w:space="0" w:color="auto"/>
        <w:left w:val="none" w:sz="0" w:space="0" w:color="auto"/>
        <w:bottom w:val="none" w:sz="0" w:space="0" w:color="auto"/>
        <w:right w:val="none" w:sz="0" w:space="0" w:color="auto"/>
      </w:divBdr>
    </w:div>
    <w:div w:id="1739280327">
      <w:bodyDiv w:val="1"/>
      <w:marLeft w:val="0"/>
      <w:marRight w:val="0"/>
      <w:marTop w:val="0"/>
      <w:marBottom w:val="0"/>
      <w:divBdr>
        <w:top w:val="none" w:sz="0" w:space="0" w:color="auto"/>
        <w:left w:val="none" w:sz="0" w:space="0" w:color="auto"/>
        <w:bottom w:val="none" w:sz="0" w:space="0" w:color="auto"/>
        <w:right w:val="none" w:sz="0" w:space="0" w:color="auto"/>
      </w:divBdr>
      <w:divsChild>
        <w:div w:id="178930150">
          <w:marLeft w:val="0"/>
          <w:marRight w:val="0"/>
          <w:marTop w:val="0"/>
          <w:marBottom w:val="0"/>
          <w:divBdr>
            <w:top w:val="none" w:sz="0" w:space="0" w:color="auto"/>
            <w:left w:val="none" w:sz="0" w:space="0" w:color="auto"/>
            <w:bottom w:val="none" w:sz="0" w:space="0" w:color="auto"/>
            <w:right w:val="none" w:sz="0" w:space="0" w:color="auto"/>
          </w:divBdr>
        </w:div>
        <w:div w:id="211115547">
          <w:marLeft w:val="0"/>
          <w:marRight w:val="0"/>
          <w:marTop w:val="0"/>
          <w:marBottom w:val="0"/>
          <w:divBdr>
            <w:top w:val="none" w:sz="0" w:space="0" w:color="auto"/>
            <w:left w:val="none" w:sz="0" w:space="0" w:color="auto"/>
            <w:bottom w:val="none" w:sz="0" w:space="0" w:color="auto"/>
            <w:right w:val="none" w:sz="0" w:space="0" w:color="auto"/>
          </w:divBdr>
          <w:divsChild>
            <w:div w:id="1808082487">
              <w:marLeft w:val="0"/>
              <w:marRight w:val="0"/>
              <w:marTop w:val="0"/>
              <w:marBottom w:val="0"/>
              <w:divBdr>
                <w:top w:val="none" w:sz="0" w:space="0" w:color="auto"/>
                <w:left w:val="none" w:sz="0" w:space="0" w:color="auto"/>
                <w:bottom w:val="none" w:sz="0" w:space="0" w:color="auto"/>
                <w:right w:val="none" w:sz="0" w:space="0" w:color="auto"/>
              </w:divBdr>
              <w:divsChild>
                <w:div w:id="376705851">
                  <w:marLeft w:val="0"/>
                  <w:marRight w:val="0"/>
                  <w:marTop w:val="0"/>
                  <w:marBottom w:val="0"/>
                  <w:divBdr>
                    <w:top w:val="none" w:sz="0" w:space="0" w:color="auto"/>
                    <w:left w:val="none" w:sz="0" w:space="0" w:color="auto"/>
                    <w:bottom w:val="none" w:sz="0" w:space="0" w:color="auto"/>
                    <w:right w:val="none" w:sz="0" w:space="0" w:color="auto"/>
                  </w:divBdr>
                  <w:divsChild>
                    <w:div w:id="613904836">
                      <w:marLeft w:val="0"/>
                      <w:marRight w:val="0"/>
                      <w:marTop w:val="0"/>
                      <w:marBottom w:val="0"/>
                      <w:divBdr>
                        <w:top w:val="none" w:sz="0" w:space="0" w:color="auto"/>
                        <w:left w:val="none" w:sz="0" w:space="0" w:color="auto"/>
                        <w:bottom w:val="none" w:sz="0" w:space="0" w:color="auto"/>
                        <w:right w:val="none" w:sz="0" w:space="0" w:color="auto"/>
                      </w:divBdr>
                    </w:div>
                  </w:divsChild>
                </w:div>
                <w:div w:id="858935711">
                  <w:marLeft w:val="0"/>
                  <w:marRight w:val="0"/>
                  <w:marTop w:val="0"/>
                  <w:marBottom w:val="0"/>
                  <w:divBdr>
                    <w:top w:val="none" w:sz="0" w:space="0" w:color="auto"/>
                    <w:left w:val="none" w:sz="0" w:space="0" w:color="auto"/>
                    <w:bottom w:val="none" w:sz="0" w:space="0" w:color="auto"/>
                    <w:right w:val="none" w:sz="0" w:space="0" w:color="auto"/>
                  </w:divBdr>
                  <w:divsChild>
                    <w:div w:id="11369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29830">
      <w:bodyDiv w:val="1"/>
      <w:marLeft w:val="0"/>
      <w:marRight w:val="0"/>
      <w:marTop w:val="0"/>
      <w:marBottom w:val="0"/>
      <w:divBdr>
        <w:top w:val="none" w:sz="0" w:space="0" w:color="auto"/>
        <w:left w:val="none" w:sz="0" w:space="0" w:color="auto"/>
        <w:bottom w:val="none" w:sz="0" w:space="0" w:color="auto"/>
        <w:right w:val="none" w:sz="0" w:space="0" w:color="auto"/>
      </w:divBdr>
    </w:div>
    <w:div w:id="1795059868">
      <w:bodyDiv w:val="1"/>
      <w:marLeft w:val="0"/>
      <w:marRight w:val="0"/>
      <w:marTop w:val="0"/>
      <w:marBottom w:val="0"/>
      <w:divBdr>
        <w:top w:val="none" w:sz="0" w:space="0" w:color="auto"/>
        <w:left w:val="none" w:sz="0" w:space="0" w:color="auto"/>
        <w:bottom w:val="none" w:sz="0" w:space="0" w:color="auto"/>
        <w:right w:val="none" w:sz="0" w:space="0" w:color="auto"/>
      </w:divBdr>
    </w:div>
    <w:div w:id="1829469636">
      <w:bodyDiv w:val="1"/>
      <w:marLeft w:val="0"/>
      <w:marRight w:val="0"/>
      <w:marTop w:val="0"/>
      <w:marBottom w:val="0"/>
      <w:divBdr>
        <w:top w:val="none" w:sz="0" w:space="0" w:color="auto"/>
        <w:left w:val="none" w:sz="0" w:space="0" w:color="auto"/>
        <w:bottom w:val="none" w:sz="0" w:space="0" w:color="auto"/>
        <w:right w:val="none" w:sz="0" w:space="0" w:color="auto"/>
      </w:divBdr>
    </w:div>
    <w:div w:id="1839153043">
      <w:bodyDiv w:val="1"/>
      <w:marLeft w:val="0"/>
      <w:marRight w:val="0"/>
      <w:marTop w:val="0"/>
      <w:marBottom w:val="0"/>
      <w:divBdr>
        <w:top w:val="none" w:sz="0" w:space="0" w:color="auto"/>
        <w:left w:val="none" w:sz="0" w:space="0" w:color="auto"/>
        <w:bottom w:val="none" w:sz="0" w:space="0" w:color="auto"/>
        <w:right w:val="none" w:sz="0" w:space="0" w:color="auto"/>
      </w:divBdr>
    </w:div>
    <w:div w:id="1867596948">
      <w:bodyDiv w:val="1"/>
      <w:marLeft w:val="0"/>
      <w:marRight w:val="0"/>
      <w:marTop w:val="0"/>
      <w:marBottom w:val="0"/>
      <w:divBdr>
        <w:top w:val="none" w:sz="0" w:space="0" w:color="auto"/>
        <w:left w:val="none" w:sz="0" w:space="0" w:color="auto"/>
        <w:bottom w:val="none" w:sz="0" w:space="0" w:color="auto"/>
        <w:right w:val="none" w:sz="0" w:space="0" w:color="auto"/>
      </w:divBdr>
      <w:divsChild>
        <w:div w:id="1498113178">
          <w:marLeft w:val="0"/>
          <w:marRight w:val="0"/>
          <w:marTop w:val="0"/>
          <w:marBottom w:val="0"/>
          <w:divBdr>
            <w:top w:val="none" w:sz="0" w:space="0" w:color="auto"/>
            <w:left w:val="none" w:sz="0" w:space="0" w:color="auto"/>
            <w:bottom w:val="none" w:sz="0" w:space="0" w:color="auto"/>
            <w:right w:val="none" w:sz="0" w:space="0" w:color="auto"/>
          </w:divBdr>
        </w:div>
      </w:divsChild>
    </w:div>
    <w:div w:id="1877351277">
      <w:bodyDiv w:val="1"/>
      <w:marLeft w:val="0"/>
      <w:marRight w:val="0"/>
      <w:marTop w:val="0"/>
      <w:marBottom w:val="0"/>
      <w:divBdr>
        <w:top w:val="none" w:sz="0" w:space="0" w:color="auto"/>
        <w:left w:val="none" w:sz="0" w:space="0" w:color="auto"/>
        <w:bottom w:val="none" w:sz="0" w:space="0" w:color="auto"/>
        <w:right w:val="none" w:sz="0" w:space="0" w:color="auto"/>
      </w:divBdr>
    </w:div>
    <w:div w:id="1994332364">
      <w:bodyDiv w:val="1"/>
      <w:marLeft w:val="0"/>
      <w:marRight w:val="0"/>
      <w:marTop w:val="0"/>
      <w:marBottom w:val="0"/>
      <w:divBdr>
        <w:top w:val="none" w:sz="0" w:space="0" w:color="auto"/>
        <w:left w:val="none" w:sz="0" w:space="0" w:color="auto"/>
        <w:bottom w:val="none" w:sz="0" w:space="0" w:color="auto"/>
        <w:right w:val="none" w:sz="0" w:space="0" w:color="auto"/>
      </w:divBdr>
      <w:divsChild>
        <w:div w:id="1613170705">
          <w:marLeft w:val="0"/>
          <w:marRight w:val="0"/>
          <w:marTop w:val="0"/>
          <w:marBottom w:val="0"/>
          <w:divBdr>
            <w:top w:val="none" w:sz="0" w:space="0" w:color="auto"/>
            <w:left w:val="none" w:sz="0" w:space="0" w:color="auto"/>
            <w:bottom w:val="none" w:sz="0" w:space="0" w:color="auto"/>
            <w:right w:val="none" w:sz="0" w:space="0" w:color="auto"/>
          </w:divBdr>
        </w:div>
      </w:divsChild>
    </w:div>
    <w:div w:id="2071806359">
      <w:bodyDiv w:val="1"/>
      <w:marLeft w:val="0"/>
      <w:marRight w:val="0"/>
      <w:marTop w:val="0"/>
      <w:marBottom w:val="0"/>
      <w:divBdr>
        <w:top w:val="none" w:sz="0" w:space="0" w:color="auto"/>
        <w:left w:val="none" w:sz="0" w:space="0" w:color="auto"/>
        <w:bottom w:val="none" w:sz="0" w:space="0" w:color="auto"/>
        <w:right w:val="none" w:sz="0" w:space="0" w:color="auto"/>
      </w:divBdr>
    </w:div>
    <w:div w:id="2101020097">
      <w:bodyDiv w:val="1"/>
      <w:marLeft w:val="0"/>
      <w:marRight w:val="0"/>
      <w:marTop w:val="0"/>
      <w:marBottom w:val="0"/>
      <w:divBdr>
        <w:top w:val="none" w:sz="0" w:space="0" w:color="auto"/>
        <w:left w:val="none" w:sz="0" w:space="0" w:color="auto"/>
        <w:bottom w:val="none" w:sz="0" w:space="0" w:color="auto"/>
        <w:right w:val="none" w:sz="0" w:space="0" w:color="auto"/>
      </w:divBdr>
    </w:div>
    <w:div w:id="2138062738">
      <w:bodyDiv w:val="1"/>
      <w:marLeft w:val="0"/>
      <w:marRight w:val="0"/>
      <w:marTop w:val="0"/>
      <w:marBottom w:val="0"/>
      <w:divBdr>
        <w:top w:val="none" w:sz="0" w:space="0" w:color="auto"/>
        <w:left w:val="none" w:sz="0" w:space="0" w:color="auto"/>
        <w:bottom w:val="none" w:sz="0" w:space="0" w:color="auto"/>
        <w:right w:val="none" w:sz="0" w:space="0" w:color="auto"/>
      </w:divBdr>
      <w:divsChild>
        <w:div w:id="1707171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5204</Words>
  <Characters>29667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Kak Khosro</dc:creator>
  <cp:keywords/>
  <dc:description/>
  <cp:lastModifiedBy>roya barati</cp:lastModifiedBy>
  <cp:revision>4</cp:revision>
  <dcterms:created xsi:type="dcterms:W3CDTF">2025-12-28T14:44:00Z</dcterms:created>
  <dcterms:modified xsi:type="dcterms:W3CDTF">2025-12-28T14:58:00Z</dcterms:modified>
</cp:coreProperties>
</file>