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1FB0E2" w14:textId="77777777" w:rsidR="004F4596" w:rsidRDefault="004F4596" w:rsidP="004F4596">
      <w:pPr>
        <w:pStyle w:val="ListParagraph"/>
        <w:numPr>
          <w:ilvl w:val="0"/>
          <w:numId w:val="1"/>
        </w:numPr>
        <w:rPr>
          <w:b/>
        </w:rPr>
      </w:pPr>
      <w:r w:rsidRPr="004F4596">
        <w:rPr>
          <w:b/>
        </w:rPr>
        <w:t xml:space="preserve">The [fictitious] Power Tools Directive 2007 contains the following provisions: ‘Apprentices and other workers aged under 18 shall not work with power tools except under the direct supervision of a qualified instructor’. The [fictitious] UK Industrial Training Regulations 2011 provide that: ‘All apprentices shall be supervised in respect of any hazardous activity’. Ali, Barbara, Chetan and </w:t>
      </w:r>
      <w:proofErr w:type="spellStart"/>
      <w:r w:rsidRPr="004F4596">
        <w:rPr>
          <w:b/>
        </w:rPr>
        <w:t>Delroy</w:t>
      </w:r>
      <w:proofErr w:type="spellEnd"/>
      <w:r w:rsidRPr="004F4596">
        <w:rPr>
          <w:b/>
        </w:rPr>
        <w:t xml:space="preserve"> are all aged 17. Ali and Barbara work for the </w:t>
      </w:r>
      <w:proofErr w:type="spellStart"/>
      <w:r w:rsidRPr="004F4596">
        <w:rPr>
          <w:b/>
        </w:rPr>
        <w:t>Northside</w:t>
      </w:r>
      <w:proofErr w:type="spellEnd"/>
      <w:r w:rsidRPr="004F4596">
        <w:rPr>
          <w:b/>
        </w:rPr>
        <w:t xml:space="preserve"> NHS trust. Ali is an apprentice electrician, and Barbara is an assistant site supervisor. Chetan and </w:t>
      </w:r>
      <w:proofErr w:type="spellStart"/>
      <w:r w:rsidRPr="004F4596">
        <w:rPr>
          <w:b/>
        </w:rPr>
        <w:t>Delroy</w:t>
      </w:r>
      <w:proofErr w:type="spellEnd"/>
      <w:r w:rsidRPr="004F4596">
        <w:rPr>
          <w:b/>
        </w:rPr>
        <w:t xml:space="preserve"> work for Omega Motor Services Ltd. Chetan is an apprentice mechanic and </w:t>
      </w:r>
      <w:proofErr w:type="spellStart"/>
      <w:r w:rsidRPr="004F4596">
        <w:rPr>
          <w:b/>
        </w:rPr>
        <w:t>Delroy</w:t>
      </w:r>
      <w:proofErr w:type="spellEnd"/>
      <w:r w:rsidRPr="004F4596">
        <w:rPr>
          <w:b/>
        </w:rPr>
        <w:t xml:space="preserve"> is a sales assistant. Each of them has recently been injured in an accident involving the use of a power tool. In each case they had been given general guidance about the use of the power tool by their line manager, but in each case they were working alone at the time of the accident.</w:t>
      </w:r>
    </w:p>
    <w:p w14:paraId="01D1BEA6" w14:textId="77777777" w:rsidR="004F4596" w:rsidRDefault="004F4596" w:rsidP="004F4596">
      <w:pPr>
        <w:pStyle w:val="ListParagraph"/>
        <w:rPr>
          <w:b/>
        </w:rPr>
      </w:pPr>
    </w:p>
    <w:p w14:paraId="668B9309" w14:textId="77777777" w:rsidR="004F4596" w:rsidRPr="004F4596" w:rsidRDefault="004F4596" w:rsidP="004F4596">
      <w:pPr>
        <w:pStyle w:val="ListParagraph"/>
        <w:rPr>
          <w:b/>
        </w:rPr>
      </w:pPr>
      <w:r w:rsidRPr="004F4596">
        <w:rPr>
          <w:b/>
        </w:rPr>
        <w:t xml:space="preserve"> Advise Ali, Barbara, Chetan and </w:t>
      </w:r>
      <w:proofErr w:type="spellStart"/>
      <w:r w:rsidRPr="004F4596">
        <w:rPr>
          <w:b/>
        </w:rPr>
        <w:t>Delroy</w:t>
      </w:r>
      <w:proofErr w:type="spellEnd"/>
      <w:r w:rsidRPr="004F4596">
        <w:rPr>
          <w:b/>
        </w:rPr>
        <w:t xml:space="preserve"> whether they can rely upon the Power Tools Directive, and in each case, the legal basis upon which they can do so. [This question does not require any substantive discussion of Member State liability.]</w:t>
      </w:r>
    </w:p>
    <w:p w14:paraId="1394AAF9" w14:textId="77777777" w:rsidR="004F4596" w:rsidRDefault="00606648">
      <w:r w:rsidRPr="00606648">
        <w:t xml:space="preserve">This scenario concerns the direct and indirect effect of the Directive. Since we are asked to advise only on reliance on the Directive itself, it is unnecessary to consider Member State liability. Originally, only Regulations explicitly had direct effect. Van </w:t>
      </w:r>
      <w:proofErr w:type="spellStart"/>
      <w:r w:rsidRPr="00606648">
        <w:t>Gend</w:t>
      </w:r>
      <w:proofErr w:type="spellEnd"/>
      <w:r w:rsidRPr="00606648">
        <w:t xml:space="preserve"> </w:t>
      </w:r>
      <w:proofErr w:type="spellStart"/>
      <w:r w:rsidRPr="00606648">
        <w:t>en</w:t>
      </w:r>
      <w:proofErr w:type="spellEnd"/>
      <w:r w:rsidRPr="00606648">
        <w:t xml:space="preserve"> Loos (1963) established that treaty articles could have direct effect provided they were clear precise and unconditional (CPU). This was extended to directives by van </w:t>
      </w:r>
      <w:proofErr w:type="spellStart"/>
      <w:r w:rsidRPr="00606648">
        <w:t>Duyn</w:t>
      </w:r>
      <w:proofErr w:type="spellEnd"/>
      <w:r w:rsidRPr="00606648">
        <w:t xml:space="preserve"> (1974) with the same requirement that they be CPU. The subsequent case law clarified that directives only had a vertical direct effect. They could therefore be relied upon against the state, whether as a basis of claim or as a defence: Marshall (No 1) (1986), although only once the transposition date had passed: </w:t>
      </w:r>
      <w:proofErr w:type="spellStart"/>
      <w:r w:rsidRPr="00606648">
        <w:t>Tullio</w:t>
      </w:r>
      <w:proofErr w:type="spellEnd"/>
      <w:r w:rsidRPr="00606648">
        <w:t xml:space="preserve"> </w:t>
      </w:r>
      <w:proofErr w:type="spellStart"/>
      <w:r w:rsidRPr="00606648">
        <w:t>Ratti</w:t>
      </w:r>
      <w:proofErr w:type="spellEnd"/>
      <w:r w:rsidRPr="00606648">
        <w:t xml:space="preserve"> (1979). The rationale for this is that the directive is addressed to the Member State and requires it to achieve a particular result. The state cannot therefore be heard to say that it is not bound by this. However, there is no horizontal direct effect because this would involve enforcing the directive against someone who is not the addressee: Faccini-Dori (1994). When establishing which entities form part of the state for this purpose the test in Foster v British Gas (1990) is used; vertical direct effect will apply to an emanation of the state which is responsible for providing a public service under the control of the state and with special powers. Where direct effect cannot be used, either because the provision is not CPU, or in horizontal cases, indirect effect may apply. This is an interpretive obligation placed upon the state, and in particular the courts, as part of the obligation to give effect to EU law: Art 4 (3) TEU. The principle dates back to von Colson (1984) where it was held that the courts must interpret national legislation so as to afford an effective remedy, and in </w:t>
      </w:r>
      <w:proofErr w:type="spellStart"/>
      <w:r w:rsidRPr="00606648">
        <w:t>Marleasing</w:t>
      </w:r>
      <w:proofErr w:type="spellEnd"/>
      <w:r w:rsidRPr="00606648">
        <w:t xml:space="preserve"> (1990) this principle was applied to impose an obligation on the courts to interpret national legislation, whenever passed, consistently with a directive which had not been transposed so far as it is possible to do so. This formula recognises that there may be cases where the national legislation is not capable of such interpretation and there is no obligation to interpret contra </w:t>
      </w:r>
      <w:proofErr w:type="spellStart"/>
      <w:r w:rsidRPr="00606648">
        <w:t>legem</w:t>
      </w:r>
      <w:proofErr w:type="spellEnd"/>
      <w:r w:rsidRPr="00606648">
        <w:t xml:space="preserve">: Wagner </w:t>
      </w:r>
      <w:proofErr w:type="spellStart"/>
      <w:r w:rsidRPr="00606648">
        <w:t>Miret</w:t>
      </w:r>
      <w:proofErr w:type="spellEnd"/>
      <w:r w:rsidRPr="00606648">
        <w:t xml:space="preserve"> (1993); </w:t>
      </w:r>
      <w:proofErr w:type="spellStart"/>
      <w:r w:rsidRPr="00606648">
        <w:t>Adeneler</w:t>
      </w:r>
      <w:proofErr w:type="spellEnd"/>
      <w:r w:rsidRPr="00606648">
        <w:t xml:space="preserve"> (2006). In England it has been recognised that the interpretive obligation can extend beyond normal canons of statutory interpretation but to reflect the fact that Parliament is assumed to have intended to legislate in accordance with the U.K.’s obligations under EU law, and that intention prevails over the intention to enact the precise form of words: Pickstone (1988); Litster (1989). Here, Ali and Barbara have a claim against an NHS trust which is clearly an emanation of the state. They can therefore rely on the vertical direct effect of the Directive. Ali is an apprentice, and Barbara is an “other worker” and both are aged under 18. They are therefore within scope. In neither case were they under direct supervision, so there has clearly been a breach. The relevant provision appears to be CPU and there appears to be no reason why they cannot use the Directive as </w:t>
      </w:r>
      <w:r w:rsidRPr="00606648">
        <w:lastRenderedPageBreak/>
        <w:t xml:space="preserve">the basis of a claim. Chetan and </w:t>
      </w:r>
      <w:proofErr w:type="spellStart"/>
      <w:r w:rsidRPr="00606648">
        <w:t>Delroy</w:t>
      </w:r>
      <w:proofErr w:type="spellEnd"/>
      <w:r w:rsidRPr="00606648">
        <w:t xml:space="preserve">, by contrast, appear to be employed by a private company which is not in any way linked to the state. They cannot therefore rely on vertical direct effect. They may however be able to rely on indirect horizontal effect. As an apprentice, Chetan is clearly covered by the regulation, so in his case the key question will be whether the phrase “supervised in respect of any hazardous activity” can be interpreted to require work with power tools to be under direct supervision. Using a purposive approach, it should be possible to achieve compatibility. </w:t>
      </w:r>
      <w:proofErr w:type="spellStart"/>
      <w:r w:rsidRPr="00606648">
        <w:t>Delroy</w:t>
      </w:r>
      <w:proofErr w:type="spellEnd"/>
      <w:r w:rsidRPr="00606648">
        <w:t xml:space="preserve"> faces the additional problem that he is not an apprentice. The question is whether the UK Regulations can be interpreted so that “worker” is substituted for “apprentice”. Since there is a significant difference between apprenticeship and other employment, the court may come to the conclusion that it is not possible to interpret in this way. </w:t>
      </w:r>
      <w:proofErr w:type="spellStart"/>
      <w:r w:rsidRPr="00606648">
        <w:t>Delroy</w:t>
      </w:r>
      <w:proofErr w:type="spellEnd"/>
      <w:r w:rsidRPr="00606648">
        <w:t xml:space="preserve"> will therefore be unable to rely on the directive itself. He may of course have an alternative remedy in an action under the principle of Member State liability, but that is outside the scope of this question.</w:t>
      </w:r>
    </w:p>
    <w:sectPr w:rsidR="004F459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E64529" w14:textId="77777777" w:rsidR="004F4596" w:rsidRDefault="004F4596" w:rsidP="004F4596">
      <w:pPr>
        <w:spacing w:after="0" w:line="240" w:lineRule="auto"/>
      </w:pPr>
      <w:r>
        <w:separator/>
      </w:r>
    </w:p>
  </w:endnote>
  <w:endnote w:type="continuationSeparator" w:id="0">
    <w:p w14:paraId="6D58E0D1" w14:textId="77777777" w:rsidR="004F4596" w:rsidRDefault="004F4596" w:rsidP="004F4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6FCFC0" w14:textId="77777777" w:rsidR="004F4596" w:rsidRDefault="004F4596" w:rsidP="004F4596">
      <w:pPr>
        <w:spacing w:after="0" w:line="240" w:lineRule="auto"/>
      </w:pPr>
      <w:r>
        <w:separator/>
      </w:r>
    </w:p>
  </w:footnote>
  <w:footnote w:type="continuationSeparator" w:id="0">
    <w:p w14:paraId="4A119834" w14:textId="77777777" w:rsidR="004F4596" w:rsidRDefault="004F4596" w:rsidP="004F45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F87F53" w14:textId="77777777" w:rsidR="004F4596" w:rsidRDefault="004F4596">
    <w:pPr>
      <w:pStyle w:val="Header"/>
    </w:pPr>
    <w:r>
      <w:t>DIRECT AND INDIRECT EFFECT PROBLEM QUESTION AND ANSWER</w:t>
    </w:r>
  </w:p>
  <w:p w14:paraId="6C396486" w14:textId="77777777" w:rsidR="004F4596" w:rsidRDefault="004F45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6E63657"/>
    <w:multiLevelType w:val="hybridMultilevel"/>
    <w:tmpl w:val="7994C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596"/>
    <w:rsid w:val="00036560"/>
    <w:rsid w:val="00187408"/>
    <w:rsid w:val="002E0635"/>
    <w:rsid w:val="00312C42"/>
    <w:rsid w:val="00367227"/>
    <w:rsid w:val="004B7CFD"/>
    <w:rsid w:val="004F4596"/>
    <w:rsid w:val="00606648"/>
    <w:rsid w:val="006363B4"/>
    <w:rsid w:val="00641596"/>
    <w:rsid w:val="0078396F"/>
    <w:rsid w:val="00A2272F"/>
    <w:rsid w:val="00A32421"/>
    <w:rsid w:val="00AC0CC7"/>
    <w:rsid w:val="00B02836"/>
    <w:rsid w:val="00D82D10"/>
    <w:rsid w:val="00E6491C"/>
    <w:rsid w:val="00E8488D"/>
    <w:rsid w:val="00F23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AB522"/>
  <w15:chartTrackingRefBased/>
  <w15:docId w15:val="{9E23F1CB-C8A6-4156-9B34-6A69D4EB4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4596"/>
    <w:pPr>
      <w:ind w:left="720"/>
      <w:contextualSpacing/>
    </w:pPr>
  </w:style>
  <w:style w:type="paragraph" w:styleId="Header">
    <w:name w:val="header"/>
    <w:basedOn w:val="Normal"/>
    <w:link w:val="HeaderChar"/>
    <w:uiPriority w:val="99"/>
    <w:unhideWhenUsed/>
    <w:rsid w:val="004F45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596"/>
  </w:style>
  <w:style w:type="paragraph" w:styleId="Footer">
    <w:name w:val="footer"/>
    <w:basedOn w:val="Normal"/>
    <w:link w:val="FooterChar"/>
    <w:uiPriority w:val="99"/>
    <w:unhideWhenUsed/>
    <w:rsid w:val="004F45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596"/>
  </w:style>
  <w:style w:type="paragraph" w:styleId="BalloonText">
    <w:name w:val="Balloon Text"/>
    <w:basedOn w:val="Normal"/>
    <w:link w:val="BalloonTextChar"/>
    <w:uiPriority w:val="99"/>
    <w:semiHidden/>
    <w:unhideWhenUsed/>
    <w:rsid w:val="006066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6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822</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Louise Holmes</cp:lastModifiedBy>
  <cp:revision>2</cp:revision>
  <cp:lastPrinted>2017-10-10T10:27:00Z</cp:lastPrinted>
  <dcterms:created xsi:type="dcterms:W3CDTF">2021-02-18T12:14:00Z</dcterms:created>
  <dcterms:modified xsi:type="dcterms:W3CDTF">2021-02-18T12:14:00Z</dcterms:modified>
</cp:coreProperties>
</file>