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80C805" w14:textId="7072C202" w:rsidR="6AA229D9" w:rsidRDefault="29C3C5F4" w:rsidP="5409D492">
      <w:pPr>
        <w:spacing w:before="120" w:after="120"/>
        <w:jc w:val="center"/>
        <w:rPr>
          <w:rFonts w:ascii="Calibri" w:eastAsia="Calibri" w:hAnsi="Calibri" w:cs="Calibri"/>
          <w:b/>
          <w:bCs/>
          <w:sz w:val="40"/>
          <w:szCs w:val="40"/>
          <w:u w:val="single"/>
        </w:rPr>
      </w:pPr>
      <w:r w:rsidRPr="5409D492">
        <w:rPr>
          <w:rFonts w:ascii="Calibri" w:eastAsia="Calibri" w:hAnsi="Calibri" w:cs="Calibri"/>
          <w:b/>
          <w:bCs/>
          <w:sz w:val="40"/>
          <w:szCs w:val="40"/>
          <w:u w:val="single"/>
        </w:rPr>
        <w:t>Network Operating Systems and Services</w:t>
      </w:r>
    </w:p>
    <w:p w14:paraId="095ABCD9" w14:textId="40538D6C" w:rsidR="6AA229D9" w:rsidRDefault="6AA229D9" w:rsidP="10F3D077">
      <w:pPr>
        <w:rPr>
          <w:rFonts w:ascii="Calibri" w:eastAsia="Calibri" w:hAnsi="Calibri" w:cs="Calibri"/>
        </w:rPr>
      </w:pPr>
    </w:p>
    <w:p w14:paraId="2F256E40" w14:textId="70E27059" w:rsidR="6AA229D9" w:rsidRDefault="24BD9BED" w:rsidP="10F3D077">
      <w:pPr>
        <w:rPr>
          <w:rFonts w:ascii="Calibri" w:eastAsia="Calibri" w:hAnsi="Calibri" w:cs="Calibri"/>
          <w:color w:val="000000" w:themeColor="text1"/>
          <w:sz w:val="32"/>
          <w:szCs w:val="32"/>
        </w:rPr>
      </w:pPr>
      <w:r w:rsidRPr="10F3D077">
        <w:rPr>
          <w:rFonts w:ascii="Calibri" w:eastAsia="Calibri" w:hAnsi="Calibri" w:cs="Calibri"/>
          <w:b/>
          <w:bCs/>
          <w:color w:val="000000" w:themeColor="text1"/>
          <w:sz w:val="32"/>
          <w:szCs w:val="32"/>
          <w:u w:val="single"/>
        </w:rPr>
        <w:t>Task 1 Research Report</w:t>
      </w:r>
    </w:p>
    <w:p w14:paraId="7CF09ED8" w14:textId="520E0C4C" w:rsidR="6AA229D9" w:rsidRDefault="24BD9BED" w:rsidP="10F3D077">
      <w:pPr>
        <w:rPr>
          <w:rFonts w:ascii="Calibri" w:eastAsia="Calibri" w:hAnsi="Calibri" w:cs="Calibri"/>
          <w:color w:val="000000" w:themeColor="text1"/>
        </w:rPr>
      </w:pPr>
      <w:r w:rsidRPr="10F3D077">
        <w:rPr>
          <w:rFonts w:ascii="Calibri" w:eastAsia="Calibri" w:hAnsi="Calibri" w:cs="Calibri"/>
          <w:color w:val="000000" w:themeColor="text1"/>
          <w:u w:val="single"/>
        </w:rPr>
        <w:t>Research on Hypervisor</w:t>
      </w:r>
    </w:p>
    <w:p w14:paraId="741FB4F7" w14:textId="2C88F353" w:rsidR="6AA229D9" w:rsidRDefault="24BD9BED" w:rsidP="10F3D077">
      <w:pPr>
        <w:rPr>
          <w:rFonts w:ascii="Calibri" w:eastAsia="Calibri" w:hAnsi="Calibri" w:cs="Calibri"/>
          <w:color w:val="000000" w:themeColor="text1"/>
        </w:rPr>
      </w:pPr>
      <w:r w:rsidRPr="10F3D077">
        <w:rPr>
          <w:rFonts w:ascii="Calibri" w:eastAsia="Calibri" w:hAnsi="Calibri" w:cs="Calibri"/>
          <w:color w:val="000000" w:themeColor="text1"/>
        </w:rPr>
        <w:t xml:space="preserve"> A hypervisor is a piece of software that enables multiple operating systems (OS) to share the same physical hardware. There are two main types of hypervisors — Type 1 (bare-metal hypervisors) and Type 2 (hosted hypervisors).</w:t>
      </w:r>
      <w:sdt>
        <w:sdtPr>
          <w:rPr>
            <w:rFonts w:ascii="Calibri" w:eastAsia="Calibri" w:hAnsi="Calibri" w:cs="Calibri"/>
            <w:color w:val="000000" w:themeColor="text1"/>
          </w:rPr>
          <w:id w:val="1441790135"/>
          <w:citation/>
        </w:sdtPr>
        <w:sdtContent>
          <w:r w:rsidR="007B7802">
            <w:rPr>
              <w:rFonts w:ascii="Calibri" w:eastAsia="Calibri" w:hAnsi="Calibri" w:cs="Calibri"/>
              <w:color w:val="000000" w:themeColor="text1"/>
            </w:rPr>
            <w:fldChar w:fldCharType="begin"/>
          </w:r>
          <w:r w:rsidR="007B7802">
            <w:rPr>
              <w:rFonts w:ascii="Calibri" w:eastAsia="Calibri" w:hAnsi="Calibri" w:cs="Calibri"/>
              <w:color w:val="000000" w:themeColor="text1"/>
              <w:lang w:val="en-GB"/>
            </w:rPr>
            <w:instrText xml:space="preserve"> CITATION MJK17 \l 2057 </w:instrText>
          </w:r>
          <w:r w:rsidR="007B7802">
            <w:rPr>
              <w:rFonts w:ascii="Calibri" w:eastAsia="Calibri" w:hAnsi="Calibri" w:cs="Calibri"/>
              <w:color w:val="000000" w:themeColor="text1"/>
            </w:rPr>
            <w:fldChar w:fldCharType="separate"/>
          </w:r>
          <w:r w:rsidR="007B7802">
            <w:rPr>
              <w:rFonts w:ascii="Calibri" w:eastAsia="Calibri" w:hAnsi="Calibri" w:cs="Calibri"/>
              <w:noProof/>
              <w:color w:val="000000" w:themeColor="text1"/>
              <w:lang w:val="en-GB"/>
            </w:rPr>
            <w:t xml:space="preserve"> </w:t>
          </w:r>
          <w:r w:rsidR="007B7802" w:rsidRPr="007B7802">
            <w:rPr>
              <w:rFonts w:ascii="Calibri" w:eastAsia="Calibri" w:hAnsi="Calibri" w:cs="Calibri"/>
              <w:noProof/>
              <w:color w:val="000000" w:themeColor="text1"/>
              <w:lang w:val="en-GB"/>
            </w:rPr>
            <w:t>[1]</w:t>
          </w:r>
          <w:r w:rsidR="007B7802">
            <w:rPr>
              <w:rFonts w:ascii="Calibri" w:eastAsia="Calibri" w:hAnsi="Calibri" w:cs="Calibri"/>
              <w:color w:val="000000" w:themeColor="text1"/>
            </w:rPr>
            <w:fldChar w:fldCharType="end"/>
          </w:r>
        </w:sdtContent>
      </w:sdt>
    </w:p>
    <w:p w14:paraId="20CCB2BF" w14:textId="1AF2827F" w:rsidR="6AA229D9" w:rsidRDefault="24BD9BED" w:rsidP="10F3D077">
      <w:pPr>
        <w:rPr>
          <w:rFonts w:ascii="Calibri" w:eastAsia="Calibri" w:hAnsi="Calibri" w:cs="Calibri"/>
          <w:color w:val="000000" w:themeColor="text1"/>
        </w:rPr>
      </w:pPr>
      <w:r w:rsidRPr="10F3D077">
        <w:rPr>
          <w:rFonts w:ascii="Calibri" w:eastAsia="Calibri" w:hAnsi="Calibri" w:cs="Calibri"/>
          <w:color w:val="000000" w:themeColor="text1"/>
        </w:rPr>
        <w:t xml:space="preserve"> A Type 1 hypervisor, on the other hand, runs directly on the host machine’s hardware. This eliminates the requirement for a host OS and allows for greater efficiency, performance, and scalability, all of which are critical in an enterprise setting. Common Type 1 hypervisors include VMware ESXi and Microsoft Hyper-V.</w:t>
      </w:r>
    </w:p>
    <w:p w14:paraId="6FE878A3" w14:textId="1B21B94B" w:rsidR="6AA229D9" w:rsidRDefault="24BD9BED" w:rsidP="10F3D077">
      <w:pPr>
        <w:rPr>
          <w:rFonts w:ascii="Calibri" w:eastAsia="Calibri" w:hAnsi="Calibri" w:cs="Calibri"/>
          <w:color w:val="000000" w:themeColor="text1"/>
        </w:rPr>
      </w:pPr>
      <w:r w:rsidRPr="10F3D077">
        <w:rPr>
          <w:rFonts w:ascii="Calibri" w:eastAsia="Calibri" w:hAnsi="Calibri" w:cs="Calibri"/>
          <w:color w:val="000000" w:themeColor="text1"/>
        </w:rPr>
        <w:t>Type 2 Hypervisor, on the other hand, is installed on top of an existing operating system. This is used for a development environment or for a small environment. This depends on the host operating system for hardware support. Oracle VirtualBox and KVM (Kernel-based Virtual Machine) are examples of Type 2 Hypervisors. KVM is a type 2 hypervisor which runs on Linux OS. For the SWANSEA.ACCA network topology, I have deployed the network on Microsoft Hyper-V as well as on a Linux-based hypervisor (KVM). In this case, Microsoft Hyper-V (a Type 1 hypervisor) was used to host the Windows Server 2022 because of its excellent performance, security, and scalability. Hyper-V is a top choice for business environments that require virtualizing and managing Windows-based workloads. I decided to use KVM as the hypervisor for Debian Server. KVM is a Type 1 (bare metal) hypervisor for Linux. KVM is an open source and has high performance and good support for Linux-based systems. KVM offers a high degree of control over the virtualised environment and is therefore suited to run Debian and other Linux distributions</w:t>
      </w:r>
      <w:sdt>
        <w:sdtPr>
          <w:rPr>
            <w:rFonts w:ascii="Calibri" w:eastAsia="Calibri" w:hAnsi="Calibri" w:cs="Calibri"/>
            <w:color w:val="000000" w:themeColor="text1"/>
          </w:rPr>
          <w:id w:val="-955334571"/>
          <w:citation/>
        </w:sdtPr>
        <w:sdtContent>
          <w:r w:rsidR="007B7802">
            <w:rPr>
              <w:rFonts w:ascii="Calibri" w:eastAsia="Calibri" w:hAnsi="Calibri" w:cs="Calibri"/>
              <w:color w:val="000000" w:themeColor="text1"/>
            </w:rPr>
            <w:fldChar w:fldCharType="begin"/>
          </w:r>
          <w:r w:rsidR="007B7802">
            <w:rPr>
              <w:rFonts w:ascii="Calibri" w:eastAsia="Calibri" w:hAnsi="Calibri" w:cs="Calibri"/>
              <w:color w:val="000000" w:themeColor="text1"/>
              <w:lang w:val="en-GB"/>
            </w:rPr>
            <w:instrText xml:space="preserve"> CITATION RNe22 \l 2057 </w:instrText>
          </w:r>
          <w:r w:rsidR="007B7802">
            <w:rPr>
              <w:rFonts w:ascii="Calibri" w:eastAsia="Calibri" w:hAnsi="Calibri" w:cs="Calibri"/>
              <w:color w:val="000000" w:themeColor="text1"/>
            </w:rPr>
            <w:fldChar w:fldCharType="separate"/>
          </w:r>
          <w:r w:rsidR="007B7802">
            <w:rPr>
              <w:rFonts w:ascii="Calibri" w:eastAsia="Calibri" w:hAnsi="Calibri" w:cs="Calibri"/>
              <w:noProof/>
              <w:color w:val="000000" w:themeColor="text1"/>
              <w:lang w:val="en-GB"/>
            </w:rPr>
            <w:t xml:space="preserve"> </w:t>
          </w:r>
          <w:r w:rsidR="007B7802" w:rsidRPr="007B7802">
            <w:rPr>
              <w:rFonts w:ascii="Calibri" w:eastAsia="Calibri" w:hAnsi="Calibri" w:cs="Calibri"/>
              <w:noProof/>
              <w:color w:val="000000" w:themeColor="text1"/>
              <w:lang w:val="en-GB"/>
            </w:rPr>
            <w:t>[2]</w:t>
          </w:r>
          <w:r w:rsidR="007B7802">
            <w:rPr>
              <w:rFonts w:ascii="Calibri" w:eastAsia="Calibri" w:hAnsi="Calibri" w:cs="Calibri"/>
              <w:color w:val="000000" w:themeColor="text1"/>
            </w:rPr>
            <w:fldChar w:fldCharType="end"/>
          </w:r>
        </w:sdtContent>
      </w:sdt>
      <w:r w:rsidRPr="10F3D077">
        <w:rPr>
          <w:rFonts w:ascii="Calibri" w:eastAsia="Calibri" w:hAnsi="Calibri" w:cs="Calibri"/>
          <w:color w:val="000000" w:themeColor="text1"/>
        </w:rPr>
        <w:t>. Hyper-V for Windows and KVM for Linux is the best combination to host both systems in the best possible environment. It provides a scalable and efficient solution for the SWANSEA.ACCA network.</w:t>
      </w:r>
    </w:p>
    <w:p w14:paraId="11B1A4EE" w14:textId="07228A85" w:rsidR="6AA229D9" w:rsidRDefault="24BD9BED" w:rsidP="10F3D077">
      <w:pPr>
        <w:rPr>
          <w:rFonts w:ascii="Calibri" w:eastAsia="Calibri" w:hAnsi="Calibri" w:cs="Calibri"/>
          <w:color w:val="000000" w:themeColor="text1"/>
        </w:rPr>
      </w:pPr>
      <w:r w:rsidRPr="10F3D077">
        <w:rPr>
          <w:rFonts w:ascii="Calibri" w:eastAsia="Calibri" w:hAnsi="Calibri" w:cs="Calibri"/>
          <w:color w:val="000000" w:themeColor="text1"/>
          <w:u w:val="single"/>
        </w:rPr>
        <w:t xml:space="preserve">Research on IP Addressing </w:t>
      </w:r>
    </w:p>
    <w:p w14:paraId="5BA5BC13" w14:textId="2176791D" w:rsidR="6AA229D9" w:rsidRDefault="24BD9BED" w:rsidP="5409D492">
      <w:pPr>
        <w:rPr>
          <w:rFonts w:ascii="Calibri" w:eastAsia="Calibri" w:hAnsi="Calibri" w:cs="Calibri"/>
          <w:color w:val="000000" w:themeColor="text1"/>
        </w:rPr>
      </w:pPr>
      <w:r w:rsidRPr="5409D492">
        <w:rPr>
          <w:rFonts w:ascii="Calibri" w:eastAsia="Calibri" w:hAnsi="Calibri" w:cs="Calibri"/>
          <w:color w:val="000000" w:themeColor="text1"/>
        </w:rPr>
        <w:t>IP addresses enable the exchange of data between devices on the internet and private networks. They provide a way to identify devices and deliver information to the intended recipient. The most widely used versions of IP addresses are IPv4 and IPv6. The IPv4 uses a 32-bit addressing method, which gives us around 4.3 billion unique IP addresses. But as the devices on the network continue to rise, we need IPv6 more because of IPv4 address shortage.</w:t>
      </w:r>
      <w:sdt>
        <w:sdtPr>
          <w:rPr>
            <w:rFonts w:ascii="Calibri" w:eastAsia="Calibri" w:hAnsi="Calibri" w:cs="Calibri"/>
            <w:color w:val="000000" w:themeColor="text1"/>
          </w:rPr>
          <w:id w:val="-1159687434"/>
          <w:citation/>
        </w:sdtPr>
        <w:sdtContent>
          <w:r w:rsidR="007B7802">
            <w:rPr>
              <w:rFonts w:ascii="Calibri" w:eastAsia="Calibri" w:hAnsi="Calibri" w:cs="Calibri"/>
              <w:color w:val="000000" w:themeColor="text1"/>
            </w:rPr>
            <w:fldChar w:fldCharType="begin"/>
          </w:r>
          <w:r w:rsidR="007B7802">
            <w:rPr>
              <w:rFonts w:ascii="Calibri" w:eastAsia="Calibri" w:hAnsi="Calibri" w:cs="Calibri"/>
              <w:color w:val="000000" w:themeColor="text1"/>
              <w:lang w:val="en-GB"/>
            </w:rPr>
            <w:instrText xml:space="preserve"> CITATION SDe17 \l 2057 </w:instrText>
          </w:r>
          <w:r w:rsidR="007B7802">
            <w:rPr>
              <w:rFonts w:ascii="Calibri" w:eastAsia="Calibri" w:hAnsi="Calibri" w:cs="Calibri"/>
              <w:color w:val="000000" w:themeColor="text1"/>
            </w:rPr>
            <w:fldChar w:fldCharType="separate"/>
          </w:r>
          <w:r w:rsidR="007B7802">
            <w:rPr>
              <w:rFonts w:ascii="Calibri" w:eastAsia="Calibri" w:hAnsi="Calibri" w:cs="Calibri"/>
              <w:noProof/>
              <w:color w:val="000000" w:themeColor="text1"/>
              <w:lang w:val="en-GB"/>
            </w:rPr>
            <w:t xml:space="preserve"> </w:t>
          </w:r>
          <w:r w:rsidR="007B7802" w:rsidRPr="007B7802">
            <w:rPr>
              <w:rFonts w:ascii="Calibri" w:eastAsia="Calibri" w:hAnsi="Calibri" w:cs="Calibri"/>
              <w:noProof/>
              <w:color w:val="000000" w:themeColor="text1"/>
              <w:lang w:val="en-GB"/>
            </w:rPr>
            <w:t>[3]</w:t>
          </w:r>
          <w:r w:rsidR="007B7802">
            <w:rPr>
              <w:rFonts w:ascii="Calibri" w:eastAsia="Calibri" w:hAnsi="Calibri" w:cs="Calibri"/>
              <w:color w:val="000000" w:themeColor="text1"/>
            </w:rPr>
            <w:fldChar w:fldCharType="end"/>
          </w:r>
        </w:sdtContent>
      </w:sdt>
      <w:r w:rsidR="007B7802" w:rsidRPr="5409D492">
        <w:rPr>
          <w:rFonts w:ascii="Calibri" w:eastAsia="Calibri" w:hAnsi="Calibri" w:cs="Calibri"/>
          <w:color w:val="000000" w:themeColor="text1"/>
        </w:rPr>
        <w:t xml:space="preserve"> </w:t>
      </w:r>
      <w:r w:rsidRPr="5409D492">
        <w:rPr>
          <w:rFonts w:ascii="Calibri" w:eastAsia="Calibri" w:hAnsi="Calibri" w:cs="Calibri"/>
          <w:color w:val="000000" w:themeColor="text1"/>
        </w:rPr>
        <w:t xml:space="preserve">IPv6 uses a 128-bit addressing method that offers almost a limitless number of unique IP addresses </w:t>
      </w:r>
      <w:r w:rsidRPr="5409D492">
        <w:rPr>
          <w:rFonts w:ascii="Calibri" w:eastAsia="Calibri" w:hAnsi="Calibri" w:cs="Calibri"/>
          <w:color w:val="000000" w:themeColor="text1"/>
        </w:rPr>
        <w:lastRenderedPageBreak/>
        <w:t xml:space="preserve">for a future-proof network. A key concept in IP addressing is subnetting, which involves splitting big networks into smaller sub-networks. This not only helps with network organization but also enhances network performance and security. A Variable Length Subnet Mask (VLSM) is a method used for optimizing the use of IP addresses by assigning different subnet masks to sub-networks according to the number of hosts needed in each sub-network. This is why SWANSEA.ACCA planning the IPv4 address space should be done with thought. Routers forward packets between networks, so it’s important to know how they work. </w:t>
      </w:r>
      <w:r w:rsidR="3E8E8F8D" w:rsidRPr="5409D492">
        <w:rPr>
          <w:rFonts w:ascii="Calibri" w:eastAsia="Calibri" w:hAnsi="Calibri" w:cs="Calibri"/>
          <w:color w:val="000000" w:themeColor="text1"/>
        </w:rPr>
        <w:t>Likewise,</w:t>
      </w:r>
      <w:r w:rsidRPr="5409D492">
        <w:rPr>
          <w:rFonts w:ascii="Calibri" w:eastAsia="Calibri" w:hAnsi="Calibri" w:cs="Calibri"/>
          <w:color w:val="000000" w:themeColor="text1"/>
        </w:rPr>
        <w:t xml:space="preserve"> switches forward packets within a network, so understanding how they work is also important. A router forwards packets based on destination IP address while a switch forwards packets based on MAC address within a local network. IPv6 address planning is also important to ensure we plan and the requirement of more IP addresses.</w:t>
      </w:r>
    </w:p>
    <w:p w14:paraId="32100914" w14:textId="6DE2198B" w:rsidR="6AA229D9" w:rsidRDefault="24BD9BED" w:rsidP="10F3D077">
      <w:pPr>
        <w:rPr>
          <w:rFonts w:ascii="Calibri" w:eastAsia="Calibri" w:hAnsi="Calibri" w:cs="Calibri"/>
          <w:color w:val="000000" w:themeColor="text1"/>
        </w:rPr>
      </w:pPr>
      <w:r w:rsidRPr="10F3D077">
        <w:rPr>
          <w:rFonts w:ascii="Calibri" w:eastAsia="Calibri" w:hAnsi="Calibri" w:cs="Calibri"/>
          <w:color w:val="000000" w:themeColor="text1"/>
        </w:rPr>
        <w:t xml:space="preserve"> </w:t>
      </w:r>
      <w:r w:rsidRPr="10F3D077">
        <w:rPr>
          <w:rFonts w:ascii="Calibri" w:eastAsia="Calibri" w:hAnsi="Calibri" w:cs="Calibri"/>
          <w:color w:val="000000" w:themeColor="text1"/>
          <w:u w:val="single"/>
        </w:rPr>
        <w:t>Research on Routing</w:t>
      </w:r>
    </w:p>
    <w:p w14:paraId="6615FB9B" w14:textId="353EB214" w:rsidR="6AA229D9" w:rsidRDefault="24BD9BED" w:rsidP="10F3D077">
      <w:pPr>
        <w:rPr>
          <w:rFonts w:ascii="Calibri" w:eastAsia="Calibri" w:hAnsi="Calibri" w:cs="Calibri"/>
          <w:color w:val="000000" w:themeColor="text1"/>
        </w:rPr>
      </w:pPr>
      <w:r w:rsidRPr="10F3D077">
        <w:rPr>
          <w:rFonts w:ascii="Calibri" w:eastAsia="Calibri" w:hAnsi="Calibri" w:cs="Calibri"/>
          <w:color w:val="000000" w:themeColor="text1"/>
        </w:rPr>
        <w:t xml:space="preserve"> In general, routing is the act of moving data across networks between two devices. This is typically done using either static or dynamic routing. Static Routing − The routes that a data packet must follow are predefined. It is easier to implement but less adaptable. It is preferred in smaller and less volatile networks. Conversely, Dynamic Routing enables routers to dynamically update their routing tables in response to the network's current state. It's flexible and scalable, so it's perfect for larger networks. Routing protocols such as OSPF, RIP and BGP enable routers to share information about the network and modify the routing paths dynamically.</w:t>
      </w:r>
      <w:sdt>
        <w:sdtPr>
          <w:rPr>
            <w:rFonts w:ascii="Calibri" w:eastAsia="Calibri" w:hAnsi="Calibri" w:cs="Calibri"/>
            <w:color w:val="000000" w:themeColor="text1"/>
          </w:rPr>
          <w:id w:val="1449132510"/>
          <w:citation/>
        </w:sdtPr>
        <w:sdtContent>
          <w:r w:rsidR="007B7802">
            <w:rPr>
              <w:rFonts w:ascii="Calibri" w:eastAsia="Calibri" w:hAnsi="Calibri" w:cs="Calibri"/>
              <w:color w:val="000000" w:themeColor="text1"/>
            </w:rPr>
            <w:fldChar w:fldCharType="begin"/>
          </w:r>
          <w:r w:rsidR="007B7802">
            <w:rPr>
              <w:rFonts w:ascii="Calibri" w:eastAsia="Calibri" w:hAnsi="Calibri" w:cs="Calibri"/>
              <w:color w:val="000000" w:themeColor="text1"/>
              <w:lang w:val="en-GB"/>
            </w:rPr>
            <w:instrText xml:space="preserve"> CITATION SMu98 \l 2057 </w:instrText>
          </w:r>
          <w:r w:rsidR="007B7802">
            <w:rPr>
              <w:rFonts w:ascii="Calibri" w:eastAsia="Calibri" w:hAnsi="Calibri" w:cs="Calibri"/>
              <w:color w:val="000000" w:themeColor="text1"/>
            </w:rPr>
            <w:fldChar w:fldCharType="separate"/>
          </w:r>
          <w:r w:rsidR="007B7802">
            <w:rPr>
              <w:rFonts w:ascii="Calibri" w:eastAsia="Calibri" w:hAnsi="Calibri" w:cs="Calibri"/>
              <w:noProof/>
              <w:color w:val="000000" w:themeColor="text1"/>
              <w:lang w:val="en-GB"/>
            </w:rPr>
            <w:t xml:space="preserve"> </w:t>
          </w:r>
          <w:r w:rsidR="007B7802" w:rsidRPr="007B7802">
            <w:rPr>
              <w:rFonts w:ascii="Calibri" w:eastAsia="Calibri" w:hAnsi="Calibri" w:cs="Calibri"/>
              <w:noProof/>
              <w:color w:val="000000" w:themeColor="text1"/>
              <w:lang w:val="en-GB"/>
            </w:rPr>
            <w:t>[4]</w:t>
          </w:r>
          <w:r w:rsidR="007B7802">
            <w:rPr>
              <w:rFonts w:ascii="Calibri" w:eastAsia="Calibri" w:hAnsi="Calibri" w:cs="Calibri"/>
              <w:color w:val="000000" w:themeColor="text1"/>
            </w:rPr>
            <w:fldChar w:fldCharType="end"/>
          </w:r>
        </w:sdtContent>
      </w:sdt>
      <w:r w:rsidRPr="10F3D077">
        <w:rPr>
          <w:rFonts w:ascii="Calibri" w:eastAsia="Calibri" w:hAnsi="Calibri" w:cs="Calibri"/>
          <w:color w:val="000000" w:themeColor="text1"/>
        </w:rPr>
        <w:t xml:space="preserve"> The best routing protocol to be used for the SWANSEA.ACCA network is dynamic routing. As the Debian Server acts as a DHCP relay, it is recommended to use dynamic routing protocols such as OSPF (Open Shortest Path First). This is because dynamic routing protocols can adapt to any changes in real time and provide the best routing path for data. Also, dynamic routing protocols are more flexible and hence best to use for a network with various subnets and devices.</w:t>
      </w:r>
    </w:p>
    <w:p w14:paraId="698C910B" w14:textId="6EDFF580" w:rsidR="6AA229D9" w:rsidRDefault="24BD9BED" w:rsidP="10F3D077">
      <w:pPr>
        <w:rPr>
          <w:rFonts w:ascii="Calibri" w:eastAsia="Calibri" w:hAnsi="Calibri" w:cs="Calibri"/>
          <w:color w:val="000000" w:themeColor="text1"/>
        </w:rPr>
      </w:pPr>
      <w:r w:rsidRPr="10F3D077">
        <w:rPr>
          <w:rFonts w:ascii="Calibri" w:eastAsia="Calibri" w:hAnsi="Calibri" w:cs="Calibri"/>
          <w:color w:val="000000" w:themeColor="text1"/>
          <w:u w:val="single"/>
        </w:rPr>
        <w:t>Research on Network Services</w:t>
      </w:r>
    </w:p>
    <w:p w14:paraId="0CE8B56C" w14:textId="6920F7F5" w:rsidR="6AA229D9" w:rsidRDefault="24BD9BED" w:rsidP="5409D492">
      <w:pPr>
        <w:rPr>
          <w:rFonts w:ascii="Calibri" w:eastAsia="Calibri" w:hAnsi="Calibri" w:cs="Calibri"/>
          <w:color w:val="000000" w:themeColor="text1"/>
        </w:rPr>
      </w:pPr>
      <w:r w:rsidRPr="5409D492">
        <w:rPr>
          <w:rFonts w:ascii="Calibri" w:eastAsia="Calibri" w:hAnsi="Calibri" w:cs="Calibri"/>
          <w:color w:val="000000" w:themeColor="text1"/>
        </w:rPr>
        <w:t xml:space="preserve"> Network services like VPNs, DHCP, Active Directory Domain Services (AD DS), and Certificate Authorities (CAs) are integral to the operation, security, and performance of today’s IT environments. Virtual Private Networks (VPNs): VPNs create a secure and encrypted tunnel for remote workers to access the corporate network from the internet. This is very important for companies with remote workers or branch offices. DHCP, or Dynamic Host Configuration Protocol, is a protocol that automatically assigns IP addresses to devices on a network. It minimizes the need for manual configuration and the risk of IP </w:t>
      </w:r>
      <w:r w:rsidR="4C776172" w:rsidRPr="5409D492">
        <w:rPr>
          <w:rFonts w:ascii="Calibri" w:eastAsia="Calibri" w:hAnsi="Calibri" w:cs="Calibri"/>
          <w:color w:val="000000" w:themeColor="text1"/>
        </w:rPr>
        <w:t>addressing</w:t>
      </w:r>
      <w:r w:rsidRPr="5409D492">
        <w:rPr>
          <w:rFonts w:ascii="Calibri" w:eastAsia="Calibri" w:hAnsi="Calibri" w:cs="Calibri"/>
          <w:color w:val="000000" w:themeColor="text1"/>
        </w:rPr>
        <w:t xml:space="preserve"> conflicts.</w:t>
      </w:r>
      <w:sdt>
        <w:sdtPr>
          <w:rPr>
            <w:rFonts w:ascii="Calibri" w:eastAsia="Calibri" w:hAnsi="Calibri" w:cs="Calibri"/>
            <w:color w:val="000000" w:themeColor="text1"/>
          </w:rPr>
          <w:id w:val="1823079111"/>
          <w:citation/>
        </w:sdtPr>
        <w:sdtContent>
          <w:r w:rsidR="003B3966">
            <w:rPr>
              <w:rFonts w:ascii="Calibri" w:eastAsia="Calibri" w:hAnsi="Calibri" w:cs="Calibri"/>
              <w:color w:val="000000" w:themeColor="text1"/>
            </w:rPr>
            <w:fldChar w:fldCharType="begin"/>
          </w:r>
          <w:r w:rsidR="003B3966">
            <w:rPr>
              <w:rFonts w:ascii="Calibri" w:eastAsia="Calibri" w:hAnsi="Calibri" w:cs="Calibri"/>
              <w:color w:val="000000" w:themeColor="text1"/>
              <w:lang w:val="en-GB"/>
            </w:rPr>
            <w:instrText xml:space="preserve"> CITATION Sav12 \l 2057 </w:instrText>
          </w:r>
          <w:r w:rsidR="003B3966">
            <w:rPr>
              <w:rFonts w:ascii="Calibri" w:eastAsia="Calibri" w:hAnsi="Calibri" w:cs="Calibri"/>
              <w:color w:val="000000" w:themeColor="text1"/>
            </w:rPr>
            <w:fldChar w:fldCharType="separate"/>
          </w:r>
          <w:r w:rsidR="003B3966">
            <w:rPr>
              <w:rFonts w:ascii="Calibri" w:eastAsia="Calibri" w:hAnsi="Calibri" w:cs="Calibri"/>
              <w:noProof/>
              <w:color w:val="000000" w:themeColor="text1"/>
              <w:lang w:val="en-GB"/>
            </w:rPr>
            <w:t xml:space="preserve"> </w:t>
          </w:r>
          <w:r w:rsidR="003B3966" w:rsidRPr="003B3966">
            <w:rPr>
              <w:rFonts w:ascii="Calibri" w:eastAsia="Calibri" w:hAnsi="Calibri" w:cs="Calibri"/>
              <w:noProof/>
              <w:color w:val="000000" w:themeColor="text1"/>
              <w:lang w:val="en-GB"/>
            </w:rPr>
            <w:t>[5]</w:t>
          </w:r>
          <w:r w:rsidR="003B3966">
            <w:rPr>
              <w:rFonts w:ascii="Calibri" w:eastAsia="Calibri" w:hAnsi="Calibri" w:cs="Calibri"/>
              <w:color w:val="000000" w:themeColor="text1"/>
            </w:rPr>
            <w:fldChar w:fldCharType="end"/>
          </w:r>
        </w:sdtContent>
      </w:sdt>
      <w:r w:rsidRPr="5409D492">
        <w:rPr>
          <w:rFonts w:ascii="Calibri" w:eastAsia="Calibri" w:hAnsi="Calibri" w:cs="Calibri"/>
          <w:color w:val="000000" w:themeColor="text1"/>
        </w:rPr>
        <w:t xml:space="preserve"> Active Directory Domain Services (AD DS) is a directory service that allows you to manage network resources such as users, computers, and services. It provides a way to authenticate users, authorize access to resources, manage users, groups, and computers, and enforce policies. </w:t>
      </w:r>
      <w:r w:rsidRPr="5409D492">
        <w:rPr>
          <w:rFonts w:ascii="Calibri" w:eastAsia="Calibri" w:hAnsi="Calibri" w:cs="Calibri"/>
          <w:color w:val="000000" w:themeColor="text1"/>
        </w:rPr>
        <w:lastRenderedPageBreak/>
        <w:t>Certificate Authorities (CAs): These are the bodies that give out digital certificates that are used to encrypt network traffic. They are used to create SSL/TLS certificates which are used to secure internet communication. In the network SWANSEA.ACCA, Windows Server 2022 will provide Active Directory and DHCP services whereas the Debian Server will act as a DHCP Relay. The inclusion of these network services will provide a secure, scalable, and manageable network with efficient communication and robust administrative facility to all users.</w:t>
      </w:r>
    </w:p>
    <w:p w14:paraId="2B463D5E" w14:textId="091C1BC1" w:rsidR="6AA229D9" w:rsidRDefault="246B0111" w:rsidP="10F3D077">
      <w:pPr>
        <w:rPr>
          <w:rFonts w:ascii="Calibri" w:eastAsia="Calibri" w:hAnsi="Calibri" w:cs="Calibri"/>
          <w:b/>
          <w:bCs/>
          <w:sz w:val="32"/>
          <w:szCs w:val="32"/>
          <w:u w:val="single"/>
        </w:rPr>
      </w:pPr>
      <w:r w:rsidRPr="10F3D077">
        <w:rPr>
          <w:rFonts w:ascii="Calibri" w:eastAsia="Calibri" w:hAnsi="Calibri" w:cs="Calibri"/>
          <w:b/>
          <w:bCs/>
          <w:sz w:val="32"/>
          <w:szCs w:val="32"/>
          <w:u w:val="single"/>
        </w:rPr>
        <w:t>Task 2</w:t>
      </w:r>
      <w:r w:rsidR="622FB0D1" w:rsidRPr="10F3D077">
        <w:rPr>
          <w:rFonts w:ascii="Calibri" w:eastAsia="Calibri" w:hAnsi="Calibri" w:cs="Calibri"/>
          <w:b/>
          <w:bCs/>
          <w:sz w:val="32"/>
          <w:szCs w:val="32"/>
          <w:u w:val="single"/>
        </w:rPr>
        <w:t>- Report: Technical Documentation</w:t>
      </w:r>
    </w:p>
    <w:p w14:paraId="17F84991" w14:textId="139F2BCE" w:rsidR="6AA229D9" w:rsidRDefault="5EEA887F" w:rsidP="415E2241">
      <w:r>
        <w:rPr>
          <w:noProof/>
          <w:lang w:val="en-GB" w:eastAsia="en-GB"/>
        </w:rPr>
        <w:drawing>
          <wp:inline distT="0" distB="0" distL="0" distR="0" wp14:anchorId="0D92A5CD" wp14:editId="12CF5AAC">
            <wp:extent cx="5943600" cy="3343275"/>
            <wp:effectExtent l="0" t="0" r="0" b="0"/>
            <wp:docPr id="7523870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18161" name="Picture 1792118161"/>
                    <pic:cNvPicPr/>
                  </pic:nvPicPr>
                  <pic:blipFill>
                    <a:blip r:embed="rId5">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4B29749A" w14:textId="164FD854" w:rsidR="415E2241" w:rsidRDefault="415E2241" w:rsidP="415E2241">
      <w:pPr>
        <w:rPr>
          <w:rFonts w:ascii="Calibri" w:eastAsia="Calibri" w:hAnsi="Calibri" w:cs="Calibri"/>
          <w:sz w:val="44"/>
          <w:szCs w:val="44"/>
          <w:u w:val="single"/>
        </w:rPr>
      </w:pPr>
    </w:p>
    <w:p w14:paraId="399884B7" w14:textId="5D02297A" w:rsidR="50AAA619" w:rsidRDefault="50AAA619" w:rsidP="267CD637">
      <w:r>
        <w:rPr>
          <w:noProof/>
          <w:lang w:val="en-GB" w:eastAsia="en-GB"/>
        </w:rPr>
        <w:lastRenderedPageBreak/>
        <w:drawing>
          <wp:inline distT="0" distB="0" distL="0" distR="0" wp14:anchorId="7E3D0D52" wp14:editId="41079BDC">
            <wp:extent cx="5943600" cy="3343275"/>
            <wp:effectExtent l="28721" t="51610" r="28721" b="51610"/>
            <wp:docPr id="9112480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248049" name="Picture 911248049"/>
                    <pic:cNvPicPr/>
                  </pic:nvPicPr>
                  <pic:blipFill>
                    <a:blip r:embed="rId6">
                      <a:extLst>
                        <a:ext uri="{28A0092B-C50C-407E-A947-70E740481C1C}">
                          <a14:useLocalDpi xmlns:a14="http://schemas.microsoft.com/office/drawing/2010/main"/>
                        </a:ext>
                      </a:extLst>
                    </a:blip>
                    <a:stretch>
                      <a:fillRect/>
                    </a:stretch>
                  </pic:blipFill>
                  <pic:spPr>
                    <a:xfrm rot="60000">
                      <a:off x="0" y="0"/>
                      <a:ext cx="5943600" cy="3343275"/>
                    </a:xfrm>
                    <a:prstGeom prst="rect">
                      <a:avLst/>
                    </a:prstGeom>
                  </pic:spPr>
                </pic:pic>
              </a:graphicData>
            </a:graphic>
          </wp:inline>
        </w:drawing>
      </w:r>
    </w:p>
    <w:p w14:paraId="4EF166AF" w14:textId="4EBD82CF" w:rsidR="267CD637" w:rsidRDefault="267CD637" w:rsidP="267CD637"/>
    <w:p w14:paraId="348462DE" w14:textId="08840890" w:rsidR="50AAA619" w:rsidRDefault="50AAA619" w:rsidP="267CD637">
      <w:r>
        <w:rPr>
          <w:noProof/>
          <w:lang w:val="en-GB" w:eastAsia="en-GB"/>
        </w:rPr>
        <w:lastRenderedPageBreak/>
        <w:drawing>
          <wp:inline distT="0" distB="0" distL="0" distR="0" wp14:anchorId="47F010AE" wp14:editId="2E5FCD61">
            <wp:extent cx="5943600" cy="3343275"/>
            <wp:effectExtent l="0" t="0" r="0" b="0"/>
            <wp:docPr id="21026993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699334" name="Picture 2102699334"/>
                    <pic:cNvPicPr/>
                  </pic:nvPicPr>
                  <pic:blipFill>
                    <a:blip r:embed="rId7">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77D12BB8">
        <w:rPr>
          <w:noProof/>
          <w:lang w:val="en-GB" w:eastAsia="en-GB"/>
        </w:rPr>
        <w:drawing>
          <wp:inline distT="0" distB="0" distL="0" distR="0" wp14:anchorId="01ED8F21" wp14:editId="300AEA98">
            <wp:extent cx="5943600" cy="3343275"/>
            <wp:effectExtent l="0" t="0" r="0" b="0"/>
            <wp:docPr id="17442645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264514" name="Picture 1744264514"/>
                    <pic:cNvPicPr/>
                  </pic:nvPicPr>
                  <pic:blipFill>
                    <a:blip r:embed="rId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1E05AE21" w14:textId="54ED594D" w:rsidR="1DB8F807" w:rsidRDefault="1DB8F807" w:rsidP="415E2241">
      <w:r>
        <w:rPr>
          <w:noProof/>
          <w:lang w:val="en-GB" w:eastAsia="en-GB"/>
        </w:rPr>
        <w:lastRenderedPageBreak/>
        <w:drawing>
          <wp:inline distT="0" distB="0" distL="0" distR="0" wp14:anchorId="08D76858" wp14:editId="04F25CD2">
            <wp:extent cx="5943600" cy="3343275"/>
            <wp:effectExtent l="0" t="0" r="0" b="0"/>
            <wp:docPr id="21178776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877609" name="Picture 2117877609"/>
                    <pic:cNvPicPr/>
                  </pic:nvPicPr>
                  <pic:blipFill>
                    <a:blip r:embed="rId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5F710C5D">
        <w:rPr>
          <w:noProof/>
          <w:lang w:val="en-GB" w:eastAsia="en-GB"/>
        </w:rPr>
        <w:drawing>
          <wp:inline distT="0" distB="0" distL="0" distR="0" wp14:anchorId="24CD7B5D" wp14:editId="7F77851F">
            <wp:extent cx="5943600" cy="3343275"/>
            <wp:effectExtent l="0" t="0" r="0" b="0"/>
            <wp:docPr id="6130083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08309" name="Picture 613008309"/>
                    <pic:cNvPicPr/>
                  </pic:nvPicPr>
                  <pic:blipFill>
                    <a:blip r:embed="rId10">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77B3C29A" w14:textId="1C31EE86" w:rsidR="7302F090" w:rsidRDefault="7302F090" w:rsidP="10F3D077">
      <w:r>
        <w:rPr>
          <w:noProof/>
          <w:lang w:val="en-GB" w:eastAsia="en-GB"/>
        </w:rPr>
        <w:lastRenderedPageBreak/>
        <w:drawing>
          <wp:inline distT="0" distB="0" distL="0" distR="0" wp14:anchorId="73E37011" wp14:editId="39ECBB5D">
            <wp:extent cx="5943600" cy="3343275"/>
            <wp:effectExtent l="0" t="0" r="0" b="0"/>
            <wp:docPr id="6903883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388360" name="Picture 690388360"/>
                    <pic:cNvPicPr/>
                  </pic:nvPicPr>
                  <pic:blipFill>
                    <a:blip r:embed="rId11">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7920DF31">
        <w:rPr>
          <w:noProof/>
          <w:lang w:val="en-GB" w:eastAsia="en-GB"/>
        </w:rPr>
        <w:drawing>
          <wp:inline distT="0" distB="0" distL="0" distR="0" wp14:anchorId="7E6DA14D" wp14:editId="40B2D76A">
            <wp:extent cx="5943600" cy="3343275"/>
            <wp:effectExtent l="0" t="0" r="0" b="0"/>
            <wp:docPr id="88923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398" name="Picture 8892398"/>
                    <pic:cNvPicPr/>
                  </pic:nvPicPr>
                  <pic:blipFill>
                    <a:blip r:embed="rId1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12A9B4DD" w14:textId="154054ED" w:rsidR="21568BCE" w:rsidRDefault="21568BCE" w:rsidP="10F3D077">
      <w:pPr>
        <w:rPr>
          <w:rFonts w:ascii="Calibri" w:eastAsia="Calibri" w:hAnsi="Calibri" w:cs="Calibri"/>
          <w:b/>
          <w:bCs/>
          <w:sz w:val="32"/>
          <w:szCs w:val="32"/>
          <w:u w:val="single"/>
        </w:rPr>
      </w:pPr>
      <w:r w:rsidRPr="10F3D077">
        <w:rPr>
          <w:rFonts w:ascii="Calibri" w:eastAsia="Calibri" w:hAnsi="Calibri" w:cs="Calibri"/>
          <w:b/>
          <w:bCs/>
          <w:sz w:val="32"/>
          <w:szCs w:val="32"/>
          <w:u w:val="single"/>
        </w:rPr>
        <w:t>Task 3</w:t>
      </w:r>
      <w:r w:rsidR="4918DB13" w:rsidRPr="10F3D077">
        <w:rPr>
          <w:rFonts w:ascii="Calibri" w:eastAsia="Calibri" w:hAnsi="Calibri" w:cs="Calibri"/>
          <w:b/>
          <w:bCs/>
          <w:sz w:val="32"/>
          <w:szCs w:val="32"/>
          <w:u w:val="single"/>
        </w:rPr>
        <w:t>-</w:t>
      </w:r>
      <w:r w:rsidR="71345C72" w:rsidRPr="10F3D077">
        <w:rPr>
          <w:rFonts w:ascii="Calibri" w:eastAsia="Calibri" w:hAnsi="Calibri" w:cs="Calibri"/>
          <w:b/>
          <w:bCs/>
          <w:sz w:val="32"/>
          <w:szCs w:val="32"/>
          <w:u w:val="single"/>
        </w:rPr>
        <w:t xml:space="preserve"> Report: Reflection</w:t>
      </w:r>
    </w:p>
    <w:p w14:paraId="3E70FF83" w14:textId="30D55968" w:rsidR="79A2EA24" w:rsidRDefault="79A2EA24" w:rsidP="10F3D077">
      <w:pPr>
        <w:rPr>
          <w:rFonts w:ascii="Calibri" w:eastAsia="Calibri" w:hAnsi="Calibri" w:cs="Calibri"/>
        </w:rPr>
      </w:pPr>
      <w:r w:rsidRPr="10F3D077">
        <w:rPr>
          <w:rFonts w:ascii="Calibri" w:eastAsia="Calibri" w:hAnsi="Calibri" w:cs="Calibri"/>
        </w:rPr>
        <w:t xml:space="preserve">Challenges and Solutions Experienced during Network Implementation and Testing During the implementation and testing of the SWANSEA. ACCA network, there were several problems that were encountered and solved. The first major challenge was to establish network connectivity between Windows Server and Linux client. For instance, during the initial testing of the </w:t>
      </w:r>
      <w:r w:rsidRPr="10F3D077">
        <w:rPr>
          <w:rFonts w:ascii="Calibri" w:eastAsia="Calibri" w:hAnsi="Calibri" w:cs="Calibri"/>
        </w:rPr>
        <w:lastRenderedPageBreak/>
        <w:t xml:space="preserve">Windows client, the client could not ping the gateway, hence the connection timed out as seen in the screenshots. Similarly, the same problem was experienced by the Linux client, where the ping test to the gateway IP failed. The problem was attributed to the misconfiguration of the IP address and misalignment of the network. After checking the IP address range and subnet mask, I checked the configuration of both the Windows server and Linux </w:t>
      </w:r>
      <w:r w:rsidR="5F6051E9" w:rsidRPr="10F3D077">
        <w:rPr>
          <w:rFonts w:ascii="Calibri" w:eastAsia="Calibri" w:hAnsi="Calibri" w:cs="Calibri"/>
        </w:rPr>
        <w:t>client and</w:t>
      </w:r>
      <w:r w:rsidRPr="10F3D077">
        <w:rPr>
          <w:rFonts w:ascii="Calibri" w:eastAsia="Calibri" w:hAnsi="Calibri" w:cs="Calibri"/>
        </w:rPr>
        <w:t xml:space="preserve"> corrected the settings so that the two devices could be on the same network. Specifically, I ensured that the IP address and the subnet mask of both the Linux client and Windows client were the same, thereby enabling the devices to communicate. Upon correcting the network settings, the ping test was successful, thereby confirming that the network was working. The Linux client could ping up the </w:t>
      </w:r>
      <w:r w:rsidR="5DBF81BA" w:rsidRPr="10F3D077">
        <w:rPr>
          <w:rFonts w:ascii="Calibri" w:eastAsia="Calibri" w:hAnsi="Calibri" w:cs="Calibri"/>
        </w:rPr>
        <w:t>gateway,</w:t>
      </w:r>
      <w:r w:rsidRPr="10F3D077">
        <w:rPr>
          <w:rFonts w:ascii="Calibri" w:eastAsia="Calibri" w:hAnsi="Calibri" w:cs="Calibri"/>
        </w:rPr>
        <w:t xml:space="preserve"> and the Windows server could also communicate with other network devices. Troubleshooting and correcting the network settings therefore ensured that the network was working properly. These activities further enhanced my knowledge and skills in IP address configuration and subnetting as well as network testing. The above activity provided me with the opportunity to gain practical experience in the implementation and testing of a mixed-OS network that consists of Windows and Linux operating systems. The activity enhanced my knowledge and skills in network configuration, where I understood the importance of properly configuring the IP address and subnet mask. Furthermore, I acquired practical skills in troubleshooting network connection problems and systematically solving them.</w:t>
      </w:r>
    </w:p>
    <w:p w14:paraId="03D3B7BD" w14:textId="26B367E8" w:rsidR="003B3966" w:rsidRDefault="003B3966" w:rsidP="10F3D077">
      <w:pPr>
        <w:rPr>
          <w:rFonts w:ascii="Calibri" w:eastAsia="Calibri" w:hAnsi="Calibri" w:cs="Calibri"/>
        </w:rPr>
      </w:pPr>
    </w:p>
    <w:sdt>
      <w:sdtPr>
        <w:id w:val="-30646281"/>
        <w:docPartObj>
          <w:docPartGallery w:val="Bibliographies"/>
          <w:docPartUnique/>
        </w:docPartObj>
      </w:sdtPr>
      <w:sdtEndPr>
        <w:rPr>
          <w:rFonts w:asciiTheme="minorHAnsi" w:eastAsiaTheme="minorEastAsia" w:hAnsiTheme="minorHAnsi" w:cstheme="minorBidi"/>
          <w:color w:val="auto"/>
          <w:sz w:val="24"/>
          <w:szCs w:val="24"/>
          <w:lang w:eastAsia="ja-JP"/>
        </w:rPr>
      </w:sdtEndPr>
      <w:sdtContent>
        <w:p w14:paraId="39713630" w14:textId="4C128F79" w:rsidR="003B3966" w:rsidRDefault="003B3966">
          <w:pPr>
            <w:pStyle w:val="Heading1"/>
          </w:pPr>
          <w:r>
            <w:t>References</w:t>
          </w:r>
        </w:p>
        <w:sdt>
          <w:sdtPr>
            <w:id w:val="-573587230"/>
            <w:bibliography/>
          </w:sdtPr>
          <w:sdtContent>
            <w:p w14:paraId="59F2B5A3" w14:textId="77777777" w:rsidR="003B3966" w:rsidRDefault="003B396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018"/>
              </w:tblGrid>
              <w:tr w:rsidR="003B3966" w14:paraId="1B742221" w14:textId="77777777">
                <w:trPr>
                  <w:divId w:val="877282162"/>
                  <w:tblCellSpacing w:w="15" w:type="dxa"/>
                </w:trPr>
                <w:tc>
                  <w:tcPr>
                    <w:tcW w:w="50" w:type="pct"/>
                    <w:hideMark/>
                  </w:tcPr>
                  <w:p w14:paraId="02AE81B7" w14:textId="6379FD2E" w:rsidR="003B3966" w:rsidRDefault="003B3966">
                    <w:pPr>
                      <w:pStyle w:val="Bibliography"/>
                      <w:rPr>
                        <w:noProof/>
                      </w:rPr>
                    </w:pPr>
                    <w:r>
                      <w:rPr>
                        <w:noProof/>
                      </w:rPr>
                      <w:t xml:space="preserve">[1] </w:t>
                    </w:r>
                  </w:p>
                </w:tc>
                <w:tc>
                  <w:tcPr>
                    <w:tcW w:w="0" w:type="auto"/>
                    <w:hideMark/>
                  </w:tcPr>
                  <w:p w14:paraId="7BB2F529" w14:textId="77777777" w:rsidR="003B3966" w:rsidRDefault="003B3966">
                    <w:pPr>
                      <w:pStyle w:val="Bibliography"/>
                      <w:rPr>
                        <w:noProof/>
                      </w:rPr>
                    </w:pPr>
                    <w:r>
                      <w:rPr>
                        <w:noProof/>
                      </w:rPr>
                      <w:t xml:space="preserve">B. D. K. F. P. Barham, "Xen and the Art of Virtualization,” in Proc. 19th ACM Symp. Operating Systems Principles (SOSP)," pp. 164-177, 2003. </w:t>
                    </w:r>
                  </w:p>
                </w:tc>
              </w:tr>
              <w:tr w:rsidR="003B3966" w14:paraId="2DBB4DAB" w14:textId="77777777">
                <w:trPr>
                  <w:divId w:val="877282162"/>
                  <w:tblCellSpacing w:w="15" w:type="dxa"/>
                </w:trPr>
                <w:tc>
                  <w:tcPr>
                    <w:tcW w:w="50" w:type="pct"/>
                    <w:hideMark/>
                  </w:tcPr>
                  <w:p w14:paraId="514E1CAF" w14:textId="77777777" w:rsidR="003B3966" w:rsidRDefault="003B3966">
                    <w:pPr>
                      <w:pStyle w:val="Bibliography"/>
                      <w:rPr>
                        <w:noProof/>
                      </w:rPr>
                    </w:pPr>
                    <w:r>
                      <w:rPr>
                        <w:noProof/>
                      </w:rPr>
                      <w:t xml:space="preserve">[2] </w:t>
                    </w:r>
                  </w:p>
                </w:tc>
                <w:tc>
                  <w:tcPr>
                    <w:tcW w:w="0" w:type="auto"/>
                    <w:hideMark/>
                  </w:tcPr>
                  <w:p w14:paraId="3CAF5777" w14:textId="77777777" w:rsidR="003B3966" w:rsidRDefault="003B3966">
                    <w:pPr>
                      <w:pStyle w:val="Bibliography"/>
                      <w:rPr>
                        <w:noProof/>
                      </w:rPr>
                    </w:pPr>
                    <w:r>
                      <w:rPr>
                        <w:noProof/>
                      </w:rPr>
                      <w:t xml:space="preserve">L. A. a. M. M. R. Nelson, "Virtual Machine Performance and Scalability in KVM," vol. 8, pp. 406-419, 2022. </w:t>
                    </w:r>
                  </w:p>
                </w:tc>
              </w:tr>
              <w:tr w:rsidR="003B3966" w14:paraId="0FD8C7B0" w14:textId="77777777">
                <w:trPr>
                  <w:divId w:val="877282162"/>
                  <w:tblCellSpacing w:w="15" w:type="dxa"/>
                </w:trPr>
                <w:tc>
                  <w:tcPr>
                    <w:tcW w:w="50" w:type="pct"/>
                    <w:hideMark/>
                  </w:tcPr>
                  <w:p w14:paraId="059F6002" w14:textId="77777777" w:rsidR="003B3966" w:rsidRDefault="003B3966">
                    <w:pPr>
                      <w:pStyle w:val="Bibliography"/>
                      <w:rPr>
                        <w:noProof/>
                      </w:rPr>
                    </w:pPr>
                    <w:r>
                      <w:rPr>
                        <w:noProof/>
                      </w:rPr>
                      <w:t xml:space="preserve">[3] </w:t>
                    </w:r>
                  </w:p>
                </w:tc>
                <w:tc>
                  <w:tcPr>
                    <w:tcW w:w="0" w:type="auto"/>
                    <w:hideMark/>
                  </w:tcPr>
                  <w:p w14:paraId="4E32D9C2" w14:textId="77777777" w:rsidR="003B3966" w:rsidRDefault="003B3966">
                    <w:pPr>
                      <w:pStyle w:val="Bibliography"/>
                      <w:rPr>
                        <w:noProof/>
                      </w:rPr>
                    </w:pPr>
                    <w:r>
                      <w:rPr>
                        <w:noProof/>
                      </w:rPr>
                      <w:t>S. Deering and R. Hinden, "Internet Protocol, Version 6 (IPv6) Specification," July 2017.</w:t>
                    </w:r>
                  </w:p>
                </w:tc>
              </w:tr>
              <w:tr w:rsidR="003B3966" w14:paraId="3689EB6B" w14:textId="77777777">
                <w:trPr>
                  <w:divId w:val="877282162"/>
                  <w:tblCellSpacing w:w="15" w:type="dxa"/>
                </w:trPr>
                <w:tc>
                  <w:tcPr>
                    <w:tcW w:w="50" w:type="pct"/>
                    <w:hideMark/>
                  </w:tcPr>
                  <w:p w14:paraId="0A71671C" w14:textId="77777777" w:rsidR="003B3966" w:rsidRDefault="003B3966">
                    <w:pPr>
                      <w:pStyle w:val="Bibliography"/>
                      <w:rPr>
                        <w:noProof/>
                      </w:rPr>
                    </w:pPr>
                    <w:r>
                      <w:rPr>
                        <w:noProof/>
                      </w:rPr>
                      <w:t xml:space="preserve">[4] </w:t>
                    </w:r>
                  </w:p>
                </w:tc>
                <w:tc>
                  <w:tcPr>
                    <w:tcW w:w="0" w:type="auto"/>
                    <w:hideMark/>
                  </w:tcPr>
                  <w:p w14:paraId="3B8D4B2E" w14:textId="77777777" w:rsidR="003B3966" w:rsidRDefault="003B3966">
                    <w:pPr>
                      <w:pStyle w:val="Bibliography"/>
                      <w:rPr>
                        <w:noProof/>
                      </w:rPr>
                    </w:pPr>
                    <w:r>
                      <w:rPr>
                        <w:noProof/>
                      </w:rPr>
                      <w:t>S. Murphy, "OSPF Version 2," Apr.1998.</w:t>
                    </w:r>
                  </w:p>
                </w:tc>
              </w:tr>
              <w:tr w:rsidR="003B3966" w14:paraId="2E088649" w14:textId="77777777">
                <w:trPr>
                  <w:divId w:val="877282162"/>
                  <w:tblCellSpacing w:w="15" w:type="dxa"/>
                </w:trPr>
                <w:tc>
                  <w:tcPr>
                    <w:tcW w:w="50" w:type="pct"/>
                    <w:hideMark/>
                  </w:tcPr>
                  <w:p w14:paraId="64193B31" w14:textId="77777777" w:rsidR="003B3966" w:rsidRDefault="003B3966">
                    <w:pPr>
                      <w:pStyle w:val="Bibliography"/>
                      <w:rPr>
                        <w:noProof/>
                      </w:rPr>
                    </w:pPr>
                    <w:r>
                      <w:rPr>
                        <w:noProof/>
                      </w:rPr>
                      <w:t xml:space="preserve">[5] </w:t>
                    </w:r>
                  </w:p>
                </w:tc>
                <w:tc>
                  <w:tcPr>
                    <w:tcW w:w="0" w:type="auto"/>
                    <w:hideMark/>
                  </w:tcPr>
                  <w:p w14:paraId="3700A00B" w14:textId="77777777" w:rsidR="003B3966" w:rsidRDefault="003B3966">
                    <w:pPr>
                      <w:pStyle w:val="Bibliography"/>
                      <w:rPr>
                        <w:noProof/>
                      </w:rPr>
                    </w:pPr>
                    <w:r>
                      <w:rPr>
                        <w:noProof/>
                      </w:rPr>
                      <w:t xml:space="preserve">P. Savola, "DHCP and IP Address Management," vol. 16, pp. 76-80, May-June 2012. </w:t>
                    </w:r>
                  </w:p>
                </w:tc>
              </w:tr>
            </w:tbl>
            <w:p w14:paraId="18147284" w14:textId="77777777" w:rsidR="003B3966" w:rsidRDefault="003B3966">
              <w:pPr>
                <w:divId w:val="877282162"/>
                <w:rPr>
                  <w:rFonts w:eastAsia="Times New Roman"/>
                  <w:noProof/>
                </w:rPr>
              </w:pPr>
            </w:p>
            <w:p w14:paraId="4738A169" w14:textId="59F5F706" w:rsidR="003B3966" w:rsidRDefault="003B3966">
              <w:r>
                <w:rPr>
                  <w:b/>
                  <w:bCs/>
                  <w:noProof/>
                </w:rPr>
                <w:fldChar w:fldCharType="end"/>
              </w:r>
            </w:p>
          </w:sdtContent>
        </w:sdt>
      </w:sdtContent>
    </w:sdt>
    <w:p w14:paraId="4BA5F9E9" w14:textId="77777777" w:rsidR="003B3966" w:rsidRDefault="003B3966" w:rsidP="10F3D077">
      <w:pPr>
        <w:rPr>
          <w:rFonts w:ascii="Calibri" w:eastAsia="Calibri" w:hAnsi="Calibri" w:cs="Calibri"/>
        </w:rPr>
      </w:pPr>
      <w:bookmarkStart w:id="0" w:name="_GoBack"/>
      <w:bookmarkEnd w:id="0"/>
    </w:p>
    <w:p w14:paraId="05E3B839" w14:textId="7BCD842E" w:rsidR="79A2EA24" w:rsidRDefault="79A2EA24" w:rsidP="10F3D077">
      <w:r w:rsidRPr="10F3D077">
        <w:rPr>
          <w:rFonts w:ascii="Calibri" w:eastAsia="Calibri" w:hAnsi="Calibri" w:cs="Calibri"/>
          <w:sz w:val="32"/>
          <w:szCs w:val="32"/>
        </w:rPr>
        <w:t xml:space="preserve"> </w:t>
      </w:r>
    </w:p>
    <w:p w14:paraId="08AF25E4" w14:textId="3F4D4536" w:rsidR="79A2EA24" w:rsidRDefault="79A2EA24" w:rsidP="10F3D077">
      <w:r w:rsidRPr="10F3D077">
        <w:rPr>
          <w:rFonts w:ascii="Calibri" w:eastAsia="Calibri" w:hAnsi="Calibri" w:cs="Calibri"/>
          <w:sz w:val="32"/>
          <w:szCs w:val="32"/>
        </w:rPr>
        <w:t xml:space="preserve"> </w:t>
      </w:r>
    </w:p>
    <w:p w14:paraId="78A7DC6E" w14:textId="08A0ED33" w:rsidR="10F3D077" w:rsidRDefault="10F3D077" w:rsidP="10F3D077">
      <w:pPr>
        <w:rPr>
          <w:rFonts w:ascii="Calibri" w:eastAsia="Calibri" w:hAnsi="Calibri" w:cs="Calibri"/>
          <w:sz w:val="32"/>
          <w:szCs w:val="32"/>
        </w:rPr>
      </w:pPr>
    </w:p>
    <w:p w14:paraId="41F714B1" w14:textId="62574599" w:rsidR="10F3D077" w:rsidRDefault="10F3D077" w:rsidP="10F3D077">
      <w:pPr>
        <w:rPr>
          <w:rFonts w:ascii="Calibri" w:eastAsia="Calibri" w:hAnsi="Calibri" w:cs="Calibri"/>
          <w:sz w:val="32"/>
          <w:szCs w:val="32"/>
        </w:rPr>
      </w:pPr>
    </w:p>
    <w:p w14:paraId="30BEEF9C" w14:textId="0F529666" w:rsidR="10F3D077" w:rsidRDefault="10F3D077" w:rsidP="10F3D077">
      <w:pPr>
        <w:rPr>
          <w:rFonts w:ascii="Calibri" w:eastAsia="Calibri" w:hAnsi="Calibri" w:cs="Calibri"/>
          <w:b/>
          <w:bCs/>
          <w:sz w:val="32"/>
          <w:szCs w:val="32"/>
          <w:u w:val="single"/>
        </w:rPr>
      </w:pPr>
    </w:p>
    <w:p w14:paraId="6DB29274" w14:textId="4B659129" w:rsidR="10F3D077" w:rsidRDefault="10F3D077" w:rsidP="10F3D077">
      <w:pPr>
        <w:rPr>
          <w:rFonts w:ascii="Calibri" w:eastAsia="Calibri" w:hAnsi="Calibri" w:cs="Calibri"/>
          <w:b/>
          <w:bCs/>
          <w:sz w:val="32"/>
          <w:szCs w:val="32"/>
          <w:u w:val="single"/>
        </w:rPr>
      </w:pPr>
    </w:p>
    <w:sectPr w:rsidR="10F3D0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altName w:val="Arial"/>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2A616D"/>
    <w:rsid w:val="003B3966"/>
    <w:rsid w:val="007B7802"/>
    <w:rsid w:val="03C95A6D"/>
    <w:rsid w:val="0F8F60F6"/>
    <w:rsid w:val="10F3D077"/>
    <w:rsid w:val="1324AB1B"/>
    <w:rsid w:val="142F5BB4"/>
    <w:rsid w:val="1DB8F807"/>
    <w:rsid w:val="1EE2A4D6"/>
    <w:rsid w:val="21568BCE"/>
    <w:rsid w:val="215911FB"/>
    <w:rsid w:val="244E132A"/>
    <w:rsid w:val="246B0111"/>
    <w:rsid w:val="24BD9BED"/>
    <w:rsid w:val="267CD637"/>
    <w:rsid w:val="29C3C5F4"/>
    <w:rsid w:val="2ADB5749"/>
    <w:rsid w:val="2EE0F7DE"/>
    <w:rsid w:val="31A9780D"/>
    <w:rsid w:val="3378F992"/>
    <w:rsid w:val="35C9C026"/>
    <w:rsid w:val="3B095F07"/>
    <w:rsid w:val="3E8E8F8D"/>
    <w:rsid w:val="4028187C"/>
    <w:rsid w:val="40B5BBEF"/>
    <w:rsid w:val="415E2241"/>
    <w:rsid w:val="44391612"/>
    <w:rsid w:val="4511FCBF"/>
    <w:rsid w:val="4676FC82"/>
    <w:rsid w:val="47113C8E"/>
    <w:rsid w:val="47CDB0F7"/>
    <w:rsid w:val="4918DB13"/>
    <w:rsid w:val="4B8794DC"/>
    <w:rsid w:val="4C776172"/>
    <w:rsid w:val="4ED1D335"/>
    <w:rsid w:val="50AAA619"/>
    <w:rsid w:val="51DB1E6A"/>
    <w:rsid w:val="522445DA"/>
    <w:rsid w:val="5409D492"/>
    <w:rsid w:val="5705225D"/>
    <w:rsid w:val="582A616D"/>
    <w:rsid w:val="5DBF81BA"/>
    <w:rsid w:val="5EC0906A"/>
    <w:rsid w:val="5EEA887F"/>
    <w:rsid w:val="5F6051E9"/>
    <w:rsid w:val="5F710C5D"/>
    <w:rsid w:val="622FB0D1"/>
    <w:rsid w:val="661C51F5"/>
    <w:rsid w:val="6AA229D9"/>
    <w:rsid w:val="6AB17084"/>
    <w:rsid w:val="71345C72"/>
    <w:rsid w:val="7302F090"/>
    <w:rsid w:val="73649330"/>
    <w:rsid w:val="74DCE2B7"/>
    <w:rsid w:val="775C81B1"/>
    <w:rsid w:val="77D12BB8"/>
    <w:rsid w:val="7920DF31"/>
    <w:rsid w:val="79A2EA24"/>
    <w:rsid w:val="79AFADAE"/>
    <w:rsid w:val="7AB5F680"/>
    <w:rsid w:val="7B665797"/>
    <w:rsid w:val="7C0CD681"/>
    <w:rsid w:val="7D27C534"/>
    <w:rsid w:val="7FBD68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51E2E"/>
  <w15:chartTrackingRefBased/>
  <w15:docId w15:val="{97FDDA27-80D4-46B5-BF58-91A6D60B0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B3966"/>
    <w:pPr>
      <w:keepNext/>
      <w:keepLines/>
      <w:spacing w:before="240" w:after="0" w:line="259" w:lineRule="auto"/>
      <w:outlineLvl w:val="0"/>
    </w:pPr>
    <w:rPr>
      <w:rFonts w:asciiTheme="majorHAnsi" w:eastAsiaTheme="majorEastAsia" w:hAnsiTheme="majorHAnsi" w:cstheme="majorBidi"/>
      <w:color w:val="0F4761"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966"/>
    <w:rPr>
      <w:rFonts w:asciiTheme="majorHAnsi" w:eastAsiaTheme="majorEastAsia" w:hAnsiTheme="majorHAnsi" w:cstheme="majorBidi"/>
      <w:color w:val="0F4761" w:themeColor="accent1" w:themeShade="BF"/>
      <w:sz w:val="32"/>
      <w:szCs w:val="32"/>
      <w:lang w:eastAsia="en-US"/>
    </w:rPr>
  </w:style>
  <w:style w:type="paragraph" w:styleId="Bibliography">
    <w:name w:val="Bibliography"/>
    <w:basedOn w:val="Normal"/>
    <w:next w:val="Normal"/>
    <w:uiPriority w:val="37"/>
    <w:unhideWhenUsed/>
    <w:rsid w:val="003B3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085005">
      <w:bodyDiv w:val="1"/>
      <w:marLeft w:val="0"/>
      <w:marRight w:val="0"/>
      <w:marTop w:val="0"/>
      <w:marBottom w:val="0"/>
      <w:divBdr>
        <w:top w:val="none" w:sz="0" w:space="0" w:color="auto"/>
        <w:left w:val="none" w:sz="0" w:space="0" w:color="auto"/>
        <w:bottom w:val="none" w:sz="0" w:space="0" w:color="auto"/>
        <w:right w:val="none" w:sz="0" w:space="0" w:color="auto"/>
      </w:divBdr>
    </w:div>
    <w:div w:id="228417629">
      <w:bodyDiv w:val="1"/>
      <w:marLeft w:val="0"/>
      <w:marRight w:val="0"/>
      <w:marTop w:val="0"/>
      <w:marBottom w:val="0"/>
      <w:divBdr>
        <w:top w:val="none" w:sz="0" w:space="0" w:color="auto"/>
        <w:left w:val="none" w:sz="0" w:space="0" w:color="auto"/>
        <w:bottom w:val="none" w:sz="0" w:space="0" w:color="auto"/>
        <w:right w:val="none" w:sz="0" w:space="0" w:color="auto"/>
      </w:divBdr>
    </w:div>
    <w:div w:id="268439848">
      <w:bodyDiv w:val="1"/>
      <w:marLeft w:val="0"/>
      <w:marRight w:val="0"/>
      <w:marTop w:val="0"/>
      <w:marBottom w:val="0"/>
      <w:divBdr>
        <w:top w:val="none" w:sz="0" w:space="0" w:color="auto"/>
        <w:left w:val="none" w:sz="0" w:space="0" w:color="auto"/>
        <w:bottom w:val="none" w:sz="0" w:space="0" w:color="auto"/>
        <w:right w:val="none" w:sz="0" w:space="0" w:color="auto"/>
      </w:divBdr>
    </w:div>
    <w:div w:id="877282162">
      <w:bodyDiv w:val="1"/>
      <w:marLeft w:val="0"/>
      <w:marRight w:val="0"/>
      <w:marTop w:val="0"/>
      <w:marBottom w:val="0"/>
      <w:divBdr>
        <w:top w:val="none" w:sz="0" w:space="0" w:color="auto"/>
        <w:left w:val="none" w:sz="0" w:space="0" w:color="auto"/>
        <w:bottom w:val="none" w:sz="0" w:space="0" w:color="auto"/>
        <w:right w:val="none" w:sz="0" w:space="0" w:color="auto"/>
      </w:divBdr>
    </w:div>
    <w:div w:id="1141195386">
      <w:bodyDiv w:val="1"/>
      <w:marLeft w:val="0"/>
      <w:marRight w:val="0"/>
      <w:marTop w:val="0"/>
      <w:marBottom w:val="0"/>
      <w:divBdr>
        <w:top w:val="none" w:sz="0" w:space="0" w:color="auto"/>
        <w:left w:val="none" w:sz="0" w:space="0" w:color="auto"/>
        <w:bottom w:val="none" w:sz="0" w:space="0" w:color="auto"/>
        <w:right w:val="none" w:sz="0" w:space="0" w:color="auto"/>
      </w:divBdr>
    </w:div>
    <w:div w:id="1201741602">
      <w:bodyDiv w:val="1"/>
      <w:marLeft w:val="0"/>
      <w:marRight w:val="0"/>
      <w:marTop w:val="0"/>
      <w:marBottom w:val="0"/>
      <w:divBdr>
        <w:top w:val="none" w:sz="0" w:space="0" w:color="auto"/>
        <w:left w:val="none" w:sz="0" w:space="0" w:color="auto"/>
        <w:bottom w:val="none" w:sz="0" w:space="0" w:color="auto"/>
        <w:right w:val="none" w:sz="0" w:space="0" w:color="auto"/>
      </w:divBdr>
    </w:div>
    <w:div w:id="1456018731">
      <w:bodyDiv w:val="1"/>
      <w:marLeft w:val="0"/>
      <w:marRight w:val="0"/>
      <w:marTop w:val="0"/>
      <w:marBottom w:val="0"/>
      <w:divBdr>
        <w:top w:val="none" w:sz="0" w:space="0" w:color="auto"/>
        <w:left w:val="none" w:sz="0" w:space="0" w:color="auto"/>
        <w:bottom w:val="none" w:sz="0" w:space="0" w:color="auto"/>
        <w:right w:val="none" w:sz="0" w:space="0" w:color="auto"/>
      </w:divBdr>
    </w:div>
    <w:div w:id="1601450442">
      <w:bodyDiv w:val="1"/>
      <w:marLeft w:val="0"/>
      <w:marRight w:val="0"/>
      <w:marTop w:val="0"/>
      <w:marBottom w:val="0"/>
      <w:divBdr>
        <w:top w:val="none" w:sz="0" w:space="0" w:color="auto"/>
        <w:left w:val="none" w:sz="0" w:space="0" w:color="auto"/>
        <w:bottom w:val="none" w:sz="0" w:space="0" w:color="auto"/>
        <w:right w:val="none" w:sz="0" w:space="0" w:color="auto"/>
      </w:divBdr>
    </w:div>
    <w:div w:id="1724870444">
      <w:bodyDiv w:val="1"/>
      <w:marLeft w:val="0"/>
      <w:marRight w:val="0"/>
      <w:marTop w:val="0"/>
      <w:marBottom w:val="0"/>
      <w:divBdr>
        <w:top w:val="none" w:sz="0" w:space="0" w:color="auto"/>
        <w:left w:val="none" w:sz="0" w:space="0" w:color="auto"/>
        <w:bottom w:val="none" w:sz="0" w:space="0" w:color="auto"/>
        <w:right w:val="none" w:sz="0" w:space="0" w:color="auto"/>
      </w:divBdr>
    </w:div>
    <w:div w:id="2009751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MJK17</b:Tag>
    <b:SourceType>JournalArticle</b:SourceType>
    <b:Guid>{9A454119-F2DF-4F9E-9152-149A1037ECB5}</b:Guid>
    <b:Author>
      <b:Author>
        <b:NameList>
          <b:Person>
            <b:Last>P. Barham</b:Last>
            <b:First>B.</b:First>
            <b:Middle>Dragovic, K. Fraser</b:Middle>
          </b:Person>
        </b:NameList>
      </b:Author>
    </b:Author>
    <b:Title>Xen and the Art of Virtualization,” in Proc. 19th ACM Symp. Operating Systems Principles (SOSP)</b:Title>
    <b:Year>2003</b:Year>
    <b:Pages>164-177</b:Pages>
    <b:RefOrder>1</b:RefOrder>
  </b:Source>
  <b:Source>
    <b:Tag>RNe22</b:Tag>
    <b:SourceType>JournalArticle</b:SourceType>
    <b:Guid>{80B9AB80-F307-4277-98D0-A743C621F11B}</b:Guid>
    <b:Author>
      <b:Author>
        <b:NameList>
          <b:Person>
            <b:Last>R. Nelson</b:Last>
            <b:First>L.</b:First>
            <b:Middle>Anderson, and M. McCarthy</b:Middle>
          </b:Person>
        </b:NameList>
      </b:Author>
    </b:Author>
    <b:Title>Virtual Machine Performance and Scalability in KVM</b:Title>
    <b:Year>2022</b:Year>
    <b:Pages>406-419</b:Pages>
    <b:Volume>8</b:Volume>
    <b:RefOrder>2</b:RefOrder>
  </b:Source>
  <b:Source>
    <b:Tag>SDe17</b:Tag>
    <b:SourceType>Report</b:SourceType>
    <b:Guid>{BE5DFB61-F7B8-4D21-94B2-E8D773C6EFBA}</b:Guid>
    <b:Title>Internet Protocol, Version 6 (IPv6) Specification</b:Title>
    <b:Year>July 2017</b:Year>
    <b:Author>
      <b:Author>
        <b:NameList>
          <b:Person>
            <b:Last>S. Deering and R. Hinden</b:Last>
          </b:Person>
        </b:NameList>
      </b:Author>
    </b:Author>
    <b:RefOrder>3</b:RefOrder>
  </b:Source>
  <b:Source>
    <b:Tag>SMu98</b:Tag>
    <b:SourceType>Report</b:SourceType>
    <b:Guid>{9D28BBEA-E8B2-45A6-8714-7DF3BAE5AF28}</b:Guid>
    <b:Author>
      <b:Author>
        <b:NameList>
          <b:Person>
            <b:Last>Murphy</b:Last>
            <b:First>S.</b:First>
          </b:Person>
        </b:NameList>
      </b:Author>
    </b:Author>
    <b:Title>OSPF Version 2</b:Title>
    <b:Year>Apr.1998</b:Year>
    <b:RefOrder>4</b:RefOrder>
  </b:Source>
  <b:Source>
    <b:Tag>Sav12</b:Tag>
    <b:SourceType>JournalArticle</b:SourceType>
    <b:Guid>{9E935A20-B344-4AC6-8BC0-7B1A46A519F7}</b:Guid>
    <b:Author>
      <b:Author>
        <b:NameList>
          <b:Person>
            <b:Last>Savola</b:Last>
            <b:First>P.</b:First>
          </b:Person>
        </b:NameList>
      </b:Author>
    </b:Author>
    <b:Title>DHCP and IP Address Management</b:Title>
    <b:Year>May-June 2012</b:Year>
    <b:Pages>76-80</b:Pages>
    <b:Volume>16</b:Volume>
    <b:RefOrder>5</b:RefOrder>
  </b:Source>
</b:Sources>
</file>

<file path=customXml/itemProps1.xml><?xml version="1.0" encoding="utf-8"?>
<ds:datastoreItem xmlns:ds="http://schemas.openxmlformats.org/officeDocument/2006/customXml" ds:itemID="{15B8BAC6-0DE9-4C8C-B9B4-AD8F04998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1326</Words>
  <Characters>7560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Miles (2404521)</dc:creator>
  <cp:keywords/>
  <dc:description/>
  <cp:lastModifiedBy>Aaron Miles (2404521)</cp:lastModifiedBy>
  <cp:revision>2</cp:revision>
  <dcterms:created xsi:type="dcterms:W3CDTF">2026-02-12T12:18:00Z</dcterms:created>
  <dcterms:modified xsi:type="dcterms:W3CDTF">2026-03-03T11:37:00Z</dcterms:modified>
</cp:coreProperties>
</file>