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5F23660"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77797">
              <w:rPr>
                <w:b/>
                <w:color w:val="auto"/>
                <w:sz w:val="32"/>
              </w:rPr>
              <w:t xml:space="preserve">Victoria Allen </w:t>
            </w:r>
          </w:p>
          <w:p w14:paraId="081CCC8E" w14:textId="77777777" w:rsidR="00077797" w:rsidRDefault="00077797" w:rsidP="00340E9A">
            <w:pPr>
              <w:overflowPunct/>
              <w:autoSpaceDE/>
              <w:autoSpaceDN/>
              <w:adjustRightInd/>
              <w:ind w:right="237"/>
              <w:textAlignment w:val="auto"/>
              <w:rPr>
                <w:b/>
                <w:color w:val="auto"/>
                <w:sz w:val="32"/>
              </w:rPr>
            </w:pPr>
          </w:p>
          <w:p w14:paraId="4A4B1989" w14:textId="60B1896E"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77797">
              <w:rPr>
                <w:b/>
                <w:color w:val="auto"/>
                <w:sz w:val="32"/>
              </w:rPr>
              <w:t xml:space="preserve"> 2016622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1B81BA7F" w:rsidR="00A3273B" w:rsidRDefault="00A3273B" w:rsidP="00340E9A">
      <w:pPr>
        <w:overflowPunct/>
        <w:autoSpaceDE/>
        <w:autoSpaceDN/>
        <w:adjustRightInd/>
        <w:ind w:right="237"/>
        <w:textAlignment w:val="auto"/>
        <w:rPr>
          <w:b/>
          <w:color w:val="auto"/>
          <w:sz w:val="36"/>
        </w:rPr>
      </w:pPr>
    </w:p>
    <w:p w14:paraId="5ADC6690" w14:textId="77777777" w:rsidR="00077797" w:rsidRDefault="00077797"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7D2881"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843F70F" w14:textId="77777777" w:rsidR="00077797" w:rsidRDefault="00077797" w:rsidP="00077797">
      <w:r w:rsidRPr="00E33218">
        <w:t xml:space="preserve">In this essay I am going to </w:t>
      </w:r>
      <w:r>
        <w:t>outline</w:t>
      </w:r>
      <w:r w:rsidRPr="00E33218">
        <w:t xml:space="preserve"> </w:t>
      </w:r>
      <w:r>
        <w:t xml:space="preserve">the meaning of </w:t>
      </w:r>
      <w:r w:rsidRPr="00E33218">
        <w:t>organisational justice</w:t>
      </w:r>
      <w:r>
        <w:t>, how it impacts how I conduct myself as a police officer</w:t>
      </w:r>
      <w:r w:rsidRPr="00E33218">
        <w:t xml:space="preserve"> </w:t>
      </w:r>
      <w:r>
        <w:t>and detail</w:t>
      </w:r>
      <w:r w:rsidRPr="00E33218">
        <w:t xml:space="preserve"> the benefits and disadvantages</w:t>
      </w:r>
      <w:r>
        <w:t xml:space="preserve"> it can have on police culture and public perceptions. </w:t>
      </w:r>
      <w:r w:rsidRPr="00E33218">
        <w:t xml:space="preserve">I will highlight how the Code of Ethics </w:t>
      </w:r>
      <w:r>
        <w:t xml:space="preserve">supports ethical policing and what steps South Wales Police are taking to continue to raise ethical standards. </w:t>
      </w:r>
    </w:p>
    <w:p w14:paraId="0269BA24" w14:textId="77777777" w:rsidR="00077797" w:rsidRDefault="00077797" w:rsidP="00077797"/>
    <w:p w14:paraId="2D16B9B1" w14:textId="77777777" w:rsidR="00077797" w:rsidRDefault="00077797" w:rsidP="00077797">
      <w:r>
        <w:t xml:space="preserve">In 1987, Senior Psychologist Jerald Greenberg introduced the concept of organisational justice. </w:t>
      </w:r>
      <w:r w:rsidRPr="00875DF7">
        <w:t>The term ‘organisational justice’ refers to an employee’s perception of their organisation’s</w:t>
      </w:r>
      <w:r>
        <w:t xml:space="preserve"> </w:t>
      </w:r>
      <w:r w:rsidRPr="00875DF7">
        <w:t xml:space="preserve">procedures, decisions </w:t>
      </w:r>
      <w:r>
        <w:t xml:space="preserve">and </w:t>
      </w:r>
      <w:r w:rsidRPr="00875DF7">
        <w:t>interactions</w:t>
      </w:r>
      <w:r>
        <w:t xml:space="preserve">. </w:t>
      </w:r>
      <w:r w:rsidRPr="00875DF7">
        <w:t xml:space="preserve">These perceptions </w:t>
      </w:r>
      <w:r>
        <w:t>c</w:t>
      </w:r>
      <w:r w:rsidRPr="006C5E17">
        <w:t xml:space="preserve">onsist of </w:t>
      </w:r>
      <w:r>
        <w:t xml:space="preserve">three </w:t>
      </w:r>
      <w:r w:rsidRPr="006C5E17">
        <w:t>key elements</w:t>
      </w:r>
      <w:r>
        <w:t xml:space="preserve"> - distributive, procedural, and interactional; </w:t>
      </w:r>
      <w:r w:rsidRPr="00591BC2">
        <w:t xml:space="preserve">each </w:t>
      </w:r>
      <w:r>
        <w:t xml:space="preserve">can </w:t>
      </w:r>
      <w:r w:rsidRPr="00591BC2">
        <w:t>have direct and indirect</w:t>
      </w:r>
      <w:r>
        <w:t xml:space="preserve"> negative or positive </w:t>
      </w:r>
      <w:r w:rsidRPr="00875DF7">
        <w:t>influence</w:t>
      </w:r>
      <w:r>
        <w:t xml:space="preserve"> on</w:t>
      </w:r>
      <w:r w:rsidRPr="00875DF7">
        <w:t xml:space="preserve"> employee attitude</w:t>
      </w:r>
      <w:r>
        <w:t>s</w:t>
      </w:r>
      <w:r w:rsidRPr="00875DF7">
        <w:t xml:space="preserve"> and </w:t>
      </w:r>
      <w:r>
        <w:t xml:space="preserve">behaviours towards the organisation. </w:t>
      </w:r>
    </w:p>
    <w:p w14:paraId="5BDE8123" w14:textId="77777777" w:rsidR="00077797" w:rsidRDefault="00077797" w:rsidP="00077797">
      <w:pPr>
        <w:ind w:left="720"/>
      </w:pPr>
      <w:r w:rsidRPr="00765DF2">
        <w:t xml:space="preserve">The idea of distributive justice is concerned with the perceived fairness of </w:t>
      </w:r>
      <w:r>
        <w:t>outcomes</w:t>
      </w:r>
      <w:r w:rsidRPr="00765DF2">
        <w:t xml:space="preserve"> and, as a result, has ramifications in the organisational setting. Employees who believe </w:t>
      </w:r>
      <w:r>
        <w:t xml:space="preserve">that workload, resources, salary and promotion choices are rewarded fairly when comparing their skillset, performance or experience to their peers, have been shown to increase both the quantity and quality of their work performance </w:t>
      </w:r>
      <w:sdt>
        <w:sdtPr>
          <w:id w:val="1560436089"/>
          <w:citation/>
        </w:sdtPr>
        <w:sdtContent>
          <w:r>
            <w:fldChar w:fldCharType="begin"/>
          </w:r>
          <w:r>
            <w:instrText xml:space="preserve"> CITATION Coh01 \l 2057 </w:instrText>
          </w:r>
          <w:r>
            <w:fldChar w:fldCharType="separate"/>
          </w:r>
          <w:r w:rsidRPr="00524D6B">
            <w:rPr>
              <w:noProof/>
            </w:rPr>
            <w:t>(Cohen-Charash &amp; Spector, 2001)</w:t>
          </w:r>
          <w:r>
            <w:fldChar w:fldCharType="end"/>
          </w:r>
        </w:sdtContent>
      </w:sdt>
      <w:r>
        <w:t>.</w:t>
      </w:r>
    </w:p>
    <w:p w14:paraId="020CF149" w14:textId="77777777" w:rsidR="00077797" w:rsidRDefault="00077797" w:rsidP="00077797">
      <w:r>
        <w:t xml:space="preserve">Procedural justice </w:t>
      </w:r>
      <w:r w:rsidRPr="00CB533D">
        <w:t xml:space="preserve">highlights the importance of fairness </w:t>
      </w:r>
      <w:r>
        <w:t xml:space="preserve">of decision-making </w:t>
      </w:r>
      <w:r w:rsidRPr="00B6636B">
        <w:t xml:space="preserve">by </w:t>
      </w:r>
      <w:r>
        <w:t xml:space="preserve">persons </w:t>
      </w:r>
      <w:r w:rsidRPr="00017900">
        <w:t>in positions</w:t>
      </w:r>
      <w:r>
        <w:t xml:space="preserve"> of authority when utilising policies and procedures </w:t>
      </w:r>
      <w:r w:rsidRPr="0014266F">
        <w:t>to reach specific outcomes or decisions</w:t>
      </w:r>
      <w:r>
        <w:t xml:space="preserve"> to find resolution. </w:t>
      </w:r>
    </w:p>
    <w:p w14:paraId="459141A1" w14:textId="77777777" w:rsidR="00077797" w:rsidRDefault="00077797" w:rsidP="00077797">
      <w:pPr>
        <w:ind w:left="720"/>
      </w:pPr>
      <w:r w:rsidRPr="00F0205F">
        <w:t>According to procedural justice theory, if people feel they are treated in a procedurally fair and just way, starting from the very first contact, they will view those in authority as more legitimate and respect them more. They are more likely to comply and engage, even when the outcomes of the decisions or processes are unfavourable or inconvenient</w:t>
      </w:r>
      <w:r>
        <w:t xml:space="preserve"> </w:t>
      </w:r>
      <w:sdt>
        <w:sdtPr>
          <w:id w:val="-1001891018"/>
          <w:citation/>
        </w:sdtPr>
        <w:sdtContent>
          <w:r>
            <w:fldChar w:fldCharType="begin"/>
          </w:r>
          <w:r>
            <w:instrText xml:space="preserve"> CITATION Her20 \l 2057 </w:instrText>
          </w:r>
          <w:r>
            <w:fldChar w:fldCharType="separate"/>
          </w:r>
          <w:r w:rsidRPr="00F0069E">
            <w:rPr>
              <w:noProof/>
            </w:rPr>
            <w:t>(Her Majesty's Inspectorate of Probation, 2020)</w:t>
          </w:r>
          <w:r>
            <w:fldChar w:fldCharType="end"/>
          </w:r>
        </w:sdtContent>
      </w:sdt>
      <w:r>
        <w:t xml:space="preserve">. </w:t>
      </w:r>
    </w:p>
    <w:p w14:paraId="708F9B99" w14:textId="77777777" w:rsidR="00077797" w:rsidRDefault="00077797" w:rsidP="00077797">
      <w:r>
        <w:t xml:space="preserve">Taking into consideration the impacts of the procedural justice model and the moral principle which denotes that you should treat others the way you want to be treated yourself, I acknowledge that </w:t>
      </w:r>
      <w:r w:rsidRPr="00CB533D">
        <w:t xml:space="preserve">any interaction between </w:t>
      </w:r>
      <w:r>
        <w:t xml:space="preserve">myself as a police officer </w:t>
      </w:r>
      <w:r w:rsidRPr="00CB533D">
        <w:t>and the public</w:t>
      </w:r>
      <w:r>
        <w:t xml:space="preserve"> can have a significant impact to </w:t>
      </w:r>
      <w:r w:rsidRPr="00CB533D">
        <w:t>maintain</w:t>
      </w:r>
      <w:r>
        <w:t>ing</w:t>
      </w:r>
      <w:r w:rsidRPr="00CB533D">
        <w:t xml:space="preserve"> and secur</w:t>
      </w:r>
      <w:r>
        <w:t xml:space="preserve">ing public confidence in the police. </w:t>
      </w:r>
    </w:p>
    <w:p w14:paraId="505132D1" w14:textId="77777777" w:rsidR="00077797" w:rsidRDefault="00077797" w:rsidP="00077797">
      <w:pPr>
        <w:ind w:left="720"/>
      </w:pPr>
      <w:r>
        <w:t>Individuals’ perceptions of procedurally just encounters are based on four central features of their interactions with legal authorities:</w:t>
      </w:r>
    </w:p>
    <w:p w14:paraId="56176E0A" w14:textId="77777777" w:rsidR="00077797" w:rsidRDefault="00077797" w:rsidP="00077797">
      <w:pPr>
        <w:pStyle w:val="NoSpacing"/>
        <w:ind w:left="720"/>
      </w:pPr>
      <w:r>
        <w:t>•</w:t>
      </w:r>
      <w:r>
        <w:tab/>
        <w:t>Whether they were treated with dignity and respect;</w:t>
      </w:r>
    </w:p>
    <w:p w14:paraId="5BE567F9" w14:textId="77777777" w:rsidR="00077797" w:rsidRDefault="00077797" w:rsidP="00077797">
      <w:pPr>
        <w:pStyle w:val="NoSpacing"/>
        <w:ind w:left="720"/>
      </w:pPr>
      <w:r>
        <w:t>•</w:t>
      </w:r>
      <w:r>
        <w:tab/>
        <w:t>Whether they were given voice;</w:t>
      </w:r>
    </w:p>
    <w:p w14:paraId="0AD29C58" w14:textId="77777777" w:rsidR="00077797" w:rsidRDefault="00077797" w:rsidP="00077797">
      <w:pPr>
        <w:pStyle w:val="NoSpacing"/>
        <w:ind w:left="720"/>
      </w:pPr>
      <w:r>
        <w:t>•</w:t>
      </w:r>
      <w:r>
        <w:tab/>
        <w:t>Whether the decision-maker was neutral and transparent; and</w:t>
      </w:r>
    </w:p>
    <w:p w14:paraId="4CC48A20" w14:textId="77777777" w:rsidR="00077797" w:rsidRDefault="00077797" w:rsidP="00077797">
      <w:pPr>
        <w:pStyle w:val="NoSpacing"/>
        <w:ind w:left="720"/>
      </w:pPr>
      <w:r>
        <w:t>•</w:t>
      </w:r>
      <w:r>
        <w:tab/>
        <w:t xml:space="preserve">Whether the decision-maker conveyed trustworthy motives </w:t>
      </w:r>
      <w:sdt>
        <w:sdtPr>
          <w:id w:val="1132902642"/>
          <w:citation/>
        </w:sdtPr>
        <w:sdtContent>
          <w:r>
            <w:fldChar w:fldCharType="begin"/>
          </w:r>
          <w:r>
            <w:instrText xml:space="preserve"> CITATION Yal22 \l 2057 </w:instrText>
          </w:r>
          <w:r>
            <w:fldChar w:fldCharType="separate"/>
          </w:r>
          <w:r w:rsidRPr="00764253">
            <w:rPr>
              <w:noProof/>
            </w:rPr>
            <w:t>(Yale Law School, n.d.)</w:t>
          </w:r>
          <w:r>
            <w:fldChar w:fldCharType="end"/>
          </w:r>
        </w:sdtContent>
      </w:sdt>
      <w:r>
        <w:t xml:space="preserve">. </w:t>
      </w:r>
    </w:p>
    <w:p w14:paraId="2AF3C345" w14:textId="77777777" w:rsidR="00077797" w:rsidRDefault="00077797" w:rsidP="00077797"/>
    <w:p w14:paraId="6496F925" w14:textId="77777777" w:rsidR="00077797" w:rsidRDefault="00077797" w:rsidP="00077797">
      <w:r>
        <w:t xml:space="preserve">Similar to distributive and procedural justice, interactional justice relates to what is considered to be fair and just treatment of individuals. It “reflects the degree to which people are treated with </w:t>
      </w:r>
      <w:r>
        <w:lastRenderedPageBreak/>
        <w:t xml:space="preserve">politeness, dignity, and respect by authorities and third parties involved in executing procedures or determining outcomes” </w:t>
      </w:r>
      <w:sdt>
        <w:sdtPr>
          <w:id w:val="-2121221096"/>
          <w:citation/>
        </w:sdtPr>
        <w:sdtContent>
          <w:r>
            <w:fldChar w:fldCharType="begin"/>
          </w:r>
          <w:r>
            <w:instrText xml:space="preserve"> CITATION Col01 \l 2057 </w:instrText>
          </w:r>
          <w:r>
            <w:fldChar w:fldCharType="separate"/>
          </w:r>
          <w:r w:rsidRPr="006B2EB7">
            <w:rPr>
              <w:noProof/>
            </w:rPr>
            <w:t>(Colquitt &amp; Murphy, 2001)</w:t>
          </w:r>
          <w:r>
            <w:fldChar w:fldCharType="end"/>
          </w:r>
        </w:sdtContent>
      </w:sdt>
      <w:r>
        <w:t xml:space="preserve">. </w:t>
      </w:r>
    </w:p>
    <w:p w14:paraId="0EE0DA6F" w14:textId="77777777" w:rsidR="00077797" w:rsidRDefault="00077797" w:rsidP="00077797"/>
    <w:p w14:paraId="63288D91" w14:textId="77777777" w:rsidR="00077797" w:rsidRDefault="00077797" w:rsidP="00077797">
      <w:r>
        <w:t>O</w:t>
      </w:r>
      <w:r w:rsidRPr="00902377">
        <w:t xml:space="preserve">rganisational justice is often connected with </w:t>
      </w:r>
      <w:r w:rsidRPr="00D143BB">
        <w:t>personnel-related decisions</w:t>
      </w:r>
      <w:r w:rsidRPr="00902377">
        <w:t>, whether employees are treated fairly is a strong indicator of ethical culture.</w:t>
      </w:r>
      <w:r>
        <w:t xml:space="preserve"> “It could be suggested that organisational justice provides a structure of guiding behaviours for employees of an organisation to adopt ethical and moral practices” </w:t>
      </w:r>
      <w:sdt>
        <w:sdtPr>
          <w:id w:val="1812127435"/>
          <w:citation/>
        </w:sdtPr>
        <w:sdtContent>
          <w:r>
            <w:fldChar w:fldCharType="begin"/>
          </w:r>
          <w:r>
            <w:instrText xml:space="preserve"> CITATION Isa20 \l 2057 </w:instrText>
          </w:r>
          <w:r>
            <w:fldChar w:fldCharType="separate"/>
          </w:r>
          <w:r w:rsidRPr="002656D2">
            <w:rPr>
              <w:noProof/>
            </w:rPr>
            <w:t>(Isabirye &amp; Orando, 2020)</w:t>
          </w:r>
          <w:r>
            <w:fldChar w:fldCharType="end"/>
          </w:r>
        </w:sdtContent>
      </w:sdt>
      <w:r>
        <w:t>. “J</w:t>
      </w:r>
      <w:r w:rsidRPr="00FB6866">
        <w:t xml:space="preserve">ust as it fosters good attitudes about work satisfaction and </w:t>
      </w:r>
      <w:r>
        <w:t xml:space="preserve">improved </w:t>
      </w:r>
      <w:r w:rsidRPr="00FB6866">
        <w:t>performance</w:t>
      </w:r>
      <w:r>
        <w:t>, o</w:t>
      </w:r>
      <w:r w:rsidRPr="00FB6866">
        <w:t>rgani</w:t>
      </w:r>
      <w:r>
        <w:t>s</w:t>
      </w:r>
      <w:r w:rsidRPr="00FB6866">
        <w:t>ational justice develops a culture of trust and increased desire to 'do the right thing</w:t>
      </w:r>
      <w:r>
        <w:t>”</w:t>
      </w:r>
      <w:sdt>
        <w:sdtPr>
          <w:id w:val="-1692140454"/>
          <w:citation/>
        </w:sdtPr>
        <w:sdtContent>
          <w:r>
            <w:fldChar w:fldCharType="begin"/>
          </w:r>
          <w:r>
            <w:instrText xml:space="preserve"> CITATION Che18 \l 2057 </w:instrText>
          </w:r>
          <w:r>
            <w:fldChar w:fldCharType="separate"/>
          </w:r>
          <w:r w:rsidRPr="00FB6866">
            <w:rPr>
              <w:noProof/>
            </w:rPr>
            <w:t>(Cherepanova, 2018)</w:t>
          </w:r>
          <w:r>
            <w:fldChar w:fldCharType="end"/>
          </w:r>
        </w:sdtContent>
      </w:sdt>
      <w:r>
        <w:t xml:space="preserve">. </w:t>
      </w:r>
    </w:p>
    <w:p w14:paraId="25CBEB30" w14:textId="77777777" w:rsidR="00077797" w:rsidRDefault="00077797" w:rsidP="00077797"/>
    <w:p w14:paraId="1B0A5F6A" w14:textId="77777777" w:rsidR="00077797" w:rsidRDefault="00077797" w:rsidP="00077797">
      <w:r>
        <w:t xml:space="preserve">The foundation of organisation justice within the police is underpinned by the Code of Ethics. Consisting of nine policing principles and ten standards of professional behaviour </w:t>
      </w:r>
    </w:p>
    <w:p w14:paraId="77FB2A37" w14:textId="77777777" w:rsidR="00077797" w:rsidRDefault="00077797" w:rsidP="00077797">
      <w:pPr>
        <w:ind w:left="720"/>
      </w:pPr>
      <w:r>
        <w:t>i</w:t>
      </w:r>
      <w:r w:rsidRPr="00802255">
        <w:t>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t xml:space="preserve"> </w:t>
      </w:r>
      <w:sdt>
        <w:sdtPr>
          <w:id w:val="1412270053"/>
          <w:citation/>
        </w:sdtPr>
        <w:sdtContent>
          <w:r>
            <w:fldChar w:fldCharType="begin"/>
          </w:r>
          <w:r>
            <w:instrText xml:space="preserve"> CITATION Colnd \l 2057 </w:instrText>
          </w:r>
          <w:r>
            <w:fldChar w:fldCharType="separate"/>
          </w:r>
          <w:r w:rsidRPr="00AA253C">
            <w:rPr>
              <w:noProof/>
            </w:rPr>
            <w:t>(College of Policing, n.d.)</w:t>
          </w:r>
          <w:r>
            <w:fldChar w:fldCharType="end"/>
          </w:r>
        </w:sdtContent>
      </w:sdt>
      <w:r>
        <w:t xml:space="preserve">. </w:t>
      </w:r>
    </w:p>
    <w:p w14:paraId="798F6F78" w14:textId="77777777" w:rsidR="00077797" w:rsidRDefault="00077797" w:rsidP="00077797">
      <w:r>
        <w:t xml:space="preserve">Significantly research has shown that officers that identify with the organisation are more likely to be confident in their authority giving them a sense of self-legitimacy. “This sense of self-legitimacy was found to have a positive association with officers’ </w:t>
      </w:r>
      <w:r w:rsidRPr="00322B00">
        <w:t xml:space="preserve">personal beliefs and aspirations </w:t>
      </w:r>
      <w:r>
        <w:t xml:space="preserve">and their commitment to an ethical policing culture” </w:t>
      </w:r>
      <w:sdt>
        <w:sdtPr>
          <w:id w:val="482971216"/>
          <w:citation/>
        </w:sdtPr>
        <w:sdtContent>
          <w:r>
            <w:fldChar w:fldCharType="begin"/>
          </w:r>
          <w:r>
            <w:instrText xml:space="preserve"> CITATION Qui15 \l 2057 </w:instrText>
          </w:r>
          <w:r>
            <w:fldChar w:fldCharType="separate"/>
          </w:r>
          <w:r w:rsidRPr="00DE0E1D">
            <w:rPr>
              <w:noProof/>
            </w:rPr>
            <w:t>(Quinton, et al., 2015)</w:t>
          </w:r>
          <w:r>
            <w:fldChar w:fldCharType="end"/>
          </w:r>
        </w:sdtContent>
      </w:sdt>
      <w:r>
        <w:t xml:space="preserve">. </w:t>
      </w:r>
      <w:r w:rsidRPr="00E42ED8">
        <w:t>Notably, the Code of Ethics is centre to the National Decision Model and underpinning every decision we make as ethical and accountable police officers.</w:t>
      </w:r>
    </w:p>
    <w:p w14:paraId="0EB45997" w14:textId="77777777" w:rsidR="00077797" w:rsidRDefault="00077797" w:rsidP="00077797"/>
    <w:p w14:paraId="37DDA73C" w14:textId="77777777" w:rsidR="00077797" w:rsidRDefault="00077797" w:rsidP="00077797">
      <w:r>
        <w:t xml:space="preserve">Equally, </w:t>
      </w:r>
      <w:r w:rsidRPr="004B1502">
        <w:t xml:space="preserve">negative organisational culture can lead to staff perceptions of a lack of organisational justice within the </w:t>
      </w:r>
      <w:r>
        <w:t>organisation and research has highlighted that “the organisational-justice theoretical model has</w:t>
      </w:r>
      <w:r w:rsidRPr="00550CBA">
        <w:t xml:space="preserve"> advanced the study of police misconduct</w:t>
      </w:r>
      <w:r>
        <w:t xml:space="preserve"> by demonstrating the organisational behavioural mechanisms that are associated with such behaviour” </w:t>
      </w:r>
      <w:sdt>
        <w:sdtPr>
          <w:id w:val="-1270239279"/>
          <w:citation/>
        </w:sdtPr>
        <w:sdtContent>
          <w:r>
            <w:fldChar w:fldCharType="begin"/>
          </w:r>
          <w:r>
            <w:instrText xml:space="preserve"> CITATION WOL11 \l 2057 </w:instrText>
          </w:r>
          <w:r>
            <w:fldChar w:fldCharType="separate"/>
          </w:r>
          <w:r w:rsidRPr="004B1502">
            <w:rPr>
              <w:noProof/>
            </w:rPr>
            <w:t>(WOLFE &amp; PIQUERO, 2011)</w:t>
          </w:r>
          <w:r>
            <w:fldChar w:fldCharType="end"/>
          </w:r>
        </w:sdtContent>
      </w:sdt>
      <w:r>
        <w:t xml:space="preserve">. </w:t>
      </w:r>
    </w:p>
    <w:p w14:paraId="4D65772C" w14:textId="77777777" w:rsidR="00077797" w:rsidRDefault="00077797" w:rsidP="00077797"/>
    <w:p w14:paraId="4899ACAC" w14:textId="77777777" w:rsidR="00077797" w:rsidRDefault="00077797" w:rsidP="00077797">
      <w:r>
        <w:t xml:space="preserve">South Wales Police (SWP) demonstrate their commitment to raising ethical standards across the force by employing a Joint Independent Ethics Committee. </w:t>
      </w:r>
      <w:r w:rsidRPr="005C3689">
        <w:t>The Committee comprises of the following minimum membership: Chair (independent member), Vice Chair (independent member), a minimum of three further independent members, a representative of the Police and Crime Commissioner’s Office, Chief Officer and Chief Superintendent.</w:t>
      </w:r>
      <w:r>
        <w:t xml:space="preserve"> Conducting quarterly meetings, the committee “provide advice, support and assistance concerning ethical challenges arising from operational, administrative or organisational matters facing South Wales Police” </w:t>
      </w:r>
      <w:sdt>
        <w:sdtPr>
          <w:id w:val="-630399510"/>
          <w:citation/>
        </w:sdtPr>
        <w:sdtContent>
          <w:r>
            <w:fldChar w:fldCharType="begin"/>
          </w:r>
          <w:r>
            <w:instrText xml:space="preserve"> CITATION Sou22 \l 2057 </w:instrText>
          </w:r>
          <w:r>
            <w:fldChar w:fldCharType="separate"/>
          </w:r>
          <w:r w:rsidRPr="00E67EC1">
            <w:rPr>
              <w:noProof/>
            </w:rPr>
            <w:t>(South Wales Police, n.d.)</w:t>
          </w:r>
          <w:r>
            <w:fldChar w:fldCharType="end"/>
          </w:r>
        </w:sdtContent>
      </w:sdt>
      <w:r>
        <w:t xml:space="preserve">. </w:t>
      </w:r>
    </w:p>
    <w:p w14:paraId="4A822C95" w14:textId="77777777" w:rsidR="00077797" w:rsidRDefault="00077797" w:rsidP="00077797"/>
    <w:p w14:paraId="7EF531C2" w14:textId="77777777" w:rsidR="00077797" w:rsidRDefault="00077797" w:rsidP="00077797">
      <w:r>
        <w:t xml:space="preserve">Notably, the tenth standard of professional behaviour is “I will report, challenge or take action against the conduct of colleagues which has fallen below the standards of professional behaviour” </w:t>
      </w:r>
      <w:sdt>
        <w:sdtPr>
          <w:id w:val="-111214734"/>
          <w:citation/>
        </w:sdtPr>
        <w:sdtContent>
          <w:r>
            <w:fldChar w:fldCharType="begin"/>
          </w:r>
          <w:r>
            <w:instrText xml:space="preserve"> CITATION Col14 \l 2057 </w:instrText>
          </w:r>
          <w:r>
            <w:fldChar w:fldCharType="separate"/>
          </w:r>
          <w:r w:rsidRPr="00A0531B">
            <w:rPr>
              <w:noProof/>
            </w:rPr>
            <w:t>(College of Policing, 2014)</w:t>
          </w:r>
          <w:r>
            <w:fldChar w:fldCharType="end"/>
          </w:r>
        </w:sdtContent>
      </w:sdt>
      <w:r>
        <w:t xml:space="preserve">. All employees within policing have a responsibility to report concerns or challenge inappropriate behaviour. SWP provide staff a confidential ‘whistleblowing’ procedure to support and encourage staff to report </w:t>
      </w:r>
      <w:r w:rsidRPr="00916F81">
        <w:t>wrongdoing or poor practice in their force</w:t>
      </w:r>
      <w:r>
        <w:t xml:space="preserve">. </w:t>
      </w:r>
    </w:p>
    <w:p w14:paraId="1F82D351" w14:textId="77777777" w:rsidR="00077797" w:rsidRDefault="00077797" w:rsidP="00077797"/>
    <w:p w14:paraId="78F19D5E" w14:textId="77777777" w:rsidR="00077797" w:rsidRDefault="00077797" w:rsidP="00077797">
      <w:r>
        <w:t xml:space="preserve">In conclusion, we are all responsible for our contribution to our organisational culture but if the correct principles of organisational justice are not implemented it can have a detrimental effect, resulting in organisation resistance to meet the required standards of behaviour and compliance of the Code of Ethics which can ultimately impact public confidence in the police. </w:t>
      </w:r>
    </w:p>
    <w:p w14:paraId="0590AAF8" w14:textId="75082925" w:rsidR="00FF7784" w:rsidRDefault="00FF7784" w:rsidP="00340E9A">
      <w:pPr>
        <w:ind w:right="237"/>
        <w:jc w:val="both"/>
        <w:rPr>
          <w:sz w:val="24"/>
          <w:szCs w:val="24"/>
        </w:rPr>
      </w:pPr>
    </w:p>
    <w:p w14:paraId="23E3F1EC" w14:textId="17E93F98" w:rsidR="00FF7784" w:rsidRPr="00C23151" w:rsidRDefault="00077797" w:rsidP="00340E9A">
      <w:pPr>
        <w:ind w:right="237"/>
        <w:jc w:val="both"/>
        <w:rPr>
          <w:rFonts w:asciiTheme="minorHAnsi" w:hAnsiTheme="minorHAnsi" w:cstheme="minorHAnsi"/>
          <w:sz w:val="22"/>
          <w:szCs w:val="22"/>
        </w:rPr>
      </w:pPr>
      <w:r w:rsidRPr="00C23151">
        <w:rPr>
          <w:rFonts w:asciiTheme="minorHAnsi" w:hAnsiTheme="minorHAnsi" w:cstheme="minorHAnsi"/>
          <w:sz w:val="22"/>
          <w:szCs w:val="22"/>
        </w:rPr>
        <w:t>Word count 929</w:t>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70A302DE"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While on mobile patrol, I received information via my personal airwaves terminal from the Public Service Centre (PSC) which gave me cause to provide an emergency response and attend an address whereby an aggressive male was reportedly trying to forcibly gain entry into neighbouring properties.  </w:t>
      </w:r>
    </w:p>
    <w:p w14:paraId="38B1E454"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B9130BA"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The initial information stated that the male was known to the reporting person and resided in a neighbouring house and appeared to be under the influence of alcohol or drugs. In addition to this, the reporting person had stated that they believed there were children staying at the male’s address but was unsure if they were present, this information raised an additional concern for safety if children were present or their whereabouts unknown. </w:t>
      </w:r>
    </w:p>
    <w:p w14:paraId="2C070A9E"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52F07F9"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Whilst on route to the location I utilised the National Decision Model (NDM) and requested all available information and intelligence for the male and his address from the PSC. The male had warning markers for mental health and drugs. Considering the initial context of the report, I contemplated that the male may have been suffering a mental health episode or his behaviour may have been the result of alcohol consumption or substance misuse. </w:t>
      </w:r>
    </w:p>
    <w:p w14:paraId="18519441"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Furthermore, I also considered possible offences that may have been committed by the male; Assault, Criminal Damage and Burglary and what powers or policies I may need to utilise dependant on the circumstances. </w:t>
      </w:r>
    </w:p>
    <w:p w14:paraId="0CB14F51"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93C97C4"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On arrival the male was standing in the middle of the road and behaving in an irate and manic manner causing vehicles to swerve and drive around him. Assessing the threat of the situation the male was at risk at causing himself serious injury or death and potentially causing a road traffic collision putting others also at risk. </w:t>
      </w:r>
    </w:p>
    <w:p w14:paraId="7496FCA9"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F67E404"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Under the circumstances, I considered removal of mentally disordered persons without a warrant - Section 136 of the Mental Health Act (MHA) 1983. </w:t>
      </w:r>
    </w:p>
    <w:p w14:paraId="2FA35AC6" w14:textId="77777777" w:rsidR="00C23151" w:rsidRPr="00C23151" w:rsidRDefault="00C23151" w:rsidP="00C23151">
      <w:pPr>
        <w:overflowPunct/>
        <w:autoSpaceDE/>
        <w:autoSpaceDN/>
        <w:adjustRightInd/>
        <w:spacing w:after="160" w:line="259" w:lineRule="auto"/>
        <w:ind w:left="720"/>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If a person appears to be suffering from a mental disorder and in immediate need of care or control, a constable may, if they think it’s necessary to do so in the interests of that person or for the protection of others, remove the person to a place of safety or, keep the person at a safe place </w:t>
      </w:r>
      <w:sdt>
        <w:sdtPr>
          <w:rPr>
            <w:rFonts w:asciiTheme="minorHAnsi" w:eastAsiaTheme="minorHAnsi" w:hAnsiTheme="minorHAnsi" w:cstheme="minorBidi"/>
            <w:color w:val="auto"/>
            <w:sz w:val="22"/>
            <w:szCs w:val="22"/>
            <w:lang w:eastAsia="en-US"/>
          </w:rPr>
          <w:id w:val="-833689102"/>
          <w:citation/>
        </w:sdtPr>
        <w:sdtContent>
          <w:r w:rsidRPr="00C23151">
            <w:rPr>
              <w:rFonts w:asciiTheme="minorHAnsi" w:eastAsiaTheme="minorHAnsi" w:hAnsiTheme="minorHAnsi" w:cstheme="minorBidi"/>
              <w:color w:val="auto"/>
              <w:sz w:val="22"/>
              <w:szCs w:val="22"/>
              <w:lang w:eastAsia="en-US"/>
            </w:rPr>
            <w:fldChar w:fldCharType="begin"/>
          </w:r>
          <w:r w:rsidRPr="00C23151">
            <w:rPr>
              <w:rFonts w:asciiTheme="minorHAnsi" w:eastAsiaTheme="minorHAnsi" w:hAnsiTheme="minorHAnsi" w:cstheme="minorBidi"/>
              <w:color w:val="auto"/>
              <w:sz w:val="22"/>
              <w:szCs w:val="22"/>
              <w:lang w:eastAsia="en-US"/>
            </w:rPr>
            <w:instrText xml:space="preserve"> CITATION Col16 \l 2057 </w:instrText>
          </w:r>
          <w:r w:rsidRPr="00C23151">
            <w:rPr>
              <w:rFonts w:asciiTheme="minorHAnsi" w:eastAsiaTheme="minorHAnsi" w:hAnsiTheme="minorHAnsi" w:cstheme="minorBidi"/>
              <w:color w:val="auto"/>
              <w:sz w:val="22"/>
              <w:szCs w:val="22"/>
              <w:lang w:eastAsia="en-US"/>
            </w:rPr>
            <w:fldChar w:fldCharType="separate"/>
          </w:r>
          <w:r w:rsidRPr="00C23151">
            <w:rPr>
              <w:rFonts w:asciiTheme="minorHAnsi" w:eastAsiaTheme="minorHAnsi" w:hAnsiTheme="minorHAnsi" w:cstheme="minorBidi"/>
              <w:noProof/>
              <w:color w:val="auto"/>
              <w:sz w:val="22"/>
              <w:szCs w:val="22"/>
              <w:lang w:eastAsia="en-US"/>
            </w:rPr>
            <w:t>(College of Policing, 2016)</w:t>
          </w:r>
          <w:r w:rsidRPr="00C23151">
            <w:rPr>
              <w:rFonts w:asciiTheme="minorHAnsi" w:eastAsiaTheme="minorHAnsi" w:hAnsiTheme="minorHAnsi" w:cstheme="minorBidi"/>
              <w:color w:val="auto"/>
              <w:sz w:val="22"/>
              <w:szCs w:val="22"/>
              <w:lang w:eastAsia="en-US"/>
            </w:rPr>
            <w:fldChar w:fldCharType="end"/>
          </w:r>
        </w:sdtContent>
      </w:sdt>
      <w:r w:rsidRPr="00C23151">
        <w:rPr>
          <w:rFonts w:asciiTheme="minorHAnsi" w:eastAsiaTheme="minorHAnsi" w:hAnsiTheme="minorHAnsi" w:cstheme="minorBidi"/>
          <w:color w:val="auto"/>
          <w:sz w:val="22"/>
          <w:szCs w:val="22"/>
          <w:lang w:eastAsia="en-US"/>
        </w:rPr>
        <w:t xml:space="preserve">. </w:t>
      </w:r>
    </w:p>
    <w:p w14:paraId="28DE384C"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0227155"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In addition to this, I also considered power of arrest for Drunk and Disorderly - Section 91 of the Criminal Justice Act 1967. It is an offence to behave in a disorderly manner in a public place whilst being drunk. </w:t>
      </w:r>
    </w:p>
    <w:p w14:paraId="7462ACC8"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88B6BDF"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Due to the ongoing threat of harm to the male and members of the public, I prioritised the safeguarding of the male and getting him to a place of safety. I started to communicate with him to build rapport and establish a better understanding of the situation. I did not want my presence to cause him to panic and his behaviour to escalate any further and I was mindful that additional assistance from the Roads Policing Unit and the Highways Agency may have been required in order to make the road safe and minimise harm. </w:t>
      </w:r>
    </w:p>
    <w:p w14:paraId="67B5FD30"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BBEF699"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The male appeared to be confused and disorientated and his dialogue was disjointed but with persuasion he agreed to accompany me back to his home address. Making Section 136 MHA redundant I now had to consider additional options if the male was suffering a mental health crisis, this included him attending hospital voluntarily to undergo a mental health assessment, speaking with the Crisis Team or a family member/close friend attending to provide support. When entering the address, I noted that the property was unkept and untidy, there was drug paraphernalia on the coffee table of the living room and a number of empty alcohol bottles scattered around the floor. When I asked the male about the drugs and alcohol, he became dismissive to the situation and justified his alcohol consumption and drug use because of his ongoing mental health crisis and stated that there was nothing the Police could do about it. This led me to believe that the males’ behaviour was due to a combination of alcohol consumption and drug use and not a mental health episode. I asked the male if there was anyone else present in the address and the male informed me that his children were asleep in bed. </w:t>
      </w:r>
    </w:p>
    <w:p w14:paraId="78073574"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79A963B"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On searching the bedroom, one nine-year-old girl and a five-year-old boy were found hiding and stated that their father’s behaviour had made them feel scared and fearful that he would cause </w:t>
      </w:r>
      <w:r w:rsidRPr="00C23151">
        <w:rPr>
          <w:rFonts w:asciiTheme="minorHAnsi" w:eastAsiaTheme="minorHAnsi" w:hAnsiTheme="minorHAnsi" w:cstheme="minorBidi"/>
          <w:color w:val="auto"/>
          <w:sz w:val="22"/>
          <w:szCs w:val="22"/>
          <w:lang w:eastAsia="en-US"/>
        </w:rPr>
        <w:lastRenderedPageBreak/>
        <w:t xml:space="preserve">them harm. The children informed me that their father had left them alone in the property and that they had not slept or eaten since being left in their father’s care for the weekend. </w:t>
      </w:r>
    </w:p>
    <w:p w14:paraId="10822F47"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D5C6219"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At this point, I considered Child Cruelty - Section 1 of the Children and Young Persons Act 1933 and the child neglect aspect of this incident. </w:t>
      </w:r>
    </w:p>
    <w:p w14:paraId="0C2C58D7" w14:textId="77777777" w:rsidR="00C23151" w:rsidRPr="00C23151" w:rsidRDefault="00C23151" w:rsidP="00C23151">
      <w:pPr>
        <w:overflowPunct/>
        <w:autoSpaceDE/>
        <w:autoSpaceDN/>
        <w:adjustRightInd/>
        <w:spacing w:after="160" w:line="259" w:lineRule="auto"/>
        <w:ind w:left="720"/>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Under the Act, if anyone who is 16 years or over wilfully assaults, ill-treats, whether physically or otherwise, neglects, abandons, or exposes a child, or procures a child to be assaulted, ill-treated, whether physically or otherwise, neglected, abandoned, or exposed, in a manner likely to cause unnecessary suffering or injury to health, whether the suffering or injury is of a physical or psychological nature, they are guilty of an offence </w:t>
      </w:r>
      <w:sdt>
        <w:sdtPr>
          <w:rPr>
            <w:rFonts w:asciiTheme="minorHAnsi" w:eastAsiaTheme="minorHAnsi" w:hAnsiTheme="minorHAnsi" w:cstheme="minorBidi"/>
            <w:color w:val="auto"/>
            <w:sz w:val="22"/>
            <w:szCs w:val="22"/>
            <w:lang w:eastAsia="en-US"/>
          </w:rPr>
          <w:id w:val="674462420"/>
          <w:citation/>
        </w:sdtPr>
        <w:sdtContent>
          <w:r w:rsidRPr="00C23151">
            <w:rPr>
              <w:rFonts w:asciiTheme="minorHAnsi" w:eastAsiaTheme="minorHAnsi" w:hAnsiTheme="minorHAnsi" w:cstheme="minorBidi"/>
              <w:color w:val="auto"/>
              <w:sz w:val="22"/>
              <w:szCs w:val="22"/>
              <w:lang w:eastAsia="en-US"/>
            </w:rPr>
            <w:fldChar w:fldCharType="begin"/>
          </w:r>
          <w:r w:rsidRPr="00C23151">
            <w:rPr>
              <w:rFonts w:asciiTheme="minorHAnsi" w:eastAsiaTheme="minorHAnsi" w:hAnsiTheme="minorHAnsi" w:cstheme="minorBidi"/>
              <w:color w:val="auto"/>
              <w:sz w:val="22"/>
              <w:szCs w:val="22"/>
              <w:lang w:eastAsia="en-US"/>
            </w:rPr>
            <w:instrText xml:space="preserve"> CITATION Col141 \l 2057 </w:instrText>
          </w:r>
          <w:r w:rsidRPr="00C23151">
            <w:rPr>
              <w:rFonts w:asciiTheme="minorHAnsi" w:eastAsiaTheme="minorHAnsi" w:hAnsiTheme="minorHAnsi" w:cstheme="minorBidi"/>
              <w:color w:val="auto"/>
              <w:sz w:val="22"/>
              <w:szCs w:val="22"/>
              <w:lang w:eastAsia="en-US"/>
            </w:rPr>
            <w:fldChar w:fldCharType="separate"/>
          </w:r>
          <w:r w:rsidRPr="00C23151">
            <w:rPr>
              <w:rFonts w:asciiTheme="minorHAnsi" w:eastAsiaTheme="minorHAnsi" w:hAnsiTheme="minorHAnsi" w:cstheme="minorBidi"/>
              <w:noProof/>
              <w:color w:val="auto"/>
              <w:sz w:val="22"/>
              <w:szCs w:val="22"/>
              <w:lang w:eastAsia="en-US"/>
            </w:rPr>
            <w:t>(College of Policing, 2014)</w:t>
          </w:r>
          <w:r w:rsidRPr="00C23151">
            <w:rPr>
              <w:rFonts w:asciiTheme="minorHAnsi" w:eastAsiaTheme="minorHAnsi" w:hAnsiTheme="minorHAnsi" w:cstheme="minorBidi"/>
              <w:color w:val="auto"/>
              <w:sz w:val="22"/>
              <w:szCs w:val="22"/>
              <w:lang w:eastAsia="en-US"/>
            </w:rPr>
            <w:fldChar w:fldCharType="end"/>
          </w:r>
        </w:sdtContent>
      </w:sdt>
      <w:r w:rsidRPr="00C23151">
        <w:rPr>
          <w:rFonts w:asciiTheme="minorHAnsi" w:eastAsiaTheme="minorHAnsi" w:hAnsiTheme="minorHAnsi" w:cstheme="minorBidi"/>
          <w:color w:val="auto"/>
          <w:sz w:val="22"/>
          <w:szCs w:val="22"/>
          <w:lang w:eastAsia="en-US"/>
        </w:rPr>
        <w:t xml:space="preserve">. </w:t>
      </w:r>
    </w:p>
    <w:p w14:paraId="1C58D80B"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Additionally, I considered Police Protection – Section 46 of the Children Act 1989.</w:t>
      </w:r>
    </w:p>
    <w:p w14:paraId="1764F0B8" w14:textId="77777777" w:rsidR="00C23151" w:rsidRPr="00C23151" w:rsidRDefault="00C23151" w:rsidP="00C23151">
      <w:pPr>
        <w:overflowPunct/>
        <w:autoSpaceDE/>
        <w:autoSpaceDN/>
        <w:adjustRightInd/>
        <w:spacing w:after="160" w:line="259" w:lineRule="auto"/>
        <w:ind w:left="720"/>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A Police Constable has the legal right to remove a child from accommodation or prevent removal, where they have reasonable cause to believe the child would otherwise be likely to suffer significant harm </w:t>
      </w:r>
      <w:sdt>
        <w:sdtPr>
          <w:rPr>
            <w:rFonts w:asciiTheme="minorHAnsi" w:eastAsiaTheme="minorHAnsi" w:hAnsiTheme="minorHAnsi" w:cstheme="minorBidi"/>
            <w:color w:val="auto"/>
            <w:sz w:val="22"/>
            <w:szCs w:val="22"/>
            <w:lang w:eastAsia="en-US"/>
          </w:rPr>
          <w:id w:val="600533331"/>
          <w:citation/>
        </w:sdtPr>
        <w:sdtContent>
          <w:r w:rsidRPr="00C23151">
            <w:rPr>
              <w:rFonts w:asciiTheme="minorHAnsi" w:eastAsiaTheme="minorHAnsi" w:hAnsiTheme="minorHAnsi" w:cstheme="minorBidi"/>
              <w:color w:val="auto"/>
              <w:sz w:val="22"/>
              <w:szCs w:val="22"/>
              <w:lang w:eastAsia="en-US"/>
            </w:rPr>
            <w:fldChar w:fldCharType="begin"/>
          </w:r>
          <w:r w:rsidRPr="00C23151">
            <w:rPr>
              <w:rFonts w:asciiTheme="minorHAnsi" w:eastAsiaTheme="minorHAnsi" w:hAnsiTheme="minorHAnsi" w:cstheme="minorBidi"/>
              <w:color w:val="auto"/>
              <w:sz w:val="22"/>
              <w:szCs w:val="22"/>
              <w:lang w:eastAsia="en-US"/>
            </w:rPr>
            <w:instrText xml:space="preserve"> CITATION The222 \l 2057 </w:instrText>
          </w:r>
          <w:r w:rsidRPr="00C23151">
            <w:rPr>
              <w:rFonts w:asciiTheme="minorHAnsi" w:eastAsiaTheme="minorHAnsi" w:hAnsiTheme="minorHAnsi" w:cstheme="minorBidi"/>
              <w:color w:val="auto"/>
              <w:sz w:val="22"/>
              <w:szCs w:val="22"/>
              <w:lang w:eastAsia="en-US"/>
            </w:rPr>
            <w:fldChar w:fldCharType="separate"/>
          </w:r>
          <w:r w:rsidRPr="00C23151">
            <w:rPr>
              <w:rFonts w:asciiTheme="minorHAnsi" w:eastAsiaTheme="minorHAnsi" w:hAnsiTheme="minorHAnsi" w:cstheme="minorBidi"/>
              <w:noProof/>
              <w:color w:val="auto"/>
              <w:sz w:val="22"/>
              <w:szCs w:val="22"/>
              <w:lang w:eastAsia="en-US"/>
            </w:rPr>
            <w:t>(The Child Law Advice Service, 2022)</w:t>
          </w:r>
          <w:r w:rsidRPr="00C23151">
            <w:rPr>
              <w:rFonts w:asciiTheme="minorHAnsi" w:eastAsiaTheme="minorHAnsi" w:hAnsiTheme="minorHAnsi" w:cstheme="minorBidi"/>
              <w:color w:val="auto"/>
              <w:sz w:val="22"/>
              <w:szCs w:val="22"/>
              <w:lang w:eastAsia="en-US"/>
            </w:rPr>
            <w:fldChar w:fldCharType="end"/>
          </w:r>
        </w:sdtContent>
      </w:sdt>
      <w:r w:rsidRPr="00C23151">
        <w:rPr>
          <w:rFonts w:asciiTheme="minorHAnsi" w:eastAsiaTheme="minorHAnsi" w:hAnsiTheme="minorHAnsi" w:cstheme="minorBidi"/>
          <w:color w:val="auto"/>
          <w:sz w:val="22"/>
          <w:szCs w:val="22"/>
          <w:lang w:eastAsia="en-US"/>
        </w:rPr>
        <w:t xml:space="preserve">. </w:t>
      </w:r>
    </w:p>
    <w:p w14:paraId="16738AB4" w14:textId="77777777" w:rsidR="00C23151" w:rsidRPr="00C23151" w:rsidRDefault="00C23151" w:rsidP="00C23151">
      <w:pPr>
        <w:overflowPunct/>
        <w:autoSpaceDE/>
        <w:autoSpaceDN/>
        <w:adjustRightInd/>
        <w:spacing w:after="160" w:line="259" w:lineRule="auto"/>
        <w:ind w:left="720"/>
        <w:textAlignment w:val="auto"/>
        <w:rPr>
          <w:rFonts w:asciiTheme="minorHAnsi" w:eastAsiaTheme="minorHAnsi" w:hAnsiTheme="minorHAnsi" w:cstheme="minorBidi"/>
          <w:color w:val="auto"/>
          <w:sz w:val="22"/>
          <w:szCs w:val="22"/>
          <w:lang w:eastAsia="en-US"/>
        </w:rPr>
      </w:pPr>
    </w:p>
    <w:p w14:paraId="699CD648"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Employing the NDM, I developed a working strategy to safeguard the children and establish the best course of action going forward. </w:t>
      </w:r>
    </w:p>
    <w:p w14:paraId="40D57F84"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By speaking with the on duty Mental Health Team, I gained a professional opinion relating to the male’s mental health state and clarification for arresting the male for the offence of child neglect. It was agreed that the male was not eligible for mental health support at that time due to his alcohol and substance use and support for this could be arranged via custody. </w:t>
      </w:r>
    </w:p>
    <w:p w14:paraId="5989D25A"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By liaising with the PSC, I established if there were alternative family members that could take of the children or if Social Services would need to make arrangements for the care of the children. Arrangements were made for the grandparents of the children to collect them and temporarily take care of them until alternative arrangements could be agreed with Social Services. </w:t>
      </w:r>
    </w:p>
    <w:p w14:paraId="1757BA03"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B87CD79"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The male was arrested for the offence of Child Cruelty and conveyed to custody. Despite the male being arrested for the offence, custody provided the male a safe place where he could be monitored, undergo a mental health assessment if required and be referred to alcohol and drug support services.  </w:t>
      </w:r>
    </w:p>
    <w:p w14:paraId="43E26044"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E93EB37"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On completing all the relevant protocols for the incident, I recorded all actions that I had undertaken. I completed a Public Protection Notice (PPN) for the children and the male involved. By completing a PPN for the children, it described in detail the circumstances of the incident and highlighted the risk that the children were exposed to and notified all relevant third-party agencies so they could implement a safeguarding intervention and collaborate to form suitable mechanisms to support and protect the children in the future. </w:t>
      </w:r>
    </w:p>
    <w:p w14:paraId="6BB38700"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lastRenderedPageBreak/>
        <w:t xml:space="preserve">In additional to this, the PPN for the male highlighted the risk the male had exposed himself and members of the public to due to his alcohol and drug use and would inform relevant agencies and offer the male suitable support. </w:t>
      </w:r>
    </w:p>
    <w:p w14:paraId="614F0C06"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08D3A4A"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Throughout the incident I continuously utilised the NDM and conducted a dynamic risk assessment. I considered the best course of action for all parties involved and I was mindful that criminalising the male if he was suffering a mental health episode would be counterproductive. </w:t>
      </w:r>
    </w:p>
    <w:p w14:paraId="3502093E"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By taking the time to identify options and contingences appropriate action was taken to safeguard the children and provide the male with suitable support for alcohol/drug use and his mental health. </w:t>
      </w:r>
    </w:p>
    <w:p w14:paraId="2A2959A1"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Rather than the Emergency Duty Team (EDT) taking responsibility for placing the children in a place of safety, alternative family members were identified minimising distress and upset to the children. </w:t>
      </w:r>
    </w:p>
    <w:p w14:paraId="0F60419E"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Submission of the PPN’s for the male and the children supported a multiagency approach to protect, safeguard and support all parties involved. </w:t>
      </w:r>
    </w:p>
    <w:p w14:paraId="7AC212DA"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25A27D7" w14:textId="04AC0E7C"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Word count 1371</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3480A1AB"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While on mobile patrol, I was required to provide an emergency response and attend an address whereby a male and female were having a domestic argument and the female had reportedly been assaulted by the male. The male was known to police as a domestic abuse aggressor due to previous incidents whereby the female had reported being a victim of domestic abuse but had never pursued a formal complaint against the male. </w:t>
      </w:r>
    </w:p>
    <w:p w14:paraId="45C6E4E7"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7A484C34"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On arrival, the male was standing outside the address and the female could be seen taking shelter in the neighbouring property. The male was pleasant and complaint when engaging with officers and stated that the couple had a verbal argument due to the female ending the relationship and this causing the male to feel upset and distressed as he loved the female and did not want the relationship to end. </w:t>
      </w:r>
    </w:p>
    <w:p w14:paraId="42A0625F"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1DEABD8A"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When speaking with the female, she confirmed that she had informed the male that she wanted to end the relationship and leave the address, the male had then become irate and aggressive towards her and had grabbed her and thrown her to the ground causing injuries to her knee and arms. The disclosure from the female instigated the arrest of the male for the offence of assault and he was conveyed to custody. This action ensured that the victim was safeguarded for the immediate future. Whilst preparing a statement from the victim, the victim informed me that she did not want to provide any additional information and stated that she was not prepared to make a formal complaint or attend court in relation to the incident.  </w:t>
      </w:r>
    </w:p>
    <w:p w14:paraId="5176279B"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3CDA424C"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Being mindful that the victim was a repeat victim of domestic abuse and had never pursued a formal complaint against the suspect, I considered why the female may not support police action and what </w:t>
      </w:r>
      <w:r w:rsidRPr="00C23151">
        <w:rPr>
          <w:rFonts w:asciiTheme="minorHAnsi" w:eastAsiaTheme="minorHAnsi" w:hAnsiTheme="minorHAnsi" w:cstheme="minorBidi"/>
          <w:color w:val="auto"/>
          <w:sz w:val="22"/>
          <w:szCs w:val="22"/>
          <w:lang w:eastAsia="en-US"/>
        </w:rPr>
        <w:lastRenderedPageBreak/>
        <w:t xml:space="preserve">actions I could take to safeguard and protect her. I took time to speak with the victim and shared some of my own life experiences in an attempt to be more relatable to the victim and build rapport so I could have a better understanding of her circumstances. It appeared that the prolonged abuse from the suspect had caused the victim to become conditioned to it and feel isolated from friends and family leading her to believe she had little to no support. </w:t>
      </w:r>
    </w:p>
    <w:p w14:paraId="1C2E210C"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30B68F1E"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I explained to the victim that she was not alone and that there was support available to her and that she did not have to suffer at the hands of the suspect anymore. I suggested that if she did not feel comfortable speaking with the police that external agencies such as ‘Live Fear Free’ and ‘Women’s Aid’ could offer her help and advice on how to leave the abuser safely and arrange emergency accommodation. </w:t>
      </w:r>
    </w:p>
    <w:p w14:paraId="669D4FDB"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3C0D7C38"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My priority at this stage was to ensure that the victim felt well informed and understood that there were multiple options available to her and she could choose what was best for her and her circumstances. I was mindful to the fact that being a victim of domestic abuse may have left the victim feeling helpless and trapped but explained to her that she was in control and advised her of the appropriate action I would take to safeguard her. </w:t>
      </w:r>
    </w:p>
    <w:p w14:paraId="6C634D41"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38979972"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I explained to the victim that The Crown Prosecutions Service are committed to prosecuting perpetrators of domestic abuse, even in cases without support of the victim and made efforts to secure best evidence by trying to obtain the victim’s consent to request her medical records and photographing her injuries, the victim refused. </w:t>
      </w:r>
    </w:p>
    <w:p w14:paraId="2AE6745F"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660B1EB3"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Despite the victim’s refusal to support police action, I continued to be sympathetic to her situation and consistent with offering the victim support and taking action to demonstrate my dedication to safeguard her. </w:t>
      </w:r>
    </w:p>
    <w:p w14:paraId="53A5B016"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16612DE3"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South Wales Police policy is; where there is a safeguarding concern identified or requirement for additional support from partner agencies, officers must complete a Public Protection Notice (PPN) form and submit it to the Public Protection Unit (PPU) for their information and assessment. </w:t>
      </w:r>
    </w:p>
    <w:p w14:paraId="292A148A" w14:textId="77777777" w:rsidR="00C23151" w:rsidRPr="00C23151" w:rsidRDefault="00C23151" w:rsidP="00C23151">
      <w:pPr>
        <w:tabs>
          <w:tab w:val="left" w:pos="277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The information is then reviewed by a member of PPU specialist staff within the referral unit, risk assessed and actioned. Where necessary, the PPN will be forwarded to partner agencies for their information and further action </w:t>
      </w:r>
      <w:sdt>
        <w:sdtPr>
          <w:rPr>
            <w:rFonts w:asciiTheme="minorHAnsi" w:eastAsiaTheme="minorHAnsi" w:hAnsiTheme="minorHAnsi" w:cstheme="minorBidi"/>
            <w:color w:val="auto"/>
            <w:sz w:val="22"/>
            <w:szCs w:val="22"/>
            <w:lang w:eastAsia="en-US"/>
          </w:rPr>
          <w:id w:val="-480080228"/>
          <w:citation/>
        </w:sdtPr>
        <w:sdtContent>
          <w:r w:rsidRPr="00C23151">
            <w:rPr>
              <w:rFonts w:asciiTheme="minorHAnsi" w:eastAsiaTheme="minorHAnsi" w:hAnsiTheme="minorHAnsi" w:cstheme="minorBidi"/>
              <w:color w:val="auto"/>
              <w:sz w:val="22"/>
              <w:szCs w:val="22"/>
              <w:lang w:eastAsia="en-US"/>
            </w:rPr>
            <w:fldChar w:fldCharType="begin"/>
          </w:r>
          <w:r w:rsidRPr="00C23151">
            <w:rPr>
              <w:rFonts w:asciiTheme="minorHAnsi" w:eastAsiaTheme="minorHAnsi" w:hAnsiTheme="minorHAnsi" w:cstheme="minorBidi"/>
              <w:color w:val="auto"/>
              <w:sz w:val="22"/>
              <w:szCs w:val="22"/>
              <w:lang w:eastAsia="en-US"/>
            </w:rPr>
            <w:instrText xml:space="preserve"> CITATION Sou08 \l 2057 </w:instrText>
          </w:r>
          <w:r w:rsidRPr="00C23151">
            <w:rPr>
              <w:rFonts w:asciiTheme="minorHAnsi" w:eastAsiaTheme="minorHAnsi" w:hAnsiTheme="minorHAnsi" w:cstheme="minorBidi"/>
              <w:color w:val="auto"/>
              <w:sz w:val="22"/>
              <w:szCs w:val="22"/>
              <w:lang w:eastAsia="en-US"/>
            </w:rPr>
            <w:fldChar w:fldCharType="separate"/>
          </w:r>
          <w:r w:rsidRPr="00C23151">
            <w:rPr>
              <w:rFonts w:asciiTheme="minorHAnsi" w:eastAsiaTheme="minorHAnsi" w:hAnsiTheme="minorHAnsi" w:cstheme="minorBidi"/>
              <w:noProof/>
              <w:color w:val="auto"/>
              <w:sz w:val="22"/>
              <w:szCs w:val="22"/>
              <w:lang w:eastAsia="en-US"/>
            </w:rPr>
            <w:t>(South Wales Police , 2008)</w:t>
          </w:r>
          <w:r w:rsidRPr="00C23151">
            <w:rPr>
              <w:rFonts w:asciiTheme="minorHAnsi" w:eastAsiaTheme="minorHAnsi" w:hAnsiTheme="minorHAnsi" w:cstheme="minorBidi"/>
              <w:color w:val="auto"/>
              <w:sz w:val="22"/>
              <w:szCs w:val="22"/>
              <w:lang w:eastAsia="en-US"/>
            </w:rPr>
            <w:fldChar w:fldCharType="end"/>
          </w:r>
        </w:sdtContent>
      </w:sdt>
      <w:r w:rsidRPr="00C23151">
        <w:rPr>
          <w:rFonts w:asciiTheme="minorHAnsi" w:eastAsiaTheme="minorHAnsi" w:hAnsiTheme="minorHAnsi" w:cstheme="minorBidi"/>
          <w:color w:val="auto"/>
          <w:sz w:val="22"/>
          <w:szCs w:val="22"/>
          <w:lang w:eastAsia="en-US"/>
        </w:rPr>
        <w:t xml:space="preserve">. </w:t>
      </w:r>
    </w:p>
    <w:p w14:paraId="4E62B904"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3C60A1D9"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Within the PPU there is a dedicated domestic abuse unit that is supported and work cohesively with Independent Domestic Violent Advisor’s (IDVA’s). An IDVA is a specialist professional who works with a victim of domestic violence to build a trusting and supportive relationship. They play a crucial role in aiding victims and can help a victim with everything they need to become safe and rebuild their life, and represent their voice at a Multi-agency Risk Assessment Conference (MARAC), as well assist them in navigating the criminal justice process and collaborating with the various statutory agencies to provide wraparound support </w:t>
      </w:r>
      <w:sdt>
        <w:sdtPr>
          <w:rPr>
            <w:rFonts w:asciiTheme="minorHAnsi" w:eastAsiaTheme="minorHAnsi" w:hAnsiTheme="minorHAnsi" w:cstheme="minorBidi"/>
            <w:color w:val="auto"/>
            <w:sz w:val="22"/>
            <w:szCs w:val="22"/>
            <w:lang w:eastAsia="en-US"/>
          </w:rPr>
          <w:id w:val="-1065108887"/>
          <w:citation/>
        </w:sdtPr>
        <w:sdtContent>
          <w:r w:rsidRPr="00C23151">
            <w:rPr>
              <w:rFonts w:asciiTheme="minorHAnsi" w:eastAsiaTheme="minorHAnsi" w:hAnsiTheme="minorHAnsi" w:cstheme="minorBidi"/>
              <w:color w:val="auto"/>
              <w:sz w:val="22"/>
              <w:szCs w:val="22"/>
              <w:lang w:eastAsia="en-US"/>
            </w:rPr>
            <w:fldChar w:fldCharType="begin"/>
          </w:r>
          <w:r w:rsidRPr="00C23151">
            <w:rPr>
              <w:rFonts w:asciiTheme="minorHAnsi" w:eastAsiaTheme="minorHAnsi" w:hAnsiTheme="minorHAnsi" w:cstheme="minorBidi"/>
              <w:color w:val="auto"/>
              <w:sz w:val="22"/>
              <w:szCs w:val="22"/>
              <w:lang w:eastAsia="en-US"/>
            </w:rPr>
            <w:instrText xml:space="preserve"> CITATION Saf22 \l 2057 </w:instrText>
          </w:r>
          <w:r w:rsidRPr="00C23151">
            <w:rPr>
              <w:rFonts w:asciiTheme="minorHAnsi" w:eastAsiaTheme="minorHAnsi" w:hAnsiTheme="minorHAnsi" w:cstheme="minorBidi"/>
              <w:color w:val="auto"/>
              <w:sz w:val="22"/>
              <w:szCs w:val="22"/>
              <w:lang w:eastAsia="en-US"/>
            </w:rPr>
            <w:fldChar w:fldCharType="separate"/>
          </w:r>
          <w:r w:rsidRPr="00C23151">
            <w:rPr>
              <w:rFonts w:asciiTheme="minorHAnsi" w:eastAsiaTheme="minorHAnsi" w:hAnsiTheme="minorHAnsi" w:cstheme="minorBidi"/>
              <w:noProof/>
              <w:color w:val="auto"/>
              <w:sz w:val="22"/>
              <w:szCs w:val="22"/>
              <w:lang w:eastAsia="en-US"/>
            </w:rPr>
            <w:t>(SafeLives, n.d.)</w:t>
          </w:r>
          <w:r w:rsidRPr="00C23151">
            <w:rPr>
              <w:rFonts w:asciiTheme="minorHAnsi" w:eastAsiaTheme="minorHAnsi" w:hAnsiTheme="minorHAnsi" w:cstheme="minorBidi"/>
              <w:color w:val="auto"/>
              <w:sz w:val="22"/>
              <w:szCs w:val="22"/>
              <w:lang w:eastAsia="en-US"/>
            </w:rPr>
            <w:fldChar w:fldCharType="end"/>
          </w:r>
        </w:sdtContent>
      </w:sdt>
      <w:r w:rsidRPr="00C23151">
        <w:rPr>
          <w:rFonts w:asciiTheme="minorHAnsi" w:eastAsiaTheme="minorHAnsi" w:hAnsiTheme="minorHAnsi" w:cstheme="minorBidi"/>
          <w:color w:val="auto"/>
          <w:sz w:val="22"/>
          <w:szCs w:val="22"/>
          <w:lang w:eastAsia="en-US"/>
        </w:rPr>
        <w:t xml:space="preserve">. </w:t>
      </w:r>
    </w:p>
    <w:p w14:paraId="622DE20A"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15457C2B"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A MARAC is a fortnightly meeting where information is shared and reviewed on the highest risk domestic abuse cases. Attendees will include; representatives of local police, IDVA’s, Social Services, local authority, health board, education board, child protection, housing practitioners, probation service and other specialists from the statutory and voluntary sectors. The primary focus of the MARAC is to safeguard the victim and to ensure that the needs of the victim are appropriately represented. Collectively, representatives will discuss options for increasing the safety of the victim and turn these into a co-ordinated action plan to manage all the safeguarding issues </w:t>
      </w:r>
      <w:sdt>
        <w:sdtPr>
          <w:rPr>
            <w:rFonts w:asciiTheme="minorHAnsi" w:eastAsiaTheme="minorHAnsi" w:hAnsiTheme="minorHAnsi" w:cstheme="minorBidi"/>
            <w:color w:val="auto"/>
            <w:sz w:val="22"/>
            <w:szCs w:val="22"/>
            <w:lang w:eastAsia="en-US"/>
          </w:rPr>
          <w:id w:val="-555468352"/>
          <w:citation/>
        </w:sdtPr>
        <w:sdtContent>
          <w:r w:rsidRPr="00C23151">
            <w:rPr>
              <w:rFonts w:asciiTheme="minorHAnsi" w:eastAsiaTheme="minorHAnsi" w:hAnsiTheme="minorHAnsi" w:cstheme="minorBidi"/>
              <w:color w:val="auto"/>
              <w:sz w:val="22"/>
              <w:szCs w:val="22"/>
              <w:lang w:eastAsia="en-US"/>
            </w:rPr>
            <w:fldChar w:fldCharType="begin"/>
          </w:r>
          <w:r w:rsidRPr="00C23151">
            <w:rPr>
              <w:rFonts w:asciiTheme="minorHAnsi" w:eastAsiaTheme="minorHAnsi" w:hAnsiTheme="minorHAnsi" w:cstheme="minorBidi"/>
              <w:color w:val="auto"/>
              <w:sz w:val="22"/>
              <w:szCs w:val="22"/>
              <w:lang w:eastAsia="en-US"/>
            </w:rPr>
            <w:instrText xml:space="preserve"> CITATION Saf14 \l 2057 </w:instrText>
          </w:r>
          <w:r w:rsidRPr="00C23151">
            <w:rPr>
              <w:rFonts w:asciiTheme="minorHAnsi" w:eastAsiaTheme="minorHAnsi" w:hAnsiTheme="minorHAnsi" w:cstheme="minorBidi"/>
              <w:color w:val="auto"/>
              <w:sz w:val="22"/>
              <w:szCs w:val="22"/>
              <w:lang w:eastAsia="en-US"/>
            </w:rPr>
            <w:fldChar w:fldCharType="separate"/>
          </w:r>
          <w:r w:rsidRPr="00C23151">
            <w:rPr>
              <w:rFonts w:asciiTheme="minorHAnsi" w:eastAsiaTheme="minorHAnsi" w:hAnsiTheme="minorHAnsi" w:cstheme="minorBidi"/>
              <w:noProof/>
              <w:color w:val="auto"/>
              <w:sz w:val="22"/>
              <w:szCs w:val="22"/>
              <w:lang w:eastAsia="en-US"/>
            </w:rPr>
            <w:t>(SafeLives, 2014)</w:t>
          </w:r>
          <w:r w:rsidRPr="00C23151">
            <w:rPr>
              <w:rFonts w:asciiTheme="minorHAnsi" w:eastAsiaTheme="minorHAnsi" w:hAnsiTheme="minorHAnsi" w:cstheme="minorBidi"/>
              <w:color w:val="auto"/>
              <w:sz w:val="22"/>
              <w:szCs w:val="22"/>
              <w:lang w:eastAsia="en-US"/>
            </w:rPr>
            <w:fldChar w:fldCharType="end"/>
          </w:r>
        </w:sdtContent>
      </w:sdt>
      <w:r w:rsidRPr="00C23151">
        <w:rPr>
          <w:rFonts w:asciiTheme="minorHAnsi" w:eastAsiaTheme="minorHAnsi" w:hAnsiTheme="minorHAnsi" w:cstheme="minorBidi"/>
          <w:color w:val="auto"/>
          <w:sz w:val="22"/>
          <w:szCs w:val="22"/>
          <w:lang w:eastAsia="en-US"/>
        </w:rPr>
        <w:t xml:space="preserve">. </w:t>
      </w:r>
    </w:p>
    <w:p w14:paraId="25B92BA1"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4BCB8732"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As frustrating as it may be sometimes for attending officers of repeat victims of domestic abuse, in order to provide the best possible service and safeguard the victim we must be consistent when taking safeguarding measures and following protocol. It can be very easy to become complacent when dealing with repeat victims but we must remember that a, ‘if they can’t be bothered, why should I?’ mindset can be detrimental to safeguarding the victim. </w:t>
      </w:r>
    </w:p>
    <w:p w14:paraId="5A0E5C7C"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color w:val="auto"/>
          <w:sz w:val="22"/>
          <w:szCs w:val="22"/>
          <w:lang w:eastAsia="en-US"/>
        </w:rPr>
        <w:t xml:space="preserve">Notably, “there were 362 domestic homicides recorded by the police in the three-year period between year ending March 2018 and year ending March 2020” </w:t>
      </w:r>
      <w:sdt>
        <w:sdtPr>
          <w:rPr>
            <w:rFonts w:asciiTheme="minorHAnsi" w:eastAsiaTheme="minorHAnsi" w:hAnsiTheme="minorHAnsi" w:cstheme="minorBidi"/>
            <w:color w:val="auto"/>
            <w:sz w:val="22"/>
            <w:szCs w:val="22"/>
            <w:lang w:eastAsia="en-US"/>
          </w:rPr>
          <w:id w:val="1197040469"/>
          <w:citation/>
        </w:sdtPr>
        <w:sdtContent>
          <w:r w:rsidRPr="00C23151">
            <w:rPr>
              <w:rFonts w:asciiTheme="minorHAnsi" w:eastAsiaTheme="minorHAnsi" w:hAnsiTheme="minorHAnsi" w:cstheme="minorBidi"/>
              <w:color w:val="auto"/>
              <w:sz w:val="22"/>
              <w:szCs w:val="22"/>
              <w:lang w:eastAsia="en-US"/>
            </w:rPr>
            <w:fldChar w:fldCharType="begin"/>
          </w:r>
          <w:r w:rsidRPr="00C23151">
            <w:rPr>
              <w:rFonts w:asciiTheme="minorHAnsi" w:eastAsiaTheme="minorHAnsi" w:hAnsiTheme="minorHAnsi" w:cstheme="minorBidi"/>
              <w:color w:val="auto"/>
              <w:sz w:val="22"/>
              <w:szCs w:val="22"/>
              <w:lang w:eastAsia="en-US"/>
            </w:rPr>
            <w:instrText xml:space="preserve"> CITATION Off211 \l 2057 </w:instrText>
          </w:r>
          <w:r w:rsidRPr="00C23151">
            <w:rPr>
              <w:rFonts w:asciiTheme="minorHAnsi" w:eastAsiaTheme="minorHAnsi" w:hAnsiTheme="minorHAnsi" w:cstheme="minorBidi"/>
              <w:color w:val="auto"/>
              <w:sz w:val="22"/>
              <w:szCs w:val="22"/>
              <w:lang w:eastAsia="en-US"/>
            </w:rPr>
            <w:fldChar w:fldCharType="separate"/>
          </w:r>
          <w:r w:rsidRPr="00C23151">
            <w:rPr>
              <w:rFonts w:asciiTheme="minorHAnsi" w:eastAsiaTheme="minorHAnsi" w:hAnsiTheme="minorHAnsi" w:cstheme="minorBidi"/>
              <w:noProof/>
              <w:color w:val="auto"/>
              <w:sz w:val="22"/>
              <w:szCs w:val="22"/>
              <w:lang w:eastAsia="en-US"/>
            </w:rPr>
            <w:t>(Office for National Statistics, 2021)</w:t>
          </w:r>
          <w:r w:rsidRPr="00C23151">
            <w:rPr>
              <w:rFonts w:asciiTheme="minorHAnsi" w:eastAsiaTheme="minorHAnsi" w:hAnsiTheme="minorHAnsi" w:cstheme="minorBidi"/>
              <w:color w:val="auto"/>
              <w:sz w:val="22"/>
              <w:szCs w:val="22"/>
              <w:lang w:eastAsia="en-US"/>
            </w:rPr>
            <w:fldChar w:fldCharType="end"/>
          </w:r>
        </w:sdtContent>
      </w:sdt>
      <w:r w:rsidRPr="00C23151">
        <w:rPr>
          <w:rFonts w:asciiTheme="minorHAnsi" w:eastAsiaTheme="minorHAnsi" w:hAnsiTheme="minorHAnsi" w:cstheme="minorBidi"/>
          <w:color w:val="auto"/>
          <w:sz w:val="22"/>
          <w:szCs w:val="22"/>
          <w:lang w:eastAsia="en-US"/>
        </w:rPr>
        <w:t xml:space="preserve">. In addition to this, according to a report published by </w:t>
      </w:r>
      <w:proofErr w:type="spellStart"/>
      <w:r w:rsidRPr="00C23151">
        <w:rPr>
          <w:rFonts w:asciiTheme="minorHAnsi" w:eastAsiaTheme="minorHAnsi" w:hAnsiTheme="minorHAnsi" w:cstheme="minorBidi"/>
          <w:color w:val="auto"/>
          <w:sz w:val="22"/>
          <w:szCs w:val="22"/>
          <w:lang w:eastAsia="en-US"/>
        </w:rPr>
        <w:t>SafeLives</w:t>
      </w:r>
      <w:proofErr w:type="spellEnd"/>
      <w:r w:rsidRPr="00C23151">
        <w:rPr>
          <w:rFonts w:asciiTheme="minorHAnsi" w:eastAsiaTheme="minorHAnsi" w:hAnsiTheme="minorHAnsi" w:cstheme="minorBidi"/>
          <w:color w:val="auto"/>
          <w:sz w:val="22"/>
          <w:szCs w:val="22"/>
          <w:lang w:eastAsia="en-US"/>
        </w:rPr>
        <w:t xml:space="preserve">, 32% of homeless women state domestic violence contributed to their homelessness, 62% of single homeless people are hidden from support services and 52% of domestic abuse victims need support to help them stay in their own home or move to new accommodation </w:t>
      </w:r>
      <w:sdt>
        <w:sdtPr>
          <w:rPr>
            <w:rFonts w:asciiTheme="minorHAnsi" w:eastAsiaTheme="minorHAnsi" w:hAnsiTheme="minorHAnsi" w:cstheme="minorBidi"/>
            <w:color w:val="auto"/>
            <w:sz w:val="22"/>
            <w:szCs w:val="22"/>
            <w:lang w:eastAsia="en-US"/>
          </w:rPr>
          <w:id w:val="-116923075"/>
          <w:citation/>
        </w:sdtPr>
        <w:sdtContent>
          <w:r w:rsidRPr="00C23151">
            <w:rPr>
              <w:rFonts w:asciiTheme="minorHAnsi" w:eastAsiaTheme="minorHAnsi" w:hAnsiTheme="minorHAnsi" w:cstheme="minorBidi"/>
              <w:color w:val="auto"/>
              <w:sz w:val="22"/>
              <w:szCs w:val="22"/>
              <w:lang w:eastAsia="en-US"/>
            </w:rPr>
            <w:fldChar w:fldCharType="begin"/>
          </w:r>
          <w:r w:rsidRPr="00C23151">
            <w:rPr>
              <w:rFonts w:asciiTheme="minorHAnsi" w:eastAsiaTheme="minorHAnsi" w:hAnsiTheme="minorHAnsi" w:cstheme="minorBidi"/>
              <w:color w:val="auto"/>
              <w:sz w:val="22"/>
              <w:szCs w:val="22"/>
              <w:lang w:eastAsia="en-US"/>
            </w:rPr>
            <w:instrText xml:space="preserve"> CITATION Saf18 \l 2057 </w:instrText>
          </w:r>
          <w:r w:rsidRPr="00C23151">
            <w:rPr>
              <w:rFonts w:asciiTheme="minorHAnsi" w:eastAsiaTheme="minorHAnsi" w:hAnsiTheme="minorHAnsi" w:cstheme="minorBidi"/>
              <w:color w:val="auto"/>
              <w:sz w:val="22"/>
              <w:szCs w:val="22"/>
              <w:lang w:eastAsia="en-US"/>
            </w:rPr>
            <w:fldChar w:fldCharType="separate"/>
          </w:r>
          <w:r w:rsidRPr="00C23151">
            <w:rPr>
              <w:rFonts w:asciiTheme="minorHAnsi" w:eastAsiaTheme="minorHAnsi" w:hAnsiTheme="minorHAnsi" w:cstheme="minorBidi"/>
              <w:color w:val="auto"/>
              <w:sz w:val="22"/>
              <w:szCs w:val="22"/>
              <w:lang w:eastAsia="en-US"/>
            </w:rPr>
            <w:t>(SafeLives, 2018)</w:t>
          </w:r>
          <w:r w:rsidRPr="00C23151">
            <w:rPr>
              <w:rFonts w:asciiTheme="minorHAnsi" w:eastAsiaTheme="minorHAnsi" w:hAnsiTheme="minorHAnsi" w:cstheme="minorBidi"/>
              <w:color w:val="auto"/>
              <w:sz w:val="22"/>
              <w:szCs w:val="22"/>
              <w:lang w:eastAsia="en-US"/>
            </w:rPr>
            <w:fldChar w:fldCharType="end"/>
          </w:r>
        </w:sdtContent>
      </w:sdt>
      <w:r w:rsidRPr="00C23151">
        <w:rPr>
          <w:rFonts w:asciiTheme="minorHAnsi" w:eastAsiaTheme="minorHAnsi" w:hAnsiTheme="minorHAnsi" w:cstheme="minorBidi"/>
          <w:color w:val="auto"/>
          <w:sz w:val="22"/>
          <w:szCs w:val="22"/>
          <w:lang w:eastAsia="en-US"/>
        </w:rPr>
        <w:t>. Victims of domestic abuse are vulnerable and a poor service from attending officers may result in them feeling unsupported, leaving them to feel helpless and trapped in an abusive relationship. By being consistent and reassuring victims of the support available to them, we can support victims to escape abuse and stand up to perpetrators of domestic violence.</w:t>
      </w:r>
    </w:p>
    <w:p w14:paraId="73FEDA49"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1309092D" w14:textId="35A983BF"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Word count 1125</w:t>
      </w:r>
    </w:p>
    <w:p w14:paraId="5CB1B121"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27E51828" w14:textId="77777777" w:rsidR="00C23151" w:rsidRPr="00C23151" w:rsidRDefault="00C23151" w:rsidP="00C23151">
      <w:pPr>
        <w:tabs>
          <w:tab w:val="left" w:pos="6645"/>
        </w:tabs>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088CF868"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In this essay I am going to write about a policing incident which was of a serious and complex nature in which I played a significant role and reflect on my actions during my initial attendance. A female had reported to Police that she was a victim of rape. During the evening, the female had been out socialising with friends and had attended an associate’s house. While attending the address, the female alleged that she been raped by a known associate who resided at the address. The female had then returned back to her home address and called Police to report the incident. </w:t>
      </w:r>
    </w:p>
    <w:p w14:paraId="23226528"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98F6BEC"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If available, a Sexual Offences Liaison Officer (SOLO) would normally be deployed to allegations of serious sexual assaults. SOLOs are specially trained officers who have undergone a sexual offences course and are responsible for gathering evidence and information from the victim in a manner that contributes and protects the integrity of the investigation. By building rapport and maintaining contact with the victim, SOLOs can secure the victims confidence and earn their trust which assists with Achieving Best Evidence (ABE). </w:t>
      </w:r>
    </w:p>
    <w:p w14:paraId="0E2C2603" w14:textId="77777777" w:rsidR="00574D4C" w:rsidRPr="00574D4C" w:rsidRDefault="00574D4C" w:rsidP="00574D4C">
      <w:pPr>
        <w:overflowPunct/>
        <w:autoSpaceDE/>
        <w:autoSpaceDN/>
        <w:adjustRightInd/>
        <w:spacing w:after="160" w:line="259" w:lineRule="auto"/>
        <w:ind w:left="720"/>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Role holders also provide support and information, in a sensitive and compassionate manner, to victims of sexual crime, ensuring they are given timely information about other police departments and support agencies, where available </w:t>
      </w:r>
      <w:sdt>
        <w:sdtPr>
          <w:rPr>
            <w:rFonts w:asciiTheme="minorHAnsi" w:eastAsiaTheme="minorHAnsi" w:hAnsiTheme="minorHAnsi" w:cstheme="minorBidi"/>
            <w:color w:val="auto"/>
            <w:sz w:val="22"/>
            <w:szCs w:val="22"/>
            <w:lang w:eastAsia="en-US"/>
          </w:rPr>
          <w:id w:val="1027445502"/>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Col222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(College of Policing, n.d.)</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w:t>
      </w:r>
    </w:p>
    <w:p w14:paraId="4EBAFC82"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675E2A3"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While on route to the victim’s home address I considered what steps I would need to take in order to adhere to the ‘Golden hour’ principals and preserve best evidence. </w:t>
      </w:r>
    </w:p>
    <w:p w14:paraId="23847822" w14:textId="77777777" w:rsidR="00574D4C" w:rsidRPr="00574D4C" w:rsidRDefault="00574D4C" w:rsidP="00574D4C">
      <w:pPr>
        <w:overflowPunct/>
        <w:autoSpaceDE/>
        <w:autoSpaceDN/>
        <w:adjustRightInd/>
        <w:spacing w:after="160" w:line="259" w:lineRule="auto"/>
        <w:ind w:left="720"/>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The golden hour is the term used for the period immediately after an offence has been committed, when material is readily available in high volumes to the police.</w:t>
      </w:r>
    </w:p>
    <w:p w14:paraId="2C018000" w14:textId="77777777" w:rsidR="00574D4C" w:rsidRPr="00574D4C" w:rsidRDefault="00574D4C" w:rsidP="00574D4C">
      <w:pPr>
        <w:overflowPunct/>
        <w:autoSpaceDE/>
        <w:autoSpaceDN/>
        <w:adjustRightInd/>
        <w:spacing w:after="160" w:line="259" w:lineRule="auto"/>
        <w:ind w:left="720"/>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Positive action in the period immediately after the report of a crime minimises the amount of material that could be lost to the investigation, and maximises the chance of securing the material that will be admissible in court </w:t>
      </w:r>
      <w:sdt>
        <w:sdtPr>
          <w:rPr>
            <w:rFonts w:asciiTheme="minorHAnsi" w:eastAsiaTheme="minorHAnsi" w:hAnsiTheme="minorHAnsi" w:cstheme="minorBidi"/>
            <w:color w:val="auto"/>
            <w:sz w:val="22"/>
            <w:szCs w:val="22"/>
            <w:lang w:eastAsia="en-US"/>
          </w:rPr>
          <w:id w:val="-308172894"/>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Col136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(College of Policing, 2013)</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w:t>
      </w:r>
    </w:p>
    <w:p w14:paraId="50985D0F"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036F938"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Due to the nature of the incident, I knew that a specialist team known as the Rape Investigation Team (RIT) would be conducting the investigation and that my role was to gather information and intelligence and identify and preserve evidence to assist in the investigative strategy. On attending the victim’s home address, I was mindful of forensic opportunities on the victim’s clothes and prioritised seizing her clothing as evidence to minimalize cross contamination, (“the unwanted transfer of material between two or more sources of physical evidence”) </w:t>
      </w:r>
      <w:sdt>
        <w:sdtPr>
          <w:rPr>
            <w:rFonts w:asciiTheme="minorHAnsi" w:eastAsiaTheme="minorHAnsi" w:hAnsiTheme="minorHAnsi" w:cstheme="minorBidi"/>
            <w:color w:val="auto"/>
            <w:sz w:val="22"/>
            <w:szCs w:val="22"/>
            <w:lang w:eastAsia="en-US"/>
          </w:rPr>
          <w:id w:val="95067952"/>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Nat226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(National Forensic Science Technology Center (NFSTC), n.d.)</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w:t>
      </w:r>
    </w:p>
    <w:p w14:paraId="58039AFB"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D5D6D86"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As the initial attending officer, I was responsible for completing the Initial Investigation Booklet (PPD3). I obtained a first account from the victim including details of what had happened, where it happened, when it had happened and who had done it. Once I had identified the scene location and suspect details, this information was relayed to the Public Service Centre (PSC). This information including intelligence obtained by conducting Niche and Police National Computer (PNC) checks was then updated on the Control Works incident as a priority. This was so it could be disseminated to all relevant parties and the allocation of relevant resources be processed in a timely manner to preserve the scene, arrest the suspect if he was still present and secure suspect evidence including the seizure of the suspects clothing and mobile phone device. In addition to this, I also requested a Crime Scene Investigator (CSI) to attend the scene to assist with identifying evidence gathering opportunities using digital capture and forensic techniques. </w:t>
      </w:r>
    </w:p>
    <w:p w14:paraId="243F637B"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ED82932"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I considered the utilisation of the Sexual Assault Referral Centre (SARC) to conduct a forensic medical exam on the victim and ensure the correct support for her throughout the process. </w:t>
      </w:r>
    </w:p>
    <w:p w14:paraId="35B12FE4" w14:textId="77777777" w:rsidR="00574D4C" w:rsidRPr="00574D4C" w:rsidRDefault="00574D4C" w:rsidP="00574D4C">
      <w:pPr>
        <w:overflowPunct/>
        <w:autoSpaceDE/>
        <w:autoSpaceDN/>
        <w:adjustRightInd/>
        <w:spacing w:after="160" w:line="259" w:lineRule="auto"/>
        <w:ind w:left="720"/>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SARCs are specialist medical and forensic services for anyone who has been raped or sexually assaulted. They are designed to be comfortable and multi-functional, providing private space for interviews and forensic examinations, and some may also offer sexual health and counselling services </w:t>
      </w:r>
      <w:sdt>
        <w:sdtPr>
          <w:rPr>
            <w:rFonts w:asciiTheme="minorHAnsi" w:eastAsiaTheme="minorHAnsi" w:hAnsiTheme="minorHAnsi" w:cstheme="minorBidi"/>
            <w:color w:val="auto"/>
            <w:sz w:val="22"/>
            <w:szCs w:val="22"/>
            <w:lang w:eastAsia="en-US"/>
          </w:rPr>
          <w:id w:val="401415184"/>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The223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(The Survivors Trust, n.d.)</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w:t>
      </w:r>
    </w:p>
    <w:p w14:paraId="698717AA"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The victim consented to arrangements being made for her to attend the SARC but due to an unavoidable delay there was a risk that forensic evidence could be lost. This prompted me to utilise the use of an Early Evidence Kit (EEK) to collect and secure evidence.</w:t>
      </w:r>
    </w:p>
    <w:p w14:paraId="7EA3CCCA"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CF46122"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The victim believed that she may have been ‘spiked’ which meant obtaining a urine sample could be instrumental in proving if the offence of; Administering a Substance with Intent to commit a Sexual </w:t>
      </w:r>
      <w:r w:rsidRPr="00574D4C">
        <w:rPr>
          <w:rFonts w:asciiTheme="minorHAnsi" w:eastAsiaTheme="minorHAnsi" w:hAnsiTheme="minorHAnsi" w:cstheme="minorBidi"/>
          <w:color w:val="auto"/>
          <w:sz w:val="22"/>
          <w:szCs w:val="22"/>
          <w:lang w:eastAsia="en-US"/>
        </w:rPr>
        <w:lastRenderedPageBreak/>
        <w:t xml:space="preserve">Offence - Section 61, Sexual Offences Act 2003 had been committed. Significantly, “research carried out by YouGov shows that a third of women have either been spiked themselves or know someone who has” </w:t>
      </w:r>
      <w:sdt>
        <w:sdtPr>
          <w:rPr>
            <w:rFonts w:asciiTheme="minorHAnsi" w:eastAsiaTheme="minorHAnsi" w:hAnsiTheme="minorHAnsi" w:cstheme="minorBidi"/>
            <w:color w:val="auto"/>
            <w:sz w:val="22"/>
            <w:szCs w:val="22"/>
            <w:lang w:eastAsia="en-US"/>
          </w:rPr>
          <w:id w:val="-980610967"/>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Ibb21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(Ibbetson, 2021)</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I explained the purpose of the EEK to the victim and collected relevant samples including urine, mouth rinse and hand swabs. </w:t>
      </w:r>
    </w:p>
    <w:p w14:paraId="763F4A03"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5074E3F"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While obtaining the first account from the victim, the victim disclosed to me that she was reluctant to report the incident to the Police as she had been in a relationship with the suspect in the past and felt that her allegation would not be taken seriously. I assured the victim that the allegation would be investigated thoroughly and that no assumptions would be made from her disclosing to me that she had been romantically involved with the suspect in the past. According to Devon Rape Crisis, “only 10% of rapists are strangers. 90% of perpetrators are known, and often trusted, by the victim prior to the offence and only 3% of rapes and sexual assaults are false allegations” </w:t>
      </w:r>
      <w:sdt>
        <w:sdtPr>
          <w:rPr>
            <w:rFonts w:asciiTheme="minorHAnsi" w:eastAsiaTheme="minorHAnsi" w:hAnsiTheme="minorHAnsi" w:cstheme="minorBidi"/>
            <w:color w:val="auto"/>
            <w:sz w:val="22"/>
            <w:szCs w:val="22"/>
            <w:lang w:eastAsia="en-US"/>
          </w:rPr>
          <w:id w:val="-122309329"/>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Dev22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(Devon Rape Crisis, n.d.)</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w:t>
      </w:r>
    </w:p>
    <w:p w14:paraId="3451BC27"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EABE1FC"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The victim informed me that the suspect had messaged her shortly after she had left the property to return home. She understood the message to be an admission of guilt from the suspect. With this in mind, I made the conscious decision to seize the victims’ mobile phone for forensic examination as it could provide crucial evidence in a criminal investigation and prosecution. I tasked the relevant department who would be conducting the forensic examination of the victims and suspects mobile phone devices and completed the required paperwork. Due to the large volumes of data on mobile phones devices, the forensic examiner required a detailed criteria to distinguish what they were searching for within the data on the devices, one of the criteria being the messages exchanged between the victim and suspect. </w:t>
      </w:r>
    </w:p>
    <w:p w14:paraId="630954C4"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805C355"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In addition to this, I identified additional lines of enquiry that would need to be carried out. The victim informed me that she had phoned a friend while she was on her way home from the suspects address and disclosed to them what had happened, I identified that a MG11 Witness Statement would need to be obtained from the witness detailing the disclosure that had been made to them by the victim. </w:t>
      </w:r>
    </w:p>
    <w:p w14:paraId="102395CF"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There were also potential witnesses at the incident address that needed to be spoken to as they may have been able to provide an account. </w:t>
      </w:r>
    </w:p>
    <w:p w14:paraId="4036D87A"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House to house enquiries and CCTV also needed to be carried out as it may have provided additional information to assist in the investigation. </w:t>
      </w:r>
    </w:p>
    <w:p w14:paraId="131B9597"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4469075"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Based on previous experiences when I have been the initial attending officer and handed over investigations to a specialist team, I had a thorough understanding of the importance of collating all available information and intelligence and keeping the Control Works log up to date. I knew I had to compile a comprehensive update and communicate it effectively as this would aid the specialist team to develop an investigative strategy and assist in identifying further lines of enquiry. </w:t>
      </w:r>
    </w:p>
    <w:p w14:paraId="4220A0BC"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8C32A07"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lastRenderedPageBreak/>
        <w:t xml:space="preserve">I understood that as a victim of a sexual offence, the victim was entitled to an enhanced service under the Victims Code of Practice. The Victims’ Code was introduced to improve victims contact with the criminal justice system including the Police, Crown Prosecution Service (CPS), Courts Service and the Probation Service. The Victims' Code focuses on victims' rights and provides a framework that sets out the minimum standard that organisations must provide to victims of crime. The Victims’ Code states that victims of crime should be treated with dignity, sensitivity, in a respectful and professional manner without discrimination or bias of any kind. </w:t>
      </w:r>
    </w:p>
    <w:p w14:paraId="723057A9" w14:textId="77777777" w:rsidR="00574D4C" w:rsidRPr="00574D4C" w:rsidRDefault="00574D4C" w:rsidP="00574D4C">
      <w:pPr>
        <w:tabs>
          <w:tab w:val="num" w:pos="720"/>
        </w:tabs>
        <w:overflowPunct/>
        <w:autoSpaceDE/>
        <w:autoSpaceDN/>
        <w:adjustRightInd/>
        <w:spacing w:after="160" w:line="259" w:lineRule="auto"/>
        <w:ind w:left="720"/>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Under the Victims’ Code, victims can expect; to be able to understand and to be understood, to have the details of the crime recorded without unjustified delay, to be provided with information when reporting the crime and to be referred to services that support victims and have services and support tailored to their needs </w:t>
      </w:r>
      <w:sdt>
        <w:sdtPr>
          <w:rPr>
            <w:rFonts w:asciiTheme="minorHAnsi" w:eastAsiaTheme="minorHAnsi" w:hAnsiTheme="minorHAnsi" w:cstheme="minorBidi"/>
            <w:color w:val="auto"/>
            <w:sz w:val="22"/>
            <w:szCs w:val="22"/>
            <w:lang w:eastAsia="en-US"/>
          </w:rPr>
          <w:id w:val="824934932"/>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GOV05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(GOV.UK, 2005)</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w:t>
      </w:r>
    </w:p>
    <w:p w14:paraId="439FD7D2"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These expectations are highly significant in supporting victims of sexual offences. According to the Crime Survey for England and Wales, of victims who experienced sexual assault “only 16% reported the assault to the Police, with victims stating that embarrassment, humiliation and the believe that the Police would not be able to help as a reason for not reporting it to Police” </w:t>
      </w:r>
      <w:sdt>
        <w:sdtPr>
          <w:rPr>
            <w:rFonts w:asciiTheme="minorHAnsi" w:eastAsiaTheme="minorHAnsi" w:hAnsiTheme="minorHAnsi" w:cstheme="minorBidi"/>
            <w:color w:val="auto"/>
            <w:sz w:val="22"/>
            <w:szCs w:val="22"/>
            <w:lang w:eastAsia="en-US"/>
          </w:rPr>
          <w:id w:val="-1344866603"/>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Off212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(Office for National Statistics, 2021)</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w:t>
      </w:r>
    </w:p>
    <w:p w14:paraId="66275CA4"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F19F91D"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This highlights the importance of demonstrating the desired standards of professional behaviour as detailed in The Police (Conduct) Regulations 2012 when carrying out the investigation. </w:t>
      </w:r>
    </w:p>
    <w:p w14:paraId="727698D6"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Even though I knew the investigation was going to be handed over to the RIT and continued by them, I had a clear understanding that my role as an investigating officer in the case, I had a responsibility to adhere to principles of the Criminal Procedure and Investigations Act 1996.</w:t>
      </w:r>
    </w:p>
    <w:p w14:paraId="416EFA95" w14:textId="3C163351" w:rsidR="00025650"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I acted with fairness and impartiality and ensured that the principles of the Equality Act 2010 were met by understanding the needs of the victim. In addition to this, I ensured that I conducted my role professionally, respectfully and treated all sensitive information confidentially.  </w:t>
      </w:r>
    </w:p>
    <w:p w14:paraId="3ABB88E9" w14:textId="47802E5B" w:rsid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B7F3F7D" w14:textId="2E7DB5DF"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Word count 1586</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18263A5D"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In this essay I am going to write about a policing incident involving digital technologies and detail how I provided an appropriate initial police response. I will explain the immediate actions I took to reduce harm and to safeguard the victim and detail who is more vulnerable in these types of incidents and what actions can be taken to reduce cyber-enable crime opportunities. </w:t>
      </w:r>
    </w:p>
    <w:p w14:paraId="0D99D2B6"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1354A2F"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A young male with learning difficulties who was living in supported accommodation had reported to police that he was a victim of sextortion. The male had been engaging with whom he believed to be an unknown young female via an online social media app. The two parties had been exchanging generic text messages when the female suggested that they exchange photo/video messages of an explicit nature. After the male received a short video of the female performing a sexual act on herself, he responded by sending the female a video of himself also performing a sexual act. The female responded to the video by stating that if the male did not send her £1000 that she would share the video online for the males’ family and friends to see. The male panicked and did not respond to the female and reported the incident to the Police. </w:t>
      </w:r>
    </w:p>
    <w:p w14:paraId="546BE482"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A2A3D98"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On attending the victim’s address, I ensured that the victim had an appropriate adult present to assist and support the victim with understanding and communication between the victim and myself. The victim was highly distressed and embarrassed about the incident and expressed concern that his family and friends would find out about it. I provided the victim with reassurance and assured the victim that the matter would be dealt with confidentially. </w:t>
      </w:r>
    </w:p>
    <w:p w14:paraId="5189DF69"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14CAE44"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The term ‘sextortion’ refers to a form of blackmail. “It involves threatening to publish sexual information, photos or videos about someone. This may be to extort money or to force the victim to do something against their will” </w:t>
      </w:r>
      <w:sdt>
        <w:sdtPr>
          <w:rPr>
            <w:rFonts w:asciiTheme="minorHAnsi" w:eastAsiaTheme="minorHAnsi" w:hAnsiTheme="minorHAnsi" w:cstheme="minorBidi"/>
            <w:color w:val="auto"/>
            <w:sz w:val="22"/>
            <w:szCs w:val="22"/>
            <w:lang w:eastAsia="en-US"/>
          </w:rPr>
          <w:id w:val="1254398743"/>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Met221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(Metropolitan Police, n.d.)</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There is no specific legislation for ‘sextortion’ but there are a number of offences that can be utilised to prosecute a perpetrator for the offence depending on what their participation involves. Based on the circumstances of this incident, I considered the offence of Disclosing or threatening to disclose private sexual images with intent to cause distress - Section 33, Criminal Justice and Courts Act 2015 and due to the fact that </w:t>
      </w:r>
      <w:r w:rsidRPr="00574D4C">
        <w:rPr>
          <w:rFonts w:asciiTheme="minorHAnsi" w:eastAsiaTheme="minorHAnsi" w:hAnsiTheme="minorHAnsi" w:cstheme="minorBidi"/>
          <w:color w:val="auto"/>
          <w:sz w:val="22"/>
          <w:szCs w:val="22"/>
          <w:lang w:eastAsia="en-US"/>
        </w:rPr>
        <w:lastRenderedPageBreak/>
        <w:t xml:space="preserve">the suspect had made a financial demand, I also considered the offence of Blackmail – Section 21, Theft Act 1968. </w:t>
      </w:r>
    </w:p>
    <w:p w14:paraId="65C6287D"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E0C2FAE"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I considered having the victims mobile phone device examined for digital forensics but despite me assuring the victim that we would act with complete professionalism and that no judgements would be made, the victim was reluctant and declined. My immediate concern was if the suspect deleted their online account/profile that I would not be able to access and collate the relevant information in order to investigate the offence further. I obtained screenshots of the suspects profile which included the suspects name, user name, profile picture, age and location. In addition to this, I also obtained screenshots of the messages exchanged between the victim and suspect which would be instrumental in proving that the suspect had committed an offence. </w:t>
      </w:r>
    </w:p>
    <w:p w14:paraId="348E121C"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959853A"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Once I had collated as much evidence as possible from the victims’ mobile phone, I then considered what steps could be taken to safeguard the victim. I advised the victim to cease all communications with the suspect, to block them and report the incident to the social media platform. Once that was complete, I then advised the victim to deactivate their online profile so the suspect could not make contact with them using an alternative account.  </w:t>
      </w:r>
    </w:p>
    <w:p w14:paraId="0A58DFBC"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E8BE4B9"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Situations like this can quite often be prevented from reoccurring by taking time to educate the victim so they will be mindful and more knowledgeable in the future. I spent some time explaining to the victim the risks of online interactions and highlighted that criminal’s will hide behind fake profiles in order to entice and exploit their victims. </w:t>
      </w:r>
    </w:p>
    <w:p w14:paraId="27D2543E"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AF6897E"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In addition to this, I also spent time with the victim showing him how to protect himself by utilising the online privacy settings within social media apps and explained to him how allowing access to his personal information makes him vulnerable to exploitation from criminals. </w:t>
      </w:r>
    </w:p>
    <w:p w14:paraId="6F057EBD"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0DBFBF1"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While in attendance, the victim disclosed to me that the other young vulnerable males also living at the address were also using the same social media platform as the victim. This raised concern and highlighted a potential risk as the other residents could also potentially be exposed and fall victim to sextortion by the same perpetrators. I discussed with the appropriate adult who was the on-duty support worker, the option to discuss and educate the other residents to safeguard them and raise awareness of sextortion. This was agreed and in addition to this, the care home agreed to displaying the South Wales Police sextortion self-help guide posters providing information and advice.</w:t>
      </w:r>
    </w:p>
    <w:p w14:paraId="525D19F3"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8B97178"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Due to the rapid development of digital technologies in recent years, this type of crime has increased and advanced dramatically and is often carried out by organised crime groups based overseas. </w:t>
      </w:r>
    </w:p>
    <w:p w14:paraId="5D42DB8A"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Significantly, James Coker, Deputy Editor of the well-established </w:t>
      </w:r>
      <w:proofErr w:type="spellStart"/>
      <w:r w:rsidRPr="00574D4C">
        <w:rPr>
          <w:rFonts w:asciiTheme="minorHAnsi" w:eastAsiaTheme="minorHAnsi" w:hAnsiTheme="minorHAnsi" w:cstheme="minorBidi"/>
          <w:color w:val="auto"/>
          <w:sz w:val="22"/>
          <w:szCs w:val="22"/>
          <w:lang w:eastAsia="en-US"/>
        </w:rPr>
        <w:t>Infosecurity</w:t>
      </w:r>
      <w:proofErr w:type="spellEnd"/>
      <w:r w:rsidRPr="00574D4C">
        <w:rPr>
          <w:rFonts w:asciiTheme="minorHAnsi" w:eastAsiaTheme="minorHAnsi" w:hAnsiTheme="minorHAnsi" w:cstheme="minorBidi"/>
          <w:color w:val="auto"/>
          <w:sz w:val="22"/>
          <w:szCs w:val="22"/>
          <w:lang w:eastAsia="en-US"/>
        </w:rPr>
        <w:t xml:space="preserve"> Magazine reported in May 2022 that</w:t>
      </w:r>
    </w:p>
    <w:p w14:paraId="68ED19E4" w14:textId="77777777" w:rsidR="00574D4C" w:rsidRPr="00574D4C" w:rsidRDefault="00574D4C" w:rsidP="00574D4C">
      <w:pPr>
        <w:overflowPunct/>
        <w:autoSpaceDE/>
        <w:autoSpaceDN/>
        <w:adjustRightInd/>
        <w:spacing w:after="160" w:line="259" w:lineRule="auto"/>
        <w:ind w:left="720"/>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lastRenderedPageBreak/>
        <w:t xml:space="preserve">Sextortion cases in the UK had doubled in 2021 compared to 2020 and that the UK’s Revenge Porn Helpline revealed it had received 1124 reports of sextortion last year, which compares to 593 in 2020. Nearly nine in 10 (88%) cases involved a male victim </w:t>
      </w:r>
      <w:sdt>
        <w:sdtPr>
          <w:rPr>
            <w:rFonts w:asciiTheme="minorHAnsi" w:eastAsiaTheme="minorHAnsi" w:hAnsiTheme="minorHAnsi" w:cstheme="minorBidi"/>
            <w:color w:val="auto"/>
            <w:sz w:val="22"/>
            <w:szCs w:val="22"/>
            <w:lang w:eastAsia="en-US"/>
          </w:rPr>
          <w:id w:val="1673528832"/>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Cok22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(Coker, 2022)</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w:t>
      </w:r>
    </w:p>
    <w:p w14:paraId="6B073B15"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F728D1E"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These types of incidents exploit individual’s vulnerabilities and often suspects will befriend the victim to gain knowledge before exploiting them. In this case, the victims’ loneliness and want for sexual gratification was exploited leaving him to feel violated, used and embarrassed. </w:t>
      </w:r>
    </w:p>
    <w:p w14:paraId="389C6E5F"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4430E5F"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In March of this year, a 17-year-old male from Michigan, USA took his own life hours after falling victim to sextortion. Posing as an attractive teenage girl, the criminals lured the victim into sending a nude picture of himself before demanding money from him. Despite complying to the blackmailers demands and sending them money, they continued to demand more and threatened to distribute the nude picture that they had tricked him into sending to all of his social media contacts </w:t>
      </w:r>
      <w:sdt>
        <w:sdtPr>
          <w:rPr>
            <w:rFonts w:asciiTheme="minorHAnsi" w:eastAsiaTheme="minorHAnsi" w:hAnsiTheme="minorHAnsi" w:cstheme="minorBidi"/>
            <w:color w:val="auto"/>
            <w:sz w:val="22"/>
            <w:szCs w:val="22"/>
            <w:lang w:eastAsia="en-US"/>
          </w:rPr>
          <w:id w:val="1382830962"/>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Bun22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(Bunyan, 2022)</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w:t>
      </w:r>
    </w:p>
    <w:p w14:paraId="7B8B46DF"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Due to the increase of sextortion crimes in the USA, the FBI launched the #stopsextortion campaign in May 2022 to raise awareness amongst parents, guardians and teenagers. “In 2021, the Internet Crime Complaint Centre received more than 18,000 sextortion-related complaints, with losses of more than $13.6 million” </w:t>
      </w:r>
      <w:sdt>
        <w:sdtPr>
          <w:rPr>
            <w:rFonts w:asciiTheme="minorHAnsi" w:eastAsiaTheme="minorHAnsi" w:hAnsiTheme="minorHAnsi" w:cstheme="minorBidi"/>
            <w:color w:val="auto"/>
            <w:sz w:val="22"/>
            <w:szCs w:val="22"/>
            <w:lang w:eastAsia="en-US"/>
          </w:rPr>
          <w:id w:val="-946918144"/>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Lyn22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(Lynch, 2022)</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w:t>
      </w:r>
    </w:p>
    <w:p w14:paraId="292ADC96"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C5D3ED5"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Similarly, ‘child sexual exploitation’ (CSE) focuses on exploiting children’s vulnerabilities for sexual exploitation. Criminals will befriend their victims and ‘groom’ them to gain their trust before manipulating or coercing them into partaking in sexual activity. Often showering the child with gifts to trick them into believing that they are in a loving relationship, victims will not realise or understand that they are being abused and taken advantage of. </w:t>
      </w:r>
    </w:p>
    <w:p w14:paraId="50405123" w14:textId="77777777" w:rsidR="00574D4C" w:rsidRPr="00574D4C" w:rsidRDefault="00574D4C" w:rsidP="00574D4C">
      <w:pPr>
        <w:overflowPunct/>
        <w:autoSpaceDE/>
        <w:autoSpaceDN/>
        <w:adjustRightInd/>
        <w:spacing w:after="160" w:line="259" w:lineRule="auto"/>
        <w:ind w:left="720"/>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Significantly, research conducted by </w:t>
      </w:r>
      <w:proofErr w:type="spellStart"/>
      <w:r w:rsidRPr="00574D4C">
        <w:rPr>
          <w:rFonts w:asciiTheme="minorHAnsi" w:eastAsiaTheme="minorHAnsi" w:hAnsiTheme="minorHAnsi" w:cstheme="minorBidi"/>
          <w:color w:val="auto"/>
          <w:sz w:val="22"/>
          <w:szCs w:val="22"/>
          <w:lang w:eastAsia="en-US"/>
        </w:rPr>
        <w:t>Childwise</w:t>
      </w:r>
      <w:proofErr w:type="spellEnd"/>
      <w:r w:rsidRPr="00574D4C">
        <w:rPr>
          <w:rFonts w:asciiTheme="minorHAnsi" w:eastAsiaTheme="minorHAnsi" w:hAnsiTheme="minorHAnsi" w:cstheme="minorBidi"/>
          <w:color w:val="auto"/>
          <w:sz w:val="22"/>
          <w:szCs w:val="22"/>
          <w:lang w:eastAsia="en-US"/>
        </w:rPr>
        <w:t xml:space="preserve"> has revealed that more than 53% of children in the UK own a mobile phone by the age of seven while a similar proportion (57%) say they sleep with their mobile device beside their bed </w:t>
      </w:r>
      <w:sdt>
        <w:sdtPr>
          <w:rPr>
            <w:rFonts w:asciiTheme="minorHAnsi" w:eastAsiaTheme="minorHAnsi" w:hAnsiTheme="minorHAnsi" w:cstheme="minorBidi"/>
            <w:color w:val="auto"/>
            <w:sz w:val="22"/>
            <w:szCs w:val="22"/>
            <w:lang w:eastAsia="en-US"/>
          </w:rPr>
          <w:id w:val="-508066688"/>
          <w:citation/>
        </w:sdtPr>
        <w:sdtContent>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CITATION You20 \l 2057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(YouGov, 2020)</w:t>
          </w:r>
          <w:r w:rsidRPr="00574D4C">
            <w:rPr>
              <w:rFonts w:asciiTheme="minorHAnsi" w:eastAsiaTheme="minorHAnsi" w:hAnsiTheme="minorHAnsi" w:cstheme="minorBidi"/>
              <w:color w:val="auto"/>
              <w:sz w:val="22"/>
              <w:szCs w:val="22"/>
              <w:lang w:eastAsia="en-US"/>
            </w:rPr>
            <w:fldChar w:fldCharType="end"/>
          </w:r>
        </w:sdtContent>
      </w:sdt>
      <w:r w:rsidRPr="00574D4C">
        <w:rPr>
          <w:rFonts w:asciiTheme="minorHAnsi" w:eastAsiaTheme="minorHAnsi" w:hAnsiTheme="minorHAnsi" w:cstheme="minorBidi"/>
          <w:color w:val="auto"/>
          <w:sz w:val="22"/>
          <w:szCs w:val="22"/>
          <w:lang w:eastAsia="en-US"/>
        </w:rPr>
        <w:t xml:space="preserve">. </w:t>
      </w:r>
    </w:p>
    <w:p w14:paraId="4E758AF3"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E6060F3"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Reflecting on the initial police response that I provided, I feel that I not only took necessary action to reduce risk and safeguard the victim but also equipped him and others with education and awareness. By providing support and advice it will aid them to safely manage their own online activities and prevent them from falling victim to sextortion or other cyber-enabled crimes in the future. </w:t>
      </w:r>
    </w:p>
    <w:p w14:paraId="2274077F"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Unfortunately, this type of crime often leaves its victims feeling humiliated and embarrassed which prevents them from talking about it, but by raising awareness I believe it encourages victims to come forward to report it and obtain help and support. </w:t>
      </w:r>
    </w:p>
    <w:p w14:paraId="55E8513B" w14:textId="32D095CE" w:rsidR="00025650"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color w:val="auto"/>
          <w:sz w:val="22"/>
          <w:szCs w:val="22"/>
          <w:lang w:eastAsia="en-US"/>
        </w:rPr>
        <w:t xml:space="preserve">I also feel that I took appropriate measures to secure best evidence for the offence committed. Due to the nature of these incidents, perpetrators are often hiding behind fake profiles and operating overseas but by collating as much information as possible we can piece it together to close the net on these extortionists. </w:t>
      </w:r>
    </w:p>
    <w:p w14:paraId="4C811AD3" w14:textId="3849D723" w:rsidR="00025650" w:rsidRPr="00574D4C" w:rsidRDefault="00574D4C" w:rsidP="00340E9A">
      <w:pPr>
        <w:ind w:right="237"/>
        <w:jc w:val="both"/>
        <w:rPr>
          <w:rFonts w:asciiTheme="minorHAnsi" w:hAnsiTheme="minorHAnsi" w:cstheme="minorHAnsi"/>
          <w:sz w:val="22"/>
          <w:szCs w:val="22"/>
        </w:rPr>
      </w:pPr>
      <w:r w:rsidRPr="00574D4C">
        <w:rPr>
          <w:rFonts w:asciiTheme="minorHAnsi" w:hAnsiTheme="minorHAnsi" w:cstheme="minorHAnsi"/>
          <w:sz w:val="22"/>
          <w:szCs w:val="22"/>
        </w:rPr>
        <w:t>Word count</w:t>
      </w:r>
      <w:r>
        <w:rPr>
          <w:rFonts w:asciiTheme="minorHAnsi" w:hAnsiTheme="minorHAnsi" w:cstheme="minorHAnsi"/>
          <w:sz w:val="22"/>
          <w:szCs w:val="22"/>
        </w:rPr>
        <w:t xml:space="preserve"> 1353</w:t>
      </w: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26CDA663"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w:t>
      </w:r>
      <w:r w:rsidR="007D2881">
        <w:rPr>
          <w:rStyle w:val="normaltextrun"/>
          <w:rFonts w:eastAsia="Arial"/>
          <w:color w:val="000000" w:themeColor="text1"/>
          <w:sz w:val="24"/>
          <w:szCs w:val="24"/>
        </w:rPr>
        <w:t>V. Allen</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142DFC99"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7D2881">
        <w:rPr>
          <w:rStyle w:val="normaltextrun"/>
          <w:rFonts w:eastAsia="Arial"/>
          <w:color w:val="000000" w:themeColor="text1"/>
          <w:sz w:val="24"/>
          <w:szCs w:val="24"/>
        </w:rPr>
        <w:t>01/08/2022</w:t>
      </w:r>
      <w:r w:rsidRPr="4C3E8AB8">
        <w:rPr>
          <w:rStyle w:val="normaltextrun"/>
          <w:rFonts w:eastAsia="Arial"/>
          <w:color w:val="000000" w:themeColor="text1"/>
          <w:sz w:val="24"/>
          <w:szCs w:val="24"/>
        </w:rPr>
        <w:t>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2165D1A" w14:textId="6AC7E11F" w:rsidR="6E85A413" w:rsidRDefault="00077797" w:rsidP="00DD7FFD">
      <w:pPr>
        <w:keepNext/>
        <w:ind w:right="237"/>
        <w:rPr>
          <w:b/>
          <w:sz w:val="24"/>
          <w:szCs w:val="24"/>
        </w:rPr>
      </w:pPr>
      <w:r w:rsidRPr="00077797">
        <w:rPr>
          <w:b/>
          <w:sz w:val="24"/>
          <w:szCs w:val="24"/>
        </w:rPr>
        <w:t xml:space="preserve">Task 1 </w:t>
      </w:r>
    </w:p>
    <w:p w14:paraId="1114622B" w14:textId="5606C17E" w:rsidR="00077797" w:rsidRDefault="00077797" w:rsidP="00DD7FFD">
      <w:pPr>
        <w:keepNext/>
        <w:ind w:right="237"/>
        <w:rPr>
          <w:b/>
          <w:sz w:val="24"/>
          <w:szCs w:val="24"/>
        </w:rPr>
      </w:pPr>
    </w:p>
    <w:sdt>
      <w:sdtPr>
        <w:rPr>
          <w:rFonts w:ascii="Calibri Light" w:hAnsi="Calibri Light" w:cs="Times New Roman"/>
          <w:color w:val="2E74B5"/>
          <w:sz w:val="32"/>
          <w:szCs w:val="32"/>
          <w:lang w:val="en-US" w:eastAsia="en-US"/>
        </w:rPr>
        <w:id w:val="-237403502"/>
        <w:docPartObj>
          <w:docPartGallery w:val="Bibliographies"/>
          <w:docPartUnique/>
        </w:docPartObj>
      </w:sdtPr>
      <w:sdtEndPr>
        <w:rPr>
          <w:rFonts w:ascii="Calibri" w:eastAsia="Calibri" w:hAnsi="Calibri"/>
          <w:color w:val="auto"/>
          <w:sz w:val="22"/>
          <w:szCs w:val="22"/>
          <w:lang w:val="en-GB"/>
        </w:rPr>
      </w:sdtEndPr>
      <w:sdtContent>
        <w:p w14:paraId="0C4CA04C" w14:textId="77777777" w:rsidR="00077797" w:rsidRPr="00077797" w:rsidRDefault="00077797" w:rsidP="00077797">
          <w:pPr>
            <w:keepNext/>
            <w:keepLines/>
            <w:overflowPunct/>
            <w:autoSpaceDE/>
            <w:autoSpaceDN/>
            <w:adjustRightInd/>
            <w:spacing w:before="240" w:line="259" w:lineRule="auto"/>
            <w:textAlignment w:val="auto"/>
            <w:outlineLvl w:val="0"/>
            <w:rPr>
              <w:rFonts w:ascii="Calibri Light" w:hAnsi="Calibri Light" w:cs="Times New Roman"/>
              <w:color w:val="2E74B5"/>
              <w:sz w:val="32"/>
              <w:szCs w:val="32"/>
              <w:lang w:val="en-US" w:eastAsia="en-US"/>
            </w:rPr>
          </w:pPr>
          <w:r w:rsidRPr="00077797">
            <w:rPr>
              <w:rFonts w:ascii="Calibri Light" w:hAnsi="Calibri Light" w:cs="Times New Roman"/>
              <w:color w:val="2E74B5"/>
              <w:sz w:val="32"/>
              <w:szCs w:val="32"/>
              <w:lang w:val="en-US" w:eastAsia="en-US"/>
            </w:rPr>
            <w:t>Bibliography</w:t>
          </w:r>
        </w:p>
        <w:sdt>
          <w:sdtPr>
            <w:rPr>
              <w:rFonts w:ascii="Calibri" w:eastAsia="Calibri" w:hAnsi="Calibri" w:cs="Times New Roman"/>
              <w:color w:val="auto"/>
              <w:sz w:val="22"/>
              <w:szCs w:val="22"/>
              <w:lang w:eastAsia="en-US"/>
            </w:rPr>
            <w:id w:val="111145805"/>
            <w:bibliography/>
          </w:sdtPr>
          <w:sdtContent>
            <w:p w14:paraId="72AE312A"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noProof/>
                  <w:color w:val="auto"/>
                  <w:sz w:val="24"/>
                  <w:szCs w:val="24"/>
                  <w:lang w:val="en-US" w:eastAsia="en-US"/>
                </w:rPr>
              </w:pPr>
              <w:r w:rsidRPr="00077797">
                <w:rPr>
                  <w:rFonts w:ascii="Calibri" w:eastAsia="Calibri" w:hAnsi="Calibri" w:cs="Times New Roman"/>
                  <w:color w:val="auto"/>
                  <w:sz w:val="22"/>
                  <w:szCs w:val="22"/>
                  <w:lang w:eastAsia="en-US"/>
                </w:rPr>
                <w:fldChar w:fldCharType="begin"/>
              </w:r>
              <w:r w:rsidRPr="00077797">
                <w:rPr>
                  <w:rFonts w:ascii="Calibri" w:eastAsia="Calibri" w:hAnsi="Calibri" w:cs="Times New Roman"/>
                  <w:color w:val="auto"/>
                  <w:sz w:val="22"/>
                  <w:szCs w:val="22"/>
                  <w:lang w:eastAsia="en-US"/>
                </w:rPr>
                <w:instrText xml:space="preserve"> BIBLIOGRAPHY </w:instrText>
              </w:r>
              <w:r w:rsidRPr="00077797">
                <w:rPr>
                  <w:rFonts w:ascii="Calibri" w:eastAsia="Calibri" w:hAnsi="Calibri" w:cs="Times New Roman"/>
                  <w:color w:val="auto"/>
                  <w:sz w:val="22"/>
                  <w:szCs w:val="22"/>
                  <w:lang w:eastAsia="en-US"/>
                </w:rPr>
                <w:fldChar w:fldCharType="separate"/>
              </w:r>
              <w:r w:rsidRPr="00077797">
                <w:rPr>
                  <w:rFonts w:ascii="Calibri" w:eastAsia="Calibri" w:hAnsi="Calibri" w:cs="Times New Roman"/>
                  <w:noProof/>
                  <w:color w:val="auto"/>
                  <w:sz w:val="22"/>
                  <w:szCs w:val="22"/>
                  <w:lang w:val="en-US" w:eastAsia="en-US"/>
                </w:rPr>
                <w:t xml:space="preserve">Cherepanova, V., 2018. </w:t>
              </w:r>
              <w:r w:rsidRPr="00077797">
                <w:rPr>
                  <w:rFonts w:ascii="Calibri" w:eastAsia="Calibri" w:hAnsi="Calibri" w:cs="Times New Roman"/>
                  <w:i/>
                  <w:iCs/>
                  <w:noProof/>
                  <w:color w:val="auto"/>
                  <w:sz w:val="22"/>
                  <w:szCs w:val="22"/>
                  <w:lang w:val="en-US" w:eastAsia="en-US"/>
                </w:rPr>
                <w:t xml:space="preserve">Organizational Justice as a Key Metrics of Ethical Culture. </w:t>
              </w:r>
              <w:r w:rsidRPr="00077797">
                <w:rPr>
                  <w:rFonts w:ascii="Calibri" w:eastAsia="Calibri" w:hAnsi="Calibri" w:cs="Times New Roman"/>
                  <w:noProof/>
                  <w:color w:val="auto"/>
                  <w:sz w:val="22"/>
                  <w:szCs w:val="22"/>
                  <w:lang w:val="en-US" w:eastAsia="en-US"/>
                </w:rPr>
                <w:t xml:space="preserve">[Online] </w:t>
              </w:r>
              <w:r w:rsidRPr="00077797">
                <w:rPr>
                  <w:rFonts w:ascii="Calibri" w:eastAsia="Calibri" w:hAnsi="Calibri" w:cs="Times New Roman"/>
                  <w:noProof/>
                  <w:color w:val="auto"/>
                  <w:sz w:val="22"/>
                  <w:szCs w:val="22"/>
                  <w:lang w:val="en-US" w:eastAsia="en-US"/>
                </w:rPr>
                <w:br/>
                <w:t xml:space="preserve">Available at: </w:t>
              </w:r>
              <w:r w:rsidRPr="00077797">
                <w:rPr>
                  <w:rFonts w:ascii="Calibri" w:eastAsia="Calibri" w:hAnsi="Calibri" w:cs="Times New Roman"/>
                  <w:noProof/>
                  <w:color w:val="auto"/>
                  <w:sz w:val="22"/>
                  <w:szCs w:val="22"/>
                  <w:u w:val="single"/>
                  <w:lang w:val="en-US" w:eastAsia="en-US"/>
                </w:rPr>
                <w:t>https://www.complianceandethics.org/organizational-justice-as-a-key-metrics-of-ethical-culture/</w:t>
              </w:r>
              <w:r w:rsidRPr="00077797">
                <w:rPr>
                  <w:rFonts w:ascii="Calibri" w:eastAsia="Calibri" w:hAnsi="Calibri" w:cs="Times New Roman"/>
                  <w:noProof/>
                  <w:color w:val="auto"/>
                  <w:sz w:val="22"/>
                  <w:szCs w:val="22"/>
                  <w:lang w:val="en-US" w:eastAsia="en-US"/>
                </w:rPr>
                <w:br/>
                <w:t>[Accessed 6 June 2022].</w:t>
              </w:r>
            </w:p>
            <w:p w14:paraId="1FA102E2"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noProof/>
                  <w:color w:val="auto"/>
                  <w:sz w:val="22"/>
                  <w:szCs w:val="22"/>
                  <w:lang w:val="en-US" w:eastAsia="en-US"/>
                </w:rPr>
              </w:pPr>
              <w:r w:rsidRPr="00077797">
                <w:rPr>
                  <w:rFonts w:ascii="Calibri" w:eastAsia="Calibri" w:hAnsi="Calibri" w:cs="Times New Roman"/>
                  <w:noProof/>
                  <w:color w:val="auto"/>
                  <w:sz w:val="22"/>
                  <w:szCs w:val="22"/>
                  <w:lang w:val="en-US" w:eastAsia="en-US"/>
                </w:rPr>
                <w:lastRenderedPageBreak/>
                <w:t xml:space="preserve">Cohen-Charash, Y. &amp; Spector, P. E., 2001. The Role of Justice in Organizations: A Meta-Analysis. </w:t>
              </w:r>
              <w:r w:rsidRPr="00077797">
                <w:rPr>
                  <w:rFonts w:ascii="Calibri" w:eastAsia="Calibri" w:hAnsi="Calibri" w:cs="Times New Roman"/>
                  <w:i/>
                  <w:iCs/>
                  <w:noProof/>
                  <w:color w:val="auto"/>
                  <w:sz w:val="22"/>
                  <w:szCs w:val="22"/>
                  <w:lang w:val="en-US" w:eastAsia="en-US"/>
                </w:rPr>
                <w:t xml:space="preserve">Organizational Behavior and Human Decision Processes, </w:t>
              </w:r>
              <w:r w:rsidRPr="00077797">
                <w:rPr>
                  <w:rFonts w:ascii="Calibri" w:eastAsia="Calibri" w:hAnsi="Calibri" w:cs="Times New Roman"/>
                  <w:noProof/>
                  <w:color w:val="auto"/>
                  <w:sz w:val="22"/>
                  <w:szCs w:val="22"/>
                  <w:lang w:val="en-US" w:eastAsia="en-US"/>
                </w:rPr>
                <w:t>86(2), pp. 278-321.</w:t>
              </w:r>
            </w:p>
            <w:p w14:paraId="7EF85DDB"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noProof/>
                  <w:color w:val="auto"/>
                  <w:sz w:val="22"/>
                  <w:szCs w:val="22"/>
                  <w:lang w:val="en-US" w:eastAsia="en-US"/>
                </w:rPr>
              </w:pPr>
              <w:r w:rsidRPr="00077797">
                <w:rPr>
                  <w:rFonts w:ascii="Calibri" w:eastAsia="Calibri" w:hAnsi="Calibri" w:cs="Times New Roman"/>
                  <w:noProof/>
                  <w:color w:val="auto"/>
                  <w:sz w:val="22"/>
                  <w:szCs w:val="22"/>
                  <w:lang w:val="en-US" w:eastAsia="en-US"/>
                </w:rPr>
                <w:t xml:space="preserve">College of Policing, 2014. </w:t>
              </w:r>
              <w:r w:rsidRPr="00077797">
                <w:rPr>
                  <w:rFonts w:ascii="Calibri" w:eastAsia="Calibri" w:hAnsi="Calibri" w:cs="Times New Roman"/>
                  <w:i/>
                  <w:iCs/>
                  <w:noProof/>
                  <w:color w:val="auto"/>
                  <w:sz w:val="22"/>
                  <w:szCs w:val="22"/>
                  <w:lang w:val="en-US" w:eastAsia="en-US"/>
                </w:rPr>
                <w:t xml:space="preserve">Code of Ethics. </w:t>
              </w:r>
              <w:r w:rsidRPr="00077797">
                <w:rPr>
                  <w:rFonts w:ascii="Calibri" w:eastAsia="Calibri" w:hAnsi="Calibri" w:cs="Times New Roman"/>
                  <w:noProof/>
                  <w:color w:val="auto"/>
                  <w:sz w:val="22"/>
                  <w:szCs w:val="22"/>
                  <w:lang w:val="en-US" w:eastAsia="en-US"/>
                </w:rPr>
                <w:t xml:space="preserve">[Online] </w:t>
              </w:r>
              <w:r w:rsidRPr="00077797">
                <w:rPr>
                  <w:rFonts w:ascii="Calibri" w:eastAsia="Calibri" w:hAnsi="Calibri" w:cs="Times New Roman"/>
                  <w:noProof/>
                  <w:color w:val="auto"/>
                  <w:sz w:val="22"/>
                  <w:szCs w:val="22"/>
                  <w:lang w:val="en-US" w:eastAsia="en-US"/>
                </w:rPr>
                <w:br/>
                <w:t xml:space="preserve">Available at: </w:t>
              </w:r>
              <w:r w:rsidRPr="00077797">
                <w:rPr>
                  <w:rFonts w:ascii="Calibri" w:eastAsia="Calibri" w:hAnsi="Calibri" w:cs="Times New Roman"/>
                  <w:noProof/>
                  <w:color w:val="auto"/>
                  <w:sz w:val="22"/>
                  <w:szCs w:val="22"/>
                  <w:u w:val="single"/>
                  <w:lang w:val="en-US" w:eastAsia="en-US"/>
                </w:rPr>
                <w:t>https://assets.college.police.uk/s3fs-public/2021-02/code_of_ethics.pdf</w:t>
              </w:r>
              <w:r w:rsidRPr="00077797">
                <w:rPr>
                  <w:rFonts w:ascii="Calibri" w:eastAsia="Calibri" w:hAnsi="Calibri" w:cs="Times New Roman"/>
                  <w:noProof/>
                  <w:color w:val="auto"/>
                  <w:sz w:val="22"/>
                  <w:szCs w:val="22"/>
                  <w:lang w:val="en-US" w:eastAsia="en-US"/>
                </w:rPr>
                <w:br/>
                <w:t>[Accessed 1 April 2022].</w:t>
              </w:r>
            </w:p>
            <w:p w14:paraId="19359EE2"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noProof/>
                  <w:color w:val="auto"/>
                  <w:sz w:val="22"/>
                  <w:szCs w:val="22"/>
                  <w:lang w:val="en-US" w:eastAsia="en-US"/>
                </w:rPr>
              </w:pPr>
              <w:r w:rsidRPr="00077797">
                <w:rPr>
                  <w:rFonts w:ascii="Calibri" w:eastAsia="Calibri" w:hAnsi="Calibri" w:cs="Times New Roman"/>
                  <w:noProof/>
                  <w:color w:val="auto"/>
                  <w:sz w:val="22"/>
                  <w:szCs w:val="22"/>
                  <w:lang w:val="en-US" w:eastAsia="en-US"/>
                </w:rPr>
                <w:t xml:space="preserve">College of Policing, n.d.. </w:t>
              </w:r>
              <w:r w:rsidRPr="00077797">
                <w:rPr>
                  <w:rFonts w:ascii="Calibri" w:eastAsia="Calibri" w:hAnsi="Calibri" w:cs="Times New Roman"/>
                  <w:i/>
                  <w:iCs/>
                  <w:noProof/>
                  <w:color w:val="auto"/>
                  <w:sz w:val="22"/>
                  <w:szCs w:val="22"/>
                  <w:lang w:val="en-US" w:eastAsia="en-US"/>
                </w:rPr>
                <w:t xml:space="preserve">Code of Ethics. </w:t>
              </w:r>
              <w:r w:rsidRPr="00077797">
                <w:rPr>
                  <w:rFonts w:ascii="Calibri" w:eastAsia="Calibri" w:hAnsi="Calibri" w:cs="Times New Roman"/>
                  <w:noProof/>
                  <w:color w:val="auto"/>
                  <w:sz w:val="22"/>
                  <w:szCs w:val="22"/>
                  <w:lang w:val="en-US" w:eastAsia="en-US"/>
                </w:rPr>
                <w:t xml:space="preserve">[Online] </w:t>
              </w:r>
              <w:r w:rsidRPr="00077797">
                <w:rPr>
                  <w:rFonts w:ascii="Calibri" w:eastAsia="Calibri" w:hAnsi="Calibri" w:cs="Times New Roman"/>
                  <w:noProof/>
                  <w:color w:val="auto"/>
                  <w:sz w:val="22"/>
                  <w:szCs w:val="22"/>
                  <w:lang w:val="en-US" w:eastAsia="en-US"/>
                </w:rPr>
                <w:br/>
                <w:t xml:space="preserve">Available at: </w:t>
              </w:r>
              <w:r w:rsidRPr="00077797">
                <w:rPr>
                  <w:rFonts w:ascii="Calibri" w:eastAsia="Calibri" w:hAnsi="Calibri" w:cs="Times New Roman"/>
                  <w:noProof/>
                  <w:color w:val="auto"/>
                  <w:sz w:val="22"/>
                  <w:szCs w:val="22"/>
                  <w:u w:val="single"/>
                  <w:lang w:val="en-US" w:eastAsia="en-US"/>
                </w:rPr>
                <w:t>https://www.college.police.uk/ethics/code-of-ethics</w:t>
              </w:r>
              <w:r w:rsidRPr="00077797">
                <w:rPr>
                  <w:rFonts w:ascii="Calibri" w:eastAsia="Calibri" w:hAnsi="Calibri" w:cs="Times New Roman"/>
                  <w:noProof/>
                  <w:color w:val="auto"/>
                  <w:sz w:val="22"/>
                  <w:szCs w:val="22"/>
                  <w:lang w:val="en-US" w:eastAsia="en-US"/>
                </w:rPr>
                <w:br/>
                <w:t>[Accessed 31 January 2022].</w:t>
              </w:r>
            </w:p>
            <w:p w14:paraId="391D158D"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noProof/>
                  <w:color w:val="auto"/>
                  <w:sz w:val="22"/>
                  <w:szCs w:val="22"/>
                  <w:lang w:val="en-US" w:eastAsia="en-US"/>
                </w:rPr>
              </w:pPr>
              <w:r w:rsidRPr="00077797">
                <w:rPr>
                  <w:rFonts w:ascii="Calibri" w:eastAsia="Calibri" w:hAnsi="Calibri" w:cs="Times New Roman"/>
                  <w:noProof/>
                  <w:color w:val="auto"/>
                  <w:sz w:val="22"/>
                  <w:szCs w:val="22"/>
                  <w:lang w:val="en-US" w:eastAsia="en-US"/>
                </w:rPr>
                <w:t xml:space="preserve">Colquitt, J. A. &amp; Murphy, K. R., 2001. On the Dimensionality of Organizational Justice: a Construct Validation of a Measure. </w:t>
              </w:r>
              <w:r w:rsidRPr="00077797">
                <w:rPr>
                  <w:rFonts w:ascii="Calibri" w:eastAsia="Calibri" w:hAnsi="Calibri" w:cs="Times New Roman"/>
                  <w:i/>
                  <w:iCs/>
                  <w:noProof/>
                  <w:color w:val="auto"/>
                  <w:sz w:val="22"/>
                  <w:szCs w:val="22"/>
                  <w:lang w:val="en-US" w:eastAsia="en-US"/>
                </w:rPr>
                <w:t xml:space="preserve">Journal of applied psychology, </w:t>
              </w:r>
              <w:r w:rsidRPr="00077797">
                <w:rPr>
                  <w:rFonts w:ascii="Calibri" w:eastAsia="Calibri" w:hAnsi="Calibri" w:cs="Times New Roman"/>
                  <w:noProof/>
                  <w:color w:val="auto"/>
                  <w:sz w:val="22"/>
                  <w:szCs w:val="22"/>
                  <w:lang w:val="en-US" w:eastAsia="en-US"/>
                </w:rPr>
                <w:t>86(3), pp. 386-400.</w:t>
              </w:r>
            </w:p>
            <w:p w14:paraId="2BD086B5"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noProof/>
                  <w:color w:val="auto"/>
                  <w:sz w:val="22"/>
                  <w:szCs w:val="22"/>
                  <w:lang w:val="en-US" w:eastAsia="en-US"/>
                </w:rPr>
              </w:pPr>
              <w:r w:rsidRPr="00077797">
                <w:rPr>
                  <w:rFonts w:ascii="Calibri" w:eastAsia="Calibri" w:hAnsi="Calibri" w:cs="Times New Roman"/>
                  <w:noProof/>
                  <w:color w:val="auto"/>
                  <w:sz w:val="22"/>
                  <w:szCs w:val="22"/>
                  <w:lang w:val="en-US" w:eastAsia="en-US"/>
                </w:rPr>
                <w:t xml:space="preserve">Her Majesty's Inspectorate of Probation, 2020. </w:t>
              </w:r>
              <w:r w:rsidRPr="00077797">
                <w:rPr>
                  <w:rFonts w:ascii="Calibri" w:eastAsia="Calibri" w:hAnsi="Calibri" w:cs="Times New Roman"/>
                  <w:i/>
                  <w:iCs/>
                  <w:noProof/>
                  <w:color w:val="auto"/>
                  <w:sz w:val="22"/>
                  <w:szCs w:val="22"/>
                  <w:lang w:val="en-US" w:eastAsia="en-US"/>
                </w:rPr>
                <w:t xml:space="preserve">Procedural justice. </w:t>
              </w:r>
              <w:r w:rsidRPr="00077797">
                <w:rPr>
                  <w:rFonts w:ascii="Calibri" w:eastAsia="Calibri" w:hAnsi="Calibri" w:cs="Times New Roman"/>
                  <w:noProof/>
                  <w:color w:val="auto"/>
                  <w:sz w:val="22"/>
                  <w:szCs w:val="22"/>
                  <w:lang w:val="en-US" w:eastAsia="en-US"/>
                </w:rPr>
                <w:t xml:space="preserve">[Online] </w:t>
              </w:r>
              <w:r w:rsidRPr="00077797">
                <w:rPr>
                  <w:rFonts w:ascii="Calibri" w:eastAsia="Calibri" w:hAnsi="Calibri" w:cs="Times New Roman"/>
                  <w:noProof/>
                  <w:color w:val="auto"/>
                  <w:sz w:val="22"/>
                  <w:szCs w:val="22"/>
                  <w:lang w:val="en-US" w:eastAsia="en-US"/>
                </w:rPr>
                <w:br/>
                <w:t xml:space="preserve">Available at: </w:t>
              </w:r>
              <w:r w:rsidRPr="00077797">
                <w:rPr>
                  <w:rFonts w:ascii="Calibri" w:eastAsia="Calibri" w:hAnsi="Calibri" w:cs="Times New Roman"/>
                  <w:noProof/>
                  <w:color w:val="auto"/>
                  <w:sz w:val="22"/>
                  <w:szCs w:val="22"/>
                  <w:u w:val="single"/>
                  <w:lang w:val="en-US" w:eastAsia="en-US"/>
                </w:rPr>
                <w:t>https://www.justiceinspectorates.gov.uk/hmiprobation/research/the-evidence-base-probation/models-and-principles/procedural-justice/</w:t>
              </w:r>
              <w:r w:rsidRPr="00077797">
                <w:rPr>
                  <w:rFonts w:ascii="Calibri" w:eastAsia="Calibri" w:hAnsi="Calibri" w:cs="Times New Roman"/>
                  <w:noProof/>
                  <w:color w:val="auto"/>
                  <w:sz w:val="22"/>
                  <w:szCs w:val="22"/>
                  <w:lang w:val="en-US" w:eastAsia="en-US"/>
                </w:rPr>
                <w:br/>
                <w:t>[Accessed 6 June 2022].</w:t>
              </w:r>
            </w:p>
            <w:p w14:paraId="79CCA857"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noProof/>
                  <w:color w:val="auto"/>
                  <w:sz w:val="22"/>
                  <w:szCs w:val="22"/>
                  <w:lang w:val="en-US" w:eastAsia="en-US"/>
                </w:rPr>
              </w:pPr>
              <w:r w:rsidRPr="00077797">
                <w:rPr>
                  <w:rFonts w:ascii="Calibri" w:eastAsia="Calibri" w:hAnsi="Calibri" w:cs="Times New Roman"/>
                  <w:noProof/>
                  <w:color w:val="auto"/>
                  <w:sz w:val="22"/>
                  <w:szCs w:val="22"/>
                  <w:lang w:val="en-US" w:eastAsia="en-US"/>
                </w:rPr>
                <w:t xml:space="preserve">Isabirye, A. K. &amp; Orando, M., 2020. ORGANISATIONAL JUSTICE: A MATRIX FOR ETHICS AND INTEGRITY FOR IMPROVING CONSTRUCTION PRODUCTIVITY IN SOUTH AFRICA. </w:t>
              </w:r>
              <w:r w:rsidRPr="00077797">
                <w:rPr>
                  <w:rFonts w:ascii="Calibri" w:eastAsia="Calibri" w:hAnsi="Calibri" w:cs="Times New Roman"/>
                  <w:i/>
                  <w:iCs/>
                  <w:noProof/>
                  <w:color w:val="auto"/>
                  <w:sz w:val="22"/>
                  <w:szCs w:val="22"/>
                  <w:lang w:val="en-US" w:eastAsia="en-US"/>
                </w:rPr>
                <w:t xml:space="preserve">INTERNATIONAL JOURNAL OF BUSINESS AND MANAGEMENT STUDIES, </w:t>
              </w:r>
              <w:r w:rsidRPr="00077797">
                <w:rPr>
                  <w:rFonts w:ascii="Calibri" w:eastAsia="Calibri" w:hAnsi="Calibri" w:cs="Times New Roman"/>
                  <w:noProof/>
                  <w:color w:val="auto"/>
                  <w:sz w:val="22"/>
                  <w:szCs w:val="22"/>
                  <w:lang w:val="en-US" w:eastAsia="en-US"/>
                </w:rPr>
                <w:t>12(2), pp. 340-355.</w:t>
              </w:r>
            </w:p>
            <w:p w14:paraId="3B630299"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noProof/>
                  <w:color w:val="auto"/>
                  <w:sz w:val="22"/>
                  <w:szCs w:val="22"/>
                  <w:lang w:val="en-US" w:eastAsia="en-US"/>
                </w:rPr>
              </w:pPr>
              <w:r w:rsidRPr="00077797">
                <w:rPr>
                  <w:rFonts w:ascii="Calibri" w:eastAsia="Calibri" w:hAnsi="Calibri" w:cs="Times New Roman"/>
                  <w:noProof/>
                  <w:color w:val="auto"/>
                  <w:sz w:val="22"/>
                  <w:szCs w:val="22"/>
                  <w:lang w:val="en-US" w:eastAsia="en-US"/>
                </w:rPr>
                <w:t xml:space="preserve">Quinton, P. et al., 2015. </w:t>
              </w:r>
              <w:r w:rsidRPr="00077797">
                <w:rPr>
                  <w:rFonts w:ascii="Calibri" w:eastAsia="Calibri" w:hAnsi="Calibri" w:cs="Times New Roman"/>
                  <w:i/>
                  <w:iCs/>
                  <w:noProof/>
                  <w:color w:val="auto"/>
                  <w:sz w:val="22"/>
                  <w:szCs w:val="22"/>
                  <w:lang w:val="en-US" w:eastAsia="en-US"/>
                </w:rPr>
                <w:t xml:space="preserve">Fair cop 2: Organisational justice, behaviour and ethical policing, </w:t>
              </w:r>
              <w:r w:rsidRPr="00077797">
                <w:rPr>
                  <w:rFonts w:ascii="Calibri" w:eastAsia="Calibri" w:hAnsi="Calibri" w:cs="Times New Roman"/>
                  <w:noProof/>
                  <w:color w:val="auto"/>
                  <w:sz w:val="22"/>
                  <w:szCs w:val="22"/>
                  <w:lang w:val="en-US" w:eastAsia="en-US"/>
                </w:rPr>
                <w:t>s.l.: College of Policing .</w:t>
              </w:r>
            </w:p>
            <w:p w14:paraId="60677E1F"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noProof/>
                  <w:color w:val="auto"/>
                  <w:sz w:val="22"/>
                  <w:szCs w:val="22"/>
                  <w:lang w:val="en-US" w:eastAsia="en-US"/>
                </w:rPr>
              </w:pPr>
              <w:r w:rsidRPr="00077797">
                <w:rPr>
                  <w:rFonts w:ascii="Calibri" w:eastAsia="Calibri" w:hAnsi="Calibri" w:cs="Times New Roman"/>
                  <w:noProof/>
                  <w:color w:val="auto"/>
                  <w:sz w:val="22"/>
                  <w:szCs w:val="22"/>
                  <w:lang w:val="en-US" w:eastAsia="en-US"/>
                </w:rPr>
                <w:t xml:space="preserve">South Wales Police, n.d. </w:t>
              </w:r>
              <w:r w:rsidRPr="00077797">
                <w:rPr>
                  <w:rFonts w:ascii="Calibri" w:eastAsia="Calibri" w:hAnsi="Calibri" w:cs="Times New Roman"/>
                  <w:i/>
                  <w:iCs/>
                  <w:noProof/>
                  <w:color w:val="auto"/>
                  <w:sz w:val="22"/>
                  <w:szCs w:val="22"/>
                  <w:lang w:val="en-US" w:eastAsia="en-US"/>
                </w:rPr>
                <w:t xml:space="preserve">Our vision, values and ethics. </w:t>
              </w:r>
              <w:r w:rsidRPr="00077797">
                <w:rPr>
                  <w:rFonts w:ascii="Calibri" w:eastAsia="Calibri" w:hAnsi="Calibri" w:cs="Times New Roman"/>
                  <w:noProof/>
                  <w:color w:val="auto"/>
                  <w:sz w:val="22"/>
                  <w:szCs w:val="22"/>
                  <w:lang w:val="en-US" w:eastAsia="en-US"/>
                </w:rPr>
                <w:t xml:space="preserve">[Online] </w:t>
              </w:r>
              <w:r w:rsidRPr="00077797">
                <w:rPr>
                  <w:rFonts w:ascii="Calibri" w:eastAsia="Calibri" w:hAnsi="Calibri" w:cs="Times New Roman"/>
                  <w:noProof/>
                  <w:color w:val="auto"/>
                  <w:sz w:val="22"/>
                  <w:szCs w:val="22"/>
                  <w:lang w:val="en-US" w:eastAsia="en-US"/>
                </w:rPr>
                <w:br/>
                <w:t xml:space="preserve">Available at: </w:t>
              </w:r>
              <w:r w:rsidRPr="00077797">
                <w:rPr>
                  <w:rFonts w:ascii="Calibri" w:eastAsia="Calibri" w:hAnsi="Calibri" w:cs="Times New Roman"/>
                  <w:noProof/>
                  <w:color w:val="auto"/>
                  <w:sz w:val="22"/>
                  <w:szCs w:val="22"/>
                  <w:u w:val="single"/>
                  <w:lang w:val="en-US" w:eastAsia="en-US"/>
                </w:rPr>
                <w:t>https://www.south-wales.police.uk/police-forces/south-wales-police/areas/about-us/about-us/our-vision-values-and-ethics/</w:t>
              </w:r>
              <w:r w:rsidRPr="00077797">
                <w:rPr>
                  <w:rFonts w:ascii="Calibri" w:eastAsia="Calibri" w:hAnsi="Calibri" w:cs="Times New Roman"/>
                  <w:noProof/>
                  <w:color w:val="auto"/>
                  <w:sz w:val="22"/>
                  <w:szCs w:val="22"/>
                  <w:lang w:val="en-US" w:eastAsia="en-US"/>
                </w:rPr>
                <w:br/>
                <w:t>[Accessed 6 June 2022].</w:t>
              </w:r>
            </w:p>
            <w:p w14:paraId="7D5E6398"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noProof/>
                  <w:color w:val="auto"/>
                  <w:sz w:val="22"/>
                  <w:szCs w:val="22"/>
                  <w:lang w:val="en-US" w:eastAsia="en-US"/>
                </w:rPr>
              </w:pPr>
              <w:r w:rsidRPr="00077797">
                <w:rPr>
                  <w:rFonts w:ascii="Calibri" w:eastAsia="Calibri" w:hAnsi="Calibri" w:cs="Times New Roman"/>
                  <w:noProof/>
                  <w:color w:val="auto"/>
                  <w:sz w:val="22"/>
                  <w:szCs w:val="22"/>
                  <w:lang w:val="en-US" w:eastAsia="en-US"/>
                </w:rPr>
                <w:t xml:space="preserve">WOLFE, S. E. &amp; PIQUERO, A. R., 2011. ORGANIZATIONAL JUSTICE AND POLICE MISCONDUCT. </w:t>
              </w:r>
              <w:r w:rsidRPr="00077797">
                <w:rPr>
                  <w:rFonts w:ascii="Calibri" w:eastAsia="Calibri" w:hAnsi="Calibri" w:cs="Times New Roman"/>
                  <w:i/>
                  <w:iCs/>
                  <w:noProof/>
                  <w:color w:val="auto"/>
                  <w:sz w:val="22"/>
                  <w:szCs w:val="22"/>
                  <w:lang w:val="en-US" w:eastAsia="en-US"/>
                </w:rPr>
                <w:t xml:space="preserve">CRIMINAL JUSTICE AND BEHAVIOR, </w:t>
              </w:r>
              <w:r w:rsidRPr="00077797">
                <w:rPr>
                  <w:rFonts w:ascii="Calibri" w:eastAsia="Calibri" w:hAnsi="Calibri" w:cs="Times New Roman"/>
                  <w:noProof/>
                  <w:color w:val="auto"/>
                  <w:sz w:val="22"/>
                  <w:szCs w:val="22"/>
                  <w:lang w:val="en-US" w:eastAsia="en-US"/>
                </w:rPr>
                <w:t>38(4), pp. 332-353.</w:t>
              </w:r>
            </w:p>
            <w:p w14:paraId="291FB37C"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noProof/>
                  <w:color w:val="auto"/>
                  <w:sz w:val="22"/>
                  <w:szCs w:val="22"/>
                  <w:lang w:val="en-US" w:eastAsia="en-US"/>
                </w:rPr>
              </w:pPr>
              <w:r w:rsidRPr="00077797">
                <w:rPr>
                  <w:rFonts w:ascii="Calibri" w:eastAsia="Calibri" w:hAnsi="Calibri" w:cs="Times New Roman"/>
                  <w:noProof/>
                  <w:color w:val="auto"/>
                  <w:sz w:val="22"/>
                  <w:szCs w:val="22"/>
                  <w:lang w:val="en-US" w:eastAsia="en-US"/>
                </w:rPr>
                <w:t xml:space="preserve">Yale Law School, n.d. </w:t>
              </w:r>
              <w:r w:rsidRPr="00077797">
                <w:rPr>
                  <w:rFonts w:ascii="Calibri" w:eastAsia="Calibri" w:hAnsi="Calibri" w:cs="Times New Roman"/>
                  <w:i/>
                  <w:iCs/>
                  <w:noProof/>
                  <w:color w:val="auto"/>
                  <w:sz w:val="22"/>
                  <w:szCs w:val="22"/>
                  <w:lang w:val="en-US" w:eastAsia="en-US"/>
                </w:rPr>
                <w:t xml:space="preserve">Procedural Justice. </w:t>
              </w:r>
              <w:r w:rsidRPr="00077797">
                <w:rPr>
                  <w:rFonts w:ascii="Calibri" w:eastAsia="Calibri" w:hAnsi="Calibri" w:cs="Times New Roman"/>
                  <w:noProof/>
                  <w:color w:val="auto"/>
                  <w:sz w:val="22"/>
                  <w:szCs w:val="22"/>
                  <w:lang w:val="en-US" w:eastAsia="en-US"/>
                </w:rPr>
                <w:t xml:space="preserve">[Online] </w:t>
              </w:r>
              <w:r w:rsidRPr="00077797">
                <w:rPr>
                  <w:rFonts w:ascii="Calibri" w:eastAsia="Calibri" w:hAnsi="Calibri" w:cs="Times New Roman"/>
                  <w:noProof/>
                  <w:color w:val="auto"/>
                  <w:sz w:val="22"/>
                  <w:szCs w:val="22"/>
                  <w:lang w:val="en-US" w:eastAsia="en-US"/>
                </w:rPr>
                <w:br/>
                <w:t xml:space="preserve">Available at: </w:t>
              </w:r>
              <w:r w:rsidRPr="00077797">
                <w:rPr>
                  <w:rFonts w:ascii="Calibri" w:eastAsia="Calibri" w:hAnsi="Calibri" w:cs="Times New Roman"/>
                  <w:noProof/>
                  <w:color w:val="auto"/>
                  <w:sz w:val="22"/>
                  <w:szCs w:val="22"/>
                  <w:u w:val="single"/>
                  <w:lang w:val="en-US" w:eastAsia="en-US"/>
                </w:rPr>
                <w:t>https://law.yale.edu/justice-collaboratory/procedural-justice</w:t>
              </w:r>
              <w:r w:rsidRPr="00077797">
                <w:rPr>
                  <w:rFonts w:ascii="Calibri" w:eastAsia="Calibri" w:hAnsi="Calibri" w:cs="Times New Roman"/>
                  <w:noProof/>
                  <w:color w:val="auto"/>
                  <w:sz w:val="22"/>
                  <w:szCs w:val="22"/>
                  <w:lang w:val="en-US" w:eastAsia="en-US"/>
                </w:rPr>
                <w:br/>
                <w:t>[Accessed 6 June 2022].</w:t>
              </w:r>
            </w:p>
            <w:p w14:paraId="403559DD" w14:textId="77777777" w:rsidR="00077797" w:rsidRPr="00077797" w:rsidRDefault="00077797" w:rsidP="0007779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77797">
                <w:rPr>
                  <w:rFonts w:ascii="Calibri" w:eastAsia="Calibri" w:hAnsi="Calibri" w:cs="Times New Roman"/>
                  <w:b/>
                  <w:bCs/>
                  <w:noProof/>
                  <w:color w:val="auto"/>
                  <w:sz w:val="22"/>
                  <w:szCs w:val="22"/>
                  <w:lang w:eastAsia="en-US"/>
                </w:rPr>
                <w:fldChar w:fldCharType="end"/>
              </w:r>
            </w:p>
          </w:sdtContent>
        </w:sdt>
      </w:sdtContent>
    </w:sdt>
    <w:p w14:paraId="5C39EF9D" w14:textId="55AB4D0D" w:rsidR="00077797" w:rsidRDefault="00077797" w:rsidP="00DD7FFD">
      <w:pPr>
        <w:keepNext/>
        <w:ind w:right="237"/>
        <w:rPr>
          <w:b/>
          <w:sz w:val="24"/>
          <w:szCs w:val="24"/>
        </w:rPr>
      </w:pPr>
      <w:r>
        <w:rPr>
          <w:b/>
          <w:sz w:val="24"/>
          <w:szCs w:val="24"/>
        </w:rPr>
        <w:t xml:space="preserve">Task 2 </w:t>
      </w:r>
    </w:p>
    <w:p w14:paraId="28D9E50E" w14:textId="4A350BDF" w:rsidR="00C23151" w:rsidRDefault="00C23151" w:rsidP="00C23151">
      <w:pPr>
        <w:rPr>
          <w:b/>
          <w:sz w:val="24"/>
          <w:szCs w:val="24"/>
        </w:rPr>
      </w:pPr>
    </w:p>
    <w:sdt>
      <w:sdtPr>
        <w:rPr>
          <w:rFonts w:asciiTheme="majorHAnsi" w:eastAsiaTheme="majorEastAsia" w:hAnsiTheme="majorHAnsi" w:cstheme="majorBidi"/>
          <w:color w:val="2F5496" w:themeColor="accent1" w:themeShade="BF"/>
          <w:sz w:val="32"/>
          <w:szCs w:val="32"/>
          <w:lang w:val="en-US" w:eastAsia="en-US"/>
        </w:rPr>
        <w:id w:val="-100350585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085D6A7" w14:textId="77777777" w:rsidR="00C23151" w:rsidRPr="00C23151" w:rsidRDefault="00C23151" w:rsidP="00C23151">
          <w:pPr>
            <w:keepNext/>
            <w:keepLines/>
            <w:overflowPunct/>
            <w:autoSpaceDE/>
            <w:autoSpaceDN/>
            <w:adjustRightInd/>
            <w:spacing w:before="240" w:line="259" w:lineRule="auto"/>
            <w:textAlignment w:val="auto"/>
            <w:outlineLvl w:val="0"/>
            <w:rPr>
              <w:rFonts w:asciiTheme="majorHAnsi" w:eastAsiaTheme="majorEastAsia" w:hAnsiTheme="majorHAnsi" w:cstheme="majorBidi"/>
              <w:color w:val="2F5496" w:themeColor="accent1" w:themeShade="BF"/>
              <w:sz w:val="32"/>
              <w:szCs w:val="32"/>
              <w:lang w:val="en-US" w:eastAsia="en-US"/>
            </w:rPr>
          </w:pPr>
          <w:r w:rsidRPr="00C23151">
            <w:rPr>
              <w:rFonts w:asciiTheme="majorHAnsi" w:eastAsiaTheme="majorEastAsia" w:hAnsiTheme="majorHAnsi" w:cstheme="majorBidi"/>
              <w:color w:val="2F5496" w:themeColor="accent1" w:themeShade="BF"/>
              <w:sz w:val="32"/>
              <w:szCs w:val="32"/>
              <w:lang w:val="en-US" w:eastAsia="en-US"/>
            </w:rPr>
            <w:t>Bibliography</w:t>
          </w:r>
        </w:p>
        <w:sdt>
          <w:sdtPr>
            <w:rPr>
              <w:rFonts w:asciiTheme="minorHAnsi" w:eastAsiaTheme="minorHAnsi" w:hAnsiTheme="minorHAnsi" w:cstheme="minorBidi"/>
              <w:color w:val="auto"/>
              <w:sz w:val="22"/>
              <w:szCs w:val="22"/>
              <w:lang w:eastAsia="en-US"/>
            </w:rPr>
            <w:id w:val="-661772279"/>
            <w:bibliography/>
          </w:sdtPr>
          <w:sdtContent>
            <w:p w14:paraId="498891D8"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noProof/>
                  <w:color w:val="auto"/>
                  <w:sz w:val="24"/>
                  <w:szCs w:val="24"/>
                  <w:lang w:val="en-US" w:eastAsia="en-US"/>
                </w:rPr>
              </w:pPr>
              <w:r w:rsidRPr="00C23151">
                <w:rPr>
                  <w:rFonts w:asciiTheme="minorHAnsi" w:eastAsiaTheme="minorHAnsi" w:hAnsiTheme="minorHAnsi" w:cstheme="minorBidi"/>
                  <w:color w:val="auto"/>
                  <w:sz w:val="22"/>
                  <w:szCs w:val="22"/>
                  <w:lang w:eastAsia="en-US"/>
                </w:rPr>
                <w:fldChar w:fldCharType="begin"/>
              </w:r>
              <w:r w:rsidRPr="00C23151">
                <w:rPr>
                  <w:rFonts w:asciiTheme="minorHAnsi" w:eastAsiaTheme="minorHAnsi" w:hAnsiTheme="minorHAnsi" w:cstheme="minorBidi"/>
                  <w:color w:val="auto"/>
                  <w:sz w:val="22"/>
                  <w:szCs w:val="22"/>
                  <w:lang w:eastAsia="en-US"/>
                </w:rPr>
                <w:instrText xml:space="preserve"> BIBLIOGRAPHY </w:instrText>
              </w:r>
              <w:r w:rsidRPr="00C23151">
                <w:rPr>
                  <w:rFonts w:asciiTheme="minorHAnsi" w:eastAsiaTheme="minorHAnsi" w:hAnsiTheme="minorHAnsi" w:cstheme="minorBidi"/>
                  <w:color w:val="auto"/>
                  <w:sz w:val="22"/>
                  <w:szCs w:val="22"/>
                  <w:lang w:eastAsia="en-US"/>
                </w:rPr>
                <w:fldChar w:fldCharType="separate"/>
              </w:r>
              <w:r w:rsidRPr="00C23151">
                <w:rPr>
                  <w:rFonts w:asciiTheme="minorHAnsi" w:eastAsiaTheme="minorHAnsi" w:hAnsiTheme="minorHAnsi" w:cstheme="minorBidi"/>
                  <w:noProof/>
                  <w:color w:val="auto"/>
                  <w:sz w:val="22"/>
                  <w:szCs w:val="22"/>
                  <w:lang w:val="en-US" w:eastAsia="en-US"/>
                </w:rPr>
                <w:t xml:space="preserve">College of Policing, 2014. </w:t>
              </w:r>
              <w:r w:rsidRPr="00C23151">
                <w:rPr>
                  <w:rFonts w:asciiTheme="minorHAnsi" w:eastAsiaTheme="minorHAnsi" w:hAnsiTheme="minorHAnsi" w:cstheme="minorBidi"/>
                  <w:i/>
                  <w:iCs/>
                  <w:noProof/>
                  <w:color w:val="auto"/>
                  <w:sz w:val="22"/>
                  <w:szCs w:val="22"/>
                  <w:lang w:val="en-US" w:eastAsia="en-US"/>
                </w:rPr>
                <w:t xml:space="preserve">Key definitions. </w:t>
              </w:r>
              <w:r w:rsidRPr="00C23151">
                <w:rPr>
                  <w:rFonts w:asciiTheme="minorHAnsi" w:eastAsiaTheme="minorHAnsi" w:hAnsiTheme="minorHAnsi" w:cstheme="minorBidi"/>
                  <w:noProof/>
                  <w:color w:val="auto"/>
                  <w:sz w:val="22"/>
                  <w:szCs w:val="22"/>
                  <w:lang w:val="en-US" w:eastAsia="en-US"/>
                </w:rPr>
                <w:t xml:space="preserve">[Online] </w:t>
              </w:r>
              <w:r w:rsidRPr="00C23151">
                <w:rPr>
                  <w:rFonts w:asciiTheme="minorHAnsi" w:eastAsiaTheme="minorHAnsi" w:hAnsiTheme="minorHAnsi" w:cstheme="minorBidi"/>
                  <w:noProof/>
                  <w:color w:val="auto"/>
                  <w:sz w:val="22"/>
                  <w:szCs w:val="22"/>
                  <w:lang w:val="en-US" w:eastAsia="en-US"/>
                </w:rPr>
                <w:br/>
                <w:t xml:space="preserve">Available at: </w:t>
              </w:r>
              <w:r w:rsidRPr="00C23151">
                <w:rPr>
                  <w:rFonts w:asciiTheme="minorHAnsi" w:eastAsiaTheme="minorHAnsi" w:hAnsiTheme="minorHAnsi" w:cstheme="minorBidi"/>
                  <w:noProof/>
                  <w:color w:val="auto"/>
                  <w:sz w:val="22"/>
                  <w:szCs w:val="22"/>
                  <w:u w:val="single"/>
                  <w:lang w:val="en-US" w:eastAsia="en-US"/>
                </w:rPr>
                <w:t>https://www.college.police.uk/app/major-investigation-and-public-protection/investigating-child-abuse-and-safeguarding-children/key-definitions</w:t>
              </w:r>
              <w:r w:rsidRPr="00C23151">
                <w:rPr>
                  <w:rFonts w:asciiTheme="minorHAnsi" w:eastAsiaTheme="minorHAnsi" w:hAnsiTheme="minorHAnsi" w:cstheme="minorBidi"/>
                  <w:noProof/>
                  <w:color w:val="auto"/>
                  <w:sz w:val="22"/>
                  <w:szCs w:val="22"/>
                  <w:lang w:val="en-US" w:eastAsia="en-US"/>
                </w:rPr>
                <w:br/>
                <w:t>[Accessed 21 July 2022].</w:t>
              </w:r>
            </w:p>
            <w:p w14:paraId="174FE8C2"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C23151">
                <w:rPr>
                  <w:rFonts w:asciiTheme="minorHAnsi" w:eastAsiaTheme="minorHAnsi" w:hAnsiTheme="minorHAnsi" w:cstheme="minorBidi"/>
                  <w:noProof/>
                  <w:color w:val="auto"/>
                  <w:sz w:val="22"/>
                  <w:szCs w:val="22"/>
                  <w:lang w:val="en-US" w:eastAsia="en-US"/>
                </w:rPr>
                <w:t xml:space="preserve">College of Policing, 2016. </w:t>
              </w:r>
              <w:r w:rsidRPr="00C23151">
                <w:rPr>
                  <w:rFonts w:asciiTheme="minorHAnsi" w:eastAsiaTheme="minorHAnsi" w:hAnsiTheme="minorHAnsi" w:cstheme="minorBidi"/>
                  <w:i/>
                  <w:iCs/>
                  <w:noProof/>
                  <w:color w:val="auto"/>
                  <w:sz w:val="22"/>
                  <w:szCs w:val="22"/>
                  <w:lang w:val="en-US" w:eastAsia="en-US"/>
                </w:rPr>
                <w:t xml:space="preserve">Mental health - detention. </w:t>
              </w:r>
              <w:r w:rsidRPr="00C23151">
                <w:rPr>
                  <w:rFonts w:asciiTheme="minorHAnsi" w:eastAsiaTheme="minorHAnsi" w:hAnsiTheme="minorHAnsi" w:cstheme="minorBidi"/>
                  <w:noProof/>
                  <w:color w:val="auto"/>
                  <w:sz w:val="22"/>
                  <w:szCs w:val="22"/>
                  <w:lang w:val="en-US" w:eastAsia="en-US"/>
                </w:rPr>
                <w:t xml:space="preserve">[Online] </w:t>
              </w:r>
              <w:r w:rsidRPr="00C23151">
                <w:rPr>
                  <w:rFonts w:asciiTheme="minorHAnsi" w:eastAsiaTheme="minorHAnsi" w:hAnsiTheme="minorHAnsi" w:cstheme="minorBidi"/>
                  <w:noProof/>
                  <w:color w:val="auto"/>
                  <w:sz w:val="22"/>
                  <w:szCs w:val="22"/>
                  <w:lang w:val="en-US" w:eastAsia="en-US"/>
                </w:rPr>
                <w:br/>
                <w:t xml:space="preserve">Available at: </w:t>
              </w:r>
              <w:r w:rsidRPr="00C23151">
                <w:rPr>
                  <w:rFonts w:asciiTheme="minorHAnsi" w:eastAsiaTheme="minorHAnsi" w:hAnsiTheme="minorHAnsi" w:cstheme="minorBidi"/>
                  <w:noProof/>
                  <w:color w:val="auto"/>
                  <w:sz w:val="22"/>
                  <w:szCs w:val="22"/>
                  <w:u w:val="single"/>
                  <w:lang w:val="en-US" w:eastAsia="en-US"/>
                </w:rPr>
                <w:t>https://www.college.police.uk/app/mental-health/mental-health-detention</w:t>
              </w:r>
              <w:r w:rsidRPr="00C23151">
                <w:rPr>
                  <w:rFonts w:asciiTheme="minorHAnsi" w:eastAsiaTheme="minorHAnsi" w:hAnsiTheme="minorHAnsi" w:cstheme="minorBidi"/>
                  <w:noProof/>
                  <w:color w:val="auto"/>
                  <w:sz w:val="22"/>
                  <w:szCs w:val="22"/>
                  <w:lang w:val="en-US" w:eastAsia="en-US"/>
                </w:rPr>
                <w:br/>
                <w:t>[Accessed 21 July 2022].</w:t>
              </w:r>
            </w:p>
            <w:p w14:paraId="6FA1136B" w14:textId="77777777"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C23151">
                <w:rPr>
                  <w:rFonts w:asciiTheme="minorHAnsi" w:eastAsiaTheme="minorHAnsi" w:hAnsiTheme="minorHAnsi" w:cstheme="minorBidi"/>
                  <w:noProof/>
                  <w:color w:val="auto"/>
                  <w:sz w:val="22"/>
                  <w:szCs w:val="22"/>
                  <w:lang w:val="en-US" w:eastAsia="en-US"/>
                </w:rPr>
                <w:lastRenderedPageBreak/>
                <w:t xml:space="preserve">The Child Law Advice Service, 2022. </w:t>
              </w:r>
              <w:r w:rsidRPr="00C23151">
                <w:rPr>
                  <w:rFonts w:asciiTheme="minorHAnsi" w:eastAsiaTheme="minorHAnsi" w:hAnsiTheme="minorHAnsi" w:cstheme="minorBidi"/>
                  <w:i/>
                  <w:iCs/>
                  <w:noProof/>
                  <w:color w:val="auto"/>
                  <w:sz w:val="22"/>
                  <w:szCs w:val="22"/>
                  <w:lang w:val="en-US" w:eastAsia="en-US"/>
                </w:rPr>
                <w:t xml:space="preserve">Police powers of protection &amp; Emergency protection orders. </w:t>
              </w:r>
              <w:r w:rsidRPr="00C23151">
                <w:rPr>
                  <w:rFonts w:asciiTheme="minorHAnsi" w:eastAsiaTheme="minorHAnsi" w:hAnsiTheme="minorHAnsi" w:cstheme="minorBidi"/>
                  <w:noProof/>
                  <w:color w:val="auto"/>
                  <w:sz w:val="22"/>
                  <w:szCs w:val="22"/>
                  <w:lang w:val="en-US" w:eastAsia="en-US"/>
                </w:rPr>
                <w:t xml:space="preserve">[Online] </w:t>
              </w:r>
              <w:r w:rsidRPr="00C23151">
                <w:rPr>
                  <w:rFonts w:asciiTheme="minorHAnsi" w:eastAsiaTheme="minorHAnsi" w:hAnsiTheme="minorHAnsi" w:cstheme="minorBidi"/>
                  <w:noProof/>
                  <w:color w:val="auto"/>
                  <w:sz w:val="22"/>
                  <w:szCs w:val="22"/>
                  <w:lang w:val="en-US" w:eastAsia="en-US"/>
                </w:rPr>
                <w:br/>
                <w:t xml:space="preserve">Available at: </w:t>
              </w:r>
              <w:r w:rsidRPr="00C23151">
                <w:rPr>
                  <w:rFonts w:asciiTheme="minorHAnsi" w:eastAsiaTheme="minorHAnsi" w:hAnsiTheme="minorHAnsi" w:cstheme="minorBidi"/>
                  <w:noProof/>
                  <w:color w:val="auto"/>
                  <w:sz w:val="22"/>
                  <w:szCs w:val="22"/>
                  <w:u w:val="single"/>
                  <w:lang w:val="en-US" w:eastAsia="en-US"/>
                </w:rPr>
                <w:t>https://childlawadvice.org.uk/information-pages/police-powers-of-protection-emergency-protection-orders/</w:t>
              </w:r>
              <w:r w:rsidRPr="00C23151">
                <w:rPr>
                  <w:rFonts w:asciiTheme="minorHAnsi" w:eastAsiaTheme="minorHAnsi" w:hAnsiTheme="minorHAnsi" w:cstheme="minorBidi"/>
                  <w:noProof/>
                  <w:color w:val="auto"/>
                  <w:sz w:val="22"/>
                  <w:szCs w:val="22"/>
                  <w:lang w:val="en-US" w:eastAsia="en-US"/>
                </w:rPr>
                <w:br/>
                <w:t>[Accessed 21 July 2022].</w:t>
              </w:r>
            </w:p>
            <w:p w14:paraId="1172F1E0" w14:textId="0C6A003F" w:rsidR="00C23151" w:rsidRPr="00C23151" w:rsidRDefault="00C23151" w:rsidP="00C23151">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C23151">
                <w:rPr>
                  <w:rFonts w:asciiTheme="minorHAnsi" w:eastAsiaTheme="minorHAnsi" w:hAnsiTheme="minorHAnsi" w:cstheme="minorBidi"/>
                  <w:b/>
                  <w:bCs/>
                  <w:noProof/>
                  <w:color w:val="auto"/>
                  <w:sz w:val="22"/>
                  <w:szCs w:val="22"/>
                  <w:lang w:eastAsia="en-US"/>
                </w:rPr>
                <w:fldChar w:fldCharType="end"/>
              </w:r>
            </w:p>
          </w:sdtContent>
        </w:sdt>
      </w:sdtContent>
    </w:sdt>
    <w:p w14:paraId="70155648" w14:textId="2923206E" w:rsidR="00C23151" w:rsidRDefault="00C23151" w:rsidP="00C23151">
      <w:pPr>
        <w:rPr>
          <w:b/>
          <w:bCs/>
          <w:sz w:val="24"/>
          <w:szCs w:val="24"/>
        </w:rPr>
      </w:pPr>
      <w:r w:rsidRPr="00C23151">
        <w:rPr>
          <w:b/>
          <w:bCs/>
          <w:sz w:val="24"/>
          <w:szCs w:val="24"/>
        </w:rPr>
        <w:t xml:space="preserve">Task 3 </w:t>
      </w:r>
    </w:p>
    <w:p w14:paraId="439FD368" w14:textId="657E2681" w:rsidR="00C23151" w:rsidRDefault="00C23151" w:rsidP="00C23151">
      <w:pPr>
        <w:rPr>
          <w:b/>
          <w:bCs/>
          <w:sz w:val="24"/>
          <w:szCs w:val="24"/>
        </w:rPr>
      </w:pPr>
    </w:p>
    <w:sdt>
      <w:sdtPr>
        <w:rPr>
          <w:rFonts w:asciiTheme="majorHAnsi" w:eastAsiaTheme="majorEastAsia" w:hAnsiTheme="majorHAnsi" w:cstheme="majorBidi"/>
          <w:color w:val="2F5496" w:themeColor="accent1" w:themeShade="BF"/>
          <w:sz w:val="32"/>
          <w:szCs w:val="32"/>
          <w:lang w:val="en-US" w:eastAsia="en-US"/>
        </w:rPr>
        <w:id w:val="-111574622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AFA75B9" w14:textId="77777777" w:rsidR="00C23151" w:rsidRPr="00C23151" w:rsidRDefault="00C23151" w:rsidP="00C23151">
          <w:pPr>
            <w:keepNext/>
            <w:keepLines/>
            <w:overflowPunct/>
            <w:autoSpaceDE/>
            <w:autoSpaceDN/>
            <w:adjustRightInd/>
            <w:spacing w:before="240" w:line="259" w:lineRule="auto"/>
            <w:textAlignment w:val="auto"/>
            <w:outlineLvl w:val="0"/>
            <w:rPr>
              <w:rFonts w:asciiTheme="majorHAnsi" w:eastAsiaTheme="majorEastAsia" w:hAnsiTheme="majorHAnsi" w:cstheme="majorBidi"/>
              <w:color w:val="2F5496" w:themeColor="accent1" w:themeShade="BF"/>
              <w:sz w:val="32"/>
              <w:szCs w:val="32"/>
              <w:lang w:val="en-US" w:eastAsia="en-US"/>
            </w:rPr>
          </w:pPr>
          <w:r w:rsidRPr="00C23151">
            <w:rPr>
              <w:rFonts w:asciiTheme="majorHAnsi" w:eastAsiaTheme="majorEastAsia" w:hAnsiTheme="majorHAnsi" w:cstheme="majorBidi"/>
              <w:color w:val="2F5496" w:themeColor="accent1" w:themeShade="BF"/>
              <w:sz w:val="32"/>
              <w:szCs w:val="32"/>
              <w:lang w:val="en-US" w:eastAsia="en-US"/>
            </w:rPr>
            <w:t>Bibliography</w:t>
          </w:r>
        </w:p>
        <w:sdt>
          <w:sdtPr>
            <w:rPr>
              <w:rFonts w:asciiTheme="minorHAnsi" w:eastAsiaTheme="minorHAnsi" w:hAnsiTheme="minorHAnsi" w:cstheme="minorBidi"/>
              <w:color w:val="auto"/>
              <w:sz w:val="22"/>
              <w:szCs w:val="22"/>
              <w:lang w:eastAsia="en-US"/>
            </w:rPr>
            <w:id w:val="546113568"/>
            <w:bibliography/>
          </w:sdtPr>
          <w:sdtContent>
            <w:p w14:paraId="758322F4"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noProof/>
                  <w:color w:val="auto"/>
                  <w:sz w:val="24"/>
                  <w:szCs w:val="24"/>
                  <w:lang w:val="en-US" w:eastAsia="en-US"/>
                </w:rPr>
              </w:pPr>
              <w:r w:rsidRPr="00C23151">
                <w:rPr>
                  <w:rFonts w:asciiTheme="minorHAnsi" w:eastAsiaTheme="minorHAnsi" w:hAnsiTheme="minorHAnsi" w:cstheme="minorBidi"/>
                  <w:color w:val="auto"/>
                  <w:sz w:val="22"/>
                  <w:szCs w:val="22"/>
                  <w:lang w:eastAsia="en-US"/>
                </w:rPr>
                <w:fldChar w:fldCharType="begin"/>
              </w:r>
              <w:r w:rsidRPr="00C23151">
                <w:rPr>
                  <w:rFonts w:asciiTheme="minorHAnsi" w:eastAsiaTheme="minorHAnsi" w:hAnsiTheme="minorHAnsi" w:cstheme="minorBidi"/>
                  <w:color w:val="auto"/>
                  <w:sz w:val="22"/>
                  <w:szCs w:val="22"/>
                  <w:lang w:eastAsia="en-US"/>
                </w:rPr>
                <w:instrText xml:space="preserve"> BIBLIOGRAPHY </w:instrText>
              </w:r>
              <w:r w:rsidRPr="00C23151">
                <w:rPr>
                  <w:rFonts w:asciiTheme="minorHAnsi" w:eastAsiaTheme="minorHAnsi" w:hAnsiTheme="minorHAnsi" w:cstheme="minorBidi"/>
                  <w:color w:val="auto"/>
                  <w:sz w:val="22"/>
                  <w:szCs w:val="22"/>
                  <w:lang w:eastAsia="en-US"/>
                </w:rPr>
                <w:fldChar w:fldCharType="separate"/>
              </w:r>
              <w:r w:rsidRPr="00C23151">
                <w:rPr>
                  <w:rFonts w:asciiTheme="minorHAnsi" w:eastAsiaTheme="minorHAnsi" w:hAnsiTheme="minorHAnsi" w:cstheme="minorBidi"/>
                  <w:noProof/>
                  <w:color w:val="auto"/>
                  <w:sz w:val="22"/>
                  <w:szCs w:val="22"/>
                  <w:lang w:val="en-US" w:eastAsia="en-US"/>
                </w:rPr>
                <w:t xml:space="preserve">Office for National Statistics, 2021. </w:t>
              </w:r>
              <w:r w:rsidRPr="00C23151">
                <w:rPr>
                  <w:rFonts w:asciiTheme="minorHAnsi" w:eastAsiaTheme="minorHAnsi" w:hAnsiTheme="minorHAnsi" w:cstheme="minorBidi"/>
                  <w:i/>
                  <w:iCs/>
                  <w:noProof/>
                  <w:color w:val="auto"/>
                  <w:sz w:val="22"/>
                  <w:szCs w:val="22"/>
                  <w:lang w:val="en-US" w:eastAsia="en-US"/>
                </w:rPr>
                <w:t xml:space="preserve">Domestic abuse prevalence and trends, England and Wales: year ending March 2021. </w:t>
              </w:r>
              <w:r w:rsidRPr="00C23151">
                <w:rPr>
                  <w:rFonts w:asciiTheme="minorHAnsi" w:eastAsiaTheme="minorHAnsi" w:hAnsiTheme="minorHAnsi" w:cstheme="minorBidi"/>
                  <w:noProof/>
                  <w:color w:val="auto"/>
                  <w:sz w:val="22"/>
                  <w:szCs w:val="22"/>
                  <w:lang w:val="en-US" w:eastAsia="en-US"/>
                </w:rPr>
                <w:t xml:space="preserve">[Online] </w:t>
              </w:r>
              <w:r w:rsidRPr="00C23151">
                <w:rPr>
                  <w:rFonts w:asciiTheme="minorHAnsi" w:eastAsiaTheme="minorHAnsi" w:hAnsiTheme="minorHAnsi" w:cstheme="minorBidi"/>
                  <w:noProof/>
                  <w:color w:val="auto"/>
                  <w:sz w:val="22"/>
                  <w:szCs w:val="22"/>
                  <w:lang w:val="en-US" w:eastAsia="en-US"/>
                </w:rPr>
                <w:br/>
                <w:t xml:space="preserve">Available at: </w:t>
              </w:r>
              <w:r w:rsidRPr="00C23151">
                <w:rPr>
                  <w:rFonts w:asciiTheme="minorHAnsi" w:eastAsiaTheme="minorHAnsi" w:hAnsiTheme="minorHAnsi" w:cstheme="minorBidi"/>
                  <w:noProof/>
                  <w:color w:val="auto"/>
                  <w:sz w:val="22"/>
                  <w:szCs w:val="22"/>
                  <w:u w:val="single"/>
                  <w:lang w:val="en-US" w:eastAsia="en-US"/>
                </w:rPr>
                <w:t>https://www.ons.gov.uk/peoplepopulationandcommunity/crimeandjustice/articles/domesticabuseprevalenceandtrendsenglandandwales/yearendingmarch2021</w:t>
              </w:r>
              <w:r w:rsidRPr="00C23151">
                <w:rPr>
                  <w:rFonts w:asciiTheme="minorHAnsi" w:eastAsiaTheme="minorHAnsi" w:hAnsiTheme="minorHAnsi" w:cstheme="minorBidi"/>
                  <w:noProof/>
                  <w:color w:val="auto"/>
                  <w:sz w:val="22"/>
                  <w:szCs w:val="22"/>
                  <w:lang w:val="en-US" w:eastAsia="en-US"/>
                </w:rPr>
                <w:br/>
                <w:t>[Accessed 22 July 2022].</w:t>
              </w:r>
            </w:p>
            <w:p w14:paraId="42E0E872"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C23151">
                <w:rPr>
                  <w:rFonts w:asciiTheme="minorHAnsi" w:eastAsiaTheme="minorHAnsi" w:hAnsiTheme="minorHAnsi" w:cstheme="minorBidi"/>
                  <w:noProof/>
                  <w:color w:val="auto"/>
                  <w:sz w:val="22"/>
                  <w:szCs w:val="22"/>
                  <w:lang w:val="en-US" w:eastAsia="en-US"/>
                </w:rPr>
                <w:t xml:space="preserve">SafeLives, 2014. </w:t>
              </w:r>
              <w:r w:rsidRPr="00C23151">
                <w:rPr>
                  <w:rFonts w:asciiTheme="minorHAnsi" w:eastAsiaTheme="minorHAnsi" w:hAnsiTheme="minorHAnsi" w:cstheme="minorBidi"/>
                  <w:i/>
                  <w:iCs/>
                  <w:noProof/>
                  <w:color w:val="auto"/>
                  <w:sz w:val="22"/>
                  <w:szCs w:val="22"/>
                  <w:lang w:val="en-US" w:eastAsia="en-US"/>
                </w:rPr>
                <w:t xml:space="preserve">Multi-Agency Risk Assessment. </w:t>
              </w:r>
              <w:r w:rsidRPr="00C23151">
                <w:rPr>
                  <w:rFonts w:asciiTheme="minorHAnsi" w:eastAsiaTheme="minorHAnsi" w:hAnsiTheme="minorHAnsi" w:cstheme="minorBidi"/>
                  <w:noProof/>
                  <w:color w:val="auto"/>
                  <w:sz w:val="22"/>
                  <w:szCs w:val="22"/>
                  <w:lang w:val="en-US" w:eastAsia="en-US"/>
                </w:rPr>
                <w:t xml:space="preserve">[Online] </w:t>
              </w:r>
              <w:r w:rsidRPr="00C23151">
                <w:rPr>
                  <w:rFonts w:asciiTheme="minorHAnsi" w:eastAsiaTheme="minorHAnsi" w:hAnsiTheme="minorHAnsi" w:cstheme="minorBidi"/>
                  <w:noProof/>
                  <w:color w:val="auto"/>
                  <w:sz w:val="22"/>
                  <w:szCs w:val="22"/>
                  <w:lang w:val="en-US" w:eastAsia="en-US"/>
                </w:rPr>
                <w:br/>
                <w:t xml:space="preserve">Available at: </w:t>
              </w:r>
              <w:r w:rsidRPr="00C23151">
                <w:rPr>
                  <w:rFonts w:asciiTheme="minorHAnsi" w:eastAsiaTheme="minorHAnsi" w:hAnsiTheme="minorHAnsi" w:cstheme="minorBidi"/>
                  <w:noProof/>
                  <w:color w:val="auto"/>
                  <w:sz w:val="22"/>
                  <w:szCs w:val="22"/>
                  <w:u w:val="single"/>
                  <w:lang w:val="en-US" w:eastAsia="en-US"/>
                </w:rPr>
                <w:t>https://safelives.org.uk/sites/default/files/resources/MARAC%20FAQs%20General%20FINAL.pdf</w:t>
              </w:r>
              <w:r w:rsidRPr="00C23151">
                <w:rPr>
                  <w:rFonts w:asciiTheme="minorHAnsi" w:eastAsiaTheme="minorHAnsi" w:hAnsiTheme="minorHAnsi" w:cstheme="minorBidi"/>
                  <w:noProof/>
                  <w:color w:val="auto"/>
                  <w:sz w:val="22"/>
                  <w:szCs w:val="22"/>
                  <w:lang w:val="en-US" w:eastAsia="en-US"/>
                </w:rPr>
                <w:br/>
                <w:t>[Accessed 22 July 2022].</w:t>
              </w:r>
            </w:p>
            <w:p w14:paraId="4942365B"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C23151">
                <w:rPr>
                  <w:rFonts w:asciiTheme="minorHAnsi" w:eastAsiaTheme="minorHAnsi" w:hAnsiTheme="minorHAnsi" w:cstheme="minorBidi"/>
                  <w:noProof/>
                  <w:color w:val="auto"/>
                  <w:sz w:val="22"/>
                  <w:szCs w:val="22"/>
                  <w:lang w:val="en-US" w:eastAsia="en-US"/>
                </w:rPr>
                <w:t xml:space="preserve">SafeLives, 2018. </w:t>
              </w:r>
              <w:r w:rsidRPr="00C23151">
                <w:rPr>
                  <w:rFonts w:asciiTheme="minorHAnsi" w:eastAsiaTheme="minorHAnsi" w:hAnsiTheme="minorHAnsi" w:cstheme="minorBidi"/>
                  <w:i/>
                  <w:iCs/>
                  <w:noProof/>
                  <w:color w:val="auto"/>
                  <w:sz w:val="22"/>
                  <w:szCs w:val="22"/>
                  <w:lang w:val="en-US" w:eastAsia="en-US"/>
                </w:rPr>
                <w:t xml:space="preserve">Safe at Home: Homelessness and domestic abuse, </w:t>
              </w:r>
              <w:r w:rsidRPr="00C23151">
                <w:rPr>
                  <w:rFonts w:asciiTheme="minorHAnsi" w:eastAsiaTheme="minorHAnsi" w:hAnsiTheme="minorHAnsi" w:cstheme="minorBidi"/>
                  <w:noProof/>
                  <w:color w:val="auto"/>
                  <w:sz w:val="22"/>
                  <w:szCs w:val="22"/>
                  <w:lang w:val="en-US" w:eastAsia="en-US"/>
                </w:rPr>
                <w:t>s.l.: SafeLives.</w:t>
              </w:r>
            </w:p>
            <w:p w14:paraId="0C2C0BD7"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C23151">
                <w:rPr>
                  <w:rFonts w:asciiTheme="minorHAnsi" w:eastAsiaTheme="minorHAnsi" w:hAnsiTheme="minorHAnsi" w:cstheme="minorBidi"/>
                  <w:noProof/>
                  <w:color w:val="auto"/>
                  <w:sz w:val="22"/>
                  <w:szCs w:val="22"/>
                  <w:lang w:val="en-US" w:eastAsia="en-US"/>
                </w:rPr>
                <w:t xml:space="preserve">SafeLives, n.d. </w:t>
              </w:r>
              <w:r w:rsidRPr="00C23151">
                <w:rPr>
                  <w:rFonts w:asciiTheme="minorHAnsi" w:eastAsiaTheme="minorHAnsi" w:hAnsiTheme="minorHAnsi" w:cstheme="minorBidi"/>
                  <w:i/>
                  <w:iCs/>
                  <w:noProof/>
                  <w:color w:val="auto"/>
                  <w:sz w:val="22"/>
                  <w:szCs w:val="22"/>
                  <w:lang w:val="en-US" w:eastAsia="en-US"/>
                </w:rPr>
                <w:t xml:space="preserve">What is an Idva?. </w:t>
              </w:r>
              <w:r w:rsidRPr="00C23151">
                <w:rPr>
                  <w:rFonts w:asciiTheme="minorHAnsi" w:eastAsiaTheme="minorHAnsi" w:hAnsiTheme="minorHAnsi" w:cstheme="minorBidi"/>
                  <w:noProof/>
                  <w:color w:val="auto"/>
                  <w:sz w:val="22"/>
                  <w:szCs w:val="22"/>
                  <w:lang w:val="en-US" w:eastAsia="en-US"/>
                </w:rPr>
                <w:t xml:space="preserve">[Online] </w:t>
              </w:r>
              <w:r w:rsidRPr="00C23151">
                <w:rPr>
                  <w:rFonts w:asciiTheme="minorHAnsi" w:eastAsiaTheme="minorHAnsi" w:hAnsiTheme="minorHAnsi" w:cstheme="minorBidi"/>
                  <w:noProof/>
                  <w:color w:val="auto"/>
                  <w:sz w:val="22"/>
                  <w:szCs w:val="22"/>
                  <w:lang w:val="en-US" w:eastAsia="en-US"/>
                </w:rPr>
                <w:br/>
                <w:t xml:space="preserve">Available at: </w:t>
              </w:r>
              <w:r w:rsidRPr="00C23151">
                <w:rPr>
                  <w:rFonts w:asciiTheme="minorHAnsi" w:eastAsiaTheme="minorHAnsi" w:hAnsiTheme="minorHAnsi" w:cstheme="minorBidi"/>
                  <w:noProof/>
                  <w:color w:val="auto"/>
                  <w:sz w:val="22"/>
                  <w:szCs w:val="22"/>
                  <w:u w:val="single"/>
                  <w:lang w:val="en-US" w:eastAsia="en-US"/>
                </w:rPr>
                <w:t>https://safelives.org.uk/what-is-an-idva</w:t>
              </w:r>
              <w:r w:rsidRPr="00C23151">
                <w:rPr>
                  <w:rFonts w:asciiTheme="minorHAnsi" w:eastAsiaTheme="minorHAnsi" w:hAnsiTheme="minorHAnsi" w:cstheme="minorBidi"/>
                  <w:noProof/>
                  <w:color w:val="auto"/>
                  <w:sz w:val="22"/>
                  <w:szCs w:val="22"/>
                  <w:lang w:val="en-US" w:eastAsia="en-US"/>
                </w:rPr>
                <w:br/>
                <w:t>[Accessed 22 July 2022].</w:t>
              </w:r>
            </w:p>
            <w:p w14:paraId="10CEF539"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C23151">
                <w:rPr>
                  <w:rFonts w:asciiTheme="minorHAnsi" w:eastAsiaTheme="minorHAnsi" w:hAnsiTheme="minorHAnsi" w:cstheme="minorBidi"/>
                  <w:noProof/>
                  <w:color w:val="auto"/>
                  <w:sz w:val="22"/>
                  <w:szCs w:val="22"/>
                  <w:lang w:val="en-US" w:eastAsia="en-US"/>
                </w:rPr>
                <w:t xml:space="preserve">South Wales Police , 2008. </w:t>
              </w:r>
              <w:r w:rsidRPr="00C23151">
                <w:rPr>
                  <w:rFonts w:asciiTheme="minorHAnsi" w:eastAsiaTheme="minorHAnsi" w:hAnsiTheme="minorHAnsi" w:cstheme="minorBidi"/>
                  <w:i/>
                  <w:iCs/>
                  <w:noProof/>
                  <w:color w:val="auto"/>
                  <w:sz w:val="22"/>
                  <w:szCs w:val="22"/>
                  <w:lang w:val="en-US" w:eastAsia="en-US"/>
                </w:rPr>
                <w:t xml:space="preserve">Adults at Risk. </w:t>
              </w:r>
              <w:r w:rsidRPr="00C23151">
                <w:rPr>
                  <w:rFonts w:asciiTheme="minorHAnsi" w:eastAsiaTheme="minorHAnsi" w:hAnsiTheme="minorHAnsi" w:cstheme="minorBidi"/>
                  <w:noProof/>
                  <w:color w:val="auto"/>
                  <w:sz w:val="22"/>
                  <w:szCs w:val="22"/>
                  <w:lang w:val="en-US" w:eastAsia="en-US"/>
                </w:rPr>
                <w:t xml:space="preserve">[Online] </w:t>
              </w:r>
              <w:r w:rsidRPr="00C23151">
                <w:rPr>
                  <w:rFonts w:asciiTheme="minorHAnsi" w:eastAsiaTheme="minorHAnsi" w:hAnsiTheme="minorHAnsi" w:cstheme="minorBidi"/>
                  <w:noProof/>
                  <w:color w:val="auto"/>
                  <w:sz w:val="22"/>
                  <w:szCs w:val="22"/>
                  <w:lang w:val="en-US" w:eastAsia="en-US"/>
                </w:rPr>
                <w:br/>
                <w:t xml:space="preserve">Available at: </w:t>
              </w:r>
              <w:r w:rsidRPr="00C23151">
                <w:rPr>
                  <w:rFonts w:asciiTheme="minorHAnsi" w:eastAsiaTheme="minorHAnsi" w:hAnsiTheme="minorHAnsi" w:cstheme="minorBidi"/>
                  <w:noProof/>
                  <w:color w:val="auto"/>
                  <w:sz w:val="22"/>
                  <w:szCs w:val="22"/>
                  <w:u w:val="single"/>
                  <w:lang w:val="en-US" w:eastAsia="en-US"/>
                </w:rPr>
                <w:t>https://www.south-wales.police.uk/SysSiteAssets/media/downloads/south-wales/about-us/policies-and-procedures/english/adults-at-risk---english.pdf</w:t>
              </w:r>
              <w:r w:rsidRPr="00C23151">
                <w:rPr>
                  <w:rFonts w:asciiTheme="minorHAnsi" w:eastAsiaTheme="minorHAnsi" w:hAnsiTheme="minorHAnsi" w:cstheme="minorBidi"/>
                  <w:noProof/>
                  <w:color w:val="auto"/>
                  <w:sz w:val="22"/>
                  <w:szCs w:val="22"/>
                  <w:lang w:val="en-US" w:eastAsia="en-US"/>
                </w:rPr>
                <w:br/>
                <w:t>[Accessed 22 July 2022].</w:t>
              </w:r>
            </w:p>
            <w:p w14:paraId="6EA2556F" w14:textId="77777777" w:rsidR="00C23151" w:rsidRPr="00C23151" w:rsidRDefault="00C23151" w:rsidP="00C23151">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C23151">
                <w:rPr>
                  <w:rFonts w:asciiTheme="minorHAnsi" w:eastAsiaTheme="minorHAnsi" w:hAnsiTheme="minorHAnsi" w:cstheme="minorBidi"/>
                  <w:b/>
                  <w:bCs/>
                  <w:noProof/>
                  <w:color w:val="auto"/>
                  <w:sz w:val="22"/>
                  <w:szCs w:val="22"/>
                  <w:lang w:eastAsia="en-US"/>
                </w:rPr>
                <w:fldChar w:fldCharType="end"/>
              </w:r>
            </w:p>
          </w:sdtContent>
        </w:sdt>
      </w:sdtContent>
    </w:sdt>
    <w:p w14:paraId="33980804" w14:textId="27B6EE2D" w:rsidR="00C23151" w:rsidRDefault="00C23151" w:rsidP="00C23151">
      <w:pPr>
        <w:rPr>
          <w:b/>
          <w:bCs/>
          <w:sz w:val="24"/>
          <w:szCs w:val="24"/>
        </w:rPr>
      </w:pPr>
      <w:r>
        <w:rPr>
          <w:b/>
          <w:bCs/>
          <w:sz w:val="24"/>
          <w:szCs w:val="24"/>
        </w:rPr>
        <w:t xml:space="preserve">Task 4 </w:t>
      </w:r>
    </w:p>
    <w:p w14:paraId="2FDBF6BC" w14:textId="24956197" w:rsidR="00574D4C" w:rsidRDefault="00574D4C" w:rsidP="00C23151">
      <w:pPr>
        <w:rPr>
          <w:b/>
          <w:bCs/>
          <w:sz w:val="24"/>
          <w:szCs w:val="24"/>
        </w:rPr>
      </w:pPr>
    </w:p>
    <w:sdt>
      <w:sdtPr>
        <w:rPr>
          <w:rFonts w:asciiTheme="majorHAnsi" w:eastAsiaTheme="majorEastAsia" w:hAnsiTheme="majorHAnsi" w:cstheme="majorBidi"/>
          <w:color w:val="2F5496" w:themeColor="accent1" w:themeShade="BF"/>
          <w:sz w:val="32"/>
          <w:szCs w:val="32"/>
          <w:lang w:eastAsia="en-US"/>
        </w:rPr>
        <w:id w:val="848691601"/>
        <w:docPartObj>
          <w:docPartGallery w:val="Bibliographies"/>
          <w:docPartUnique/>
        </w:docPartObj>
      </w:sdtPr>
      <w:sdtEndPr>
        <w:rPr>
          <w:rFonts w:asciiTheme="minorHAnsi" w:eastAsiaTheme="minorHAnsi" w:hAnsiTheme="minorHAnsi" w:cstheme="minorBidi"/>
          <w:color w:val="auto"/>
          <w:sz w:val="22"/>
          <w:szCs w:val="22"/>
        </w:rPr>
      </w:sdtEndPr>
      <w:sdtContent>
        <w:p w14:paraId="5E88EA8D" w14:textId="77777777" w:rsidR="00574D4C" w:rsidRPr="00574D4C" w:rsidRDefault="00574D4C" w:rsidP="00574D4C">
          <w:pPr>
            <w:keepNext/>
            <w:keepLines/>
            <w:overflowPunct/>
            <w:autoSpaceDE/>
            <w:autoSpaceDN/>
            <w:adjustRightInd/>
            <w:spacing w:before="240" w:line="259" w:lineRule="auto"/>
            <w:textAlignment w:val="auto"/>
            <w:outlineLvl w:val="0"/>
            <w:rPr>
              <w:rFonts w:asciiTheme="majorHAnsi" w:eastAsiaTheme="majorEastAsia" w:hAnsiTheme="majorHAnsi" w:cstheme="majorBidi"/>
              <w:color w:val="2F5496" w:themeColor="accent1" w:themeShade="BF"/>
              <w:sz w:val="32"/>
              <w:szCs w:val="32"/>
              <w:lang w:eastAsia="en-US"/>
            </w:rPr>
          </w:pPr>
          <w:r w:rsidRPr="00574D4C">
            <w:rPr>
              <w:rFonts w:asciiTheme="majorHAnsi" w:eastAsiaTheme="majorEastAsia" w:hAnsiTheme="majorHAnsi" w:cstheme="majorBidi"/>
              <w:color w:val="2F5496" w:themeColor="accent1" w:themeShade="BF"/>
              <w:sz w:val="32"/>
              <w:szCs w:val="32"/>
              <w:lang w:eastAsia="en-US"/>
            </w:rPr>
            <w:t>Bibliography</w:t>
          </w:r>
        </w:p>
        <w:sdt>
          <w:sdtPr>
            <w:rPr>
              <w:rFonts w:asciiTheme="minorHAnsi" w:eastAsiaTheme="minorHAnsi" w:hAnsiTheme="minorHAnsi" w:cstheme="minorBidi"/>
              <w:color w:val="auto"/>
              <w:sz w:val="22"/>
              <w:szCs w:val="22"/>
              <w:lang w:eastAsia="en-US"/>
            </w:rPr>
            <w:id w:val="-201095115"/>
            <w:bibliography/>
          </w:sdtPr>
          <w:sdtContent>
            <w:p w14:paraId="459B188F"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4"/>
                  <w:szCs w:val="24"/>
                  <w:lang w:eastAsia="en-US"/>
                </w:rPr>
              </w:pPr>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BIBLIOGRAPHY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eastAsia="en-US"/>
                </w:rPr>
                <w:t xml:space="preserve">College of Policing, 2013. </w:t>
              </w:r>
              <w:r w:rsidRPr="00574D4C">
                <w:rPr>
                  <w:rFonts w:asciiTheme="minorHAnsi" w:eastAsiaTheme="minorHAnsi" w:hAnsiTheme="minorHAnsi" w:cstheme="minorBidi"/>
                  <w:i/>
                  <w:iCs/>
                  <w:noProof/>
                  <w:color w:val="auto"/>
                  <w:sz w:val="22"/>
                  <w:szCs w:val="22"/>
                  <w:lang w:eastAsia="en-US"/>
                </w:rPr>
                <w:t xml:space="preserve">Investigation process. </w:t>
              </w:r>
              <w:r w:rsidRPr="00574D4C">
                <w:rPr>
                  <w:rFonts w:asciiTheme="minorHAnsi" w:eastAsiaTheme="minorHAnsi" w:hAnsiTheme="minorHAnsi" w:cstheme="minorBidi"/>
                  <w:noProof/>
                  <w:color w:val="auto"/>
                  <w:sz w:val="22"/>
                  <w:szCs w:val="22"/>
                  <w:lang w:eastAsia="en-US"/>
                </w:rPr>
                <w:t xml:space="preserve">[Online] </w:t>
              </w:r>
              <w:r w:rsidRPr="00574D4C">
                <w:rPr>
                  <w:rFonts w:asciiTheme="minorHAnsi" w:eastAsiaTheme="minorHAnsi" w:hAnsiTheme="minorHAnsi" w:cstheme="minorBidi"/>
                  <w:noProof/>
                  <w:color w:val="auto"/>
                  <w:sz w:val="22"/>
                  <w:szCs w:val="22"/>
                  <w:lang w:eastAsia="en-US"/>
                </w:rPr>
                <w:br/>
                <w:t xml:space="preserve">Available at: </w:t>
              </w:r>
              <w:r w:rsidRPr="00574D4C">
                <w:rPr>
                  <w:rFonts w:asciiTheme="minorHAnsi" w:eastAsiaTheme="minorHAnsi" w:hAnsiTheme="minorHAnsi" w:cstheme="minorBidi"/>
                  <w:noProof/>
                  <w:color w:val="auto"/>
                  <w:sz w:val="22"/>
                  <w:szCs w:val="22"/>
                  <w:u w:val="single"/>
                  <w:lang w:eastAsia="en-US"/>
                </w:rPr>
                <w:t>https://www.college.police.uk/app/investigation/investigation-process</w:t>
              </w:r>
              <w:r w:rsidRPr="00574D4C">
                <w:rPr>
                  <w:rFonts w:asciiTheme="minorHAnsi" w:eastAsiaTheme="minorHAnsi" w:hAnsiTheme="minorHAnsi" w:cstheme="minorBidi"/>
                  <w:noProof/>
                  <w:color w:val="auto"/>
                  <w:sz w:val="22"/>
                  <w:szCs w:val="22"/>
                  <w:lang w:eastAsia="en-US"/>
                </w:rPr>
                <w:br/>
                <w:t>[Accessed 28 July 2022].</w:t>
              </w:r>
            </w:p>
            <w:p w14:paraId="6A0A1105"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574D4C">
                <w:rPr>
                  <w:rFonts w:asciiTheme="minorHAnsi" w:eastAsiaTheme="minorHAnsi" w:hAnsiTheme="minorHAnsi" w:cstheme="minorBidi"/>
                  <w:noProof/>
                  <w:color w:val="auto"/>
                  <w:sz w:val="22"/>
                  <w:szCs w:val="22"/>
                  <w:lang w:eastAsia="en-US"/>
                </w:rPr>
                <w:t xml:space="preserve">College of Policing, n.d. </w:t>
              </w:r>
              <w:r w:rsidRPr="00574D4C">
                <w:rPr>
                  <w:rFonts w:asciiTheme="minorHAnsi" w:eastAsiaTheme="minorHAnsi" w:hAnsiTheme="minorHAnsi" w:cstheme="minorBidi"/>
                  <w:i/>
                  <w:iCs/>
                  <w:noProof/>
                  <w:color w:val="auto"/>
                  <w:sz w:val="22"/>
                  <w:szCs w:val="22"/>
                  <w:lang w:eastAsia="en-US"/>
                </w:rPr>
                <w:t xml:space="preserve">Sexual Offences Liaison Officer (SOLO). </w:t>
              </w:r>
              <w:r w:rsidRPr="00574D4C">
                <w:rPr>
                  <w:rFonts w:asciiTheme="minorHAnsi" w:eastAsiaTheme="minorHAnsi" w:hAnsiTheme="minorHAnsi" w:cstheme="minorBidi"/>
                  <w:noProof/>
                  <w:color w:val="auto"/>
                  <w:sz w:val="22"/>
                  <w:szCs w:val="22"/>
                  <w:lang w:eastAsia="en-US"/>
                </w:rPr>
                <w:t xml:space="preserve">[Online] </w:t>
              </w:r>
              <w:r w:rsidRPr="00574D4C">
                <w:rPr>
                  <w:rFonts w:asciiTheme="minorHAnsi" w:eastAsiaTheme="minorHAnsi" w:hAnsiTheme="minorHAnsi" w:cstheme="minorBidi"/>
                  <w:noProof/>
                  <w:color w:val="auto"/>
                  <w:sz w:val="22"/>
                  <w:szCs w:val="22"/>
                  <w:lang w:eastAsia="en-US"/>
                </w:rPr>
                <w:br/>
                <w:t xml:space="preserve">Available at: </w:t>
              </w:r>
              <w:r w:rsidRPr="00574D4C">
                <w:rPr>
                  <w:rFonts w:asciiTheme="minorHAnsi" w:eastAsiaTheme="minorHAnsi" w:hAnsiTheme="minorHAnsi" w:cstheme="minorBidi"/>
                  <w:noProof/>
                  <w:color w:val="auto"/>
                  <w:sz w:val="22"/>
                  <w:szCs w:val="22"/>
                  <w:u w:val="single"/>
                  <w:lang w:eastAsia="en-US"/>
                </w:rPr>
                <w:t>https://profdev.college.police.uk/professional-profile/sexual-offences-liaison-officer/</w:t>
              </w:r>
              <w:r w:rsidRPr="00574D4C">
                <w:rPr>
                  <w:rFonts w:asciiTheme="minorHAnsi" w:eastAsiaTheme="minorHAnsi" w:hAnsiTheme="minorHAnsi" w:cstheme="minorBidi"/>
                  <w:noProof/>
                  <w:color w:val="auto"/>
                  <w:sz w:val="22"/>
                  <w:szCs w:val="22"/>
                  <w:lang w:eastAsia="en-US"/>
                </w:rPr>
                <w:br/>
                <w:t>[Accessed 30 July 2022].</w:t>
              </w:r>
            </w:p>
            <w:p w14:paraId="1F3BDC50"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574D4C">
                <w:rPr>
                  <w:rFonts w:asciiTheme="minorHAnsi" w:eastAsiaTheme="minorHAnsi" w:hAnsiTheme="minorHAnsi" w:cstheme="minorBidi"/>
                  <w:noProof/>
                  <w:color w:val="auto"/>
                  <w:sz w:val="22"/>
                  <w:szCs w:val="22"/>
                  <w:lang w:eastAsia="en-US"/>
                </w:rPr>
                <w:t xml:space="preserve">Devon Rape Crisis, n.d. </w:t>
              </w:r>
              <w:r w:rsidRPr="00574D4C">
                <w:rPr>
                  <w:rFonts w:asciiTheme="minorHAnsi" w:eastAsiaTheme="minorHAnsi" w:hAnsiTheme="minorHAnsi" w:cstheme="minorBidi"/>
                  <w:i/>
                  <w:iCs/>
                  <w:noProof/>
                  <w:color w:val="auto"/>
                  <w:sz w:val="22"/>
                  <w:szCs w:val="22"/>
                  <w:lang w:eastAsia="en-US"/>
                </w:rPr>
                <w:t xml:space="preserve">Myths, Facts and Statistics. </w:t>
              </w:r>
              <w:r w:rsidRPr="00574D4C">
                <w:rPr>
                  <w:rFonts w:asciiTheme="minorHAnsi" w:eastAsiaTheme="minorHAnsi" w:hAnsiTheme="minorHAnsi" w:cstheme="minorBidi"/>
                  <w:noProof/>
                  <w:color w:val="auto"/>
                  <w:sz w:val="22"/>
                  <w:szCs w:val="22"/>
                  <w:lang w:eastAsia="en-US"/>
                </w:rPr>
                <w:t xml:space="preserve">[Online] </w:t>
              </w:r>
              <w:r w:rsidRPr="00574D4C">
                <w:rPr>
                  <w:rFonts w:asciiTheme="minorHAnsi" w:eastAsiaTheme="minorHAnsi" w:hAnsiTheme="minorHAnsi" w:cstheme="minorBidi"/>
                  <w:noProof/>
                  <w:color w:val="auto"/>
                  <w:sz w:val="22"/>
                  <w:szCs w:val="22"/>
                  <w:lang w:eastAsia="en-US"/>
                </w:rPr>
                <w:br/>
                <w:t xml:space="preserve">Available at: </w:t>
              </w:r>
              <w:r w:rsidRPr="00574D4C">
                <w:rPr>
                  <w:rFonts w:asciiTheme="minorHAnsi" w:eastAsiaTheme="minorHAnsi" w:hAnsiTheme="minorHAnsi" w:cstheme="minorBidi"/>
                  <w:noProof/>
                  <w:color w:val="auto"/>
                  <w:sz w:val="22"/>
                  <w:szCs w:val="22"/>
                  <w:u w:val="single"/>
                  <w:lang w:eastAsia="en-US"/>
                </w:rPr>
                <w:t>https://devonrapecrisis.org.uk/about-us/myths-facts-and-statistics/</w:t>
              </w:r>
              <w:r w:rsidRPr="00574D4C">
                <w:rPr>
                  <w:rFonts w:asciiTheme="minorHAnsi" w:eastAsiaTheme="minorHAnsi" w:hAnsiTheme="minorHAnsi" w:cstheme="minorBidi"/>
                  <w:noProof/>
                  <w:color w:val="auto"/>
                  <w:sz w:val="22"/>
                  <w:szCs w:val="22"/>
                  <w:lang w:eastAsia="en-US"/>
                </w:rPr>
                <w:br/>
                <w:t>[Accessed 30 July 2022].</w:t>
              </w:r>
            </w:p>
            <w:p w14:paraId="567FA754"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574D4C">
                <w:rPr>
                  <w:rFonts w:asciiTheme="minorHAnsi" w:eastAsiaTheme="minorHAnsi" w:hAnsiTheme="minorHAnsi" w:cstheme="minorBidi"/>
                  <w:noProof/>
                  <w:color w:val="auto"/>
                  <w:sz w:val="22"/>
                  <w:szCs w:val="22"/>
                  <w:lang w:eastAsia="en-US"/>
                </w:rPr>
                <w:lastRenderedPageBreak/>
                <w:t xml:space="preserve">GOV.UK, 2005. </w:t>
              </w:r>
              <w:r w:rsidRPr="00574D4C">
                <w:rPr>
                  <w:rFonts w:asciiTheme="minorHAnsi" w:eastAsiaTheme="minorHAnsi" w:hAnsiTheme="minorHAnsi" w:cstheme="minorBidi"/>
                  <w:i/>
                  <w:iCs/>
                  <w:noProof/>
                  <w:color w:val="auto"/>
                  <w:sz w:val="22"/>
                  <w:szCs w:val="22"/>
                  <w:lang w:eastAsia="en-US"/>
                </w:rPr>
                <w:t xml:space="preserve">The Code of Practice for Victims of Crime in England and Wales and supporting public information materials. </w:t>
              </w:r>
              <w:r w:rsidRPr="00574D4C">
                <w:rPr>
                  <w:rFonts w:asciiTheme="minorHAnsi" w:eastAsiaTheme="minorHAnsi" w:hAnsiTheme="minorHAnsi" w:cstheme="minorBidi"/>
                  <w:noProof/>
                  <w:color w:val="auto"/>
                  <w:sz w:val="22"/>
                  <w:szCs w:val="22"/>
                  <w:lang w:eastAsia="en-US"/>
                </w:rPr>
                <w:t xml:space="preserve">[Online] </w:t>
              </w:r>
              <w:r w:rsidRPr="00574D4C">
                <w:rPr>
                  <w:rFonts w:asciiTheme="minorHAnsi" w:eastAsiaTheme="minorHAnsi" w:hAnsiTheme="minorHAnsi" w:cstheme="minorBidi"/>
                  <w:noProof/>
                  <w:color w:val="auto"/>
                  <w:sz w:val="22"/>
                  <w:szCs w:val="22"/>
                  <w:lang w:eastAsia="en-US"/>
                </w:rPr>
                <w:br/>
                <w:t xml:space="preserve">Available at: </w:t>
              </w:r>
              <w:r w:rsidRPr="00574D4C">
                <w:rPr>
                  <w:rFonts w:asciiTheme="minorHAnsi" w:eastAsiaTheme="minorHAnsi" w:hAnsiTheme="minorHAnsi" w:cstheme="minorBidi"/>
                  <w:noProof/>
                  <w:color w:val="auto"/>
                  <w:sz w:val="22"/>
                  <w:szCs w:val="22"/>
                  <w:u w:val="single"/>
                  <w:lang w:eastAsia="en-US"/>
                </w:rPr>
                <w:t>https://www.gov.uk/government/publications/the-code-of-practice-for-victims-of-crime</w:t>
              </w:r>
              <w:r w:rsidRPr="00574D4C">
                <w:rPr>
                  <w:rFonts w:asciiTheme="minorHAnsi" w:eastAsiaTheme="minorHAnsi" w:hAnsiTheme="minorHAnsi" w:cstheme="minorBidi"/>
                  <w:noProof/>
                  <w:color w:val="auto"/>
                  <w:sz w:val="22"/>
                  <w:szCs w:val="22"/>
                  <w:lang w:eastAsia="en-US"/>
                </w:rPr>
                <w:br/>
                <w:t>[Accessed 30 July 2022].</w:t>
              </w:r>
            </w:p>
            <w:p w14:paraId="7A43192E"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574D4C">
                <w:rPr>
                  <w:rFonts w:asciiTheme="minorHAnsi" w:eastAsiaTheme="minorHAnsi" w:hAnsiTheme="minorHAnsi" w:cstheme="minorBidi"/>
                  <w:noProof/>
                  <w:color w:val="auto"/>
                  <w:sz w:val="22"/>
                  <w:szCs w:val="22"/>
                  <w:lang w:eastAsia="en-US"/>
                </w:rPr>
                <w:t xml:space="preserve">Ibbetson, C., 2021. </w:t>
              </w:r>
              <w:r w:rsidRPr="00574D4C">
                <w:rPr>
                  <w:rFonts w:asciiTheme="minorHAnsi" w:eastAsiaTheme="minorHAnsi" w:hAnsiTheme="minorHAnsi" w:cstheme="minorBidi"/>
                  <w:i/>
                  <w:iCs/>
                  <w:noProof/>
                  <w:color w:val="auto"/>
                  <w:sz w:val="22"/>
                  <w:szCs w:val="22"/>
                  <w:lang w:eastAsia="en-US"/>
                </w:rPr>
                <w:t xml:space="preserve">One in nine women say they have had their drink spiked, </w:t>
              </w:r>
              <w:r w:rsidRPr="00574D4C">
                <w:rPr>
                  <w:rFonts w:asciiTheme="minorHAnsi" w:eastAsiaTheme="minorHAnsi" w:hAnsiTheme="minorHAnsi" w:cstheme="minorBidi"/>
                  <w:noProof/>
                  <w:color w:val="auto"/>
                  <w:sz w:val="22"/>
                  <w:szCs w:val="22"/>
                  <w:lang w:eastAsia="en-US"/>
                </w:rPr>
                <w:t>s.l.: YouGov.</w:t>
              </w:r>
            </w:p>
            <w:p w14:paraId="7B29E77A"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574D4C">
                <w:rPr>
                  <w:rFonts w:asciiTheme="minorHAnsi" w:eastAsiaTheme="minorHAnsi" w:hAnsiTheme="minorHAnsi" w:cstheme="minorBidi"/>
                  <w:noProof/>
                  <w:color w:val="auto"/>
                  <w:sz w:val="22"/>
                  <w:szCs w:val="22"/>
                  <w:lang w:eastAsia="en-US"/>
                </w:rPr>
                <w:t xml:space="preserve">National Forensic Science Technology Center (NFSTC), n.d. </w:t>
              </w:r>
              <w:r w:rsidRPr="00574D4C">
                <w:rPr>
                  <w:rFonts w:asciiTheme="minorHAnsi" w:eastAsiaTheme="minorHAnsi" w:hAnsiTheme="minorHAnsi" w:cstheme="minorBidi"/>
                  <w:i/>
                  <w:iCs/>
                  <w:noProof/>
                  <w:color w:val="auto"/>
                  <w:sz w:val="22"/>
                  <w:szCs w:val="22"/>
                  <w:lang w:eastAsia="en-US"/>
                </w:rPr>
                <w:t xml:space="preserve">Common Terms. </w:t>
              </w:r>
              <w:r w:rsidRPr="00574D4C">
                <w:rPr>
                  <w:rFonts w:asciiTheme="minorHAnsi" w:eastAsiaTheme="minorHAnsi" w:hAnsiTheme="minorHAnsi" w:cstheme="minorBidi"/>
                  <w:noProof/>
                  <w:color w:val="auto"/>
                  <w:sz w:val="22"/>
                  <w:szCs w:val="22"/>
                  <w:lang w:eastAsia="en-US"/>
                </w:rPr>
                <w:t xml:space="preserve">[Online] </w:t>
              </w:r>
              <w:r w:rsidRPr="00574D4C">
                <w:rPr>
                  <w:rFonts w:asciiTheme="minorHAnsi" w:eastAsiaTheme="minorHAnsi" w:hAnsiTheme="minorHAnsi" w:cstheme="minorBidi"/>
                  <w:noProof/>
                  <w:color w:val="auto"/>
                  <w:sz w:val="22"/>
                  <w:szCs w:val="22"/>
                  <w:lang w:eastAsia="en-US"/>
                </w:rPr>
                <w:br/>
                <w:t xml:space="preserve">Available at: </w:t>
              </w:r>
              <w:r w:rsidRPr="00574D4C">
                <w:rPr>
                  <w:rFonts w:asciiTheme="minorHAnsi" w:eastAsiaTheme="minorHAnsi" w:hAnsiTheme="minorHAnsi" w:cstheme="minorBidi"/>
                  <w:noProof/>
                  <w:color w:val="auto"/>
                  <w:sz w:val="22"/>
                  <w:szCs w:val="22"/>
                  <w:u w:val="single"/>
                  <w:lang w:eastAsia="en-US"/>
                </w:rPr>
                <w:t>https://www.forensicsciencesimplified.org/csi/glossary.html</w:t>
              </w:r>
              <w:r w:rsidRPr="00574D4C">
                <w:rPr>
                  <w:rFonts w:asciiTheme="minorHAnsi" w:eastAsiaTheme="minorHAnsi" w:hAnsiTheme="minorHAnsi" w:cstheme="minorBidi"/>
                  <w:noProof/>
                  <w:color w:val="auto"/>
                  <w:sz w:val="22"/>
                  <w:szCs w:val="22"/>
                  <w:lang w:eastAsia="en-US"/>
                </w:rPr>
                <w:br/>
                <w:t>[Accessed 28 July 2022].</w:t>
              </w:r>
            </w:p>
            <w:p w14:paraId="11A23792"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574D4C">
                <w:rPr>
                  <w:rFonts w:asciiTheme="minorHAnsi" w:eastAsiaTheme="minorHAnsi" w:hAnsiTheme="minorHAnsi" w:cstheme="minorBidi"/>
                  <w:noProof/>
                  <w:color w:val="auto"/>
                  <w:sz w:val="22"/>
                  <w:szCs w:val="22"/>
                  <w:lang w:eastAsia="en-US"/>
                </w:rPr>
                <w:t xml:space="preserve">Office for National Statistics, 2021. </w:t>
              </w:r>
              <w:r w:rsidRPr="00574D4C">
                <w:rPr>
                  <w:rFonts w:asciiTheme="minorHAnsi" w:eastAsiaTheme="minorHAnsi" w:hAnsiTheme="minorHAnsi" w:cstheme="minorBidi"/>
                  <w:i/>
                  <w:iCs/>
                  <w:noProof/>
                  <w:color w:val="auto"/>
                  <w:sz w:val="22"/>
                  <w:szCs w:val="22"/>
                  <w:lang w:eastAsia="en-US"/>
                </w:rPr>
                <w:t xml:space="preserve">Nature of sexual assault by rape or penetration, England and Wales: year ending March 2020. </w:t>
              </w:r>
              <w:r w:rsidRPr="00574D4C">
                <w:rPr>
                  <w:rFonts w:asciiTheme="minorHAnsi" w:eastAsiaTheme="minorHAnsi" w:hAnsiTheme="minorHAnsi" w:cstheme="minorBidi"/>
                  <w:noProof/>
                  <w:color w:val="auto"/>
                  <w:sz w:val="22"/>
                  <w:szCs w:val="22"/>
                  <w:lang w:eastAsia="en-US"/>
                </w:rPr>
                <w:t xml:space="preserve">[Online] </w:t>
              </w:r>
              <w:r w:rsidRPr="00574D4C">
                <w:rPr>
                  <w:rFonts w:asciiTheme="minorHAnsi" w:eastAsiaTheme="minorHAnsi" w:hAnsiTheme="minorHAnsi" w:cstheme="minorBidi"/>
                  <w:noProof/>
                  <w:color w:val="auto"/>
                  <w:sz w:val="22"/>
                  <w:szCs w:val="22"/>
                  <w:lang w:eastAsia="en-US"/>
                </w:rPr>
                <w:br/>
                <w:t xml:space="preserve">Available at: </w:t>
              </w:r>
              <w:r w:rsidRPr="00574D4C">
                <w:rPr>
                  <w:rFonts w:asciiTheme="minorHAnsi" w:eastAsiaTheme="minorHAnsi" w:hAnsiTheme="minorHAnsi" w:cstheme="minorBidi"/>
                  <w:noProof/>
                  <w:color w:val="auto"/>
                  <w:sz w:val="22"/>
                  <w:szCs w:val="22"/>
                  <w:u w:val="single"/>
                  <w:lang w:eastAsia="en-US"/>
                </w:rPr>
                <w:t>https://www.ons.gov.uk/peoplepopulationandcommunity/crimeandjustice/articles/natureofsexualassaultbyrapeorpenetrationenglandandwales/yearendingmarch2020</w:t>
              </w:r>
              <w:r w:rsidRPr="00574D4C">
                <w:rPr>
                  <w:rFonts w:asciiTheme="minorHAnsi" w:eastAsiaTheme="minorHAnsi" w:hAnsiTheme="minorHAnsi" w:cstheme="minorBidi"/>
                  <w:noProof/>
                  <w:color w:val="auto"/>
                  <w:sz w:val="22"/>
                  <w:szCs w:val="22"/>
                  <w:lang w:eastAsia="en-US"/>
                </w:rPr>
                <w:br/>
                <w:t>[Accessed 30 July 2022].</w:t>
              </w:r>
            </w:p>
            <w:p w14:paraId="173AA672"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r w:rsidRPr="00574D4C">
                <w:rPr>
                  <w:rFonts w:asciiTheme="minorHAnsi" w:eastAsiaTheme="minorHAnsi" w:hAnsiTheme="minorHAnsi" w:cstheme="minorBidi"/>
                  <w:noProof/>
                  <w:color w:val="auto"/>
                  <w:sz w:val="22"/>
                  <w:szCs w:val="22"/>
                  <w:lang w:eastAsia="en-US"/>
                </w:rPr>
                <w:t xml:space="preserve">The Survivors Trust, n.d. </w:t>
              </w:r>
              <w:r w:rsidRPr="00574D4C">
                <w:rPr>
                  <w:rFonts w:asciiTheme="minorHAnsi" w:eastAsiaTheme="minorHAnsi" w:hAnsiTheme="minorHAnsi" w:cstheme="minorBidi"/>
                  <w:i/>
                  <w:iCs/>
                  <w:noProof/>
                  <w:color w:val="auto"/>
                  <w:sz w:val="22"/>
                  <w:szCs w:val="22"/>
                  <w:lang w:eastAsia="en-US"/>
                </w:rPr>
                <w:t xml:space="preserve">Sexual Assault Referral Centres (SARC). </w:t>
              </w:r>
              <w:r w:rsidRPr="00574D4C">
                <w:rPr>
                  <w:rFonts w:asciiTheme="minorHAnsi" w:eastAsiaTheme="minorHAnsi" w:hAnsiTheme="minorHAnsi" w:cstheme="minorBidi"/>
                  <w:noProof/>
                  <w:color w:val="auto"/>
                  <w:sz w:val="22"/>
                  <w:szCs w:val="22"/>
                  <w:lang w:eastAsia="en-US"/>
                </w:rPr>
                <w:t xml:space="preserve">[Online] </w:t>
              </w:r>
              <w:r w:rsidRPr="00574D4C">
                <w:rPr>
                  <w:rFonts w:asciiTheme="minorHAnsi" w:eastAsiaTheme="minorHAnsi" w:hAnsiTheme="minorHAnsi" w:cstheme="minorBidi"/>
                  <w:noProof/>
                  <w:color w:val="auto"/>
                  <w:sz w:val="22"/>
                  <w:szCs w:val="22"/>
                  <w:lang w:eastAsia="en-US"/>
                </w:rPr>
                <w:br/>
                <w:t xml:space="preserve">Available at: </w:t>
              </w:r>
              <w:r w:rsidRPr="00574D4C">
                <w:rPr>
                  <w:rFonts w:asciiTheme="minorHAnsi" w:eastAsiaTheme="minorHAnsi" w:hAnsiTheme="minorHAnsi" w:cstheme="minorBidi"/>
                  <w:noProof/>
                  <w:color w:val="auto"/>
                  <w:sz w:val="22"/>
                  <w:szCs w:val="22"/>
                  <w:u w:val="single"/>
                  <w:lang w:eastAsia="en-US"/>
                </w:rPr>
                <w:t>https://www.thesurvivorstrust.org/sarc</w:t>
              </w:r>
              <w:r w:rsidRPr="00574D4C">
                <w:rPr>
                  <w:rFonts w:asciiTheme="minorHAnsi" w:eastAsiaTheme="minorHAnsi" w:hAnsiTheme="minorHAnsi" w:cstheme="minorBidi"/>
                  <w:noProof/>
                  <w:color w:val="auto"/>
                  <w:sz w:val="22"/>
                  <w:szCs w:val="22"/>
                  <w:lang w:eastAsia="en-US"/>
                </w:rPr>
                <w:br/>
                <w:t>[Accessed 28 July 2022].</w:t>
              </w:r>
            </w:p>
            <w:p w14:paraId="4010250D"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b/>
                  <w:bCs/>
                  <w:noProof/>
                  <w:color w:val="auto"/>
                  <w:sz w:val="22"/>
                  <w:szCs w:val="22"/>
                  <w:lang w:eastAsia="en-US"/>
                </w:rPr>
                <w:fldChar w:fldCharType="end"/>
              </w:r>
            </w:p>
          </w:sdtContent>
        </w:sdt>
      </w:sdtContent>
    </w:sdt>
    <w:p w14:paraId="11CDA8C9" w14:textId="09487326" w:rsidR="00574D4C" w:rsidRDefault="00574D4C" w:rsidP="00C23151">
      <w:pPr>
        <w:rPr>
          <w:b/>
          <w:bCs/>
          <w:sz w:val="24"/>
          <w:szCs w:val="24"/>
        </w:rPr>
      </w:pPr>
      <w:r>
        <w:rPr>
          <w:b/>
          <w:bCs/>
          <w:sz w:val="24"/>
          <w:szCs w:val="24"/>
        </w:rPr>
        <w:t xml:space="preserve">Task 5 </w:t>
      </w:r>
    </w:p>
    <w:p w14:paraId="3B762E4E" w14:textId="3FDB3456" w:rsidR="00574D4C" w:rsidRDefault="00574D4C" w:rsidP="00C23151">
      <w:pPr>
        <w:rPr>
          <w:b/>
          <w:bCs/>
          <w:sz w:val="24"/>
          <w:szCs w:val="24"/>
        </w:rPr>
      </w:pPr>
    </w:p>
    <w:sdt>
      <w:sdtPr>
        <w:rPr>
          <w:rFonts w:asciiTheme="majorHAnsi" w:eastAsiaTheme="majorEastAsia" w:hAnsiTheme="majorHAnsi" w:cstheme="majorBidi"/>
          <w:color w:val="2F5496" w:themeColor="accent1" w:themeShade="BF"/>
          <w:sz w:val="32"/>
          <w:szCs w:val="32"/>
          <w:lang w:val="en-US" w:eastAsia="en-US"/>
        </w:rPr>
        <w:id w:val="-198145111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E4CB6DE" w14:textId="77777777" w:rsidR="00574D4C" w:rsidRPr="00574D4C" w:rsidRDefault="00574D4C" w:rsidP="00574D4C">
          <w:pPr>
            <w:keepNext/>
            <w:keepLines/>
            <w:overflowPunct/>
            <w:autoSpaceDE/>
            <w:autoSpaceDN/>
            <w:adjustRightInd/>
            <w:spacing w:before="240" w:line="259" w:lineRule="auto"/>
            <w:textAlignment w:val="auto"/>
            <w:outlineLvl w:val="0"/>
            <w:rPr>
              <w:rFonts w:asciiTheme="majorHAnsi" w:eastAsiaTheme="majorEastAsia" w:hAnsiTheme="majorHAnsi" w:cstheme="majorBidi"/>
              <w:color w:val="2F5496" w:themeColor="accent1" w:themeShade="BF"/>
              <w:sz w:val="32"/>
              <w:szCs w:val="32"/>
              <w:lang w:val="en-US" w:eastAsia="en-US"/>
            </w:rPr>
          </w:pPr>
          <w:r w:rsidRPr="00574D4C">
            <w:rPr>
              <w:rFonts w:asciiTheme="majorHAnsi" w:eastAsiaTheme="majorEastAsia" w:hAnsiTheme="majorHAnsi" w:cstheme="majorBidi"/>
              <w:color w:val="2F5496" w:themeColor="accent1" w:themeShade="BF"/>
              <w:sz w:val="32"/>
              <w:szCs w:val="32"/>
              <w:lang w:val="en-US" w:eastAsia="en-US"/>
            </w:rPr>
            <w:t>Bibliography</w:t>
          </w:r>
        </w:p>
        <w:sdt>
          <w:sdtPr>
            <w:rPr>
              <w:rFonts w:asciiTheme="minorHAnsi" w:eastAsiaTheme="minorHAnsi" w:hAnsiTheme="minorHAnsi" w:cstheme="minorBidi"/>
              <w:color w:val="auto"/>
              <w:sz w:val="22"/>
              <w:szCs w:val="22"/>
              <w:lang w:eastAsia="en-US"/>
            </w:rPr>
            <w:id w:val="2064439735"/>
            <w:bibliography/>
          </w:sdtPr>
          <w:sdtContent>
            <w:p w14:paraId="70103A3D"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4"/>
                  <w:szCs w:val="24"/>
                  <w:lang w:val="en-US" w:eastAsia="en-US"/>
                </w:rPr>
              </w:pPr>
              <w:r w:rsidRPr="00574D4C">
                <w:rPr>
                  <w:rFonts w:asciiTheme="minorHAnsi" w:eastAsiaTheme="minorHAnsi" w:hAnsiTheme="minorHAnsi" w:cstheme="minorBidi"/>
                  <w:color w:val="auto"/>
                  <w:sz w:val="22"/>
                  <w:szCs w:val="22"/>
                  <w:lang w:eastAsia="en-US"/>
                </w:rPr>
                <w:fldChar w:fldCharType="begin"/>
              </w:r>
              <w:r w:rsidRPr="00574D4C">
                <w:rPr>
                  <w:rFonts w:asciiTheme="minorHAnsi" w:eastAsiaTheme="minorHAnsi" w:hAnsiTheme="minorHAnsi" w:cstheme="minorBidi"/>
                  <w:color w:val="auto"/>
                  <w:sz w:val="22"/>
                  <w:szCs w:val="22"/>
                  <w:lang w:eastAsia="en-US"/>
                </w:rPr>
                <w:instrText xml:space="preserve"> BIBLIOGRAPHY </w:instrText>
              </w:r>
              <w:r w:rsidRPr="00574D4C">
                <w:rPr>
                  <w:rFonts w:asciiTheme="minorHAnsi" w:eastAsiaTheme="minorHAnsi" w:hAnsiTheme="minorHAnsi" w:cstheme="minorBidi"/>
                  <w:color w:val="auto"/>
                  <w:sz w:val="22"/>
                  <w:szCs w:val="22"/>
                  <w:lang w:eastAsia="en-US"/>
                </w:rPr>
                <w:fldChar w:fldCharType="separate"/>
              </w:r>
              <w:r w:rsidRPr="00574D4C">
                <w:rPr>
                  <w:rFonts w:asciiTheme="minorHAnsi" w:eastAsiaTheme="minorHAnsi" w:hAnsiTheme="minorHAnsi" w:cstheme="minorBidi"/>
                  <w:noProof/>
                  <w:color w:val="auto"/>
                  <w:sz w:val="22"/>
                  <w:szCs w:val="22"/>
                  <w:lang w:val="en-US" w:eastAsia="en-US"/>
                </w:rPr>
                <w:t xml:space="preserve">Bunyan, R., 2022. High school student, 17, killed himself six hours after falling victim to online sextortion plot: Teen paid $300 to blackmailers to stop them releasing naked picture - but then they demanded more cash. </w:t>
              </w:r>
              <w:r w:rsidRPr="00574D4C">
                <w:rPr>
                  <w:rFonts w:asciiTheme="minorHAnsi" w:eastAsiaTheme="minorHAnsi" w:hAnsiTheme="minorHAnsi" w:cstheme="minorBidi"/>
                  <w:i/>
                  <w:iCs/>
                  <w:noProof/>
                  <w:color w:val="auto"/>
                  <w:sz w:val="22"/>
                  <w:szCs w:val="22"/>
                  <w:lang w:val="en-US" w:eastAsia="en-US"/>
                </w:rPr>
                <w:t>Mail Online</w:t>
              </w:r>
              <w:r w:rsidRPr="00574D4C">
                <w:rPr>
                  <w:rFonts w:asciiTheme="minorHAnsi" w:eastAsiaTheme="minorHAnsi" w:hAnsiTheme="minorHAnsi" w:cstheme="minorBidi"/>
                  <w:noProof/>
                  <w:color w:val="auto"/>
                  <w:sz w:val="22"/>
                  <w:szCs w:val="22"/>
                  <w:lang w:val="en-US" w:eastAsia="en-US"/>
                </w:rPr>
                <w:t>, 1 August, pp. https://www.dailymail.co.uk/news/article-10672933/High-School-student-17-killed-six-hours-falling-victim-online-sextortion-plot.html.</w:t>
              </w:r>
            </w:p>
            <w:p w14:paraId="39971CF6"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574D4C">
                <w:rPr>
                  <w:rFonts w:asciiTheme="minorHAnsi" w:eastAsiaTheme="minorHAnsi" w:hAnsiTheme="minorHAnsi" w:cstheme="minorBidi"/>
                  <w:noProof/>
                  <w:color w:val="auto"/>
                  <w:sz w:val="22"/>
                  <w:szCs w:val="22"/>
                  <w:lang w:val="en-US" w:eastAsia="en-US"/>
                </w:rPr>
                <w:t xml:space="preserve">Coker, J., 2022. UK Sextortion Cases Doubled in 2021. </w:t>
              </w:r>
              <w:r w:rsidRPr="00574D4C">
                <w:rPr>
                  <w:rFonts w:asciiTheme="minorHAnsi" w:eastAsiaTheme="minorHAnsi" w:hAnsiTheme="minorHAnsi" w:cstheme="minorBidi"/>
                  <w:i/>
                  <w:iCs/>
                  <w:noProof/>
                  <w:color w:val="auto"/>
                  <w:sz w:val="22"/>
                  <w:szCs w:val="22"/>
                  <w:lang w:val="en-US" w:eastAsia="en-US"/>
                </w:rPr>
                <w:t>Infosecurity Magazine</w:t>
              </w:r>
              <w:r w:rsidRPr="00574D4C">
                <w:rPr>
                  <w:rFonts w:asciiTheme="minorHAnsi" w:eastAsiaTheme="minorHAnsi" w:hAnsiTheme="minorHAnsi" w:cstheme="minorBidi"/>
                  <w:noProof/>
                  <w:color w:val="auto"/>
                  <w:sz w:val="22"/>
                  <w:szCs w:val="22"/>
                  <w:lang w:val="en-US" w:eastAsia="en-US"/>
                </w:rPr>
                <w:t xml:space="preserve">, 20 May. </w:t>
              </w:r>
            </w:p>
            <w:p w14:paraId="753EEB4C"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574D4C">
                <w:rPr>
                  <w:rFonts w:asciiTheme="minorHAnsi" w:eastAsiaTheme="minorHAnsi" w:hAnsiTheme="minorHAnsi" w:cstheme="minorBidi"/>
                  <w:noProof/>
                  <w:color w:val="auto"/>
                  <w:sz w:val="22"/>
                  <w:szCs w:val="22"/>
                  <w:lang w:val="en-US" w:eastAsia="en-US"/>
                </w:rPr>
                <w:t xml:space="preserve">GOV.UK, 2015. </w:t>
              </w:r>
              <w:r w:rsidRPr="00574D4C">
                <w:rPr>
                  <w:rFonts w:asciiTheme="minorHAnsi" w:eastAsiaTheme="minorHAnsi" w:hAnsiTheme="minorHAnsi" w:cstheme="minorBidi"/>
                  <w:i/>
                  <w:iCs/>
                  <w:noProof/>
                  <w:color w:val="auto"/>
                  <w:sz w:val="22"/>
                  <w:szCs w:val="22"/>
                  <w:lang w:val="en-US" w:eastAsia="en-US"/>
                </w:rPr>
                <w:t xml:space="preserve">Revenge Porn. </w:t>
              </w:r>
              <w:r w:rsidRPr="00574D4C">
                <w:rPr>
                  <w:rFonts w:asciiTheme="minorHAnsi" w:eastAsiaTheme="minorHAnsi" w:hAnsiTheme="minorHAnsi" w:cstheme="minorBidi"/>
                  <w:noProof/>
                  <w:color w:val="auto"/>
                  <w:sz w:val="22"/>
                  <w:szCs w:val="22"/>
                  <w:lang w:val="en-US" w:eastAsia="en-US"/>
                </w:rPr>
                <w:t xml:space="preserve">[Online] </w:t>
              </w:r>
              <w:r w:rsidRPr="00574D4C">
                <w:rPr>
                  <w:rFonts w:asciiTheme="minorHAnsi" w:eastAsiaTheme="minorHAnsi" w:hAnsiTheme="minorHAnsi" w:cstheme="minorBidi"/>
                  <w:noProof/>
                  <w:color w:val="auto"/>
                  <w:sz w:val="22"/>
                  <w:szCs w:val="22"/>
                  <w:lang w:val="en-US" w:eastAsia="en-US"/>
                </w:rPr>
                <w:br/>
                <w:t xml:space="preserve">Available at: </w:t>
              </w:r>
              <w:r w:rsidRPr="00574D4C">
                <w:rPr>
                  <w:rFonts w:asciiTheme="minorHAnsi" w:eastAsiaTheme="minorHAnsi" w:hAnsiTheme="minorHAnsi" w:cstheme="minorBidi"/>
                  <w:noProof/>
                  <w:color w:val="auto"/>
                  <w:sz w:val="22"/>
                  <w:szCs w:val="22"/>
                  <w:u w:val="single"/>
                  <w:lang w:val="en-US" w:eastAsia="en-US"/>
                </w:rPr>
                <w:t>https://www.gov.uk/government/publications/revenge-porn</w:t>
              </w:r>
              <w:r w:rsidRPr="00574D4C">
                <w:rPr>
                  <w:rFonts w:asciiTheme="minorHAnsi" w:eastAsiaTheme="minorHAnsi" w:hAnsiTheme="minorHAnsi" w:cstheme="minorBidi"/>
                  <w:noProof/>
                  <w:color w:val="auto"/>
                  <w:sz w:val="22"/>
                  <w:szCs w:val="22"/>
                  <w:lang w:val="en-US" w:eastAsia="en-US"/>
                </w:rPr>
                <w:br/>
                <w:t>[Accessed 1 August 2022].</w:t>
              </w:r>
            </w:p>
            <w:p w14:paraId="09D5ABF6"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574D4C">
                <w:rPr>
                  <w:rFonts w:asciiTheme="minorHAnsi" w:eastAsiaTheme="minorHAnsi" w:hAnsiTheme="minorHAnsi" w:cstheme="minorBidi"/>
                  <w:noProof/>
                  <w:color w:val="auto"/>
                  <w:sz w:val="22"/>
                  <w:szCs w:val="22"/>
                  <w:lang w:val="en-US" w:eastAsia="en-US"/>
                </w:rPr>
                <w:t xml:space="preserve">Lynch, S., 2022. </w:t>
              </w:r>
              <w:r w:rsidRPr="00574D4C">
                <w:rPr>
                  <w:rFonts w:asciiTheme="minorHAnsi" w:eastAsiaTheme="minorHAnsi" w:hAnsiTheme="minorHAnsi" w:cstheme="minorBidi"/>
                  <w:i/>
                  <w:iCs/>
                  <w:noProof/>
                  <w:color w:val="auto"/>
                  <w:sz w:val="22"/>
                  <w:szCs w:val="22"/>
                  <w:lang w:val="en-US" w:eastAsia="en-US"/>
                </w:rPr>
                <w:t xml:space="preserve">FBI Charlotte Warns of Increase in Sextortion Schemes Targeting Teenage Boys. </w:t>
              </w:r>
              <w:r w:rsidRPr="00574D4C">
                <w:rPr>
                  <w:rFonts w:asciiTheme="minorHAnsi" w:eastAsiaTheme="minorHAnsi" w:hAnsiTheme="minorHAnsi" w:cstheme="minorBidi"/>
                  <w:noProof/>
                  <w:color w:val="auto"/>
                  <w:sz w:val="22"/>
                  <w:szCs w:val="22"/>
                  <w:lang w:val="en-US" w:eastAsia="en-US"/>
                </w:rPr>
                <w:t xml:space="preserve">[Online] </w:t>
              </w:r>
              <w:r w:rsidRPr="00574D4C">
                <w:rPr>
                  <w:rFonts w:asciiTheme="minorHAnsi" w:eastAsiaTheme="minorHAnsi" w:hAnsiTheme="minorHAnsi" w:cstheme="minorBidi"/>
                  <w:noProof/>
                  <w:color w:val="auto"/>
                  <w:sz w:val="22"/>
                  <w:szCs w:val="22"/>
                  <w:lang w:val="en-US" w:eastAsia="en-US"/>
                </w:rPr>
                <w:br/>
                <w:t xml:space="preserve">Available at: </w:t>
              </w:r>
              <w:r w:rsidRPr="00574D4C">
                <w:rPr>
                  <w:rFonts w:asciiTheme="minorHAnsi" w:eastAsiaTheme="minorHAnsi" w:hAnsiTheme="minorHAnsi" w:cstheme="minorBidi"/>
                  <w:noProof/>
                  <w:color w:val="auto"/>
                  <w:sz w:val="22"/>
                  <w:szCs w:val="22"/>
                  <w:u w:val="single"/>
                  <w:lang w:val="en-US" w:eastAsia="en-US"/>
                </w:rPr>
                <w:t>https://www.fbi.gov/contact-us/field-offices/charlotte/news/press-releases/fbi-charlotte-warns-of-increase-in-sextortion-schemes-targeting-teenage-boys</w:t>
              </w:r>
              <w:r w:rsidRPr="00574D4C">
                <w:rPr>
                  <w:rFonts w:asciiTheme="minorHAnsi" w:eastAsiaTheme="minorHAnsi" w:hAnsiTheme="minorHAnsi" w:cstheme="minorBidi"/>
                  <w:noProof/>
                  <w:color w:val="auto"/>
                  <w:sz w:val="22"/>
                  <w:szCs w:val="22"/>
                  <w:lang w:val="en-US" w:eastAsia="en-US"/>
                </w:rPr>
                <w:br/>
                <w:t>[Accessed 1 August 2022].</w:t>
              </w:r>
            </w:p>
            <w:p w14:paraId="6532BED4"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574D4C">
                <w:rPr>
                  <w:rFonts w:asciiTheme="minorHAnsi" w:eastAsiaTheme="minorHAnsi" w:hAnsiTheme="minorHAnsi" w:cstheme="minorBidi"/>
                  <w:noProof/>
                  <w:color w:val="auto"/>
                  <w:sz w:val="22"/>
                  <w:szCs w:val="22"/>
                  <w:lang w:val="en-US" w:eastAsia="en-US"/>
                </w:rPr>
                <w:t xml:space="preserve">Metropolitan Police, n.d. </w:t>
              </w:r>
              <w:r w:rsidRPr="00574D4C">
                <w:rPr>
                  <w:rFonts w:asciiTheme="minorHAnsi" w:eastAsiaTheme="minorHAnsi" w:hAnsiTheme="minorHAnsi" w:cstheme="minorBidi"/>
                  <w:i/>
                  <w:iCs/>
                  <w:noProof/>
                  <w:color w:val="auto"/>
                  <w:sz w:val="22"/>
                  <w:szCs w:val="22"/>
                  <w:lang w:val="en-US" w:eastAsia="en-US"/>
                </w:rPr>
                <w:t xml:space="preserve">Sextortion. </w:t>
              </w:r>
              <w:r w:rsidRPr="00574D4C">
                <w:rPr>
                  <w:rFonts w:asciiTheme="minorHAnsi" w:eastAsiaTheme="minorHAnsi" w:hAnsiTheme="minorHAnsi" w:cstheme="minorBidi"/>
                  <w:noProof/>
                  <w:color w:val="auto"/>
                  <w:sz w:val="22"/>
                  <w:szCs w:val="22"/>
                  <w:lang w:val="en-US" w:eastAsia="en-US"/>
                </w:rPr>
                <w:t xml:space="preserve">[Online] </w:t>
              </w:r>
              <w:r w:rsidRPr="00574D4C">
                <w:rPr>
                  <w:rFonts w:asciiTheme="minorHAnsi" w:eastAsiaTheme="minorHAnsi" w:hAnsiTheme="minorHAnsi" w:cstheme="minorBidi"/>
                  <w:noProof/>
                  <w:color w:val="auto"/>
                  <w:sz w:val="22"/>
                  <w:szCs w:val="22"/>
                  <w:lang w:val="en-US" w:eastAsia="en-US"/>
                </w:rPr>
                <w:br/>
                <w:t xml:space="preserve">Available at: </w:t>
              </w:r>
              <w:r w:rsidRPr="00574D4C">
                <w:rPr>
                  <w:rFonts w:asciiTheme="minorHAnsi" w:eastAsiaTheme="minorHAnsi" w:hAnsiTheme="minorHAnsi" w:cstheme="minorBidi"/>
                  <w:noProof/>
                  <w:color w:val="auto"/>
                  <w:sz w:val="22"/>
                  <w:szCs w:val="22"/>
                  <w:u w:val="single"/>
                  <w:lang w:val="en-US" w:eastAsia="en-US"/>
                </w:rPr>
                <w:t>https://www.met.police.uk/advice/advice-and-information/sexual-offences/sextortion/#:~:text=%27Sextortion%27%20is%20a%20form%20of,the%20victim%20realising%20or%20consenting.</w:t>
              </w:r>
              <w:r w:rsidRPr="00574D4C">
                <w:rPr>
                  <w:rFonts w:asciiTheme="minorHAnsi" w:eastAsiaTheme="minorHAnsi" w:hAnsiTheme="minorHAnsi" w:cstheme="minorBidi"/>
                  <w:noProof/>
                  <w:color w:val="auto"/>
                  <w:sz w:val="22"/>
                  <w:szCs w:val="22"/>
                  <w:lang w:val="en-US" w:eastAsia="en-US"/>
                </w:rPr>
                <w:br/>
                <w:t>[Accessed 1 August 2022].</w:t>
              </w:r>
            </w:p>
            <w:p w14:paraId="66CFA946"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574D4C">
                <w:rPr>
                  <w:rFonts w:asciiTheme="minorHAnsi" w:eastAsiaTheme="minorHAnsi" w:hAnsiTheme="minorHAnsi" w:cstheme="minorBidi"/>
                  <w:noProof/>
                  <w:color w:val="auto"/>
                  <w:sz w:val="22"/>
                  <w:szCs w:val="22"/>
                  <w:lang w:val="en-US" w:eastAsia="en-US"/>
                </w:rPr>
                <w:lastRenderedPageBreak/>
                <w:t xml:space="preserve">YouGov, 2020. </w:t>
              </w:r>
              <w:r w:rsidRPr="00574D4C">
                <w:rPr>
                  <w:rFonts w:asciiTheme="minorHAnsi" w:eastAsiaTheme="minorHAnsi" w:hAnsiTheme="minorHAnsi" w:cstheme="minorBidi"/>
                  <w:i/>
                  <w:iCs/>
                  <w:noProof/>
                  <w:color w:val="auto"/>
                  <w:sz w:val="22"/>
                  <w:szCs w:val="22"/>
                  <w:lang w:val="en-US" w:eastAsia="en-US"/>
                </w:rPr>
                <w:t xml:space="preserve">By the age of seven, 53% of the children in the UK own a mobile phone. </w:t>
              </w:r>
              <w:r w:rsidRPr="00574D4C">
                <w:rPr>
                  <w:rFonts w:asciiTheme="minorHAnsi" w:eastAsiaTheme="minorHAnsi" w:hAnsiTheme="minorHAnsi" w:cstheme="minorBidi"/>
                  <w:noProof/>
                  <w:color w:val="auto"/>
                  <w:sz w:val="22"/>
                  <w:szCs w:val="22"/>
                  <w:lang w:val="en-US" w:eastAsia="en-US"/>
                </w:rPr>
                <w:t xml:space="preserve">[Online] </w:t>
              </w:r>
              <w:r w:rsidRPr="00574D4C">
                <w:rPr>
                  <w:rFonts w:asciiTheme="minorHAnsi" w:eastAsiaTheme="minorHAnsi" w:hAnsiTheme="minorHAnsi" w:cstheme="minorBidi"/>
                  <w:noProof/>
                  <w:color w:val="auto"/>
                  <w:sz w:val="22"/>
                  <w:szCs w:val="22"/>
                  <w:lang w:val="en-US" w:eastAsia="en-US"/>
                </w:rPr>
                <w:br/>
                <w:t xml:space="preserve">Available at: </w:t>
              </w:r>
              <w:r w:rsidRPr="00574D4C">
                <w:rPr>
                  <w:rFonts w:asciiTheme="minorHAnsi" w:eastAsiaTheme="minorHAnsi" w:hAnsiTheme="minorHAnsi" w:cstheme="minorBidi"/>
                  <w:noProof/>
                  <w:color w:val="auto"/>
                  <w:sz w:val="22"/>
                  <w:szCs w:val="22"/>
                  <w:u w:val="single"/>
                  <w:lang w:val="en-US" w:eastAsia="en-US"/>
                </w:rPr>
                <w:t>https://yougov.co.uk/topics/resources/articles-reports/2020/01/31/age-seven-53-children-uk-own-mobile-phone</w:t>
              </w:r>
              <w:r w:rsidRPr="00574D4C">
                <w:rPr>
                  <w:rFonts w:asciiTheme="minorHAnsi" w:eastAsiaTheme="minorHAnsi" w:hAnsiTheme="minorHAnsi" w:cstheme="minorBidi"/>
                  <w:noProof/>
                  <w:color w:val="auto"/>
                  <w:sz w:val="22"/>
                  <w:szCs w:val="22"/>
                  <w:lang w:val="en-US" w:eastAsia="en-US"/>
                </w:rPr>
                <w:br/>
                <w:t>[Accessed 1 August 2022].</w:t>
              </w:r>
            </w:p>
            <w:p w14:paraId="479DCF9A" w14:textId="77777777" w:rsidR="00574D4C" w:rsidRPr="00574D4C" w:rsidRDefault="00574D4C" w:rsidP="00574D4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4D4C">
                <w:rPr>
                  <w:rFonts w:asciiTheme="minorHAnsi" w:eastAsiaTheme="minorHAnsi" w:hAnsiTheme="minorHAnsi" w:cstheme="minorBidi"/>
                  <w:b/>
                  <w:bCs/>
                  <w:noProof/>
                  <w:color w:val="auto"/>
                  <w:sz w:val="22"/>
                  <w:szCs w:val="22"/>
                  <w:lang w:eastAsia="en-US"/>
                </w:rPr>
                <w:fldChar w:fldCharType="end"/>
              </w:r>
            </w:p>
          </w:sdtContent>
        </w:sdt>
      </w:sdtContent>
    </w:sdt>
    <w:p w14:paraId="5773A474" w14:textId="77777777" w:rsidR="00574D4C" w:rsidRPr="00C23151" w:rsidRDefault="00574D4C" w:rsidP="00C23151">
      <w:pPr>
        <w:rPr>
          <w:b/>
          <w:bCs/>
          <w:sz w:val="24"/>
          <w:szCs w:val="24"/>
        </w:rPr>
      </w:pPr>
    </w:p>
    <w:sectPr w:rsidR="00574D4C" w:rsidRPr="00C2315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7685230">
    <w:abstractNumId w:val="0"/>
  </w:num>
  <w:num w:numId="2" w16cid:durableId="1939025882">
    <w:abstractNumId w:val="3"/>
  </w:num>
  <w:num w:numId="3" w16cid:durableId="154104789">
    <w:abstractNumId w:val="2"/>
  </w:num>
  <w:num w:numId="4" w16cid:durableId="726223580">
    <w:abstractNumId w:val="1"/>
  </w:num>
  <w:num w:numId="5" w16cid:durableId="80793698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7797"/>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4D4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2881"/>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151"/>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Spacing">
    <w:name w:val="No Spacing"/>
    <w:uiPriority w:val="1"/>
    <w:qFormat/>
    <w:rsid w:val="00077797"/>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Coh01</b:Tag>
    <b:SourceType>JournalArticle</b:SourceType>
    <b:Guid>{41FFA666-CE6E-462B-81D4-109AFF727815}</b:Guid>
    <b:Title>The Role of Justice in Organizations: A Meta-Analysis</b:Title>
    <b:Year>2001</b:Year>
    <b:Author>
      <b:Author>
        <b:NameList>
          <b:Person>
            <b:Last>Cohen-Charash</b:Last>
            <b:First>Yochi</b:First>
          </b:Person>
          <b:Person>
            <b:Last>Spector</b:Last>
            <b:First>Paul</b:First>
            <b:Middle>E.</b:Middle>
          </b:Person>
        </b:NameList>
      </b:Author>
    </b:Author>
    <b:JournalName>Organizational Behavior and Human Decision Processes</b:JournalName>
    <b:Pages>278-321</b:Pages>
    <b:Volume>86</b:Volume>
    <b:Issue>2</b:Issue>
    <b:RefOrder>1</b:RefOrder>
  </b:Source>
  <b:Source>
    <b:Tag>Her20</b:Tag>
    <b:SourceType>InternetSite</b:SourceType>
    <b:Guid>{7EDD7D43-EC42-40C0-8244-489AE8525196}</b:Guid>
    <b:Title>Procedural justice</b:Title>
    <b:Year>2020</b:Year>
    <b:Author>
      <b:Author>
        <b:Corporate>Her Majesty's Inspectorate of Probation</b:Corporate>
      </b:Author>
    </b:Author>
    <b:YearAccessed>2022</b:YearAccessed>
    <b:MonthAccessed>June</b:MonthAccessed>
    <b:DayAccessed>6</b:DayAccessed>
    <b:URL>https://www.justiceinspectorates.gov.uk/hmiprobation/research/the-evidence-base-probation/models-and-principles/procedural-justice/</b:URL>
    <b:RefOrder>2</b:RefOrder>
  </b:Source>
  <b:Source>
    <b:Tag>Yal22</b:Tag>
    <b:SourceType>InternetSite</b:SourceType>
    <b:Guid>{2758C06E-5412-4224-9E36-05394B5CB08C}</b:Guid>
    <b:Author>
      <b:Author>
        <b:Corporate>Yale Law School</b:Corporate>
      </b:Author>
    </b:Author>
    <b:Title>Procedural Justice</b:Title>
    <b:YearAccessed>2022</b:YearAccessed>
    <b:MonthAccessed>June</b:MonthAccessed>
    <b:DayAccessed>6</b:DayAccessed>
    <b:URL>https://law.yale.edu/justice-collaboratory/procedural-justice</b:URL>
    <b:RefOrder>3</b:RefOrder>
  </b:Source>
  <b:Source>
    <b:Tag>Col01</b:Tag>
    <b:SourceType>JournalArticle</b:SourceType>
    <b:Guid>{E810A383-D376-4977-8037-1B6D45EC2D0D}</b:Guid>
    <b:Title>On the Dimensionality of Organizational Justice: a Construct Validation of a Measure</b:Title>
    <b:Year>2001</b:Year>
    <b:Author>
      <b:Author>
        <b:NameList>
          <b:Person>
            <b:Last>Colquitt</b:Last>
            <b:First>Jason</b:First>
            <b:Middle>A</b:Middle>
          </b:Person>
          <b:Person>
            <b:Last>Murphy</b:Last>
            <b:First>Kevin</b:First>
            <b:Middle>R</b:Middle>
          </b:Person>
        </b:NameList>
      </b:Author>
    </b:Author>
    <b:JournalName>Journal of applied psychology</b:JournalName>
    <b:Pages>386-400</b:Pages>
    <b:Volume>86</b:Volume>
    <b:Issue>3</b:Issue>
    <b:RefOrder>4</b:RefOrder>
  </b:Source>
  <b:Source>
    <b:Tag>Isa20</b:Tag>
    <b:SourceType>JournalArticle</b:SourceType>
    <b:Guid>{F288AC5C-F455-4A39-A102-DE9140C57231}</b:Guid>
    <b:Author>
      <b:Author>
        <b:NameList>
          <b:Person>
            <b:Last>Isabirye</b:Last>
            <b:First>Anthony</b:First>
            <b:Middle>K</b:Middle>
          </b:Person>
          <b:Person>
            <b:Last>Orando</b:Last>
            <b:First>Marcellus</b:First>
          </b:Person>
        </b:NameList>
      </b:Author>
    </b:Author>
    <b:Title>ORGANISATIONAL JUSTICE: A MATRIX FOR ETHICS AND INTEGRITY FOR IMPROVING CONSTRUCTION PRODUCTIVITY IN SOUTH AFRICA</b:Title>
    <b:JournalName>INTERNATIONAL JOURNAL OF BUSINESS AND MANAGEMENT STUDIES</b:JournalName>
    <b:Year>2020</b:Year>
    <b:Pages>340-355</b:Pages>
    <b:Volume>12</b:Volume>
    <b:Issue>2</b:Issue>
    <b:RefOrder>5</b:RefOrder>
  </b:Source>
  <b:Source>
    <b:Tag>Che18</b:Tag>
    <b:SourceType>InternetSite</b:SourceType>
    <b:Guid>{D602F5A7-96F6-41CA-8A1C-1BD89FC501AF}</b:Guid>
    <b:Title>Organizational Justice as a Key Metrics of Ethical Culture</b:Title>
    <b:Year>2018</b:Year>
    <b:Author>
      <b:Author>
        <b:NameList>
          <b:Person>
            <b:Last>Cherepanova</b:Last>
            <b:First>Vera</b:First>
          </b:Person>
        </b:NameList>
      </b:Author>
    </b:Author>
    <b:YearAccessed>2022</b:YearAccessed>
    <b:MonthAccessed>June</b:MonthAccessed>
    <b:DayAccessed>6</b:DayAccessed>
    <b:URL>https://www.complianceandethics.org/organizational-justice-as-a-key-metrics-of-ethical-culture/</b:URL>
    <b:RefOrder>6</b:RefOrder>
  </b:Source>
  <b:Source>
    <b:Tag>Colnd</b:Tag>
    <b:SourceType>InternetSite</b:SourceType>
    <b:Guid>{D3833B41-5C4B-4479-9C52-EC59A44D14F2}</b:Guid>
    <b:Title>Code of Ethics</b:Title>
    <b:Year>n.d.</b:Year>
    <b:YearAccessed>2022</b:YearAccessed>
    <b:MonthAccessed>January</b:MonthAccessed>
    <b:DayAccessed>31</b:DayAccessed>
    <b:URL>https://www.college.police.uk/ethics/code-of-ethics</b:URL>
    <b:Author>
      <b:Author>
        <b:Corporate>College of Policing</b:Corporate>
      </b:Author>
    </b:Author>
    <b:RefOrder>7</b:RefOrder>
  </b:Source>
  <b:Source>
    <b:Tag>Qui15</b:Tag>
    <b:SourceType>Report</b:SourceType>
    <b:Guid>{AB846951-644E-40D9-BB3C-2803B8F89809}</b:Guid>
    <b:Title>Fair cop 2: Organisational justice, behaviour and ethical policing</b:Title>
    <b:Year>2015</b:Year>
    <b:Author>
      <b:Author>
        <b:NameList>
          <b:Person>
            <b:Last>Quinton</b:Last>
            <b:First>Paul</b:First>
          </b:Person>
          <b:Person>
            <b:Last>Myhill</b:Last>
            <b:First>Andy</b:First>
          </b:Person>
          <b:Person>
            <b:Last>Bradford</b:Last>
            <b:First>Ben</b:First>
          </b:Person>
          <b:Person>
            <b:Last>Fildes</b:Last>
            <b:First>Alistair</b:First>
          </b:Person>
          <b:Person>
            <b:Last>Porter</b:Last>
            <b:First>Gillian</b:First>
          </b:Person>
        </b:NameList>
      </b:Author>
    </b:Author>
    <b:Publisher>College of Policing </b:Publisher>
    <b:RefOrder>8</b:RefOrder>
  </b:Source>
  <b:Source>
    <b:Tag>WOL11</b:Tag>
    <b:SourceType>JournalArticle</b:SourceType>
    <b:Guid>{2ECF0339-255B-46F3-B344-76B010A8184C}</b:Guid>
    <b:Title>ORGANIZATIONAL JUSTICE AND POLICE MISCONDUCT</b:Title>
    <b:Year>2011</b:Year>
    <b:Author>
      <b:Author>
        <b:NameList>
          <b:Person>
            <b:Last>WOLFE</b:Last>
            <b:First>SCOTT</b:First>
            <b:Middle>E</b:Middle>
          </b:Person>
          <b:Person>
            <b:Last>PIQUERO</b:Last>
            <b:First>ALEX</b:First>
            <b:Middle>R</b:Middle>
          </b:Person>
        </b:NameList>
      </b:Author>
    </b:Author>
    <b:JournalName>CRIMINAL JUSTICE AND BEHAVIOR</b:JournalName>
    <b:Pages>332-353</b:Pages>
    <b:Volume>38</b:Volume>
    <b:Issue>4</b:Issue>
    <b:RefOrder>9</b:RefOrder>
  </b:Source>
  <b:Source>
    <b:Tag>Sou22</b:Tag>
    <b:SourceType>InternetSite</b:SourceType>
    <b:Guid>{0D0A54D4-F2C4-42F5-9244-FA8C9CFCB83E}</b:Guid>
    <b:Title>Our vision, values and ethics</b:Title>
    <b:Author>
      <b:Author>
        <b:Corporate>South Wales Police</b:Corporate>
      </b:Author>
    </b:Author>
    <b:YearAccessed>2022</b:YearAccessed>
    <b:MonthAccessed>June</b:MonthAccessed>
    <b:DayAccessed>6</b:DayAccessed>
    <b:URL>https://www.south-wales.police.uk/police-forces/south-wales-police/areas/about-us/about-us/our-vision-values-and-ethics/</b:URL>
    <b:RefOrder>10</b:RefOrder>
  </b:Source>
  <b:Source>
    <b:Tag>Col14</b:Tag>
    <b:SourceType>DocumentFromInternetSite</b:SourceType>
    <b:Guid>{BD1A7C2E-989C-4E87-8824-00D83DED572B}</b:Guid>
    <b:Title>Code of Ethics</b:Title>
    <b:Year>2014</b:Year>
    <b:YearAccessed>2022</b:YearAccessed>
    <b:MonthAccessed>April</b:MonthAccessed>
    <b:DayAccessed>1</b:DayAccessed>
    <b:URL>https://assets.college.police.uk/s3fs-public/2021-02/code_of_ethics.pdf</b:URL>
    <b:Author>
      <b:Author>
        <b:Corporate>College of Policing</b:Corporate>
      </b:Author>
    </b:Author>
    <b:Month>July</b:Month>
    <b:RefOrder>11</b:RefOrder>
  </b:Source>
  <b:Source>
    <b:Tag>Col16</b:Tag>
    <b:SourceType>InternetSite</b:SourceType>
    <b:Guid>{B8F52ACA-C70C-479C-88A8-B51515644A50}</b:Guid>
    <b:Author>
      <b:Author>
        <b:Corporate>College of Policing</b:Corporate>
      </b:Author>
    </b:Author>
    <b:Title>Mental health - detention</b:Title>
    <b:Year>2016</b:Year>
    <b:YearAccessed>2022</b:YearAccessed>
    <b:MonthAccessed>July</b:MonthAccessed>
    <b:DayAccessed>21</b:DayAccessed>
    <b:URL>https://www.college.police.uk/app/mental-health/mental-health-detention</b:URL>
    <b:RefOrder>1</b:RefOrder>
  </b:Source>
  <b:Source>
    <b:Tag>Col141</b:Tag>
    <b:SourceType>InternetSite</b:SourceType>
    <b:Guid>{91219322-76F1-4C72-B072-8D62283E6B0A}</b:Guid>
    <b:Author>
      <b:Author>
        <b:Corporate>College of Policing</b:Corporate>
      </b:Author>
    </b:Author>
    <b:Title>Key definitions</b:Title>
    <b:Year>2014</b:Year>
    <b:YearAccessed>2022</b:YearAccessed>
    <b:MonthAccessed>July</b:MonthAccessed>
    <b:DayAccessed>21</b:DayAccessed>
    <b:URL>https://www.college.police.uk/app/major-investigation-and-public-protection/investigating-child-abuse-and-safeguarding-children/key-definitions</b:URL>
    <b:RefOrder>2</b:RefOrder>
  </b:Source>
  <b:Source>
    <b:Tag>The222</b:Tag>
    <b:SourceType>InternetSite</b:SourceType>
    <b:Guid>{3383B5CC-7949-4EBA-9F41-A5474B3F3C5C}</b:Guid>
    <b:Author>
      <b:Author>
        <b:Corporate>The Child Law Advice Service</b:Corporate>
      </b:Author>
    </b:Author>
    <b:Title>Police powers of protection &amp; Emergency protection orders</b:Title>
    <b:Year>2022</b:Year>
    <b:YearAccessed>2022</b:YearAccessed>
    <b:MonthAccessed>July</b:MonthAccessed>
    <b:DayAccessed>21</b:DayAccessed>
    <b:URL>https://childlawadvice.org.uk/information-pages/police-powers-of-protection-emergency-protection-orders/</b:URL>
    <b:RefOrder>3</b:RefOrder>
  </b:Source>
  <b:Source>
    <b:Tag>Sou08</b:Tag>
    <b:SourceType>DocumentFromInternetSite</b:SourceType>
    <b:Guid>{EDD6A718-2278-45A7-89B1-860A257F395E}</b:Guid>
    <b:Title>Adults at Risk</b:Title>
    <b:Year>2008</b:Year>
    <b:YearAccessed>2022</b:YearAccessed>
    <b:MonthAccessed>July</b:MonthAccessed>
    <b:DayAccessed>22</b:DayAccessed>
    <b:URL>https://www.south-wales.police.uk/SysSiteAssets/media/downloads/south-wales/about-us/policies-and-procedures/english/adults-at-risk---english.pdf</b:URL>
    <b:Author>
      <b:Author>
        <b:Corporate>South Wales Police </b:Corporate>
      </b:Author>
    </b:Author>
    <b:Month>February</b:Month>
    <b:Day>20</b:Day>
    <b:RefOrder>1</b:RefOrder>
  </b:Source>
  <b:Source>
    <b:Tag>Saf22</b:Tag>
    <b:SourceType>InternetSite</b:SourceType>
    <b:Guid>{E663EF25-CC5B-4320-ADFA-3E051EFF2B21}</b:Guid>
    <b:Title>What is an Idva?</b:Title>
    <b:YearAccessed>2022</b:YearAccessed>
    <b:MonthAccessed>July</b:MonthAccessed>
    <b:DayAccessed>22</b:DayAccessed>
    <b:URL>https://safelives.org.uk/what-is-an-idva</b:URL>
    <b:Author>
      <b:Author>
        <b:Corporate>SafeLives</b:Corporate>
      </b:Author>
    </b:Author>
    <b:RefOrder>2</b:RefOrder>
  </b:Source>
  <b:Source>
    <b:Tag>Saf14</b:Tag>
    <b:SourceType>DocumentFromInternetSite</b:SourceType>
    <b:Guid>{CD9ED849-59D5-4EB2-8805-A1931DB8D95E}</b:Guid>
    <b:Title>Multi-Agency Risk Assessment </b:Title>
    <b:Year>2014</b:Year>
    <b:YearAccessed>2022</b:YearAccessed>
    <b:MonthAccessed>July</b:MonthAccessed>
    <b:DayAccessed>22</b:DayAccessed>
    <b:URL>https://safelives.org.uk/sites/default/files/resources/MARAC%20FAQs%20General%20FINAL.pdf</b:URL>
    <b:Author>
      <b:Author>
        <b:Corporate>SafeLives</b:Corporate>
      </b:Author>
    </b:Author>
    <b:RefOrder>3</b:RefOrder>
  </b:Source>
  <b:Source>
    <b:Tag>Off211</b:Tag>
    <b:SourceType>InternetSite</b:SourceType>
    <b:Guid>{D231588A-931B-428F-8E16-8D4BA433D4AB}</b:Guid>
    <b:Author>
      <b:Author>
        <b:Corporate>Office for National Statistics</b:Corporate>
      </b:Author>
    </b:Author>
    <b:Title>Domestic abuse prevalence and trends, England and Wales: year ending March 2021</b:Title>
    <b:Year>2021</b:Year>
    <b:YearAccessed>2022</b:YearAccessed>
    <b:MonthAccessed>July</b:MonthAccessed>
    <b:DayAccessed>22</b:DayAccessed>
    <b:URL>https://www.ons.gov.uk/peoplepopulationandcommunity/crimeandjustice/articles/domesticabuseprevalenceandtrendsenglandandwales/yearendingmarch2021</b:URL>
    <b:RefOrder>4</b:RefOrder>
  </b:Source>
  <b:Source>
    <b:Tag>Saf18</b:Tag>
    <b:SourceType>Report</b:SourceType>
    <b:Guid>{A405B114-D8E7-4ECF-83A0-61A2640E060C}</b:Guid>
    <b:Title>Safe at Home: Homelessness and domestic abuse</b:Title>
    <b:Year>2018</b:Year>
    <b:Author>
      <b:Author>
        <b:Corporate>SafeLives</b:Corporate>
      </b:Author>
    </b:Author>
    <b:Publisher>SafeLives</b:Publisher>
    <b:RefOrder>5</b:RefOrder>
  </b:Source>
  <b:Source>
    <b:Tag>Col222</b:Tag>
    <b:SourceType>InternetSite</b:SourceType>
    <b:Guid>{961FFFEE-81B1-42EA-8216-FAC9271C66DA}</b:Guid>
    <b:Author>
      <b:Author>
        <b:Corporate>College of Policing</b:Corporate>
      </b:Author>
    </b:Author>
    <b:Title>Sexual Offences Liaison Officer (SOLO)</b:Title>
    <b:YearAccessed>2022</b:YearAccessed>
    <b:MonthAccessed>July</b:MonthAccessed>
    <b:DayAccessed>30</b:DayAccessed>
    <b:URL>https://profdev.college.police.uk/professional-profile/sexual-offences-liaison-officer/</b:URL>
    <b:RefOrder>1</b:RefOrder>
  </b:Source>
  <b:Source>
    <b:Tag>Col136</b:Tag>
    <b:SourceType>InternetSite</b:SourceType>
    <b:Guid>{D8966D88-AE77-4FC8-BB3B-8530EF25962A}</b:Guid>
    <b:Title>Investigation process</b:Title>
    <b:Year>2013</b:Year>
    <b:Author>
      <b:Author>
        <b:Corporate>College of Policing</b:Corporate>
      </b:Author>
    </b:Author>
    <b:YearAccessed>2022</b:YearAccessed>
    <b:MonthAccessed>July</b:MonthAccessed>
    <b:DayAccessed>28</b:DayAccessed>
    <b:URL>https://www.college.police.uk/app/investigation/investigation-process</b:URL>
    <b:RefOrder>2</b:RefOrder>
  </b:Source>
  <b:Source>
    <b:Tag>Nat226</b:Tag>
    <b:SourceType>InternetSite</b:SourceType>
    <b:Guid>{A7938C63-576D-48BB-BB23-E552CD03BABC}</b:Guid>
    <b:Author>
      <b:Author>
        <b:Corporate>National Forensic Science Technology Center (NFSTC)</b:Corporate>
      </b:Author>
    </b:Author>
    <b:Title>Common Terms</b:Title>
    <b:YearAccessed>2022</b:YearAccessed>
    <b:MonthAccessed>July</b:MonthAccessed>
    <b:DayAccessed>28</b:DayAccessed>
    <b:URL>https://www.forensicsciencesimplified.org/csi/glossary.html</b:URL>
    <b:RefOrder>3</b:RefOrder>
  </b:Source>
  <b:Source>
    <b:Tag>The223</b:Tag>
    <b:SourceType>InternetSite</b:SourceType>
    <b:Guid>{F50823F7-6B78-4B71-B297-D633C657A5AC}</b:Guid>
    <b:Author>
      <b:Author>
        <b:Corporate>The Survivors Trust</b:Corporate>
      </b:Author>
    </b:Author>
    <b:Title>Sexual Assault Referral Centres (SARC)</b:Title>
    <b:YearAccessed>2022</b:YearAccessed>
    <b:MonthAccessed>July</b:MonthAccessed>
    <b:DayAccessed>28</b:DayAccessed>
    <b:URL>https://www.thesurvivorstrust.org/sarc</b:URL>
    <b:RefOrder>4</b:RefOrder>
  </b:Source>
  <b:Source>
    <b:Tag>Ibb21</b:Tag>
    <b:SourceType>Report</b:SourceType>
    <b:Guid>{4E23BD18-920D-43A3-A2D4-1CF8CCC44EE2}</b:Guid>
    <b:Title>One in nine women say they have had their drink spiked</b:Title>
    <b:Year>2021</b:Year>
    <b:Publisher>YouGov</b:Publisher>
    <b:Author>
      <b:Author>
        <b:NameList>
          <b:Person>
            <b:Last>Ibbetson</b:Last>
            <b:First>Connor</b:First>
          </b:Person>
        </b:NameList>
      </b:Author>
    </b:Author>
    <b:RefOrder>5</b:RefOrder>
  </b:Source>
  <b:Source>
    <b:Tag>Dev22</b:Tag>
    <b:SourceType>InternetSite</b:SourceType>
    <b:Guid>{595482D8-3902-410E-A1F6-206713C44CD5}</b:Guid>
    <b:Title>Myths, Facts and Statistics</b:Title>
    <b:Author>
      <b:Author>
        <b:Corporate>Devon Rape Crisis</b:Corporate>
      </b:Author>
    </b:Author>
    <b:YearAccessed>2022</b:YearAccessed>
    <b:MonthAccessed>July</b:MonthAccessed>
    <b:DayAccessed>30</b:DayAccessed>
    <b:URL>https://devonrapecrisis.org.uk/about-us/myths-facts-and-statistics/</b:URL>
    <b:RefOrder>6</b:RefOrder>
  </b:Source>
  <b:Source>
    <b:Tag>GOV05</b:Tag>
    <b:SourceType>InternetSite</b:SourceType>
    <b:Guid>{917FE1A2-464F-402A-9672-D8C4D7D78437}</b:Guid>
    <b:Author>
      <b:Author>
        <b:Corporate>GOV.UK</b:Corporate>
      </b:Author>
    </b:Author>
    <b:Title>The Code of Practice for Victims of Crime in England and Wales and supporting public information materials</b:Title>
    <b:Year>2005</b:Year>
    <b:YearAccessed>2022</b:YearAccessed>
    <b:MonthAccessed>July</b:MonthAccessed>
    <b:DayAccessed>30</b:DayAccessed>
    <b:URL>https://www.gov.uk/government/publications/the-code-of-practice-for-victims-of-crime</b:URL>
    <b:RefOrder>7</b:RefOrder>
  </b:Source>
  <b:Source>
    <b:Tag>Off212</b:Tag>
    <b:SourceType>InternetSite</b:SourceType>
    <b:Guid>{82E7CC9F-47C1-4CFC-8671-588775DBCADD}</b:Guid>
    <b:Author>
      <b:Author>
        <b:Corporate>Office for National Statistics</b:Corporate>
      </b:Author>
    </b:Author>
    <b:Title>Nature of sexual assault by rape or penetration, England and Wales: year ending March 2020</b:Title>
    <b:Year>2021</b:Year>
    <b:YearAccessed>2022</b:YearAccessed>
    <b:MonthAccessed>July</b:MonthAccessed>
    <b:DayAccessed>30</b:DayAccessed>
    <b:URL>https://www.ons.gov.uk/peoplepopulationandcommunity/crimeandjustice/articles/natureofsexualassaultbyrapeorpenetrationenglandandwales/yearendingmarch2020</b:URL>
    <b:RefOrder>8</b:RefOrder>
  </b:Source>
  <b:Source>
    <b:Tag>Met221</b:Tag>
    <b:SourceType>InternetSite</b:SourceType>
    <b:Guid>{61474AD4-B740-47CE-BFDC-8253AEAA4B4A}</b:Guid>
    <b:Author>
      <b:Author>
        <b:Corporate>Metropolitan Police</b:Corporate>
      </b:Author>
    </b:Author>
    <b:Title>Sextortion</b:Title>
    <b:YearAccessed>2022</b:YearAccessed>
    <b:MonthAccessed>August</b:MonthAccessed>
    <b:DayAccessed>1</b:DayAccessed>
    <b:URL>https://www.met.police.uk/advice/advice-and-information/sexual-offences/sextortion/#:~:text=%27Sextortion%27%20is%20a%20form%20of,the%20victim%20realising%20or%20consenting.</b:URL>
    <b:RefOrder>1</b:RefOrder>
  </b:Source>
  <b:Source>
    <b:Tag>Cok22</b:Tag>
    <b:SourceType>ArticleInAPeriodical</b:SourceType>
    <b:Guid>{0B5B4AE1-8C83-4B25-A44E-A40E1938E5CF}</b:Guid>
    <b:Title>UK Sextortion Cases Doubled in 2021</b:Title>
    <b:Year>2022</b:Year>
    <b:Author>
      <b:Author>
        <b:NameList>
          <b:Person>
            <b:Last>Coker</b:Last>
            <b:First>James</b:First>
          </b:Person>
        </b:NameList>
      </b:Author>
    </b:Author>
    <b:JournalName>Infosecurity Magazine</b:JournalName>
    <b:PeriodicalTitle>Infosecurity Magazine</b:PeriodicalTitle>
    <b:Month>May</b:Month>
    <b:Day>20</b:Day>
    <b:RefOrder>2</b:RefOrder>
  </b:Source>
  <b:Source>
    <b:Tag>Bun22</b:Tag>
    <b:SourceType>ArticleInAPeriodical</b:SourceType>
    <b:Guid>{C91C528A-D102-48BC-A4E2-2614915DFFBC}</b:Guid>
    <b:Title>High school student, 17, killed himself six hours after falling victim to online sextortion plot: Teen paid $300 to blackmailers to stop them releasing naked picture - but then they demanded more cash</b:Title>
    <b:Year>2022</b:Year>
    <b:Author>
      <b:Author>
        <b:NameList>
          <b:Person>
            <b:Last>Bunyan</b:Last>
            <b:First>Rachael</b:First>
          </b:Person>
        </b:NameList>
      </b:Author>
    </b:Author>
    <b:PeriodicalTitle>Mail Online</b:PeriodicalTitle>
    <b:Month>August</b:Month>
    <b:Day>1</b:Day>
    <b:Pages>https://www.dailymail.co.uk/news/article-10672933/High-School-student-17-killed-six-hours-falling-victim-online-sextortion-plot.html</b:Pages>
    <b:RefOrder>3</b:RefOrder>
  </b:Source>
  <b:Source>
    <b:Tag>Lyn22</b:Tag>
    <b:SourceType>InternetSite</b:SourceType>
    <b:Guid>{045963C3-E08D-4F50-B3C2-601BEA2A3518}</b:Guid>
    <b:Title>FBI Charlotte Warns of Increase in Sextortion Schemes Targeting Teenage Boys</b:Title>
    <b:Year>2022</b:Year>
    <b:Author>
      <b:Author>
        <b:NameList>
          <b:Person>
            <b:Last>Lynch</b:Last>
            <b:First>Shelley</b:First>
          </b:Person>
        </b:NameList>
      </b:Author>
    </b:Author>
    <b:YearAccessed>2022</b:YearAccessed>
    <b:MonthAccessed>August</b:MonthAccessed>
    <b:DayAccessed>1</b:DayAccessed>
    <b:URL>https://www.fbi.gov/contact-us/field-offices/charlotte/news/press-releases/fbi-charlotte-warns-of-increase-in-sextortion-schemes-targeting-teenage-boys</b:URL>
    <b:RefOrder>4</b:RefOrder>
  </b:Source>
  <b:Source>
    <b:Tag>You20</b:Tag>
    <b:SourceType>InternetSite</b:SourceType>
    <b:Guid>{7155201E-F1E2-4675-BF27-BBE40822D79B}</b:Guid>
    <b:Author>
      <b:Author>
        <b:Corporate>YouGov</b:Corporate>
      </b:Author>
    </b:Author>
    <b:Title>By the age of seven, 53% of the children in the UK own a mobile phone</b:Title>
    <b:Year>2020</b:Year>
    <b:YearAccessed>2022</b:YearAccessed>
    <b:MonthAccessed>August </b:MonthAccessed>
    <b:DayAccessed>1</b:DayAccessed>
    <b:URL>https://yougov.co.uk/topics/resources/articles-reports/2020/01/31/age-seven-53-children-uk-own-mobile-phone</b:URL>
    <b:RefOrder>5</b:RefOrder>
  </b:Source>
  <b:Source>
    <b:Tag>GOV15</b:Tag>
    <b:SourceType>InternetSite</b:SourceType>
    <b:Guid>{175354DA-356D-45E6-AB8C-CDF9C2169FA0}</b:Guid>
    <b:Title>Revenge Porn</b:Title>
    <b:Year>2015</b:Year>
    <b:YearAccessed>2022</b:YearAccessed>
    <b:MonthAccessed>August</b:MonthAccessed>
    <b:DayAccessed>1</b:DayAccessed>
    <b:URL>https://www.gov.uk/government/publications/revenge-porn</b:URL>
    <b:Author>
      <b:Author>
        <b:Corporate>GOV.UK</b:Corporate>
      </b:Author>
    </b:Author>
    <b:RefOrder>6</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E2CDFF-03E3-4E03-9FBD-38E63BD0D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8530</Words>
  <Characters>50023</Characters>
  <Application>Microsoft Office Word</Application>
  <DocSecurity>0</DocSecurity>
  <Lines>416</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Victoria Allen</cp:lastModifiedBy>
  <cp:revision>2</cp:revision>
  <cp:lastPrinted>2014-08-26T08:55:00Z</cp:lastPrinted>
  <dcterms:created xsi:type="dcterms:W3CDTF">2022-08-01T18:16:00Z</dcterms:created>
  <dcterms:modified xsi:type="dcterms:W3CDTF">2022-08-01T18:16:00Z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