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F151AE" w14:textId="2E0F36AE" w:rsidR="6F52881D" w:rsidRDefault="6F52881D" w:rsidP="4FE1F094">
      <w:pPr>
        <w:jc w:val="center"/>
      </w:pPr>
      <w:r>
        <w:rPr>
          <w:noProof/>
        </w:rPr>
        <w:drawing>
          <wp:inline distT="0" distB="0" distL="0" distR="0" wp14:anchorId="0B5663B1" wp14:editId="4788D3B8">
            <wp:extent cx="3076841" cy="1025613"/>
            <wp:effectExtent l="0" t="0" r="0" b="0"/>
            <wp:docPr id="64481583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815836" name="Picture 644815836"/>
                    <pic:cNvPicPr/>
                  </pic:nvPicPr>
                  <pic:blipFill>
                    <a:blip r:embed="rId6">
                      <a:extLst>
                        <a:ext uri="{28A0092B-C50C-407E-A947-70E740481C1C}">
                          <a14:useLocalDpi xmlns:a14="http://schemas.microsoft.com/office/drawing/2010/main"/>
                        </a:ext>
                      </a:extLst>
                    </a:blip>
                    <a:stretch>
                      <a:fillRect/>
                    </a:stretch>
                  </pic:blipFill>
                  <pic:spPr>
                    <a:xfrm>
                      <a:off x="0" y="0"/>
                      <a:ext cx="3076841" cy="1025613"/>
                    </a:xfrm>
                    <a:prstGeom prst="rect">
                      <a:avLst/>
                    </a:prstGeom>
                  </pic:spPr>
                </pic:pic>
              </a:graphicData>
            </a:graphic>
          </wp:inline>
        </w:drawing>
      </w:r>
    </w:p>
    <w:p w14:paraId="5D0F56A3" w14:textId="43B927E6" w:rsidR="4FE1F094" w:rsidRDefault="4FE1F094" w:rsidP="4FE1F094">
      <w:pPr>
        <w:jc w:val="center"/>
      </w:pPr>
    </w:p>
    <w:p w14:paraId="2A175096" w14:textId="75AD290B" w:rsidR="4FE1F094" w:rsidRDefault="4FE1F094" w:rsidP="4FE1F094">
      <w:pPr>
        <w:jc w:val="center"/>
      </w:pPr>
    </w:p>
    <w:p w14:paraId="07953D0A" w14:textId="3AC159F5" w:rsidR="4FE1F094" w:rsidRDefault="4FE1F094" w:rsidP="4FE1F094">
      <w:pPr>
        <w:jc w:val="center"/>
      </w:pPr>
    </w:p>
    <w:p w14:paraId="1BFF8A66" w14:textId="590D15CB" w:rsidR="4FE1F094" w:rsidRDefault="4FE1F094" w:rsidP="4FE1F094">
      <w:pPr>
        <w:jc w:val="center"/>
      </w:pPr>
    </w:p>
    <w:p w14:paraId="5E5787A5" w14:textId="0424A575" w:rsidR="007E6A76" w:rsidRDefault="6F52881D" w:rsidP="4FE1F094">
      <w:pPr>
        <w:jc w:val="center"/>
        <w:rPr>
          <w:b/>
          <w:bCs/>
          <w:sz w:val="40"/>
          <w:szCs w:val="40"/>
        </w:rPr>
      </w:pPr>
      <w:r w:rsidRPr="4FE1F094">
        <w:rPr>
          <w:b/>
          <w:bCs/>
          <w:sz w:val="40"/>
          <w:szCs w:val="40"/>
        </w:rPr>
        <w:t>Creativity and Innovation</w:t>
      </w:r>
    </w:p>
    <w:p w14:paraId="1D84616D" w14:textId="165E226E" w:rsidR="6F52881D" w:rsidRDefault="6F52881D" w:rsidP="4FE1F094">
      <w:pPr>
        <w:jc w:val="center"/>
        <w:rPr>
          <w:sz w:val="40"/>
          <w:szCs w:val="40"/>
        </w:rPr>
      </w:pPr>
      <w:r w:rsidRPr="4FE1F094">
        <w:rPr>
          <w:sz w:val="40"/>
          <w:szCs w:val="40"/>
        </w:rPr>
        <w:t>BMSW5013</w:t>
      </w:r>
    </w:p>
    <w:p w14:paraId="385A3DEB" w14:textId="06453BB7" w:rsidR="4FE1F094" w:rsidRDefault="4FE1F094" w:rsidP="4FE1F094">
      <w:pPr>
        <w:jc w:val="center"/>
        <w:rPr>
          <w:sz w:val="40"/>
          <w:szCs w:val="40"/>
        </w:rPr>
      </w:pPr>
    </w:p>
    <w:p w14:paraId="69516A1D" w14:textId="4FA68493" w:rsidR="6F52881D" w:rsidRDefault="6F52881D" w:rsidP="4FE1F094">
      <w:pPr>
        <w:jc w:val="center"/>
        <w:rPr>
          <w:sz w:val="40"/>
          <w:szCs w:val="40"/>
        </w:rPr>
      </w:pPr>
      <w:r w:rsidRPr="4FE1F094">
        <w:rPr>
          <w:sz w:val="40"/>
          <w:szCs w:val="40"/>
        </w:rPr>
        <w:t>Lecturer: Chris Wilkin</w:t>
      </w:r>
    </w:p>
    <w:p w14:paraId="57827C07" w14:textId="23289DD6" w:rsidR="6F52881D" w:rsidRDefault="6F52881D" w:rsidP="4FE1F094">
      <w:pPr>
        <w:jc w:val="center"/>
        <w:rPr>
          <w:sz w:val="40"/>
          <w:szCs w:val="40"/>
        </w:rPr>
      </w:pPr>
      <w:r w:rsidRPr="4FE1F094">
        <w:rPr>
          <w:sz w:val="40"/>
          <w:szCs w:val="40"/>
        </w:rPr>
        <w:t>Student number: 2330380</w:t>
      </w:r>
    </w:p>
    <w:p w14:paraId="7E2E0315" w14:textId="331DAAFC" w:rsidR="6F52881D" w:rsidRDefault="6F52881D" w:rsidP="4FE1F094">
      <w:pPr>
        <w:jc w:val="center"/>
        <w:rPr>
          <w:sz w:val="40"/>
          <w:szCs w:val="40"/>
        </w:rPr>
      </w:pPr>
      <w:r w:rsidRPr="4FE1F094">
        <w:rPr>
          <w:sz w:val="40"/>
          <w:szCs w:val="40"/>
        </w:rPr>
        <w:t>Submission Date: 19/06/2026</w:t>
      </w:r>
    </w:p>
    <w:p w14:paraId="0B466532" w14:textId="6B67D831" w:rsidR="4FE1F094" w:rsidRDefault="4FE1F094" w:rsidP="4FE1F094">
      <w:pPr>
        <w:jc w:val="center"/>
        <w:rPr>
          <w:sz w:val="40"/>
          <w:szCs w:val="40"/>
        </w:rPr>
      </w:pPr>
    </w:p>
    <w:p w14:paraId="7EEB55D3" w14:textId="22404AC3" w:rsidR="4FE1F094" w:rsidRDefault="4FE1F094" w:rsidP="4FE1F094">
      <w:pPr>
        <w:jc w:val="center"/>
        <w:rPr>
          <w:sz w:val="40"/>
          <w:szCs w:val="40"/>
        </w:rPr>
      </w:pPr>
    </w:p>
    <w:p w14:paraId="5FB4084B" w14:textId="09073A9E" w:rsidR="4FE1F094" w:rsidRDefault="4FE1F094" w:rsidP="4FE1F094">
      <w:pPr>
        <w:jc w:val="center"/>
        <w:rPr>
          <w:sz w:val="40"/>
          <w:szCs w:val="40"/>
        </w:rPr>
      </w:pPr>
    </w:p>
    <w:p w14:paraId="0614294C" w14:textId="5742D092" w:rsidR="4FE1F094" w:rsidRDefault="4FE1F094" w:rsidP="4FE1F094">
      <w:pPr>
        <w:jc w:val="center"/>
        <w:rPr>
          <w:sz w:val="40"/>
          <w:szCs w:val="40"/>
        </w:rPr>
      </w:pPr>
    </w:p>
    <w:p w14:paraId="26A33351" w14:textId="3FB97B62" w:rsidR="4FE1F094" w:rsidRDefault="4FE1F094" w:rsidP="4FE1F094">
      <w:pPr>
        <w:jc w:val="center"/>
        <w:rPr>
          <w:sz w:val="40"/>
          <w:szCs w:val="40"/>
        </w:rPr>
      </w:pPr>
    </w:p>
    <w:p w14:paraId="6D98EA95" w14:textId="0DD9DB56" w:rsidR="4FE1F094" w:rsidRDefault="4FE1F094" w:rsidP="4FE1F094">
      <w:pPr>
        <w:jc w:val="center"/>
        <w:rPr>
          <w:sz w:val="40"/>
          <w:szCs w:val="40"/>
        </w:rPr>
      </w:pPr>
    </w:p>
    <w:p w14:paraId="7AA6528B" w14:textId="044B829A" w:rsidR="4FE1F094" w:rsidRDefault="4FE1F094" w:rsidP="4FE1F094">
      <w:pPr>
        <w:jc w:val="center"/>
        <w:rPr>
          <w:sz w:val="40"/>
          <w:szCs w:val="40"/>
        </w:rPr>
      </w:pPr>
    </w:p>
    <w:p w14:paraId="41AA35BF" w14:textId="10A7B787" w:rsidR="4FE1F094" w:rsidRDefault="4FE1F094" w:rsidP="4FE1F094">
      <w:pPr>
        <w:jc w:val="center"/>
        <w:rPr>
          <w:sz w:val="40"/>
          <w:szCs w:val="40"/>
        </w:rPr>
      </w:pPr>
    </w:p>
    <w:p w14:paraId="3B918111" w14:textId="4AF03168" w:rsidR="4F31207F" w:rsidRDefault="4F31207F" w:rsidP="4FE1F094">
      <w:pPr>
        <w:pStyle w:val="Heading1"/>
        <w:rPr>
          <w:rFonts w:ascii="Times New Roman" w:eastAsia="Times New Roman" w:hAnsi="Times New Roman" w:cs="Times New Roman"/>
          <w:b/>
          <w:bCs/>
          <w:color w:val="auto"/>
          <w:sz w:val="32"/>
          <w:szCs w:val="32"/>
        </w:rPr>
      </w:pPr>
      <w:bookmarkStart w:id="0" w:name="_Toc1633881774"/>
      <w:r w:rsidRPr="596E7CBB">
        <w:rPr>
          <w:b/>
          <w:bCs/>
          <w:color w:val="auto"/>
          <w:sz w:val="32"/>
          <w:szCs w:val="32"/>
        </w:rPr>
        <w:lastRenderedPageBreak/>
        <w:t>Executive Summary</w:t>
      </w:r>
      <w:bookmarkEnd w:id="0"/>
    </w:p>
    <w:p w14:paraId="0F6F371B" w14:textId="328DCD45" w:rsidR="4D66DA18" w:rsidRDefault="4D66DA18" w:rsidP="4FE1F094">
      <w:pPr>
        <w:spacing w:line="360" w:lineRule="auto"/>
        <w:jc w:val="both"/>
        <w:rPr>
          <w:sz w:val="28"/>
          <w:szCs w:val="28"/>
        </w:rPr>
      </w:pPr>
      <w:r w:rsidRPr="4FE1F094">
        <w:rPr>
          <w:sz w:val="28"/>
          <w:szCs w:val="28"/>
        </w:rPr>
        <w:t>This report examines a fictional organisation called Seren Coffi, an independent coffee shop with a strong connection to its local community, which is experiencing a decline in performance. The problem is not only caused by lower sales, but also by the loss of routines, community events, reliable equipment, and the founder’s ability to manage everything effectively. Recent hospitality research suggests that small service businesses can compete with larger companies not by lowering prices or expanding rapidly, but by introducing innovations that improve customer experience, strengthen long-term sustainability, and create greater value.</w:t>
      </w:r>
    </w:p>
    <w:p w14:paraId="2CD13160" w14:textId="3BB58976" w:rsidR="3CE1281E" w:rsidRDefault="3CE1281E" w:rsidP="4FE1F094">
      <w:pPr>
        <w:spacing w:line="360" w:lineRule="auto"/>
        <w:jc w:val="both"/>
        <w:rPr>
          <w:sz w:val="28"/>
          <w:szCs w:val="28"/>
        </w:rPr>
      </w:pPr>
      <w:r w:rsidRPr="4FE1F094">
        <w:rPr>
          <w:sz w:val="28"/>
          <w:szCs w:val="28"/>
        </w:rPr>
        <w:t xml:space="preserve">This report proposes an innovative concept called Seren Global Learning Café. The idea transforms Seren Coffi into an AI-supported multilingual learning café where customers can learn languages through interactive technology, photography, and cultural experiences while enjoying the café environment. </w:t>
      </w:r>
    </w:p>
    <w:p w14:paraId="15C7F12A" w14:textId="7B17D525" w:rsidR="055AD8E8" w:rsidRDefault="055AD8E8" w:rsidP="4FE1F094">
      <w:pPr>
        <w:spacing w:line="360" w:lineRule="auto"/>
        <w:jc w:val="both"/>
      </w:pPr>
      <w:r w:rsidRPr="4FE1F094">
        <w:rPr>
          <w:rFonts w:ascii="Arial" w:eastAsia="Arial" w:hAnsi="Arial" w:cs="Arial"/>
          <w:sz w:val="28"/>
          <w:szCs w:val="28"/>
        </w:rPr>
        <w:t xml:space="preserve">The innovation is evaluated using several creativity and innovation frameworks, including the 4Ps of Innovation, the Business Model Canvas, Value Creation Theory, Lewin’s Force Field Analysis, and organisational climate theory. </w:t>
      </w:r>
      <w:r w:rsidR="1657496D" w:rsidRPr="4FE1F094">
        <w:rPr>
          <w:rFonts w:ascii="Arial" w:eastAsia="Arial" w:hAnsi="Arial" w:cs="Arial"/>
          <w:sz w:val="28"/>
          <w:szCs w:val="28"/>
        </w:rPr>
        <w:t>The report also applies a creativity framework to explain how the innovation was developed and evaluated</w:t>
      </w:r>
      <w:r w:rsidR="5CEE8985" w:rsidRPr="4FE1F094">
        <w:rPr>
          <w:rFonts w:ascii="Arial" w:eastAsia="Arial" w:hAnsi="Arial" w:cs="Arial"/>
          <w:sz w:val="28"/>
          <w:szCs w:val="28"/>
        </w:rPr>
        <w:t>.</w:t>
      </w:r>
      <w:r w:rsidR="1657496D" w:rsidRPr="4FE1F094">
        <w:rPr>
          <w:rFonts w:ascii="Arial" w:eastAsia="Arial" w:hAnsi="Arial" w:cs="Arial"/>
          <w:sz w:val="28"/>
          <w:szCs w:val="28"/>
        </w:rPr>
        <w:t xml:space="preserve"> </w:t>
      </w:r>
      <w:r w:rsidRPr="4FE1F094">
        <w:rPr>
          <w:rFonts w:ascii="Arial" w:eastAsia="Arial" w:hAnsi="Arial" w:cs="Arial"/>
          <w:sz w:val="28"/>
          <w:szCs w:val="28"/>
        </w:rPr>
        <w:t xml:space="preserve">The analysis demonstrates that the proposal represents a combination of product, process, position, and paradigm innovation, with strength in position and paradigm innovation. </w:t>
      </w:r>
      <w:r w:rsidR="26FD98FC" w:rsidRPr="4FE1F094">
        <w:rPr>
          <w:rFonts w:ascii="Arial" w:eastAsia="Arial" w:hAnsi="Arial" w:cs="Arial"/>
          <w:sz w:val="28"/>
          <w:szCs w:val="28"/>
        </w:rPr>
        <w:t>This idea lets Seren Coffi offer new and better things for customers, while keeping its focus on the local community.</w:t>
      </w:r>
    </w:p>
    <w:p w14:paraId="29EEF1A4" w14:textId="4639B860" w:rsidR="055AD8E8" w:rsidRDefault="055AD8E8" w:rsidP="4FE1F094">
      <w:pPr>
        <w:spacing w:line="360" w:lineRule="auto"/>
        <w:jc w:val="both"/>
      </w:pPr>
      <w:r w:rsidRPr="4FE1F094">
        <w:rPr>
          <w:rFonts w:ascii="Arial" w:eastAsia="Arial" w:hAnsi="Arial" w:cs="Arial"/>
          <w:sz w:val="28"/>
          <w:szCs w:val="28"/>
        </w:rPr>
        <w:t xml:space="preserve">The report concludes that Seren Global Learning Café is a realistic and sustainable innovation that can attract students, tourists, international residents, remote workers, and lifelong learners while strengthening community engagement and generating additional revenue opportunities. </w:t>
      </w:r>
      <w:r w:rsidRPr="4FE1F094">
        <w:rPr>
          <w:rFonts w:ascii="Arial" w:eastAsia="Arial" w:hAnsi="Arial" w:cs="Arial"/>
          <w:sz w:val="28"/>
          <w:szCs w:val="28"/>
        </w:rPr>
        <w:lastRenderedPageBreak/>
        <w:t>By combining hospitality, education, technology, and culture, the concept offers a practical solution to the operational challenges facing Seren Coffi while preserving the values that make the café unique.</w:t>
      </w:r>
    </w:p>
    <w:p w14:paraId="3368E9A8" w14:textId="38F89589" w:rsidR="4FE1F094" w:rsidRDefault="4FE1F094" w:rsidP="4FE1F094">
      <w:pPr>
        <w:spacing w:line="360" w:lineRule="auto"/>
        <w:jc w:val="both"/>
        <w:rPr>
          <w:rFonts w:ascii="Arial" w:eastAsia="Arial" w:hAnsi="Arial" w:cs="Arial"/>
          <w:sz w:val="28"/>
          <w:szCs w:val="28"/>
        </w:rPr>
      </w:pPr>
    </w:p>
    <w:p w14:paraId="39CC2EF2" w14:textId="32B411A7" w:rsidR="4FE1F094" w:rsidRDefault="4FE1F094" w:rsidP="4FE1F094">
      <w:pPr>
        <w:spacing w:line="360" w:lineRule="auto"/>
        <w:jc w:val="both"/>
        <w:rPr>
          <w:rFonts w:ascii="Arial" w:eastAsia="Arial" w:hAnsi="Arial" w:cs="Arial"/>
          <w:sz w:val="28"/>
          <w:szCs w:val="28"/>
        </w:rPr>
      </w:pPr>
    </w:p>
    <w:p w14:paraId="1B7E9AAE" w14:textId="1B22B336" w:rsidR="4FE1F094" w:rsidRDefault="4FE1F094" w:rsidP="4FE1F094">
      <w:pPr>
        <w:spacing w:line="360" w:lineRule="auto"/>
        <w:jc w:val="both"/>
        <w:rPr>
          <w:rFonts w:ascii="Arial" w:eastAsia="Arial" w:hAnsi="Arial" w:cs="Arial"/>
          <w:sz w:val="28"/>
          <w:szCs w:val="28"/>
        </w:rPr>
      </w:pPr>
    </w:p>
    <w:p w14:paraId="5A43BC86" w14:textId="7075FCD1" w:rsidR="4FE1F094" w:rsidRDefault="4FE1F094" w:rsidP="4FE1F094">
      <w:pPr>
        <w:spacing w:line="360" w:lineRule="auto"/>
        <w:jc w:val="both"/>
        <w:rPr>
          <w:rFonts w:ascii="Arial" w:eastAsia="Arial" w:hAnsi="Arial" w:cs="Arial"/>
          <w:sz w:val="28"/>
          <w:szCs w:val="28"/>
        </w:rPr>
      </w:pPr>
    </w:p>
    <w:p w14:paraId="60981ED2" w14:textId="2A0A0C6E" w:rsidR="4FE1F094" w:rsidRDefault="4FE1F094" w:rsidP="4FE1F094">
      <w:pPr>
        <w:spacing w:line="360" w:lineRule="auto"/>
        <w:jc w:val="both"/>
        <w:rPr>
          <w:rFonts w:ascii="Arial" w:eastAsia="Arial" w:hAnsi="Arial" w:cs="Arial"/>
          <w:sz w:val="28"/>
          <w:szCs w:val="28"/>
        </w:rPr>
      </w:pPr>
    </w:p>
    <w:p w14:paraId="6C9020BB" w14:textId="45B6AC2D" w:rsidR="4FE1F094" w:rsidRDefault="4FE1F094" w:rsidP="4FE1F094">
      <w:pPr>
        <w:spacing w:line="360" w:lineRule="auto"/>
        <w:jc w:val="both"/>
        <w:rPr>
          <w:rFonts w:ascii="Arial" w:eastAsia="Arial" w:hAnsi="Arial" w:cs="Arial"/>
          <w:sz w:val="28"/>
          <w:szCs w:val="28"/>
        </w:rPr>
      </w:pPr>
    </w:p>
    <w:p w14:paraId="79093920" w14:textId="5F97CAF2" w:rsidR="4FE1F094" w:rsidRDefault="4FE1F094" w:rsidP="4FE1F094">
      <w:pPr>
        <w:spacing w:line="360" w:lineRule="auto"/>
        <w:jc w:val="both"/>
        <w:rPr>
          <w:rFonts w:ascii="Arial" w:eastAsia="Arial" w:hAnsi="Arial" w:cs="Arial"/>
          <w:sz w:val="28"/>
          <w:szCs w:val="28"/>
        </w:rPr>
      </w:pPr>
    </w:p>
    <w:p w14:paraId="0B484F56" w14:textId="38C9A3E5" w:rsidR="4FE1F094" w:rsidRDefault="4FE1F094" w:rsidP="4FE1F094">
      <w:pPr>
        <w:spacing w:line="360" w:lineRule="auto"/>
        <w:jc w:val="both"/>
        <w:rPr>
          <w:rFonts w:ascii="Arial" w:eastAsia="Arial" w:hAnsi="Arial" w:cs="Arial"/>
          <w:sz w:val="28"/>
          <w:szCs w:val="28"/>
        </w:rPr>
      </w:pPr>
    </w:p>
    <w:p w14:paraId="496C53BC" w14:textId="2E7A6C6F" w:rsidR="4FE1F094" w:rsidRDefault="4FE1F094" w:rsidP="4FE1F094">
      <w:pPr>
        <w:spacing w:line="360" w:lineRule="auto"/>
        <w:jc w:val="both"/>
        <w:rPr>
          <w:rFonts w:ascii="Arial" w:eastAsia="Arial" w:hAnsi="Arial" w:cs="Arial"/>
          <w:sz w:val="28"/>
          <w:szCs w:val="28"/>
        </w:rPr>
      </w:pPr>
    </w:p>
    <w:p w14:paraId="1F4FAF5E" w14:textId="39E4CBAA" w:rsidR="4FE1F094" w:rsidRDefault="4FE1F094" w:rsidP="4FE1F094">
      <w:pPr>
        <w:spacing w:line="360" w:lineRule="auto"/>
        <w:jc w:val="both"/>
        <w:rPr>
          <w:rFonts w:ascii="Arial" w:eastAsia="Arial" w:hAnsi="Arial" w:cs="Arial"/>
          <w:sz w:val="28"/>
          <w:szCs w:val="28"/>
        </w:rPr>
      </w:pPr>
    </w:p>
    <w:p w14:paraId="340C2649" w14:textId="2E816BEC" w:rsidR="4FE1F094" w:rsidRDefault="4FE1F094" w:rsidP="4FE1F094">
      <w:pPr>
        <w:spacing w:line="360" w:lineRule="auto"/>
        <w:jc w:val="both"/>
        <w:rPr>
          <w:rFonts w:ascii="Arial" w:eastAsia="Arial" w:hAnsi="Arial" w:cs="Arial"/>
          <w:sz w:val="28"/>
          <w:szCs w:val="28"/>
        </w:rPr>
      </w:pPr>
    </w:p>
    <w:p w14:paraId="25455D55" w14:textId="2D10D147" w:rsidR="4FE1F094" w:rsidRDefault="4FE1F094" w:rsidP="4FE1F094">
      <w:pPr>
        <w:spacing w:line="360" w:lineRule="auto"/>
        <w:jc w:val="both"/>
        <w:rPr>
          <w:rFonts w:ascii="Arial" w:eastAsia="Arial" w:hAnsi="Arial" w:cs="Arial"/>
          <w:sz w:val="28"/>
          <w:szCs w:val="28"/>
        </w:rPr>
      </w:pPr>
    </w:p>
    <w:p w14:paraId="445C710F" w14:textId="2029C0CA" w:rsidR="4FE1F094" w:rsidRDefault="4FE1F094" w:rsidP="4FE1F094">
      <w:pPr>
        <w:spacing w:line="360" w:lineRule="auto"/>
        <w:jc w:val="both"/>
        <w:rPr>
          <w:rFonts w:ascii="Arial" w:eastAsia="Arial" w:hAnsi="Arial" w:cs="Arial"/>
          <w:sz w:val="28"/>
          <w:szCs w:val="28"/>
        </w:rPr>
      </w:pPr>
    </w:p>
    <w:p w14:paraId="3BCF11A9" w14:textId="45359EE1" w:rsidR="4FE1F094" w:rsidRDefault="4FE1F094" w:rsidP="4FE1F094">
      <w:pPr>
        <w:spacing w:line="360" w:lineRule="auto"/>
        <w:jc w:val="both"/>
        <w:rPr>
          <w:rFonts w:ascii="Arial" w:eastAsia="Arial" w:hAnsi="Arial" w:cs="Arial"/>
          <w:sz w:val="28"/>
          <w:szCs w:val="28"/>
        </w:rPr>
      </w:pPr>
    </w:p>
    <w:p w14:paraId="16CA2730" w14:textId="592FB7A5" w:rsidR="4FE1F094" w:rsidRDefault="4FE1F094" w:rsidP="596E7CBB">
      <w:pPr>
        <w:spacing w:line="360" w:lineRule="auto"/>
        <w:jc w:val="both"/>
        <w:rPr>
          <w:rFonts w:ascii="Arial" w:eastAsia="Arial" w:hAnsi="Arial" w:cs="Arial"/>
          <w:sz w:val="28"/>
          <w:szCs w:val="28"/>
        </w:rPr>
      </w:pPr>
    </w:p>
    <w:p w14:paraId="0BC9BA8F" w14:textId="77777777" w:rsidR="00EF1C76" w:rsidRDefault="00EF1C76" w:rsidP="596E7CBB">
      <w:pPr>
        <w:spacing w:line="360" w:lineRule="auto"/>
        <w:jc w:val="both"/>
        <w:rPr>
          <w:rFonts w:ascii="Arial" w:eastAsia="Arial" w:hAnsi="Arial" w:cs="Arial"/>
          <w:sz w:val="28"/>
          <w:szCs w:val="28"/>
        </w:rPr>
      </w:pPr>
    </w:p>
    <w:p w14:paraId="7B32A462" w14:textId="77777777" w:rsidR="00EF1C76" w:rsidRDefault="00EF1C76" w:rsidP="596E7CBB">
      <w:pPr>
        <w:spacing w:line="360" w:lineRule="auto"/>
        <w:jc w:val="both"/>
        <w:rPr>
          <w:rFonts w:ascii="Arial" w:eastAsia="Arial" w:hAnsi="Arial" w:cs="Arial"/>
          <w:sz w:val="28"/>
          <w:szCs w:val="28"/>
        </w:rPr>
      </w:pPr>
    </w:p>
    <w:p w14:paraId="06595236" w14:textId="77777777" w:rsidR="00EF1C76" w:rsidRDefault="00EF1C76" w:rsidP="596E7CBB">
      <w:pPr>
        <w:spacing w:line="360" w:lineRule="auto"/>
        <w:jc w:val="both"/>
        <w:rPr>
          <w:rFonts w:ascii="Arial" w:eastAsia="Arial" w:hAnsi="Arial" w:cs="Arial"/>
          <w:sz w:val="28"/>
          <w:szCs w:val="28"/>
        </w:rPr>
      </w:pPr>
    </w:p>
    <w:p w14:paraId="21A83FB2" w14:textId="77777777" w:rsidR="00EF1C76" w:rsidRDefault="00EF1C76" w:rsidP="596E7CBB">
      <w:pPr>
        <w:spacing w:line="360" w:lineRule="auto"/>
        <w:jc w:val="both"/>
        <w:rPr>
          <w:rFonts w:ascii="Arial" w:eastAsia="Arial" w:hAnsi="Arial" w:cs="Arial"/>
          <w:sz w:val="28"/>
          <w:szCs w:val="28"/>
        </w:rPr>
      </w:pPr>
    </w:p>
    <w:p w14:paraId="66779E38" w14:textId="364FB7CE" w:rsidR="33EC1F07" w:rsidRDefault="33EC1F07" w:rsidP="4FE1F094">
      <w:pPr>
        <w:jc w:val="center"/>
        <w:rPr>
          <w:sz w:val="28"/>
          <w:szCs w:val="28"/>
        </w:rPr>
      </w:pPr>
      <w:r w:rsidRPr="4FE1F094">
        <w:rPr>
          <w:sz w:val="28"/>
          <w:szCs w:val="28"/>
        </w:rPr>
        <w:lastRenderedPageBreak/>
        <w:t>Table of Contents</w:t>
      </w:r>
    </w:p>
    <w:sdt>
      <w:sdtPr>
        <w:id w:val="758351201"/>
        <w:docPartObj>
          <w:docPartGallery w:val="Table of Contents"/>
          <w:docPartUnique/>
        </w:docPartObj>
      </w:sdtPr>
      <w:sdtEndPr/>
      <w:sdtContent>
        <w:p w14:paraId="16D5E80B" w14:textId="3BB39410" w:rsidR="4FE1F094" w:rsidRDefault="4FE1F094" w:rsidP="596E7CBB">
          <w:pPr>
            <w:pStyle w:val="TOC1"/>
            <w:tabs>
              <w:tab w:val="right" w:leader="dot" w:pos="9015"/>
            </w:tabs>
            <w:rPr>
              <w:rStyle w:val="Hyperlink"/>
              <w:noProof/>
            </w:rPr>
          </w:pPr>
          <w:r>
            <w:fldChar w:fldCharType="begin"/>
          </w:r>
          <w:r>
            <w:instrText>TOC \o "1-9" \z \u \h</w:instrText>
          </w:r>
          <w:r>
            <w:fldChar w:fldCharType="separate"/>
          </w:r>
          <w:hyperlink w:anchor="_Toc1633881774">
            <w:r w:rsidR="596E7CBB" w:rsidRPr="596E7CBB">
              <w:rPr>
                <w:rStyle w:val="Hyperlink"/>
                <w:noProof/>
              </w:rPr>
              <w:t>Executive Summary</w:t>
            </w:r>
            <w:r>
              <w:rPr>
                <w:noProof/>
              </w:rPr>
              <w:tab/>
            </w:r>
            <w:r>
              <w:rPr>
                <w:noProof/>
              </w:rPr>
              <w:fldChar w:fldCharType="begin"/>
            </w:r>
            <w:r>
              <w:rPr>
                <w:noProof/>
              </w:rPr>
              <w:instrText>PAGEREF _Toc1633881774 \h</w:instrText>
            </w:r>
            <w:r>
              <w:rPr>
                <w:noProof/>
              </w:rPr>
            </w:r>
            <w:r>
              <w:rPr>
                <w:noProof/>
              </w:rPr>
              <w:fldChar w:fldCharType="separate"/>
            </w:r>
            <w:r w:rsidR="00EF1C76">
              <w:rPr>
                <w:noProof/>
              </w:rPr>
              <w:t>2</w:t>
            </w:r>
            <w:r>
              <w:rPr>
                <w:noProof/>
              </w:rPr>
              <w:fldChar w:fldCharType="end"/>
            </w:r>
          </w:hyperlink>
        </w:p>
        <w:p w14:paraId="505A8435" w14:textId="4A23B970" w:rsidR="4FE1F094" w:rsidRDefault="596E7CBB" w:rsidP="596E7CBB">
          <w:pPr>
            <w:pStyle w:val="TOC1"/>
            <w:tabs>
              <w:tab w:val="right" w:leader="dot" w:pos="9015"/>
            </w:tabs>
            <w:rPr>
              <w:rStyle w:val="Hyperlink"/>
              <w:noProof/>
            </w:rPr>
          </w:pPr>
          <w:hyperlink w:anchor="_Toc1795650814">
            <w:r w:rsidRPr="596E7CBB">
              <w:rPr>
                <w:rStyle w:val="Hyperlink"/>
                <w:noProof/>
              </w:rPr>
              <w:t>1. Introduction to Seren Coffi and the Operational Issue</w:t>
            </w:r>
            <w:r w:rsidR="4FE1F094">
              <w:rPr>
                <w:noProof/>
              </w:rPr>
              <w:tab/>
            </w:r>
            <w:r w:rsidR="4FE1F094">
              <w:rPr>
                <w:noProof/>
              </w:rPr>
              <w:fldChar w:fldCharType="begin"/>
            </w:r>
            <w:r w:rsidR="4FE1F094">
              <w:rPr>
                <w:noProof/>
              </w:rPr>
              <w:instrText>PAGEREF _Toc1795650814 \h</w:instrText>
            </w:r>
            <w:r w:rsidR="4FE1F094">
              <w:rPr>
                <w:noProof/>
              </w:rPr>
            </w:r>
            <w:r w:rsidR="4FE1F094">
              <w:rPr>
                <w:noProof/>
              </w:rPr>
              <w:fldChar w:fldCharType="separate"/>
            </w:r>
            <w:r w:rsidR="00EF1C76">
              <w:rPr>
                <w:noProof/>
              </w:rPr>
              <w:t>5</w:t>
            </w:r>
            <w:r w:rsidR="4FE1F094">
              <w:rPr>
                <w:noProof/>
              </w:rPr>
              <w:fldChar w:fldCharType="end"/>
            </w:r>
          </w:hyperlink>
        </w:p>
        <w:p w14:paraId="5089AC20" w14:textId="5745019B" w:rsidR="4FE1F094" w:rsidRDefault="596E7CBB" w:rsidP="596E7CBB">
          <w:pPr>
            <w:pStyle w:val="TOC1"/>
            <w:tabs>
              <w:tab w:val="right" w:leader="dot" w:pos="9015"/>
            </w:tabs>
            <w:rPr>
              <w:rStyle w:val="Hyperlink"/>
              <w:noProof/>
            </w:rPr>
          </w:pPr>
          <w:hyperlink w:anchor="_Toc1377420869">
            <w:r w:rsidRPr="596E7CBB">
              <w:rPr>
                <w:rStyle w:val="Hyperlink"/>
                <w:noProof/>
              </w:rPr>
              <w:t>2. Creativity, Innovation and Capitalist Business Growth</w:t>
            </w:r>
            <w:r w:rsidR="4FE1F094">
              <w:rPr>
                <w:noProof/>
              </w:rPr>
              <w:tab/>
            </w:r>
            <w:r w:rsidR="4FE1F094">
              <w:rPr>
                <w:noProof/>
              </w:rPr>
              <w:fldChar w:fldCharType="begin"/>
            </w:r>
            <w:r w:rsidR="4FE1F094">
              <w:rPr>
                <w:noProof/>
              </w:rPr>
              <w:instrText>PAGEREF _Toc1377420869 \h</w:instrText>
            </w:r>
            <w:r w:rsidR="4FE1F094">
              <w:rPr>
                <w:noProof/>
              </w:rPr>
            </w:r>
            <w:r w:rsidR="4FE1F094">
              <w:rPr>
                <w:noProof/>
              </w:rPr>
              <w:fldChar w:fldCharType="separate"/>
            </w:r>
            <w:r w:rsidR="00EF1C76">
              <w:rPr>
                <w:noProof/>
              </w:rPr>
              <w:t>6</w:t>
            </w:r>
            <w:r w:rsidR="4FE1F094">
              <w:rPr>
                <w:noProof/>
              </w:rPr>
              <w:fldChar w:fldCharType="end"/>
            </w:r>
          </w:hyperlink>
        </w:p>
        <w:p w14:paraId="751285EE" w14:textId="12E2B0C6" w:rsidR="4FE1F094" w:rsidRDefault="596E7CBB" w:rsidP="596E7CBB">
          <w:pPr>
            <w:pStyle w:val="TOC1"/>
            <w:tabs>
              <w:tab w:val="right" w:leader="dot" w:pos="9015"/>
            </w:tabs>
            <w:rPr>
              <w:noProof/>
            </w:rPr>
          </w:pPr>
          <w:hyperlink w:anchor="_Toc1695735133">
            <w:r w:rsidRPr="596E7CBB">
              <w:rPr>
                <w:rStyle w:val="Hyperlink"/>
                <w:noProof/>
              </w:rPr>
              <w:t>3. Proposed Innovation: Seren Global Learning</w:t>
            </w:r>
            <w:r w:rsidR="4FE1F094">
              <w:rPr>
                <w:noProof/>
              </w:rPr>
              <w:tab/>
            </w:r>
            <w:r w:rsidR="4FE1F094">
              <w:rPr>
                <w:noProof/>
              </w:rPr>
              <w:fldChar w:fldCharType="begin"/>
            </w:r>
            <w:r w:rsidR="4FE1F094">
              <w:rPr>
                <w:noProof/>
              </w:rPr>
              <w:instrText>PAGEREF _Toc1695735133 \h</w:instrText>
            </w:r>
            <w:r w:rsidR="4FE1F094">
              <w:rPr>
                <w:noProof/>
              </w:rPr>
            </w:r>
            <w:r w:rsidR="4FE1F094">
              <w:rPr>
                <w:noProof/>
              </w:rPr>
              <w:fldChar w:fldCharType="separate"/>
            </w:r>
            <w:r w:rsidR="00EF1C76">
              <w:rPr>
                <w:noProof/>
              </w:rPr>
              <w:t>7</w:t>
            </w:r>
            <w:r w:rsidR="4FE1F094">
              <w:rPr>
                <w:noProof/>
              </w:rPr>
              <w:fldChar w:fldCharType="end"/>
            </w:r>
          </w:hyperlink>
        </w:p>
        <w:p w14:paraId="655545A8" w14:textId="45D8E29B" w:rsidR="4FE1F094" w:rsidRDefault="596E7CBB" w:rsidP="596E7CBB">
          <w:pPr>
            <w:pStyle w:val="TOC1"/>
            <w:tabs>
              <w:tab w:val="right" w:leader="dot" w:pos="9015"/>
            </w:tabs>
            <w:rPr>
              <w:noProof/>
            </w:rPr>
          </w:pPr>
          <w:hyperlink w:anchor="_Toc1614651991">
            <w:r w:rsidRPr="596E7CBB">
              <w:rPr>
                <w:rStyle w:val="Hyperlink"/>
                <w:noProof/>
              </w:rPr>
              <w:t>4. The 4Ps of Innovation</w:t>
            </w:r>
            <w:r w:rsidR="4FE1F094">
              <w:rPr>
                <w:noProof/>
              </w:rPr>
              <w:tab/>
            </w:r>
            <w:r w:rsidR="4FE1F094">
              <w:rPr>
                <w:noProof/>
              </w:rPr>
              <w:fldChar w:fldCharType="begin"/>
            </w:r>
            <w:r w:rsidR="4FE1F094">
              <w:rPr>
                <w:noProof/>
              </w:rPr>
              <w:instrText>PAGEREF _Toc1614651991 \h</w:instrText>
            </w:r>
            <w:r w:rsidR="4FE1F094">
              <w:rPr>
                <w:noProof/>
              </w:rPr>
            </w:r>
            <w:r w:rsidR="4FE1F094">
              <w:rPr>
                <w:noProof/>
              </w:rPr>
              <w:fldChar w:fldCharType="separate"/>
            </w:r>
            <w:r w:rsidR="00EF1C76">
              <w:rPr>
                <w:noProof/>
              </w:rPr>
              <w:t>8</w:t>
            </w:r>
            <w:r w:rsidR="4FE1F094">
              <w:rPr>
                <w:noProof/>
              </w:rPr>
              <w:fldChar w:fldCharType="end"/>
            </w:r>
          </w:hyperlink>
        </w:p>
        <w:p w14:paraId="05D3B839" w14:textId="0A989C06" w:rsidR="4FE1F094" w:rsidRDefault="596E7CBB" w:rsidP="596E7CBB">
          <w:pPr>
            <w:pStyle w:val="TOC2"/>
            <w:tabs>
              <w:tab w:val="right" w:leader="dot" w:pos="9015"/>
            </w:tabs>
            <w:rPr>
              <w:noProof/>
            </w:rPr>
          </w:pPr>
          <w:hyperlink w:anchor="_Toc1422705105">
            <w:r w:rsidRPr="596E7CBB">
              <w:rPr>
                <w:rStyle w:val="Hyperlink"/>
                <w:noProof/>
              </w:rPr>
              <w:t>Process Innovation</w:t>
            </w:r>
            <w:r w:rsidR="4FE1F094">
              <w:rPr>
                <w:noProof/>
              </w:rPr>
              <w:tab/>
            </w:r>
            <w:r w:rsidR="4FE1F094">
              <w:rPr>
                <w:noProof/>
              </w:rPr>
              <w:fldChar w:fldCharType="begin"/>
            </w:r>
            <w:r w:rsidR="4FE1F094">
              <w:rPr>
                <w:noProof/>
              </w:rPr>
              <w:instrText>PAGEREF _Toc1422705105 \h</w:instrText>
            </w:r>
            <w:r w:rsidR="4FE1F094">
              <w:rPr>
                <w:noProof/>
              </w:rPr>
            </w:r>
            <w:r w:rsidR="4FE1F094">
              <w:rPr>
                <w:noProof/>
              </w:rPr>
              <w:fldChar w:fldCharType="separate"/>
            </w:r>
            <w:r w:rsidR="00EF1C76">
              <w:rPr>
                <w:noProof/>
              </w:rPr>
              <w:t>8</w:t>
            </w:r>
            <w:r w:rsidR="4FE1F094">
              <w:rPr>
                <w:noProof/>
              </w:rPr>
              <w:fldChar w:fldCharType="end"/>
            </w:r>
          </w:hyperlink>
        </w:p>
        <w:p w14:paraId="221E6EA6" w14:textId="72A1060E" w:rsidR="4FE1F094" w:rsidRDefault="596E7CBB" w:rsidP="596E7CBB">
          <w:pPr>
            <w:pStyle w:val="TOC2"/>
            <w:tabs>
              <w:tab w:val="right" w:leader="dot" w:pos="9015"/>
            </w:tabs>
            <w:rPr>
              <w:noProof/>
            </w:rPr>
          </w:pPr>
          <w:hyperlink w:anchor="_Toc2099101493">
            <w:r w:rsidRPr="596E7CBB">
              <w:rPr>
                <w:rStyle w:val="Hyperlink"/>
                <w:noProof/>
              </w:rPr>
              <w:t>Position Innovation</w:t>
            </w:r>
            <w:r w:rsidR="4FE1F094">
              <w:rPr>
                <w:noProof/>
              </w:rPr>
              <w:tab/>
            </w:r>
            <w:r w:rsidR="4FE1F094">
              <w:rPr>
                <w:noProof/>
              </w:rPr>
              <w:fldChar w:fldCharType="begin"/>
            </w:r>
            <w:r w:rsidR="4FE1F094">
              <w:rPr>
                <w:noProof/>
              </w:rPr>
              <w:instrText>PAGEREF _Toc2099101493 \h</w:instrText>
            </w:r>
            <w:r w:rsidR="4FE1F094">
              <w:rPr>
                <w:noProof/>
              </w:rPr>
            </w:r>
            <w:r w:rsidR="4FE1F094">
              <w:rPr>
                <w:noProof/>
              </w:rPr>
              <w:fldChar w:fldCharType="separate"/>
            </w:r>
            <w:r w:rsidR="00EF1C76">
              <w:rPr>
                <w:noProof/>
              </w:rPr>
              <w:t>9</w:t>
            </w:r>
            <w:r w:rsidR="4FE1F094">
              <w:rPr>
                <w:noProof/>
              </w:rPr>
              <w:fldChar w:fldCharType="end"/>
            </w:r>
          </w:hyperlink>
        </w:p>
        <w:p w14:paraId="09A5B95E" w14:textId="63127BA9" w:rsidR="4FE1F094" w:rsidRDefault="596E7CBB" w:rsidP="596E7CBB">
          <w:pPr>
            <w:pStyle w:val="TOC2"/>
            <w:tabs>
              <w:tab w:val="right" w:leader="dot" w:pos="9015"/>
            </w:tabs>
            <w:rPr>
              <w:noProof/>
            </w:rPr>
          </w:pPr>
          <w:hyperlink w:anchor="_Toc1193134335">
            <w:r w:rsidRPr="596E7CBB">
              <w:rPr>
                <w:rStyle w:val="Hyperlink"/>
                <w:noProof/>
              </w:rPr>
              <w:t>Paradigm Innovation</w:t>
            </w:r>
            <w:r w:rsidR="4FE1F094">
              <w:rPr>
                <w:noProof/>
              </w:rPr>
              <w:tab/>
            </w:r>
            <w:r w:rsidR="4FE1F094">
              <w:rPr>
                <w:noProof/>
              </w:rPr>
              <w:fldChar w:fldCharType="begin"/>
            </w:r>
            <w:r w:rsidR="4FE1F094">
              <w:rPr>
                <w:noProof/>
              </w:rPr>
              <w:instrText>PAGEREF _Toc1193134335 \h</w:instrText>
            </w:r>
            <w:r w:rsidR="4FE1F094">
              <w:rPr>
                <w:noProof/>
              </w:rPr>
            </w:r>
            <w:r w:rsidR="4FE1F094">
              <w:rPr>
                <w:noProof/>
              </w:rPr>
              <w:fldChar w:fldCharType="separate"/>
            </w:r>
            <w:r w:rsidR="00EF1C76">
              <w:rPr>
                <w:noProof/>
              </w:rPr>
              <w:t>9</w:t>
            </w:r>
            <w:r w:rsidR="4FE1F094">
              <w:rPr>
                <w:noProof/>
              </w:rPr>
              <w:fldChar w:fldCharType="end"/>
            </w:r>
          </w:hyperlink>
        </w:p>
        <w:p w14:paraId="77EDB2E7" w14:textId="02834117" w:rsidR="4FE1F094" w:rsidRDefault="596E7CBB" w:rsidP="596E7CBB">
          <w:pPr>
            <w:pStyle w:val="TOC2"/>
            <w:tabs>
              <w:tab w:val="right" w:leader="dot" w:pos="9015"/>
            </w:tabs>
            <w:rPr>
              <w:noProof/>
            </w:rPr>
          </w:pPr>
          <w:hyperlink w:anchor="_Toc1499288700">
            <w:r w:rsidRPr="596E7CBB">
              <w:rPr>
                <w:rStyle w:val="Hyperlink"/>
                <w:noProof/>
              </w:rPr>
              <w:t>Product Innovation</w:t>
            </w:r>
            <w:r w:rsidR="4FE1F094">
              <w:rPr>
                <w:noProof/>
              </w:rPr>
              <w:tab/>
            </w:r>
            <w:r w:rsidR="4FE1F094">
              <w:rPr>
                <w:noProof/>
              </w:rPr>
              <w:fldChar w:fldCharType="begin"/>
            </w:r>
            <w:r w:rsidR="4FE1F094">
              <w:rPr>
                <w:noProof/>
              </w:rPr>
              <w:instrText>PAGEREF _Toc1499288700 \h</w:instrText>
            </w:r>
            <w:r w:rsidR="4FE1F094">
              <w:rPr>
                <w:noProof/>
              </w:rPr>
            </w:r>
            <w:r w:rsidR="4FE1F094">
              <w:rPr>
                <w:noProof/>
              </w:rPr>
              <w:fldChar w:fldCharType="separate"/>
            </w:r>
            <w:r w:rsidR="00EF1C76">
              <w:rPr>
                <w:noProof/>
              </w:rPr>
              <w:t>10</w:t>
            </w:r>
            <w:r w:rsidR="4FE1F094">
              <w:rPr>
                <w:noProof/>
              </w:rPr>
              <w:fldChar w:fldCharType="end"/>
            </w:r>
          </w:hyperlink>
        </w:p>
        <w:p w14:paraId="7B515895" w14:textId="4863B5D9" w:rsidR="4FE1F094" w:rsidRDefault="596E7CBB" w:rsidP="596E7CBB">
          <w:pPr>
            <w:pStyle w:val="TOC1"/>
            <w:tabs>
              <w:tab w:val="right" w:leader="dot" w:pos="9015"/>
            </w:tabs>
            <w:rPr>
              <w:noProof/>
            </w:rPr>
          </w:pPr>
          <w:hyperlink w:anchor="_Toc566683626">
            <w:r w:rsidRPr="596E7CBB">
              <w:rPr>
                <w:rStyle w:val="Hyperlink"/>
                <w:noProof/>
              </w:rPr>
              <w:t>5. Creativity Process and Framework</w:t>
            </w:r>
            <w:r w:rsidR="4FE1F094">
              <w:rPr>
                <w:noProof/>
              </w:rPr>
              <w:tab/>
            </w:r>
            <w:r w:rsidR="4FE1F094">
              <w:rPr>
                <w:noProof/>
              </w:rPr>
              <w:fldChar w:fldCharType="begin"/>
            </w:r>
            <w:r w:rsidR="4FE1F094">
              <w:rPr>
                <w:noProof/>
              </w:rPr>
              <w:instrText>PAGEREF _Toc566683626 \h</w:instrText>
            </w:r>
            <w:r w:rsidR="4FE1F094">
              <w:rPr>
                <w:noProof/>
              </w:rPr>
            </w:r>
            <w:r w:rsidR="4FE1F094">
              <w:rPr>
                <w:noProof/>
              </w:rPr>
              <w:fldChar w:fldCharType="separate"/>
            </w:r>
            <w:r w:rsidR="00EF1C76">
              <w:rPr>
                <w:noProof/>
              </w:rPr>
              <w:t>10</w:t>
            </w:r>
            <w:r w:rsidR="4FE1F094">
              <w:rPr>
                <w:noProof/>
              </w:rPr>
              <w:fldChar w:fldCharType="end"/>
            </w:r>
          </w:hyperlink>
        </w:p>
        <w:p w14:paraId="6DBB2DEB" w14:textId="4F56924F" w:rsidR="4FE1F094" w:rsidRDefault="596E7CBB" w:rsidP="596E7CBB">
          <w:pPr>
            <w:pStyle w:val="TOC2"/>
            <w:tabs>
              <w:tab w:val="right" w:leader="dot" w:pos="9015"/>
            </w:tabs>
            <w:rPr>
              <w:noProof/>
            </w:rPr>
          </w:pPr>
          <w:hyperlink w:anchor="_Toc1930965371">
            <w:r w:rsidRPr="596E7CBB">
              <w:rPr>
                <w:rStyle w:val="Hyperlink"/>
                <w:noProof/>
              </w:rPr>
              <w:t>Preparation</w:t>
            </w:r>
            <w:r w:rsidR="4FE1F094">
              <w:rPr>
                <w:noProof/>
              </w:rPr>
              <w:tab/>
            </w:r>
            <w:r w:rsidR="4FE1F094">
              <w:rPr>
                <w:noProof/>
              </w:rPr>
              <w:fldChar w:fldCharType="begin"/>
            </w:r>
            <w:r w:rsidR="4FE1F094">
              <w:rPr>
                <w:noProof/>
              </w:rPr>
              <w:instrText>PAGEREF _Toc1930965371 \h</w:instrText>
            </w:r>
            <w:r w:rsidR="4FE1F094">
              <w:rPr>
                <w:noProof/>
              </w:rPr>
            </w:r>
            <w:r w:rsidR="4FE1F094">
              <w:rPr>
                <w:noProof/>
              </w:rPr>
              <w:fldChar w:fldCharType="separate"/>
            </w:r>
            <w:r w:rsidR="00EF1C76">
              <w:rPr>
                <w:noProof/>
              </w:rPr>
              <w:t>10</w:t>
            </w:r>
            <w:r w:rsidR="4FE1F094">
              <w:rPr>
                <w:noProof/>
              </w:rPr>
              <w:fldChar w:fldCharType="end"/>
            </w:r>
          </w:hyperlink>
        </w:p>
        <w:p w14:paraId="6B67244F" w14:textId="647C4636" w:rsidR="4FE1F094" w:rsidRDefault="596E7CBB" w:rsidP="596E7CBB">
          <w:pPr>
            <w:pStyle w:val="TOC2"/>
            <w:tabs>
              <w:tab w:val="right" w:leader="dot" w:pos="9015"/>
            </w:tabs>
            <w:rPr>
              <w:noProof/>
            </w:rPr>
          </w:pPr>
          <w:hyperlink w:anchor="_Toc1733689097">
            <w:r w:rsidRPr="596E7CBB">
              <w:rPr>
                <w:rStyle w:val="Hyperlink"/>
                <w:noProof/>
              </w:rPr>
              <w:t>Incubation</w:t>
            </w:r>
            <w:r w:rsidR="4FE1F094">
              <w:rPr>
                <w:noProof/>
              </w:rPr>
              <w:tab/>
            </w:r>
            <w:r w:rsidR="4FE1F094">
              <w:rPr>
                <w:noProof/>
              </w:rPr>
              <w:fldChar w:fldCharType="begin"/>
            </w:r>
            <w:r w:rsidR="4FE1F094">
              <w:rPr>
                <w:noProof/>
              </w:rPr>
              <w:instrText>PAGEREF _Toc1733689097 \h</w:instrText>
            </w:r>
            <w:r w:rsidR="4FE1F094">
              <w:rPr>
                <w:noProof/>
              </w:rPr>
            </w:r>
            <w:r w:rsidR="4FE1F094">
              <w:rPr>
                <w:noProof/>
              </w:rPr>
              <w:fldChar w:fldCharType="separate"/>
            </w:r>
            <w:r w:rsidR="00EF1C76">
              <w:rPr>
                <w:noProof/>
              </w:rPr>
              <w:t>10</w:t>
            </w:r>
            <w:r w:rsidR="4FE1F094">
              <w:rPr>
                <w:noProof/>
              </w:rPr>
              <w:fldChar w:fldCharType="end"/>
            </w:r>
          </w:hyperlink>
        </w:p>
        <w:p w14:paraId="06DED43D" w14:textId="17866159" w:rsidR="4FE1F094" w:rsidRDefault="596E7CBB" w:rsidP="596E7CBB">
          <w:pPr>
            <w:pStyle w:val="TOC2"/>
            <w:tabs>
              <w:tab w:val="right" w:leader="dot" w:pos="9015"/>
            </w:tabs>
            <w:rPr>
              <w:noProof/>
            </w:rPr>
          </w:pPr>
          <w:hyperlink w:anchor="_Toc292909378">
            <w:r w:rsidRPr="596E7CBB">
              <w:rPr>
                <w:rStyle w:val="Hyperlink"/>
                <w:noProof/>
              </w:rPr>
              <w:t>Illumination</w:t>
            </w:r>
            <w:r w:rsidR="4FE1F094">
              <w:rPr>
                <w:noProof/>
              </w:rPr>
              <w:tab/>
            </w:r>
            <w:r w:rsidR="4FE1F094">
              <w:rPr>
                <w:noProof/>
              </w:rPr>
              <w:fldChar w:fldCharType="begin"/>
            </w:r>
            <w:r w:rsidR="4FE1F094">
              <w:rPr>
                <w:noProof/>
              </w:rPr>
              <w:instrText>PAGEREF _Toc292909378 \h</w:instrText>
            </w:r>
            <w:r w:rsidR="4FE1F094">
              <w:rPr>
                <w:noProof/>
              </w:rPr>
            </w:r>
            <w:r w:rsidR="4FE1F094">
              <w:rPr>
                <w:noProof/>
              </w:rPr>
              <w:fldChar w:fldCharType="separate"/>
            </w:r>
            <w:r w:rsidR="00EF1C76">
              <w:rPr>
                <w:noProof/>
              </w:rPr>
              <w:t>10</w:t>
            </w:r>
            <w:r w:rsidR="4FE1F094">
              <w:rPr>
                <w:noProof/>
              </w:rPr>
              <w:fldChar w:fldCharType="end"/>
            </w:r>
          </w:hyperlink>
        </w:p>
        <w:p w14:paraId="36493C3F" w14:textId="77858D9F" w:rsidR="4FE1F094" w:rsidRDefault="596E7CBB" w:rsidP="596E7CBB">
          <w:pPr>
            <w:pStyle w:val="TOC2"/>
            <w:tabs>
              <w:tab w:val="right" w:leader="dot" w:pos="9015"/>
            </w:tabs>
            <w:rPr>
              <w:noProof/>
            </w:rPr>
          </w:pPr>
          <w:hyperlink w:anchor="_Toc912081400">
            <w:r w:rsidRPr="596E7CBB">
              <w:rPr>
                <w:rStyle w:val="Hyperlink"/>
                <w:noProof/>
              </w:rPr>
              <w:t>Verification</w:t>
            </w:r>
            <w:r w:rsidR="4FE1F094">
              <w:rPr>
                <w:noProof/>
              </w:rPr>
              <w:tab/>
            </w:r>
            <w:r w:rsidR="4FE1F094">
              <w:rPr>
                <w:noProof/>
              </w:rPr>
              <w:fldChar w:fldCharType="begin"/>
            </w:r>
            <w:r w:rsidR="4FE1F094">
              <w:rPr>
                <w:noProof/>
              </w:rPr>
              <w:instrText>PAGEREF _Toc912081400 \h</w:instrText>
            </w:r>
            <w:r w:rsidR="4FE1F094">
              <w:rPr>
                <w:noProof/>
              </w:rPr>
            </w:r>
            <w:r w:rsidR="4FE1F094">
              <w:rPr>
                <w:noProof/>
              </w:rPr>
              <w:fldChar w:fldCharType="separate"/>
            </w:r>
            <w:r w:rsidR="00EF1C76">
              <w:rPr>
                <w:noProof/>
              </w:rPr>
              <w:t>11</w:t>
            </w:r>
            <w:r w:rsidR="4FE1F094">
              <w:rPr>
                <w:noProof/>
              </w:rPr>
              <w:fldChar w:fldCharType="end"/>
            </w:r>
          </w:hyperlink>
        </w:p>
        <w:p w14:paraId="54992C69" w14:textId="54690F69" w:rsidR="4FE1F094" w:rsidRDefault="596E7CBB" w:rsidP="596E7CBB">
          <w:pPr>
            <w:pStyle w:val="TOC1"/>
            <w:tabs>
              <w:tab w:val="right" w:leader="dot" w:pos="9015"/>
            </w:tabs>
            <w:rPr>
              <w:noProof/>
            </w:rPr>
          </w:pPr>
          <w:hyperlink w:anchor="_Toc296044869">
            <w:r w:rsidRPr="596E7CBB">
              <w:rPr>
                <w:rStyle w:val="Hyperlink"/>
                <w:noProof/>
              </w:rPr>
              <w:t>6. Business Model Canvas and Value Chain Application</w:t>
            </w:r>
            <w:r w:rsidR="4FE1F094">
              <w:rPr>
                <w:noProof/>
              </w:rPr>
              <w:tab/>
            </w:r>
            <w:r w:rsidR="4FE1F094">
              <w:rPr>
                <w:noProof/>
              </w:rPr>
              <w:fldChar w:fldCharType="begin"/>
            </w:r>
            <w:r w:rsidR="4FE1F094">
              <w:rPr>
                <w:noProof/>
              </w:rPr>
              <w:instrText>PAGEREF _Toc296044869 \h</w:instrText>
            </w:r>
            <w:r w:rsidR="4FE1F094">
              <w:rPr>
                <w:noProof/>
              </w:rPr>
            </w:r>
            <w:r w:rsidR="4FE1F094">
              <w:rPr>
                <w:noProof/>
              </w:rPr>
              <w:fldChar w:fldCharType="separate"/>
            </w:r>
            <w:r w:rsidR="00EF1C76">
              <w:rPr>
                <w:noProof/>
              </w:rPr>
              <w:t>11</w:t>
            </w:r>
            <w:r w:rsidR="4FE1F094">
              <w:rPr>
                <w:noProof/>
              </w:rPr>
              <w:fldChar w:fldCharType="end"/>
            </w:r>
          </w:hyperlink>
        </w:p>
        <w:p w14:paraId="08C31AB8" w14:textId="2E342F79" w:rsidR="4FE1F094" w:rsidRDefault="596E7CBB" w:rsidP="596E7CBB">
          <w:pPr>
            <w:pStyle w:val="TOC1"/>
            <w:tabs>
              <w:tab w:val="right" w:leader="dot" w:pos="9015"/>
            </w:tabs>
            <w:rPr>
              <w:noProof/>
            </w:rPr>
          </w:pPr>
          <w:hyperlink w:anchor="_Toc414368764">
            <w:r w:rsidRPr="596E7CBB">
              <w:rPr>
                <w:rStyle w:val="Hyperlink"/>
                <w:noProof/>
              </w:rPr>
              <w:t>7. Lewin’s Force Field Analysis</w:t>
            </w:r>
            <w:r w:rsidR="4FE1F094">
              <w:rPr>
                <w:noProof/>
              </w:rPr>
              <w:tab/>
            </w:r>
            <w:r w:rsidR="4FE1F094">
              <w:rPr>
                <w:noProof/>
              </w:rPr>
              <w:fldChar w:fldCharType="begin"/>
            </w:r>
            <w:r w:rsidR="4FE1F094">
              <w:rPr>
                <w:noProof/>
              </w:rPr>
              <w:instrText>PAGEREF _Toc414368764 \h</w:instrText>
            </w:r>
            <w:r w:rsidR="4FE1F094">
              <w:rPr>
                <w:noProof/>
              </w:rPr>
            </w:r>
            <w:r w:rsidR="4FE1F094">
              <w:rPr>
                <w:noProof/>
              </w:rPr>
              <w:fldChar w:fldCharType="separate"/>
            </w:r>
            <w:r w:rsidR="00EF1C76">
              <w:rPr>
                <w:noProof/>
              </w:rPr>
              <w:t>13</w:t>
            </w:r>
            <w:r w:rsidR="4FE1F094">
              <w:rPr>
                <w:noProof/>
              </w:rPr>
              <w:fldChar w:fldCharType="end"/>
            </w:r>
          </w:hyperlink>
        </w:p>
        <w:p w14:paraId="673BD69A" w14:textId="26E3BC3E" w:rsidR="4FE1F094" w:rsidRDefault="596E7CBB" w:rsidP="596E7CBB">
          <w:pPr>
            <w:pStyle w:val="TOC1"/>
            <w:tabs>
              <w:tab w:val="right" w:leader="dot" w:pos="9015"/>
            </w:tabs>
            <w:rPr>
              <w:noProof/>
            </w:rPr>
          </w:pPr>
          <w:hyperlink w:anchor="_Toc955556118">
            <w:r w:rsidRPr="596E7CBB">
              <w:rPr>
                <w:rStyle w:val="Hyperlink"/>
                <w:noProof/>
              </w:rPr>
              <w:t>8. Organisational Climate for Innovation</w:t>
            </w:r>
            <w:r w:rsidR="4FE1F094">
              <w:rPr>
                <w:noProof/>
              </w:rPr>
              <w:tab/>
            </w:r>
            <w:r w:rsidR="4FE1F094">
              <w:rPr>
                <w:noProof/>
              </w:rPr>
              <w:fldChar w:fldCharType="begin"/>
            </w:r>
            <w:r w:rsidR="4FE1F094">
              <w:rPr>
                <w:noProof/>
              </w:rPr>
              <w:instrText>PAGEREF _Toc955556118 \h</w:instrText>
            </w:r>
            <w:r w:rsidR="4FE1F094">
              <w:rPr>
                <w:noProof/>
              </w:rPr>
            </w:r>
            <w:r w:rsidR="4FE1F094">
              <w:rPr>
                <w:noProof/>
              </w:rPr>
              <w:fldChar w:fldCharType="separate"/>
            </w:r>
            <w:r w:rsidR="00EF1C76">
              <w:rPr>
                <w:noProof/>
              </w:rPr>
              <w:t>15</w:t>
            </w:r>
            <w:r w:rsidR="4FE1F094">
              <w:rPr>
                <w:noProof/>
              </w:rPr>
              <w:fldChar w:fldCharType="end"/>
            </w:r>
          </w:hyperlink>
        </w:p>
        <w:p w14:paraId="678C3CFE" w14:textId="7C00E8C0" w:rsidR="4FE1F094" w:rsidRDefault="596E7CBB" w:rsidP="596E7CBB">
          <w:pPr>
            <w:pStyle w:val="TOC1"/>
            <w:tabs>
              <w:tab w:val="right" w:leader="dot" w:pos="9015"/>
            </w:tabs>
            <w:rPr>
              <w:noProof/>
            </w:rPr>
          </w:pPr>
          <w:hyperlink w:anchor="_Toc1279172539">
            <w:r w:rsidRPr="596E7CBB">
              <w:rPr>
                <w:rStyle w:val="Hyperlink"/>
                <w:noProof/>
              </w:rPr>
              <w:t>9. Part 1 Conclusion</w:t>
            </w:r>
            <w:r w:rsidR="4FE1F094">
              <w:rPr>
                <w:noProof/>
              </w:rPr>
              <w:tab/>
            </w:r>
            <w:r w:rsidR="4FE1F094">
              <w:rPr>
                <w:noProof/>
              </w:rPr>
              <w:fldChar w:fldCharType="begin"/>
            </w:r>
            <w:r w:rsidR="4FE1F094">
              <w:rPr>
                <w:noProof/>
              </w:rPr>
              <w:instrText>PAGEREF _Toc1279172539 \h</w:instrText>
            </w:r>
            <w:r w:rsidR="4FE1F094">
              <w:rPr>
                <w:noProof/>
              </w:rPr>
            </w:r>
            <w:r w:rsidR="4FE1F094">
              <w:rPr>
                <w:noProof/>
              </w:rPr>
              <w:fldChar w:fldCharType="separate"/>
            </w:r>
            <w:r w:rsidR="00EF1C76">
              <w:rPr>
                <w:noProof/>
              </w:rPr>
              <w:t>16</w:t>
            </w:r>
            <w:r w:rsidR="4FE1F094">
              <w:rPr>
                <w:noProof/>
              </w:rPr>
              <w:fldChar w:fldCharType="end"/>
            </w:r>
          </w:hyperlink>
        </w:p>
        <w:p w14:paraId="5A341E27" w14:textId="50E439F5" w:rsidR="4FE1F094" w:rsidRDefault="596E7CBB" w:rsidP="596E7CBB">
          <w:pPr>
            <w:pStyle w:val="TOC1"/>
            <w:tabs>
              <w:tab w:val="right" w:leader="dot" w:pos="9015"/>
            </w:tabs>
            <w:rPr>
              <w:noProof/>
            </w:rPr>
          </w:pPr>
          <w:hyperlink w:anchor="_Toc244872907">
            <w:r w:rsidRPr="596E7CBB">
              <w:rPr>
                <w:rStyle w:val="Hyperlink"/>
                <w:noProof/>
              </w:rPr>
              <w:t>Part 2: AI Supplement</w:t>
            </w:r>
            <w:r w:rsidR="4FE1F094">
              <w:rPr>
                <w:noProof/>
              </w:rPr>
              <w:tab/>
            </w:r>
            <w:r w:rsidR="4FE1F094">
              <w:rPr>
                <w:noProof/>
              </w:rPr>
              <w:fldChar w:fldCharType="begin"/>
            </w:r>
            <w:r w:rsidR="4FE1F094">
              <w:rPr>
                <w:noProof/>
              </w:rPr>
              <w:instrText>PAGEREF _Toc244872907 \h</w:instrText>
            </w:r>
            <w:r w:rsidR="4FE1F094">
              <w:rPr>
                <w:noProof/>
              </w:rPr>
            </w:r>
            <w:r w:rsidR="4FE1F094">
              <w:rPr>
                <w:noProof/>
              </w:rPr>
              <w:fldChar w:fldCharType="separate"/>
            </w:r>
            <w:r w:rsidR="00EF1C76">
              <w:rPr>
                <w:noProof/>
              </w:rPr>
              <w:t>16</w:t>
            </w:r>
            <w:r w:rsidR="4FE1F094">
              <w:rPr>
                <w:noProof/>
              </w:rPr>
              <w:fldChar w:fldCharType="end"/>
            </w:r>
          </w:hyperlink>
        </w:p>
        <w:p w14:paraId="7449CB14" w14:textId="70E43E1B" w:rsidR="4FE1F094" w:rsidRDefault="596E7CBB" w:rsidP="596E7CBB">
          <w:pPr>
            <w:pStyle w:val="TOC2"/>
            <w:tabs>
              <w:tab w:val="right" w:leader="dot" w:pos="9015"/>
            </w:tabs>
            <w:rPr>
              <w:noProof/>
            </w:rPr>
          </w:pPr>
          <w:hyperlink w:anchor="_Toc783326879">
            <w:r w:rsidRPr="596E7CBB">
              <w:rPr>
                <w:rStyle w:val="Hyperlink"/>
                <w:noProof/>
              </w:rPr>
              <w:t>1. Introduction to the Use of AI</w:t>
            </w:r>
            <w:r w:rsidR="4FE1F094">
              <w:rPr>
                <w:noProof/>
              </w:rPr>
              <w:tab/>
            </w:r>
            <w:r w:rsidR="4FE1F094">
              <w:rPr>
                <w:noProof/>
              </w:rPr>
              <w:fldChar w:fldCharType="begin"/>
            </w:r>
            <w:r w:rsidR="4FE1F094">
              <w:rPr>
                <w:noProof/>
              </w:rPr>
              <w:instrText>PAGEREF _Toc783326879 \h</w:instrText>
            </w:r>
            <w:r w:rsidR="4FE1F094">
              <w:rPr>
                <w:noProof/>
              </w:rPr>
            </w:r>
            <w:r w:rsidR="4FE1F094">
              <w:rPr>
                <w:noProof/>
              </w:rPr>
              <w:fldChar w:fldCharType="separate"/>
            </w:r>
            <w:r w:rsidR="00EF1C76">
              <w:rPr>
                <w:noProof/>
              </w:rPr>
              <w:t>16</w:t>
            </w:r>
            <w:r w:rsidR="4FE1F094">
              <w:rPr>
                <w:noProof/>
              </w:rPr>
              <w:fldChar w:fldCharType="end"/>
            </w:r>
          </w:hyperlink>
        </w:p>
        <w:p w14:paraId="70D6E437" w14:textId="6EC45CEB" w:rsidR="4FE1F094" w:rsidRDefault="596E7CBB" w:rsidP="596E7CBB">
          <w:pPr>
            <w:pStyle w:val="TOC2"/>
            <w:tabs>
              <w:tab w:val="right" w:leader="dot" w:pos="9015"/>
            </w:tabs>
            <w:rPr>
              <w:noProof/>
            </w:rPr>
          </w:pPr>
          <w:hyperlink w:anchor="_Toc1334292515">
            <w:r w:rsidRPr="596E7CBB">
              <w:rPr>
                <w:rStyle w:val="Hyperlink"/>
                <w:noProof/>
              </w:rPr>
              <w:t>2. How AI Helped Develop the Original Innovation</w:t>
            </w:r>
            <w:r w:rsidR="4FE1F094">
              <w:rPr>
                <w:noProof/>
              </w:rPr>
              <w:tab/>
            </w:r>
            <w:r w:rsidR="4FE1F094">
              <w:rPr>
                <w:noProof/>
              </w:rPr>
              <w:fldChar w:fldCharType="begin"/>
            </w:r>
            <w:r w:rsidR="4FE1F094">
              <w:rPr>
                <w:noProof/>
              </w:rPr>
              <w:instrText>PAGEREF _Toc1334292515 \h</w:instrText>
            </w:r>
            <w:r w:rsidR="4FE1F094">
              <w:rPr>
                <w:noProof/>
              </w:rPr>
            </w:r>
            <w:r w:rsidR="4FE1F094">
              <w:rPr>
                <w:noProof/>
              </w:rPr>
              <w:fldChar w:fldCharType="separate"/>
            </w:r>
            <w:r w:rsidR="00EF1C76">
              <w:rPr>
                <w:noProof/>
              </w:rPr>
              <w:t>17</w:t>
            </w:r>
            <w:r w:rsidR="4FE1F094">
              <w:rPr>
                <w:noProof/>
              </w:rPr>
              <w:fldChar w:fldCharType="end"/>
            </w:r>
          </w:hyperlink>
        </w:p>
        <w:p w14:paraId="4EE45E37" w14:textId="48E69A8D" w:rsidR="4FE1F094" w:rsidRDefault="596E7CBB" w:rsidP="596E7CBB">
          <w:pPr>
            <w:pStyle w:val="TOC2"/>
            <w:tabs>
              <w:tab w:val="right" w:leader="dot" w:pos="9015"/>
            </w:tabs>
            <w:rPr>
              <w:noProof/>
            </w:rPr>
          </w:pPr>
          <w:hyperlink w:anchor="_Toc950676929">
            <w:r w:rsidRPr="596E7CBB">
              <w:rPr>
                <w:rStyle w:val="Hyperlink"/>
                <w:noProof/>
              </w:rPr>
              <w:t>3. Critical Appraisal of AI Recommendations</w:t>
            </w:r>
            <w:r w:rsidR="4FE1F094">
              <w:rPr>
                <w:noProof/>
              </w:rPr>
              <w:tab/>
            </w:r>
            <w:r w:rsidR="4FE1F094">
              <w:rPr>
                <w:noProof/>
              </w:rPr>
              <w:fldChar w:fldCharType="begin"/>
            </w:r>
            <w:r w:rsidR="4FE1F094">
              <w:rPr>
                <w:noProof/>
              </w:rPr>
              <w:instrText>PAGEREF _Toc950676929 \h</w:instrText>
            </w:r>
            <w:r w:rsidR="4FE1F094">
              <w:rPr>
                <w:noProof/>
              </w:rPr>
            </w:r>
            <w:r w:rsidR="4FE1F094">
              <w:rPr>
                <w:noProof/>
              </w:rPr>
              <w:fldChar w:fldCharType="separate"/>
            </w:r>
            <w:r w:rsidR="00EF1C76">
              <w:rPr>
                <w:noProof/>
              </w:rPr>
              <w:t>18</w:t>
            </w:r>
            <w:r w:rsidR="4FE1F094">
              <w:rPr>
                <w:noProof/>
              </w:rPr>
              <w:fldChar w:fldCharType="end"/>
            </w:r>
          </w:hyperlink>
        </w:p>
        <w:p w14:paraId="3300395F" w14:textId="78E5125E" w:rsidR="4FE1F094" w:rsidRDefault="596E7CBB" w:rsidP="596E7CBB">
          <w:pPr>
            <w:pStyle w:val="TOC2"/>
            <w:tabs>
              <w:tab w:val="right" w:leader="dot" w:pos="9015"/>
            </w:tabs>
            <w:rPr>
              <w:noProof/>
            </w:rPr>
          </w:pPr>
          <w:hyperlink w:anchor="_Toc522453018">
            <w:r w:rsidRPr="596E7CBB">
              <w:rPr>
                <w:rStyle w:val="Hyperlink"/>
                <w:noProof/>
              </w:rPr>
              <w:t>4. Issues and Successes When Applying AI</w:t>
            </w:r>
            <w:r w:rsidR="4FE1F094">
              <w:rPr>
                <w:noProof/>
              </w:rPr>
              <w:tab/>
            </w:r>
            <w:r w:rsidR="4FE1F094">
              <w:rPr>
                <w:noProof/>
              </w:rPr>
              <w:fldChar w:fldCharType="begin"/>
            </w:r>
            <w:r w:rsidR="4FE1F094">
              <w:rPr>
                <w:noProof/>
              </w:rPr>
              <w:instrText>PAGEREF _Toc522453018 \h</w:instrText>
            </w:r>
            <w:r w:rsidR="4FE1F094">
              <w:rPr>
                <w:noProof/>
              </w:rPr>
            </w:r>
            <w:r w:rsidR="4FE1F094">
              <w:rPr>
                <w:noProof/>
              </w:rPr>
              <w:fldChar w:fldCharType="separate"/>
            </w:r>
            <w:r w:rsidR="00EF1C76">
              <w:rPr>
                <w:noProof/>
              </w:rPr>
              <w:t>20</w:t>
            </w:r>
            <w:r w:rsidR="4FE1F094">
              <w:rPr>
                <w:noProof/>
              </w:rPr>
              <w:fldChar w:fldCharType="end"/>
            </w:r>
          </w:hyperlink>
        </w:p>
        <w:p w14:paraId="5DA43C54" w14:textId="4C41D9C2" w:rsidR="4FE1F094" w:rsidRDefault="596E7CBB" w:rsidP="596E7CBB">
          <w:pPr>
            <w:pStyle w:val="TOC2"/>
            <w:tabs>
              <w:tab w:val="right" w:leader="dot" w:pos="9015"/>
            </w:tabs>
            <w:rPr>
              <w:noProof/>
            </w:rPr>
          </w:pPr>
          <w:hyperlink w:anchor="_Toc1953831534">
            <w:r w:rsidRPr="596E7CBB">
              <w:rPr>
                <w:rStyle w:val="Hyperlink"/>
                <w:noProof/>
              </w:rPr>
              <w:t>5. Ethical and Academic Reflection on AI Use</w:t>
            </w:r>
            <w:r w:rsidR="4FE1F094">
              <w:rPr>
                <w:noProof/>
              </w:rPr>
              <w:tab/>
            </w:r>
            <w:r w:rsidR="4FE1F094">
              <w:rPr>
                <w:noProof/>
              </w:rPr>
              <w:fldChar w:fldCharType="begin"/>
            </w:r>
            <w:r w:rsidR="4FE1F094">
              <w:rPr>
                <w:noProof/>
              </w:rPr>
              <w:instrText>PAGEREF _Toc1953831534 \h</w:instrText>
            </w:r>
            <w:r w:rsidR="4FE1F094">
              <w:rPr>
                <w:noProof/>
              </w:rPr>
            </w:r>
            <w:r w:rsidR="4FE1F094">
              <w:rPr>
                <w:noProof/>
              </w:rPr>
              <w:fldChar w:fldCharType="separate"/>
            </w:r>
            <w:r w:rsidR="00EF1C76">
              <w:rPr>
                <w:noProof/>
              </w:rPr>
              <w:t>21</w:t>
            </w:r>
            <w:r w:rsidR="4FE1F094">
              <w:rPr>
                <w:noProof/>
              </w:rPr>
              <w:fldChar w:fldCharType="end"/>
            </w:r>
          </w:hyperlink>
        </w:p>
        <w:p w14:paraId="3CE1F5E0" w14:textId="7D08310E" w:rsidR="4FE1F094" w:rsidRDefault="596E7CBB" w:rsidP="596E7CBB">
          <w:pPr>
            <w:pStyle w:val="TOC2"/>
            <w:tabs>
              <w:tab w:val="right" w:leader="dot" w:pos="9015"/>
            </w:tabs>
            <w:rPr>
              <w:noProof/>
            </w:rPr>
          </w:pPr>
          <w:hyperlink w:anchor="_Toc1285512083">
            <w:r w:rsidRPr="596E7CBB">
              <w:rPr>
                <w:rStyle w:val="Hyperlink"/>
                <w:noProof/>
              </w:rPr>
              <w:t>6. Part 2 Conclusion</w:t>
            </w:r>
            <w:r w:rsidR="4FE1F094">
              <w:rPr>
                <w:noProof/>
              </w:rPr>
              <w:tab/>
            </w:r>
            <w:r w:rsidR="4FE1F094">
              <w:rPr>
                <w:noProof/>
              </w:rPr>
              <w:fldChar w:fldCharType="begin"/>
            </w:r>
            <w:r w:rsidR="4FE1F094">
              <w:rPr>
                <w:noProof/>
              </w:rPr>
              <w:instrText>PAGEREF _Toc1285512083 \h</w:instrText>
            </w:r>
            <w:r w:rsidR="4FE1F094">
              <w:rPr>
                <w:noProof/>
              </w:rPr>
            </w:r>
            <w:r w:rsidR="4FE1F094">
              <w:rPr>
                <w:noProof/>
              </w:rPr>
              <w:fldChar w:fldCharType="separate"/>
            </w:r>
            <w:r w:rsidR="00EF1C76">
              <w:rPr>
                <w:noProof/>
              </w:rPr>
              <w:t>22</w:t>
            </w:r>
            <w:r w:rsidR="4FE1F094">
              <w:rPr>
                <w:noProof/>
              </w:rPr>
              <w:fldChar w:fldCharType="end"/>
            </w:r>
          </w:hyperlink>
        </w:p>
        <w:p w14:paraId="0AC9742F" w14:textId="461A7671" w:rsidR="4FE1F094" w:rsidRDefault="596E7CBB" w:rsidP="596E7CBB">
          <w:pPr>
            <w:pStyle w:val="TOC1"/>
            <w:tabs>
              <w:tab w:val="right" w:leader="dot" w:pos="9015"/>
            </w:tabs>
            <w:rPr>
              <w:noProof/>
            </w:rPr>
          </w:pPr>
          <w:hyperlink w:anchor="_Toc507634723">
            <w:r w:rsidRPr="596E7CBB">
              <w:rPr>
                <w:rStyle w:val="Hyperlink"/>
                <w:noProof/>
              </w:rPr>
              <w:t>References</w:t>
            </w:r>
            <w:r w:rsidR="4FE1F094">
              <w:rPr>
                <w:noProof/>
              </w:rPr>
              <w:tab/>
            </w:r>
            <w:r w:rsidR="4FE1F094">
              <w:rPr>
                <w:noProof/>
              </w:rPr>
              <w:fldChar w:fldCharType="begin"/>
            </w:r>
            <w:r w:rsidR="4FE1F094">
              <w:rPr>
                <w:noProof/>
              </w:rPr>
              <w:instrText>PAGEREF _Toc507634723 \h</w:instrText>
            </w:r>
            <w:r w:rsidR="4FE1F094">
              <w:rPr>
                <w:noProof/>
              </w:rPr>
            </w:r>
            <w:r w:rsidR="4FE1F094">
              <w:rPr>
                <w:noProof/>
              </w:rPr>
              <w:fldChar w:fldCharType="separate"/>
            </w:r>
            <w:r w:rsidR="00EF1C76">
              <w:rPr>
                <w:noProof/>
              </w:rPr>
              <w:t>22</w:t>
            </w:r>
            <w:r w:rsidR="4FE1F094">
              <w:rPr>
                <w:noProof/>
              </w:rPr>
              <w:fldChar w:fldCharType="end"/>
            </w:r>
          </w:hyperlink>
        </w:p>
        <w:p w14:paraId="39C2E7CC" w14:textId="577C6936" w:rsidR="4FE1F094" w:rsidRDefault="596E7CBB" w:rsidP="596E7CBB">
          <w:pPr>
            <w:pStyle w:val="TOC1"/>
            <w:tabs>
              <w:tab w:val="right" w:leader="dot" w:pos="9015"/>
            </w:tabs>
            <w:rPr>
              <w:noProof/>
            </w:rPr>
          </w:pPr>
          <w:hyperlink w:anchor="_Toc2069069354">
            <w:r w:rsidRPr="596E7CBB">
              <w:rPr>
                <w:rStyle w:val="Hyperlink"/>
                <w:noProof/>
              </w:rPr>
              <w:t>Appendix</w:t>
            </w:r>
            <w:r w:rsidR="4FE1F094">
              <w:rPr>
                <w:noProof/>
              </w:rPr>
              <w:tab/>
            </w:r>
            <w:r w:rsidR="4FE1F094">
              <w:rPr>
                <w:noProof/>
              </w:rPr>
              <w:fldChar w:fldCharType="begin"/>
            </w:r>
            <w:r w:rsidR="4FE1F094">
              <w:rPr>
                <w:noProof/>
              </w:rPr>
              <w:instrText>PAGEREF _Toc2069069354 \h</w:instrText>
            </w:r>
            <w:r w:rsidR="4FE1F094">
              <w:rPr>
                <w:noProof/>
              </w:rPr>
            </w:r>
            <w:r w:rsidR="4FE1F094">
              <w:rPr>
                <w:noProof/>
              </w:rPr>
              <w:fldChar w:fldCharType="separate"/>
            </w:r>
            <w:r w:rsidR="00EF1C76">
              <w:rPr>
                <w:noProof/>
              </w:rPr>
              <w:t>29</w:t>
            </w:r>
            <w:r w:rsidR="4FE1F094">
              <w:rPr>
                <w:noProof/>
              </w:rPr>
              <w:fldChar w:fldCharType="end"/>
            </w:r>
          </w:hyperlink>
        </w:p>
        <w:p w14:paraId="5E8D4A01" w14:textId="5805026C" w:rsidR="4FE1F094" w:rsidRDefault="4FE1F094" w:rsidP="4FE1F094">
          <w:pPr>
            <w:pStyle w:val="TOC1"/>
            <w:tabs>
              <w:tab w:val="right" w:leader="dot" w:pos="9015"/>
            </w:tabs>
          </w:pPr>
          <w:r>
            <w:fldChar w:fldCharType="end"/>
          </w:r>
        </w:p>
      </w:sdtContent>
    </w:sdt>
    <w:p w14:paraId="312C9428" w14:textId="77777777" w:rsidR="00EF1C76" w:rsidRDefault="00EF1C76" w:rsidP="4FE1F094">
      <w:pPr>
        <w:pStyle w:val="Heading1"/>
        <w:rPr>
          <w:rFonts w:asciiTheme="minorHAnsi" w:eastAsiaTheme="minorEastAsia" w:hAnsiTheme="minorHAnsi" w:cstheme="minorBidi"/>
          <w:b/>
          <w:bCs/>
          <w:color w:val="auto"/>
          <w:sz w:val="28"/>
          <w:szCs w:val="28"/>
        </w:rPr>
      </w:pPr>
      <w:bookmarkStart w:id="1" w:name="_Toc1795650814"/>
    </w:p>
    <w:p w14:paraId="2BEEF537" w14:textId="77777777" w:rsidR="00EF1C76" w:rsidRDefault="00EF1C76" w:rsidP="4FE1F094">
      <w:pPr>
        <w:pStyle w:val="Heading1"/>
        <w:rPr>
          <w:rFonts w:asciiTheme="minorHAnsi" w:eastAsiaTheme="minorEastAsia" w:hAnsiTheme="minorHAnsi" w:cstheme="minorBidi"/>
          <w:b/>
          <w:bCs/>
          <w:color w:val="auto"/>
          <w:sz w:val="28"/>
          <w:szCs w:val="28"/>
        </w:rPr>
      </w:pPr>
    </w:p>
    <w:p w14:paraId="44860714" w14:textId="77777777" w:rsidR="00EF1C76" w:rsidRDefault="00EF1C76" w:rsidP="4FE1F094">
      <w:pPr>
        <w:pStyle w:val="Heading1"/>
        <w:rPr>
          <w:rFonts w:asciiTheme="minorHAnsi" w:eastAsiaTheme="minorEastAsia" w:hAnsiTheme="minorHAnsi" w:cstheme="minorBidi"/>
          <w:b/>
          <w:bCs/>
          <w:color w:val="auto"/>
          <w:sz w:val="28"/>
          <w:szCs w:val="28"/>
        </w:rPr>
      </w:pPr>
    </w:p>
    <w:p w14:paraId="667227D9" w14:textId="77777777" w:rsidR="00EF1C76" w:rsidRDefault="00EF1C76" w:rsidP="4FE1F094">
      <w:pPr>
        <w:pStyle w:val="Heading1"/>
        <w:rPr>
          <w:rFonts w:asciiTheme="minorHAnsi" w:eastAsiaTheme="minorEastAsia" w:hAnsiTheme="minorHAnsi" w:cstheme="minorBidi"/>
          <w:b/>
          <w:bCs/>
          <w:color w:val="auto"/>
          <w:sz w:val="28"/>
          <w:szCs w:val="28"/>
        </w:rPr>
      </w:pPr>
    </w:p>
    <w:p w14:paraId="62CDD988" w14:textId="0848A86E" w:rsidR="1ACF3E14" w:rsidRDefault="1ACF3E14" w:rsidP="4FE1F094">
      <w:pPr>
        <w:pStyle w:val="Heading1"/>
        <w:rPr>
          <w:rFonts w:asciiTheme="minorHAnsi" w:eastAsiaTheme="minorEastAsia" w:hAnsiTheme="minorHAnsi" w:cstheme="minorBidi"/>
          <w:b/>
          <w:bCs/>
          <w:color w:val="auto"/>
          <w:sz w:val="28"/>
          <w:szCs w:val="28"/>
        </w:rPr>
      </w:pPr>
      <w:r w:rsidRPr="596E7CBB">
        <w:rPr>
          <w:rFonts w:asciiTheme="minorHAnsi" w:eastAsiaTheme="minorEastAsia" w:hAnsiTheme="minorHAnsi" w:cstheme="minorBidi"/>
          <w:b/>
          <w:bCs/>
          <w:color w:val="auto"/>
          <w:sz w:val="28"/>
          <w:szCs w:val="28"/>
        </w:rPr>
        <w:t>1. Introduction to Seren Coffi and the Operational Issue</w:t>
      </w:r>
      <w:bookmarkEnd w:id="1"/>
    </w:p>
    <w:p w14:paraId="7EF63952" w14:textId="29140520" w:rsidR="1ACF3E14" w:rsidRDefault="1ACF3E14" w:rsidP="4FE1F094">
      <w:pPr>
        <w:spacing w:before="120" w:line="360" w:lineRule="auto"/>
        <w:jc w:val="both"/>
        <w:rPr>
          <w:sz w:val="28"/>
          <w:szCs w:val="28"/>
        </w:rPr>
      </w:pPr>
      <w:r w:rsidRPr="4FE1F094">
        <w:rPr>
          <w:sz w:val="28"/>
          <w:szCs w:val="28"/>
        </w:rPr>
        <w:t>Seren Coffi is a small, independent, Cardiff-based ethical coffee house, celebrating Welsh culture, community and a sense of belonging.</w:t>
      </w:r>
      <w:r w:rsidR="4935BD70" w:rsidRPr="4FE1F094">
        <w:rPr>
          <w:rFonts w:ascii="Arial" w:eastAsia="Arial" w:hAnsi="Arial" w:cs="Arial"/>
          <w:sz w:val="28"/>
          <w:szCs w:val="28"/>
        </w:rPr>
        <w:t xml:space="preserve"> The British Coffee Association (2021) highlights the continuing importance of coffee culture within the UK hospitality sector, increasing competition among independent coffee shops.</w:t>
      </w:r>
      <w:r w:rsidR="0A56372A" w:rsidRPr="4FE1F094">
        <w:rPr>
          <w:rFonts w:ascii="Arial" w:eastAsia="Arial" w:hAnsi="Arial" w:cs="Arial"/>
          <w:sz w:val="28"/>
          <w:szCs w:val="28"/>
        </w:rPr>
        <w:t xml:space="preserve"> </w:t>
      </w:r>
      <w:r w:rsidR="2AD495C8" w:rsidRPr="4FE1F094">
        <w:rPr>
          <w:rFonts w:ascii="Arial" w:eastAsia="Arial" w:hAnsi="Arial" w:cs="Arial"/>
          <w:sz w:val="28"/>
          <w:szCs w:val="28"/>
        </w:rPr>
        <w:t xml:space="preserve">However, the case shows that the café has gradually lost some of its unique character and creativity due to the pressures of managing the business. </w:t>
      </w:r>
      <w:r w:rsidR="24F3BCBE" w:rsidRPr="4FE1F094">
        <w:rPr>
          <w:rFonts w:ascii="Arial" w:eastAsia="Arial" w:hAnsi="Arial" w:cs="Arial"/>
          <w:sz w:val="28"/>
          <w:szCs w:val="28"/>
        </w:rPr>
        <w:t>The café has been affected by rising energy costs, increased competition from a nearby chain café, a broken coffee grinder, and declining community engagement, including fewer poetry nights and local events.</w:t>
      </w:r>
      <w:r w:rsidR="1771D109" w:rsidRPr="4FE1F094">
        <w:rPr>
          <w:rFonts w:ascii="Arial" w:eastAsia="Arial" w:hAnsi="Arial" w:cs="Arial"/>
          <w:sz w:val="28"/>
          <w:szCs w:val="28"/>
        </w:rPr>
        <w:t xml:space="preserve"> IBISWorld (2026) reports that cafés and coffee shops in the UK operate in an increasingly competitive environment, making differentiation and customer retention important factors for long-term success.</w:t>
      </w:r>
      <w:r w:rsidRPr="4FE1F094">
        <w:rPr>
          <w:sz w:val="28"/>
          <w:szCs w:val="28"/>
        </w:rPr>
        <w:t xml:space="preserve"> Based on challenges identified in the literature by the Department for Energy Security and Net Zero (2023), Seren Coffi's challenges are external and internal in nature, as the situation is challenging for the hospitality buildings. But the biggest problem does not lie with the absence of values or creativity. </w:t>
      </w:r>
      <w:r w:rsidR="0C6DBA92" w:rsidRPr="4FE1F094">
        <w:rPr>
          <w:rFonts w:ascii="Arial" w:eastAsia="Arial" w:hAnsi="Arial" w:cs="Arial"/>
          <w:sz w:val="28"/>
          <w:szCs w:val="28"/>
        </w:rPr>
        <w:t>The café is not making effective use of the strong relationships and reputation it has built within the community</w:t>
      </w:r>
      <w:r w:rsidRPr="4FE1F094">
        <w:rPr>
          <w:sz w:val="28"/>
          <w:szCs w:val="28"/>
        </w:rPr>
        <w:t xml:space="preserve">. Creativity, to become practical routines and create customer value, becomes beneficial to SME performance, according to Agyapong et al. (2025). </w:t>
      </w:r>
      <w:r w:rsidR="4439CFEF" w:rsidRPr="4FE1F094">
        <w:rPr>
          <w:rFonts w:ascii="Arial" w:eastAsia="Arial" w:hAnsi="Arial" w:cs="Arial"/>
          <w:sz w:val="28"/>
          <w:szCs w:val="28"/>
        </w:rPr>
        <w:t xml:space="preserve">Similarly, Rosenbusch et al. (2011) found that innovation can improve SME performance when it is aligned with the organisation's </w:t>
      </w:r>
      <w:r w:rsidR="4439CFEF" w:rsidRPr="4FE1F094">
        <w:rPr>
          <w:rFonts w:ascii="Arial" w:eastAsia="Arial" w:hAnsi="Arial" w:cs="Arial"/>
          <w:sz w:val="28"/>
          <w:szCs w:val="28"/>
        </w:rPr>
        <w:lastRenderedPageBreak/>
        <w:t xml:space="preserve">resources and capabilities. </w:t>
      </w:r>
      <w:r w:rsidRPr="4FE1F094">
        <w:rPr>
          <w:sz w:val="28"/>
          <w:szCs w:val="28"/>
        </w:rPr>
        <w:t>Seren Coffi requires a repeatable, value-creating model that can be done at a low cost.</w:t>
      </w:r>
    </w:p>
    <w:p w14:paraId="7FECB6CD" w14:textId="54DB5A01" w:rsidR="1BD66015" w:rsidRDefault="1BD66015" w:rsidP="4FE1F094">
      <w:pPr>
        <w:pStyle w:val="Heading1"/>
        <w:rPr>
          <w:rFonts w:asciiTheme="minorHAnsi" w:eastAsiaTheme="minorEastAsia" w:hAnsiTheme="minorHAnsi" w:cstheme="minorBidi"/>
          <w:b/>
          <w:bCs/>
          <w:color w:val="auto"/>
          <w:sz w:val="32"/>
          <w:szCs w:val="32"/>
        </w:rPr>
      </w:pPr>
      <w:bookmarkStart w:id="2" w:name="_Toc1377420869"/>
      <w:r w:rsidRPr="596E7CBB">
        <w:rPr>
          <w:rFonts w:asciiTheme="minorHAnsi" w:eastAsiaTheme="minorEastAsia" w:hAnsiTheme="minorHAnsi" w:cstheme="minorBidi"/>
          <w:b/>
          <w:bCs/>
          <w:color w:val="auto"/>
          <w:sz w:val="32"/>
          <w:szCs w:val="32"/>
        </w:rPr>
        <w:t>2. Creativity, Innovation and Capitalist Business Growth</w:t>
      </w:r>
      <w:bookmarkEnd w:id="2"/>
    </w:p>
    <w:p w14:paraId="587FBBF1" w14:textId="609D7B78" w:rsidR="40FB0E0A" w:rsidRDefault="40FB0E0A" w:rsidP="4FE1F094">
      <w:pPr>
        <w:spacing w:line="360" w:lineRule="auto"/>
        <w:jc w:val="both"/>
        <w:rPr>
          <w:sz w:val="28"/>
          <w:szCs w:val="28"/>
        </w:rPr>
      </w:pPr>
      <w:r w:rsidRPr="4FE1F094">
        <w:rPr>
          <w:rFonts w:ascii="Arial" w:eastAsia="Arial" w:hAnsi="Arial" w:cs="Arial"/>
          <w:sz w:val="28"/>
          <w:szCs w:val="28"/>
        </w:rPr>
        <w:t xml:space="preserve">Creativity and innovation are closely linked, but they have different roles in organisations. Creativity is the ability to generate new and useful ideas, while innovation is the process of turning those ideas into products, services, processes, or business models that create value (Grilli and Pedota, 2024). Creativity helps organisations develop new possibilities, whereas innovation ensures these ideas are put into practice successfully and support long-term success. For small hospitality businesses such as Seren Coffi, having creative ideas is not enough. Those ideas must be developed into practical innovations that improve customer experiences, increase community involvement, and strengthen business performance. </w:t>
      </w:r>
    </w:p>
    <w:p w14:paraId="62F5B4D6" w14:textId="47DF8924" w:rsidR="0F53B626" w:rsidRDefault="0F53B626" w:rsidP="4FE1F094">
      <w:pPr>
        <w:spacing w:line="360" w:lineRule="auto"/>
        <w:jc w:val="both"/>
      </w:pPr>
      <w:r w:rsidRPr="4FE1F094">
        <w:rPr>
          <w:rFonts w:ascii="Arial" w:eastAsia="Arial" w:hAnsi="Arial" w:cs="Arial"/>
          <w:sz w:val="28"/>
          <w:szCs w:val="28"/>
        </w:rPr>
        <w:t>The importance of creativity and innovation has increased significantly within the hospitality industry due to changing customer expectations, digital transformation, and growing competition. Customers are no longer seeking only products and services; they increasingly value experiences, personal development, social interaction, and opportunities for learning. According to Kayhan Tajeddini et al. (2024), service innovation plays a critical role in creating memorable experiences and improving customer satisfaction in hospitality businesses. Similarly, Liu et al. (2024) argue that sustainable innovation depends on understanding how customers experience and interact with services rather than focusing exclusively on product delivery.</w:t>
      </w:r>
    </w:p>
    <w:p w14:paraId="0FD6D595" w14:textId="1717A838" w:rsidR="05F64026" w:rsidRDefault="05F64026" w:rsidP="4FE1F094">
      <w:pPr>
        <w:spacing w:line="360" w:lineRule="auto"/>
        <w:jc w:val="both"/>
      </w:pPr>
      <w:r w:rsidRPr="4FE1F094">
        <w:rPr>
          <w:rFonts w:ascii="Arial" w:eastAsia="Arial" w:hAnsi="Arial" w:cs="Arial"/>
          <w:sz w:val="28"/>
          <w:szCs w:val="28"/>
        </w:rPr>
        <w:t xml:space="preserve">Innovation is often evaluated according to its ability to increase revenue, reduce costs, or improve operational performance. As a result, </w:t>
      </w:r>
      <w:r w:rsidRPr="4FE1F094">
        <w:rPr>
          <w:rFonts w:ascii="Arial" w:eastAsia="Arial" w:hAnsi="Arial" w:cs="Arial"/>
          <w:sz w:val="28"/>
          <w:szCs w:val="28"/>
        </w:rPr>
        <w:lastRenderedPageBreak/>
        <w:t xml:space="preserve">businesses frequently focus on innovations that provide measurable financial benefits and support long-term growth. </w:t>
      </w:r>
    </w:p>
    <w:p w14:paraId="005FAC0F" w14:textId="36099738" w:rsidR="6D8700EE" w:rsidRDefault="6D8700EE" w:rsidP="4FE1F094">
      <w:pPr>
        <w:spacing w:line="360" w:lineRule="auto"/>
        <w:jc w:val="both"/>
      </w:pPr>
      <w:r w:rsidRPr="4FE1F094">
        <w:rPr>
          <w:rFonts w:ascii="Arial" w:eastAsia="Arial" w:hAnsi="Arial" w:cs="Arial"/>
          <w:sz w:val="28"/>
          <w:szCs w:val="28"/>
        </w:rPr>
        <w:t>Seren Coffi creates social, cultural, and educational value in addition to financial value. Ferreira et al. (2024) suggest that innovation is most successful when it reflects an organisation's strengths and customer needs. Therefore, competing directly with large coffee chains could weaken Seren Coffi's distinctive identity.</w:t>
      </w:r>
    </w:p>
    <w:p w14:paraId="68BDDD8C" w14:textId="33A42443" w:rsidR="6D8700EE" w:rsidRDefault="6D8700EE" w:rsidP="4FE1F094">
      <w:pPr>
        <w:spacing w:line="360" w:lineRule="auto"/>
        <w:jc w:val="both"/>
      </w:pPr>
      <w:r w:rsidRPr="4FE1F094">
        <w:rPr>
          <w:rFonts w:ascii="Arial" w:eastAsia="Arial" w:hAnsi="Arial" w:cs="Arial"/>
          <w:sz w:val="28"/>
          <w:szCs w:val="28"/>
        </w:rPr>
        <w:t>Alhumud et al. (2024) highlight the importance of value co-creation, while Pine and Gilmore (1999) argue that organisations increasingly compete through experiences rather than products. These ideas are relevant to Seren Coffi because customers can actively participate in learning, cultural activities, and community events</w:t>
      </w:r>
      <w:r w:rsidR="7B1C2EDB" w:rsidRPr="4FE1F094">
        <w:rPr>
          <w:rFonts w:ascii="Arial" w:eastAsia="Arial" w:hAnsi="Arial" w:cs="Arial"/>
          <w:sz w:val="28"/>
          <w:szCs w:val="28"/>
        </w:rPr>
        <w:t xml:space="preserve">. </w:t>
      </w:r>
      <w:r w:rsidR="2A787598" w:rsidRPr="4FE1F094">
        <w:rPr>
          <w:rFonts w:ascii="Arial" w:eastAsia="Arial" w:hAnsi="Arial" w:cs="Arial"/>
          <w:sz w:val="28"/>
          <w:szCs w:val="28"/>
        </w:rPr>
        <w:t xml:space="preserve">Ertz (2024) similarly suggests that co-creation allows customers to participate in the development of value rather than simply consuming products and services. </w:t>
      </w:r>
      <w:r w:rsidR="7B1C2EDB" w:rsidRPr="4FE1F094">
        <w:rPr>
          <w:rFonts w:ascii="Arial" w:eastAsia="Arial" w:hAnsi="Arial" w:cs="Arial"/>
          <w:sz w:val="28"/>
          <w:szCs w:val="28"/>
        </w:rPr>
        <w:t>These ideas are especially relevant to Seren Coffi because they see customers as active participants in the business rather than simply people who buy products and services.</w:t>
      </w:r>
    </w:p>
    <w:p w14:paraId="2100B82C" w14:textId="42FA2F11" w:rsidR="77CC1774" w:rsidRDefault="77CC1774" w:rsidP="4FE1F094">
      <w:pPr>
        <w:spacing w:line="360" w:lineRule="auto"/>
        <w:jc w:val="both"/>
      </w:pPr>
      <w:r w:rsidRPr="4FE1F094">
        <w:rPr>
          <w:rFonts w:ascii="Arial" w:eastAsia="Arial" w:hAnsi="Arial" w:cs="Arial"/>
          <w:sz w:val="28"/>
          <w:szCs w:val="28"/>
        </w:rPr>
        <w:t>The proposed Seren Global Learning Café creates value through multilingual learning, cultural exchange, photography-based activities, and AI-supported experiences. Customers actively participate through language-learning and cultural activities.</w:t>
      </w:r>
    </w:p>
    <w:p w14:paraId="061D6DAD" w14:textId="3BFF014B" w:rsidR="77CC1774" w:rsidRDefault="77CC1774" w:rsidP="4FE1F094">
      <w:pPr>
        <w:spacing w:line="360" w:lineRule="auto"/>
        <w:jc w:val="both"/>
      </w:pPr>
      <w:r w:rsidRPr="4FE1F094">
        <w:rPr>
          <w:rFonts w:ascii="Arial" w:eastAsia="Arial" w:hAnsi="Arial" w:cs="Arial"/>
          <w:sz w:val="28"/>
          <w:szCs w:val="28"/>
        </w:rPr>
        <w:t>Creativity generates ideas, while innovation turns them into practical solutions. Seren Global Learning Café helps Seren Coffi create educational, cultural, social, and economic value.</w:t>
      </w:r>
    </w:p>
    <w:p w14:paraId="0B5CC2CA" w14:textId="22252625" w:rsidR="271AF983" w:rsidRDefault="271AF983" w:rsidP="4FE1F094">
      <w:pPr>
        <w:spacing w:line="480" w:lineRule="auto"/>
        <w:jc w:val="both"/>
        <w:rPr>
          <w:sz w:val="28"/>
          <w:szCs w:val="28"/>
        </w:rPr>
      </w:pPr>
      <w:bookmarkStart w:id="3" w:name="_Toc1695735133"/>
      <w:r w:rsidRPr="596E7CBB">
        <w:rPr>
          <w:rStyle w:val="Heading1Char"/>
          <w:rFonts w:asciiTheme="minorHAnsi" w:eastAsiaTheme="minorEastAsia" w:hAnsiTheme="minorHAnsi" w:cstheme="minorBidi"/>
          <w:b/>
          <w:bCs/>
          <w:color w:val="auto"/>
          <w:sz w:val="32"/>
          <w:szCs w:val="32"/>
        </w:rPr>
        <w:t xml:space="preserve">3. Proposed Innovation: Seren </w:t>
      </w:r>
      <w:r w:rsidR="04BCDD07" w:rsidRPr="596E7CBB">
        <w:rPr>
          <w:rStyle w:val="Heading1Char"/>
          <w:rFonts w:asciiTheme="minorHAnsi" w:eastAsiaTheme="minorEastAsia" w:hAnsiTheme="minorHAnsi" w:cstheme="minorBidi"/>
          <w:b/>
          <w:bCs/>
          <w:color w:val="auto"/>
          <w:sz w:val="32"/>
          <w:szCs w:val="32"/>
        </w:rPr>
        <w:t>Global Learning</w:t>
      </w:r>
      <w:bookmarkEnd w:id="3"/>
      <w:r w:rsidR="04BCDD07" w:rsidRPr="596E7CBB">
        <w:rPr>
          <w:rStyle w:val="Heading1Char"/>
          <w:rFonts w:asciiTheme="minorHAnsi" w:eastAsiaTheme="minorEastAsia" w:hAnsiTheme="minorHAnsi" w:cstheme="minorBidi"/>
          <w:b/>
          <w:bCs/>
          <w:color w:val="auto"/>
          <w:sz w:val="32"/>
          <w:szCs w:val="32"/>
        </w:rPr>
        <w:t xml:space="preserve"> </w:t>
      </w:r>
      <w:r w:rsidR="04BCDD07" w:rsidRPr="596E7CBB">
        <w:rPr>
          <w:rFonts w:ascii="Arial" w:eastAsia="Arial" w:hAnsi="Arial" w:cs="Arial"/>
          <w:b/>
          <w:bCs/>
          <w:sz w:val="32"/>
          <w:szCs w:val="32"/>
        </w:rPr>
        <w:t>Café</w:t>
      </w:r>
    </w:p>
    <w:p w14:paraId="5208A7A0" w14:textId="110D0CF8" w:rsidR="7731D836" w:rsidRDefault="7731D836" w:rsidP="4FE1F094">
      <w:pPr>
        <w:spacing w:line="360" w:lineRule="auto"/>
        <w:jc w:val="both"/>
        <w:rPr>
          <w:rFonts w:ascii="Arial" w:eastAsia="Arial" w:hAnsi="Arial" w:cs="Arial"/>
          <w:sz w:val="28"/>
          <w:szCs w:val="28"/>
        </w:rPr>
      </w:pPr>
      <w:r w:rsidRPr="4FE1F094">
        <w:rPr>
          <w:rFonts w:ascii="Arial" w:eastAsia="Arial" w:hAnsi="Arial" w:cs="Arial"/>
          <w:sz w:val="28"/>
          <w:szCs w:val="28"/>
        </w:rPr>
        <w:lastRenderedPageBreak/>
        <w:t>The main idea is to transform the café into a place where customers can enjoy social activities, learn languages, explore different cultures, and relax in a welcoming environment. Unlike traditional language schools or online courses, Seren Global Learning Café would offer a more informal and enjoyable way of learning. Customers could access language-learning activities through QR codes placed around the café, AI-supported learning tools, cultural workshops, and language exchange events with other visitors.</w:t>
      </w:r>
    </w:p>
    <w:p w14:paraId="04AE75F0" w14:textId="38FF4030" w:rsidR="5C85A9C5" w:rsidRDefault="5C85A9C5" w:rsidP="4FE1F094">
      <w:pPr>
        <w:spacing w:line="360" w:lineRule="auto"/>
        <w:jc w:val="both"/>
      </w:pPr>
      <w:r w:rsidRPr="4FE1F094">
        <w:rPr>
          <w:rFonts w:ascii="Arial" w:eastAsia="Arial" w:hAnsi="Arial" w:cs="Arial"/>
          <w:sz w:val="28"/>
          <w:szCs w:val="28"/>
        </w:rPr>
        <w:t>Customers would upload their own photographs to an AI-supported platform that generates vocabulary, conversation topics, grammar exercises, and cultural information in a chosen language. This creates a personalised learning experience linked to their own interests and experiences.</w:t>
      </w:r>
    </w:p>
    <w:p w14:paraId="4120005B" w14:textId="2B6BA999" w:rsidR="74068E0C" w:rsidRDefault="74068E0C" w:rsidP="4FE1F094">
      <w:pPr>
        <w:spacing w:line="360" w:lineRule="auto"/>
        <w:jc w:val="both"/>
      </w:pPr>
      <w:r w:rsidRPr="4FE1F094">
        <w:rPr>
          <w:rFonts w:ascii="Arial" w:eastAsia="Arial" w:hAnsi="Arial" w:cs="Arial"/>
          <w:sz w:val="28"/>
          <w:szCs w:val="28"/>
        </w:rPr>
        <w:t>Cardiff's large population of students, tourists, and multilingual residents makes the concept particularly relevant. These groups often seek opportunities for language practice and cultural engagement outside formal education (Shin and Perdue, 2022).</w:t>
      </w:r>
    </w:p>
    <w:p w14:paraId="491DBB2C" w14:textId="6CF14598" w:rsidR="256B4FD8" w:rsidRDefault="256B4FD8" w:rsidP="4FE1F094">
      <w:pPr>
        <w:spacing w:line="360" w:lineRule="auto"/>
        <w:jc w:val="both"/>
      </w:pPr>
      <w:r w:rsidRPr="4FE1F094">
        <w:rPr>
          <w:rFonts w:ascii="Arial" w:eastAsia="Arial" w:hAnsi="Arial" w:cs="Arial"/>
          <w:sz w:val="28"/>
          <w:szCs w:val="28"/>
        </w:rPr>
        <w:t>The £2,000 budget should prioritise repairing or replacing the broken coffee grinder, with any remaining funds supporting implementation of the innovation</w:t>
      </w:r>
    </w:p>
    <w:p w14:paraId="03AA7955" w14:textId="28B962DC" w:rsidR="11B02461" w:rsidRDefault="11B02461" w:rsidP="4FE1F094">
      <w:pPr>
        <w:pStyle w:val="Heading1"/>
        <w:rPr>
          <w:rFonts w:asciiTheme="minorHAnsi" w:eastAsiaTheme="minorEastAsia" w:hAnsiTheme="minorHAnsi" w:cstheme="minorBidi"/>
          <w:b/>
          <w:bCs/>
          <w:color w:val="auto"/>
          <w:sz w:val="32"/>
          <w:szCs w:val="32"/>
        </w:rPr>
      </w:pPr>
      <w:bookmarkStart w:id="4" w:name="_Toc1614651991"/>
      <w:r w:rsidRPr="596E7CBB">
        <w:rPr>
          <w:rFonts w:asciiTheme="minorHAnsi" w:eastAsiaTheme="minorEastAsia" w:hAnsiTheme="minorHAnsi" w:cstheme="minorBidi"/>
          <w:b/>
          <w:bCs/>
          <w:color w:val="auto"/>
          <w:sz w:val="32"/>
          <w:szCs w:val="32"/>
        </w:rPr>
        <w:t>4. The 4Ps of Innovation</w:t>
      </w:r>
      <w:bookmarkEnd w:id="4"/>
    </w:p>
    <w:p w14:paraId="711BB9C7" w14:textId="08DF5A05" w:rsidR="3F3EFCF9" w:rsidRDefault="3F3EFCF9" w:rsidP="4FE1F094">
      <w:pPr>
        <w:spacing w:line="360" w:lineRule="auto"/>
        <w:rPr>
          <w:sz w:val="28"/>
          <w:szCs w:val="28"/>
        </w:rPr>
      </w:pPr>
      <w:r w:rsidRPr="4FE1F094">
        <w:rPr>
          <w:sz w:val="28"/>
          <w:szCs w:val="28"/>
        </w:rPr>
        <w:t xml:space="preserve">Seren </w:t>
      </w:r>
      <w:r w:rsidR="1CD2111D" w:rsidRPr="4FE1F094">
        <w:rPr>
          <w:sz w:val="28"/>
          <w:szCs w:val="28"/>
        </w:rPr>
        <w:t xml:space="preserve">Global Learning </w:t>
      </w:r>
      <w:r w:rsidR="1CD2111D" w:rsidRPr="4FE1F094">
        <w:rPr>
          <w:rFonts w:ascii="Arial" w:eastAsia="Arial" w:hAnsi="Arial" w:cs="Arial"/>
          <w:color w:val="000000" w:themeColor="text1"/>
          <w:sz w:val="28"/>
          <w:szCs w:val="28"/>
        </w:rPr>
        <w:t>Café</w:t>
      </w:r>
      <w:r w:rsidRPr="4FE1F094">
        <w:rPr>
          <w:sz w:val="28"/>
          <w:szCs w:val="28"/>
        </w:rPr>
        <w:t xml:space="preserve"> can be examined in four levels of innovation: product, process, position and paradigm.</w:t>
      </w:r>
    </w:p>
    <w:p w14:paraId="39484B92" w14:textId="384DA22A" w:rsidR="3F3EFCF9" w:rsidRDefault="3F3EFCF9" w:rsidP="596E7CBB">
      <w:pPr>
        <w:pStyle w:val="Heading2"/>
        <w:rPr>
          <w:b/>
          <w:bCs/>
          <w:i/>
          <w:iCs/>
          <w:color w:val="auto"/>
        </w:rPr>
      </w:pPr>
      <w:bookmarkStart w:id="5" w:name="_Toc1422705105"/>
      <w:r w:rsidRPr="596E7CBB">
        <w:rPr>
          <w:b/>
          <w:bCs/>
          <w:i/>
          <w:iCs/>
          <w:color w:val="auto"/>
        </w:rPr>
        <w:t>Process Innovation</w:t>
      </w:r>
      <w:bookmarkEnd w:id="5"/>
      <w:r w:rsidRPr="596E7CBB">
        <w:rPr>
          <w:b/>
          <w:bCs/>
          <w:i/>
          <w:iCs/>
          <w:color w:val="auto"/>
        </w:rPr>
        <w:t xml:space="preserve"> </w:t>
      </w:r>
    </w:p>
    <w:p w14:paraId="61E61B3E" w14:textId="5F5AECC4" w:rsidR="3289B436" w:rsidRDefault="3289B436" w:rsidP="4FE1F094">
      <w:pPr>
        <w:spacing w:line="360" w:lineRule="auto"/>
        <w:jc w:val="both"/>
        <w:rPr>
          <w:rFonts w:ascii="Arial" w:eastAsia="Arial" w:hAnsi="Arial" w:cs="Arial"/>
          <w:sz w:val="28"/>
          <w:szCs w:val="28"/>
        </w:rPr>
      </w:pPr>
      <w:r w:rsidRPr="4FE1F094">
        <w:rPr>
          <w:rFonts w:ascii="Arial" w:eastAsia="Arial" w:hAnsi="Arial" w:cs="Arial"/>
          <w:sz w:val="28"/>
          <w:szCs w:val="28"/>
        </w:rPr>
        <w:t xml:space="preserve">Process innovation is one of the strongest parts of this idea because it introduces a new way of providing learning experiences within a café environment. Customers would access learning activities through QR </w:t>
      </w:r>
      <w:r w:rsidRPr="4FE1F094">
        <w:rPr>
          <w:rFonts w:ascii="Arial" w:eastAsia="Arial" w:hAnsi="Arial" w:cs="Arial"/>
          <w:sz w:val="28"/>
          <w:szCs w:val="28"/>
        </w:rPr>
        <w:lastRenderedPageBreak/>
        <w:t>codes, AI-supported conversation tools, and personalised photography-based exercises. Teoh et al. (2023) suggest that digital business model innovation can improve customer involvement and business performance in SMEs. By using AI in the learning process, Seren Coffi can offer personalised educational experiences while keeping costs low and creating a model that can grow over time.</w:t>
      </w:r>
    </w:p>
    <w:p w14:paraId="4AD8FE53" w14:textId="0E7E4E96" w:rsidR="5D9F590B" w:rsidRDefault="5D9F590B" w:rsidP="596E7CBB">
      <w:pPr>
        <w:pStyle w:val="Heading2"/>
        <w:rPr>
          <w:rFonts w:asciiTheme="minorHAnsi" w:eastAsiaTheme="minorEastAsia" w:hAnsiTheme="minorHAnsi" w:cstheme="minorBidi"/>
          <w:b/>
          <w:bCs/>
          <w:i/>
          <w:iCs/>
          <w:color w:val="auto"/>
          <w:sz w:val="28"/>
          <w:szCs w:val="28"/>
        </w:rPr>
      </w:pPr>
      <w:bookmarkStart w:id="6" w:name="_Toc2099101493"/>
      <w:r w:rsidRPr="596E7CBB">
        <w:rPr>
          <w:rFonts w:asciiTheme="minorHAnsi" w:eastAsiaTheme="minorEastAsia" w:hAnsiTheme="minorHAnsi" w:cstheme="minorBidi"/>
          <w:b/>
          <w:bCs/>
          <w:i/>
          <w:iCs/>
          <w:color w:val="auto"/>
          <w:sz w:val="28"/>
          <w:szCs w:val="28"/>
        </w:rPr>
        <w:t>Position Innovation</w:t>
      </w:r>
      <w:bookmarkEnd w:id="6"/>
    </w:p>
    <w:p w14:paraId="2DE46E27" w14:textId="60DFA41F" w:rsidR="437570D3" w:rsidRDefault="437570D3" w:rsidP="4FE1F094">
      <w:pPr>
        <w:spacing w:line="360" w:lineRule="auto"/>
        <w:jc w:val="both"/>
        <w:rPr>
          <w:rFonts w:ascii="Arial" w:eastAsia="Arial" w:hAnsi="Arial" w:cs="Arial"/>
          <w:sz w:val="28"/>
          <w:szCs w:val="28"/>
        </w:rPr>
      </w:pPr>
      <w:r w:rsidRPr="4FE1F094">
        <w:rPr>
          <w:rFonts w:ascii="Arial" w:eastAsia="Arial" w:hAnsi="Arial" w:cs="Arial"/>
          <w:sz w:val="28"/>
          <w:szCs w:val="28"/>
        </w:rPr>
        <w:t xml:space="preserve">Position innovation changes how Seren Coffi is seen by customers in the market. </w:t>
      </w:r>
      <w:r w:rsidR="2B9A3558" w:rsidRPr="4FE1F094">
        <w:rPr>
          <w:rFonts w:ascii="Arial" w:eastAsia="Arial" w:hAnsi="Arial" w:cs="Arial"/>
          <w:sz w:val="28"/>
          <w:szCs w:val="28"/>
        </w:rPr>
        <w:t>Traditionally, Seren Coffi has been known as a community-focused independent café. The proposed innovation repositions it as a multilingual learning and cultural exchange hub. Zhang and Ha (2025) suggest that service innovation can improve customer satisfaction, while Liu et al. (2024) highlight the growing importance of customer experience in sustainable service innovation. Verhoef et al. (2009) and Chen and Rahman (2022) further suggest that positive experiences can strengthen customer loyalty, trust, and future behaviour. This new position helps Seren Coffi differentiate itself from larger coffee chains.</w:t>
      </w:r>
    </w:p>
    <w:p w14:paraId="1F8614CA" w14:textId="65E62CB6" w:rsidR="555D732C" w:rsidRDefault="555D732C" w:rsidP="596E7CBB">
      <w:pPr>
        <w:pStyle w:val="Heading2"/>
        <w:rPr>
          <w:rFonts w:asciiTheme="minorHAnsi" w:eastAsiaTheme="minorEastAsia" w:hAnsiTheme="minorHAnsi" w:cstheme="minorBidi"/>
          <w:b/>
          <w:bCs/>
          <w:i/>
          <w:iCs/>
          <w:color w:val="auto"/>
          <w:sz w:val="28"/>
          <w:szCs w:val="28"/>
        </w:rPr>
      </w:pPr>
      <w:bookmarkStart w:id="7" w:name="_Toc1193134335"/>
      <w:r w:rsidRPr="596E7CBB">
        <w:rPr>
          <w:rFonts w:asciiTheme="minorHAnsi" w:eastAsiaTheme="minorEastAsia" w:hAnsiTheme="minorHAnsi" w:cstheme="minorBidi"/>
          <w:b/>
          <w:bCs/>
          <w:i/>
          <w:iCs/>
          <w:color w:val="auto"/>
          <w:sz w:val="28"/>
          <w:szCs w:val="28"/>
        </w:rPr>
        <w:t>Paradigm Innovation</w:t>
      </w:r>
      <w:bookmarkEnd w:id="7"/>
    </w:p>
    <w:p w14:paraId="6C50AE2F" w14:textId="54D27C6B" w:rsidR="27D741C0" w:rsidRDefault="27D741C0" w:rsidP="4FE1F094">
      <w:pPr>
        <w:spacing w:line="360" w:lineRule="auto"/>
        <w:jc w:val="both"/>
        <w:rPr>
          <w:rFonts w:ascii="Arial" w:eastAsia="Arial" w:hAnsi="Arial" w:cs="Arial"/>
          <w:sz w:val="28"/>
          <w:szCs w:val="28"/>
        </w:rPr>
      </w:pPr>
      <w:r w:rsidRPr="4FE1F094">
        <w:rPr>
          <w:rFonts w:ascii="Arial" w:eastAsia="Arial" w:hAnsi="Arial" w:cs="Arial"/>
          <w:sz w:val="28"/>
          <w:szCs w:val="28"/>
        </w:rPr>
        <w:t xml:space="preserve">The innovation also represents paradigm innovation because it changes the way value is created in the business. Instead of focusing mainly on selling coffee, Seren Coffi creates value through learning, cultural exchange, creativity, and community involvement. </w:t>
      </w:r>
      <w:r w:rsidR="070B2B0D" w:rsidRPr="4FE1F094">
        <w:rPr>
          <w:rFonts w:ascii="Arial" w:eastAsia="Arial" w:hAnsi="Arial" w:cs="Arial"/>
          <w:sz w:val="28"/>
          <w:szCs w:val="28"/>
        </w:rPr>
        <w:t>Customers contribute directly to the learning experience through photography projects, language practice, and cultural activities</w:t>
      </w:r>
      <w:r w:rsidRPr="4FE1F094">
        <w:rPr>
          <w:rFonts w:ascii="Arial" w:eastAsia="Arial" w:hAnsi="Arial" w:cs="Arial"/>
          <w:sz w:val="28"/>
          <w:szCs w:val="28"/>
        </w:rPr>
        <w:t>. Alhumud et al. (2024) suggest that value co-creation helps build stronger customer relationships and encourages long-term involvement. As a result, Seren Global Learning Café moves the business from a transactional model to a more collaborative and experience-based approach to creating value.</w:t>
      </w:r>
    </w:p>
    <w:p w14:paraId="2762734A" w14:textId="12056320" w:rsidR="4FE1F094" w:rsidRDefault="4FE1F094" w:rsidP="4FE1F094"/>
    <w:p w14:paraId="7CFBCEB7" w14:textId="61C9CA74" w:rsidR="63B3329C" w:rsidRDefault="63B3329C" w:rsidP="596E7CBB">
      <w:pPr>
        <w:pStyle w:val="Heading2"/>
        <w:rPr>
          <w:rFonts w:asciiTheme="minorHAnsi" w:eastAsiaTheme="minorEastAsia" w:hAnsiTheme="minorHAnsi" w:cstheme="minorBidi"/>
          <w:b/>
          <w:bCs/>
          <w:i/>
          <w:iCs/>
          <w:color w:val="auto"/>
          <w:sz w:val="28"/>
          <w:szCs w:val="28"/>
        </w:rPr>
      </w:pPr>
      <w:bookmarkStart w:id="8" w:name="_Toc1499288700"/>
      <w:r w:rsidRPr="596E7CBB">
        <w:rPr>
          <w:rFonts w:asciiTheme="minorHAnsi" w:eastAsiaTheme="minorEastAsia" w:hAnsiTheme="minorHAnsi" w:cstheme="minorBidi"/>
          <w:b/>
          <w:bCs/>
          <w:i/>
          <w:iCs/>
          <w:color w:val="auto"/>
          <w:sz w:val="28"/>
          <w:szCs w:val="28"/>
        </w:rPr>
        <w:t>Product Innovation</w:t>
      </w:r>
      <w:bookmarkEnd w:id="8"/>
      <w:r w:rsidRPr="596E7CBB">
        <w:rPr>
          <w:rFonts w:asciiTheme="minorHAnsi" w:eastAsiaTheme="minorEastAsia" w:hAnsiTheme="minorHAnsi" w:cstheme="minorBidi"/>
          <w:b/>
          <w:bCs/>
          <w:i/>
          <w:iCs/>
          <w:color w:val="auto"/>
          <w:sz w:val="28"/>
          <w:szCs w:val="28"/>
        </w:rPr>
        <w:t xml:space="preserve"> </w:t>
      </w:r>
    </w:p>
    <w:p w14:paraId="010627CC" w14:textId="524A8FA3" w:rsidR="63B3329C" w:rsidRDefault="63B3329C" w:rsidP="4FE1F094">
      <w:pPr>
        <w:spacing w:before="120" w:line="360" w:lineRule="auto"/>
        <w:jc w:val="both"/>
        <w:rPr>
          <w:sz w:val="28"/>
          <w:szCs w:val="28"/>
        </w:rPr>
      </w:pPr>
      <w:r w:rsidRPr="4FE1F094">
        <w:rPr>
          <w:sz w:val="28"/>
          <w:szCs w:val="28"/>
        </w:rPr>
        <w:t>Lastly, there's a smaller product innovation as Seren Coffi offers a new service</w:t>
      </w:r>
      <w:r w:rsidRPr="4FE1F094">
        <w:t xml:space="preserve"> </w:t>
      </w:r>
      <w:r w:rsidRPr="4FE1F094">
        <w:rPr>
          <w:sz w:val="28"/>
          <w:szCs w:val="28"/>
        </w:rPr>
        <w:t xml:space="preserve">package. It is not a radical transformation of the coffee phenomenon at all, but it is a new concept in the café around the coffee. </w:t>
      </w:r>
      <w:r w:rsidR="018F2AF4" w:rsidRPr="4FE1F094">
        <w:rPr>
          <w:rFonts w:ascii="Arial" w:eastAsia="Arial" w:hAnsi="Arial" w:cs="Arial"/>
          <w:sz w:val="28"/>
          <w:szCs w:val="28"/>
        </w:rPr>
        <w:t xml:space="preserve">Kayhan Tajeddini et al. (2024) highlight the importance of both improving existing services and developing new customer experiences in the hospitality industry. </w:t>
      </w:r>
      <w:r w:rsidR="4EEB479F" w:rsidRPr="4FE1F094">
        <w:rPr>
          <w:rFonts w:ascii="Arial" w:eastAsia="Arial" w:hAnsi="Arial" w:cs="Arial"/>
          <w:sz w:val="28"/>
          <w:szCs w:val="28"/>
        </w:rPr>
        <w:t>Therefore, Seren Global Learning Café is not a revolutionary product innovation. Instead, it is a service innovation that strengthens the café’s brand through language learning, photography, cultural exchange, and AI technology.</w:t>
      </w:r>
    </w:p>
    <w:p w14:paraId="6C925CF7" w14:textId="35CCC32D" w:rsidR="0D497ABE" w:rsidRDefault="0D497ABE" w:rsidP="4FE1F094">
      <w:pPr>
        <w:pStyle w:val="Heading1"/>
        <w:rPr>
          <w:rFonts w:asciiTheme="minorHAnsi" w:eastAsiaTheme="minorEastAsia" w:hAnsiTheme="minorHAnsi" w:cstheme="minorBidi"/>
          <w:b/>
          <w:bCs/>
          <w:color w:val="auto"/>
          <w:sz w:val="32"/>
          <w:szCs w:val="32"/>
        </w:rPr>
      </w:pPr>
      <w:bookmarkStart w:id="9" w:name="_Toc566683626"/>
      <w:r w:rsidRPr="596E7CBB">
        <w:rPr>
          <w:rFonts w:asciiTheme="minorHAnsi" w:eastAsiaTheme="minorEastAsia" w:hAnsiTheme="minorHAnsi" w:cstheme="minorBidi"/>
          <w:b/>
          <w:bCs/>
          <w:color w:val="auto"/>
          <w:sz w:val="32"/>
          <w:szCs w:val="32"/>
        </w:rPr>
        <w:t>5. Creativity Process and Framework</w:t>
      </w:r>
      <w:bookmarkEnd w:id="9"/>
      <w:r w:rsidRPr="596E7CBB">
        <w:rPr>
          <w:rFonts w:asciiTheme="minorHAnsi" w:eastAsiaTheme="minorEastAsia" w:hAnsiTheme="minorHAnsi" w:cstheme="minorBidi"/>
          <w:b/>
          <w:bCs/>
          <w:color w:val="auto"/>
          <w:sz w:val="32"/>
          <w:szCs w:val="32"/>
        </w:rPr>
        <w:t xml:space="preserve"> </w:t>
      </w:r>
    </w:p>
    <w:p w14:paraId="6550A6F8" w14:textId="0891AC2F" w:rsidR="477FB559" w:rsidRDefault="477FB559" w:rsidP="596E7CBB">
      <w:pPr>
        <w:pStyle w:val="Heading2"/>
        <w:rPr>
          <w:rFonts w:asciiTheme="minorHAnsi" w:eastAsiaTheme="minorEastAsia" w:hAnsiTheme="minorHAnsi" w:cstheme="minorBidi"/>
          <w:b/>
          <w:bCs/>
          <w:i/>
          <w:iCs/>
          <w:color w:val="auto"/>
          <w:sz w:val="28"/>
          <w:szCs w:val="28"/>
        </w:rPr>
      </w:pPr>
      <w:bookmarkStart w:id="10" w:name="_Toc1930965371"/>
      <w:r w:rsidRPr="596E7CBB">
        <w:rPr>
          <w:rFonts w:asciiTheme="minorHAnsi" w:eastAsiaTheme="minorEastAsia" w:hAnsiTheme="minorHAnsi" w:cstheme="minorBidi"/>
          <w:b/>
          <w:bCs/>
          <w:i/>
          <w:iCs/>
          <w:color w:val="auto"/>
          <w:sz w:val="28"/>
          <w:szCs w:val="28"/>
        </w:rPr>
        <w:t>Preparation</w:t>
      </w:r>
      <w:bookmarkEnd w:id="10"/>
    </w:p>
    <w:p w14:paraId="47F8564C" w14:textId="3B154479" w:rsidR="477FB559" w:rsidRDefault="477FB559" w:rsidP="4FE1F094">
      <w:pPr>
        <w:spacing w:line="360" w:lineRule="auto"/>
        <w:jc w:val="both"/>
        <w:rPr>
          <w:sz w:val="28"/>
          <w:szCs w:val="28"/>
        </w:rPr>
      </w:pPr>
      <w:r w:rsidRPr="4FE1F094">
        <w:rPr>
          <w:sz w:val="28"/>
          <w:szCs w:val="28"/>
        </w:rPr>
        <w:t xml:space="preserve">The preparation stage involved identifying and analysing the problems faced by Seren Coffi. </w:t>
      </w:r>
      <w:r w:rsidR="12CFF509" w:rsidRPr="4FE1F094">
        <w:rPr>
          <w:rFonts w:ascii="Arial" w:eastAsia="Arial" w:hAnsi="Arial" w:cs="Arial"/>
          <w:sz w:val="28"/>
          <w:szCs w:val="28"/>
        </w:rPr>
        <w:t>Initial analysis identified rising costs, competition, declining customer engagement, and reduced community involvement as key challenges. Teachers Institute (2023) suggests that organisational barriers can make it difficult to recognise new opportunities for growth.</w:t>
      </w:r>
    </w:p>
    <w:p w14:paraId="3B927145" w14:textId="58321845" w:rsidR="5BD2E819" w:rsidRDefault="5BD2E819" w:rsidP="596E7CBB">
      <w:pPr>
        <w:pStyle w:val="Heading2"/>
        <w:rPr>
          <w:rFonts w:asciiTheme="minorHAnsi" w:eastAsiaTheme="minorEastAsia" w:hAnsiTheme="minorHAnsi" w:cstheme="minorBidi"/>
          <w:b/>
          <w:bCs/>
          <w:i/>
          <w:iCs/>
          <w:color w:val="auto"/>
          <w:sz w:val="28"/>
          <w:szCs w:val="28"/>
        </w:rPr>
      </w:pPr>
      <w:bookmarkStart w:id="11" w:name="_Toc1733689097"/>
      <w:r w:rsidRPr="596E7CBB">
        <w:rPr>
          <w:rFonts w:asciiTheme="minorHAnsi" w:eastAsiaTheme="minorEastAsia" w:hAnsiTheme="minorHAnsi" w:cstheme="minorBidi"/>
          <w:b/>
          <w:bCs/>
          <w:i/>
          <w:iCs/>
          <w:color w:val="auto"/>
          <w:sz w:val="28"/>
          <w:szCs w:val="28"/>
        </w:rPr>
        <w:t>Incubation</w:t>
      </w:r>
      <w:bookmarkEnd w:id="11"/>
    </w:p>
    <w:p w14:paraId="015C33D7" w14:textId="1E203B4E" w:rsidR="27B69917" w:rsidRDefault="27B69917" w:rsidP="4FE1F094">
      <w:pPr>
        <w:spacing w:line="360" w:lineRule="auto"/>
        <w:rPr>
          <w:sz w:val="28"/>
          <w:szCs w:val="28"/>
        </w:rPr>
      </w:pPr>
      <w:r w:rsidRPr="4FE1F094">
        <w:rPr>
          <w:sz w:val="28"/>
          <w:szCs w:val="28"/>
        </w:rPr>
        <w:t>The incubation stage explored trends including lifelong learning, AI, tourism, and cultural exchange. Vasconcellos et al. (2024) suggest creativity improves when knowledge from different areas is combined. Li et al. (2022) also highlight the role of creativity in identifying new business models.</w:t>
      </w:r>
    </w:p>
    <w:p w14:paraId="13F2D43B" w14:textId="4BC0E68A" w:rsidR="6D68685D" w:rsidRDefault="6D68685D" w:rsidP="596E7CBB">
      <w:pPr>
        <w:pStyle w:val="Heading2"/>
        <w:rPr>
          <w:rFonts w:asciiTheme="minorHAnsi" w:eastAsiaTheme="minorEastAsia" w:hAnsiTheme="minorHAnsi" w:cstheme="minorBidi"/>
          <w:b/>
          <w:bCs/>
          <w:i/>
          <w:iCs/>
          <w:color w:val="auto"/>
          <w:sz w:val="28"/>
          <w:szCs w:val="28"/>
        </w:rPr>
      </w:pPr>
      <w:bookmarkStart w:id="12" w:name="_Toc292909378"/>
      <w:r w:rsidRPr="596E7CBB">
        <w:rPr>
          <w:rFonts w:asciiTheme="minorHAnsi" w:eastAsiaTheme="minorEastAsia" w:hAnsiTheme="minorHAnsi" w:cstheme="minorBidi"/>
          <w:b/>
          <w:bCs/>
          <w:i/>
          <w:iCs/>
          <w:color w:val="auto"/>
          <w:sz w:val="28"/>
          <w:szCs w:val="28"/>
        </w:rPr>
        <w:t>Illumination</w:t>
      </w:r>
      <w:bookmarkEnd w:id="12"/>
    </w:p>
    <w:p w14:paraId="67FB702E" w14:textId="51FF5E05" w:rsidR="6D68685D" w:rsidRDefault="6D68685D" w:rsidP="4FE1F094">
      <w:pPr>
        <w:spacing w:line="360" w:lineRule="auto"/>
        <w:jc w:val="both"/>
      </w:pPr>
      <w:r w:rsidRPr="4FE1F094">
        <w:rPr>
          <w:rFonts w:ascii="Arial" w:eastAsia="Arial" w:hAnsi="Arial" w:cs="Arial"/>
          <w:sz w:val="28"/>
          <w:szCs w:val="28"/>
        </w:rPr>
        <w:t>The illumination stage happened when the idea of combining language learning with photography was created.</w:t>
      </w:r>
      <w:r w:rsidR="5F3D7DD0" w:rsidRPr="4FE1F094">
        <w:rPr>
          <w:rFonts w:ascii="Arial" w:eastAsia="Arial" w:hAnsi="Arial" w:cs="Arial"/>
          <w:sz w:val="28"/>
          <w:szCs w:val="28"/>
        </w:rPr>
        <w:t xml:space="preserve"> The idea was developed after </w:t>
      </w:r>
      <w:r w:rsidR="5F3D7DD0" w:rsidRPr="4FE1F094">
        <w:rPr>
          <w:rFonts w:ascii="Arial" w:eastAsia="Arial" w:hAnsi="Arial" w:cs="Arial"/>
          <w:sz w:val="28"/>
          <w:szCs w:val="28"/>
        </w:rPr>
        <w:lastRenderedPageBreak/>
        <w:t xml:space="preserve">looking at changes in the hospitality industry, where customers want more than just products and services. </w:t>
      </w:r>
      <w:r w:rsidRPr="4FE1F094">
        <w:rPr>
          <w:rFonts w:ascii="Arial" w:eastAsia="Arial" w:hAnsi="Arial" w:cs="Arial"/>
          <w:sz w:val="28"/>
          <w:szCs w:val="28"/>
        </w:rPr>
        <w:t>Using customers’ own photographs for language-learning activities provided a creative way to combine learning, technology, and social interaction within the café while staying true to Seren Coffi’s community-focused values.</w:t>
      </w:r>
    </w:p>
    <w:p w14:paraId="0E6C7107" w14:textId="54BE069A" w:rsidR="2CD256B0" w:rsidRDefault="2CD256B0" w:rsidP="596E7CBB">
      <w:pPr>
        <w:pStyle w:val="Heading2"/>
        <w:rPr>
          <w:rFonts w:asciiTheme="minorHAnsi" w:eastAsiaTheme="minorEastAsia" w:hAnsiTheme="minorHAnsi" w:cstheme="minorBidi"/>
          <w:b/>
          <w:bCs/>
          <w:i/>
          <w:iCs/>
          <w:color w:val="auto"/>
          <w:sz w:val="28"/>
          <w:szCs w:val="28"/>
        </w:rPr>
      </w:pPr>
      <w:bookmarkStart w:id="13" w:name="_Toc912081400"/>
      <w:r w:rsidRPr="596E7CBB">
        <w:rPr>
          <w:rFonts w:asciiTheme="minorHAnsi" w:eastAsiaTheme="minorEastAsia" w:hAnsiTheme="minorHAnsi" w:cstheme="minorBidi"/>
          <w:b/>
          <w:bCs/>
          <w:i/>
          <w:iCs/>
          <w:color w:val="auto"/>
          <w:sz w:val="28"/>
          <w:szCs w:val="28"/>
        </w:rPr>
        <w:t>Verification</w:t>
      </w:r>
      <w:bookmarkEnd w:id="13"/>
    </w:p>
    <w:p w14:paraId="5716397D" w14:textId="5CB5195A" w:rsidR="2CD256B0" w:rsidRDefault="2CD256B0" w:rsidP="4FE1F094">
      <w:pPr>
        <w:spacing w:line="360" w:lineRule="auto"/>
        <w:jc w:val="both"/>
      </w:pPr>
      <w:r w:rsidRPr="4FE1F094">
        <w:rPr>
          <w:rFonts w:ascii="Arial" w:eastAsia="Arial" w:hAnsi="Arial" w:cs="Arial"/>
          <w:sz w:val="28"/>
          <w:szCs w:val="28"/>
        </w:rPr>
        <w:t>The final stage involved checking whether the idea was realistic and possible to introduce. The concept was evaluated based on customer needs, available resources, costs, and the café’s ability to implement it. Shin and Perdue (2022) state that customer participation is important in developing creative service innovations. This supports the idea because customers take part in learning activities through photography, language practice, and community events.</w:t>
      </w:r>
      <w:r w:rsidR="4D809BC9" w:rsidRPr="4FE1F094">
        <w:rPr>
          <w:rFonts w:ascii="Arial" w:eastAsia="Arial" w:hAnsi="Arial" w:cs="Arial"/>
          <w:sz w:val="28"/>
          <w:szCs w:val="28"/>
        </w:rPr>
        <w:t xml:space="preserve"> The evaluation also considered possible risks, implementation challenges, and the availability of financial resources to ensure that the innovation remained practical and achievable.</w:t>
      </w:r>
    </w:p>
    <w:p w14:paraId="55884BC4" w14:textId="64F43EAD" w:rsidR="4FE1F094" w:rsidRDefault="4FE1F094" w:rsidP="4FE1F094">
      <w:pPr>
        <w:spacing w:line="360" w:lineRule="auto"/>
        <w:jc w:val="both"/>
        <w:rPr>
          <w:rFonts w:ascii="Arial" w:eastAsia="Arial" w:hAnsi="Arial" w:cs="Arial"/>
          <w:sz w:val="28"/>
          <w:szCs w:val="28"/>
        </w:rPr>
      </w:pPr>
    </w:p>
    <w:p w14:paraId="48BB0F50" w14:textId="2F4F1EEE" w:rsidR="1DC0452F" w:rsidRDefault="1DC0452F" w:rsidP="596E7CBB">
      <w:pPr>
        <w:pStyle w:val="Heading1"/>
        <w:rPr>
          <w:rFonts w:asciiTheme="minorHAnsi" w:eastAsiaTheme="minorEastAsia" w:hAnsiTheme="minorHAnsi" w:cstheme="minorBidi"/>
          <w:b/>
          <w:bCs/>
          <w:color w:val="auto"/>
          <w:sz w:val="28"/>
          <w:szCs w:val="28"/>
        </w:rPr>
      </w:pPr>
      <w:bookmarkStart w:id="14" w:name="_Toc296044869"/>
      <w:r w:rsidRPr="596E7CBB">
        <w:rPr>
          <w:rFonts w:asciiTheme="minorHAnsi" w:eastAsiaTheme="minorEastAsia" w:hAnsiTheme="minorHAnsi" w:cstheme="minorBidi"/>
          <w:b/>
          <w:bCs/>
          <w:color w:val="auto"/>
          <w:sz w:val="28"/>
          <w:szCs w:val="28"/>
        </w:rPr>
        <w:t>6. Business Model Canvas and Value Chain Application</w:t>
      </w:r>
      <w:bookmarkEnd w:id="14"/>
    </w:p>
    <w:p w14:paraId="3E1C8A38" w14:textId="63E2854C" w:rsidR="2359045B" w:rsidRDefault="2359045B" w:rsidP="4FE1F094">
      <w:pPr>
        <w:spacing w:line="360" w:lineRule="auto"/>
        <w:jc w:val="both"/>
        <w:rPr>
          <w:rFonts w:ascii="Arial" w:eastAsia="Arial" w:hAnsi="Arial" w:cs="Arial"/>
          <w:sz w:val="28"/>
          <w:szCs w:val="28"/>
        </w:rPr>
      </w:pPr>
      <w:r w:rsidRPr="4FE1F094">
        <w:rPr>
          <w:rFonts w:ascii="Arial" w:eastAsia="Arial" w:hAnsi="Arial" w:cs="Arial"/>
          <w:sz w:val="28"/>
          <w:szCs w:val="28"/>
        </w:rPr>
        <w:t xml:space="preserve">The viability of Seren Global Learning Café can also be assessed using value creation theory and the Business Model Canvas. These frameworks help explain how the innovation creates, delivers, and captures value while remaining financially sustainable. Lopez et al. (2024) suggest that organisations build stronger and more sustainable relationships when customers actively take part in creating experiences. This idea is important to the innovation because customers contribute through photography activities, language practice, cultural discussions, and </w:t>
      </w:r>
      <w:r w:rsidR="357EE88D" w:rsidRPr="4FE1F094">
        <w:rPr>
          <w:rFonts w:ascii="Arial" w:eastAsia="Arial" w:hAnsi="Arial" w:cs="Arial"/>
          <w:sz w:val="28"/>
          <w:szCs w:val="28"/>
        </w:rPr>
        <w:t>local engagement</w:t>
      </w:r>
      <w:r w:rsidRPr="4FE1F094">
        <w:rPr>
          <w:rFonts w:ascii="Arial" w:eastAsia="Arial" w:hAnsi="Arial" w:cs="Arial"/>
          <w:sz w:val="28"/>
          <w:szCs w:val="28"/>
        </w:rPr>
        <w:t>.</w:t>
      </w:r>
    </w:p>
    <w:p w14:paraId="38B751CA" w14:textId="0D97AE57" w:rsidR="2530C306" w:rsidRDefault="2530C306" w:rsidP="4FE1F094">
      <w:pPr>
        <w:spacing w:line="360" w:lineRule="auto"/>
        <w:jc w:val="both"/>
      </w:pPr>
      <w:r w:rsidRPr="4FE1F094">
        <w:rPr>
          <w:rFonts w:ascii="Arial" w:eastAsia="Arial" w:hAnsi="Arial" w:cs="Arial"/>
          <w:sz w:val="28"/>
          <w:szCs w:val="28"/>
        </w:rPr>
        <w:lastRenderedPageBreak/>
        <w:t>The main customer groups include students, tourists, multilingual residents, remote workers, and lifelong learners seeking flexible learning and social interaction. Nguyen et al. (2021) suggest that innovative business models improve competitiveness through stronger customer relationships and distinctive value propositions. Similarly, Arandia Arzabe and Reyna (2024) and Huang and Ichikohji (2023) argue that business model innovation helps organisations create new forms of value and respond to changing customer needs.</w:t>
      </w:r>
    </w:p>
    <w:p w14:paraId="07B0F8A2" w14:textId="016442C2" w:rsidR="03FAC983" w:rsidRDefault="03FAC983" w:rsidP="4FE1F094">
      <w:pPr>
        <w:spacing w:line="360" w:lineRule="auto"/>
        <w:jc w:val="both"/>
      </w:pPr>
      <w:r w:rsidRPr="4FE1F094">
        <w:rPr>
          <w:rFonts w:ascii="Arial" w:eastAsia="Arial" w:hAnsi="Arial" w:cs="Arial"/>
          <w:sz w:val="28"/>
          <w:szCs w:val="28"/>
        </w:rPr>
        <w:t>Customer relationships are strengthened through community events, language exchange sessions, and shared learning experiences. Lim et al. (2022) suggest that customer engagement supports long-term loyalty and repeat visits. This reflects the principles of value co-creation described by Alhumud et al. (2024), while Vargo and Lusch (2008) argue that value is created through interactions between organisations and customers rather than products alone.</w:t>
      </w:r>
    </w:p>
    <w:p w14:paraId="2F2182CC" w14:textId="58AC2C85" w:rsidR="2359045B" w:rsidRDefault="2359045B" w:rsidP="4FE1F094">
      <w:pPr>
        <w:spacing w:line="360" w:lineRule="auto"/>
        <w:jc w:val="both"/>
        <w:rPr>
          <w:rFonts w:ascii="Arial" w:eastAsia="Arial" w:hAnsi="Arial" w:cs="Arial"/>
          <w:sz w:val="28"/>
          <w:szCs w:val="28"/>
        </w:rPr>
      </w:pPr>
      <w:r w:rsidRPr="4FE1F094">
        <w:rPr>
          <w:rFonts w:ascii="Arial" w:eastAsia="Arial" w:hAnsi="Arial" w:cs="Arial"/>
          <w:sz w:val="28"/>
          <w:szCs w:val="28"/>
        </w:rPr>
        <w:t>The innovation also benefits from several delivery channels, including the café, social media, educational partnerships, community organisations, and tourism networks. These channels increase awareness and help attract and engage customers. Key resources include the café’s community reputation, digital learning tools, AI technology, and partnerships with local organisations. Key activities include providing hospitality services, supporting language learning, organising cultural events, and maintaining educational resources.</w:t>
      </w:r>
    </w:p>
    <w:p w14:paraId="2FAFD10D" w14:textId="26D360BF" w:rsidR="2359045B" w:rsidRDefault="2359045B" w:rsidP="4FE1F094">
      <w:pPr>
        <w:spacing w:line="360" w:lineRule="auto"/>
        <w:jc w:val="both"/>
        <w:rPr>
          <w:rFonts w:ascii="Arial" w:eastAsia="Arial" w:hAnsi="Arial" w:cs="Arial"/>
          <w:sz w:val="28"/>
          <w:szCs w:val="28"/>
        </w:rPr>
      </w:pPr>
      <w:r w:rsidRPr="4FE1F094">
        <w:rPr>
          <w:rFonts w:ascii="Arial" w:eastAsia="Arial" w:hAnsi="Arial" w:cs="Arial"/>
          <w:sz w:val="28"/>
          <w:szCs w:val="28"/>
        </w:rPr>
        <w:t xml:space="preserve">From a financial perspective, the innovation supports both current and new sources of income. Food and drink sales remain important, while extra revenue can come from workshops, cultural events, partnerships, and educational activities. Natnael Salfore et al. (2023) suggest that having different sources of income can improve business stability and </w:t>
      </w:r>
      <w:r w:rsidRPr="4FE1F094">
        <w:rPr>
          <w:rFonts w:ascii="Arial" w:eastAsia="Arial" w:hAnsi="Arial" w:cs="Arial"/>
          <w:sz w:val="28"/>
          <w:szCs w:val="28"/>
        </w:rPr>
        <w:lastRenderedPageBreak/>
        <w:t>reduce reliance on one revenue source. As a result, the proposed business model offers greater flexibility and sustainability than the café’s current model.</w:t>
      </w:r>
    </w:p>
    <w:p w14:paraId="1E53CB26" w14:textId="33DE0F45" w:rsidR="74FFE66D" w:rsidRDefault="74FFE66D" w:rsidP="4FE1F094">
      <w:pPr>
        <w:spacing w:line="360" w:lineRule="auto"/>
        <w:jc w:val="both"/>
        <w:rPr>
          <w:rFonts w:ascii="Arial" w:eastAsia="Arial" w:hAnsi="Arial" w:cs="Arial"/>
          <w:sz w:val="28"/>
          <w:szCs w:val="28"/>
        </w:rPr>
      </w:pPr>
      <w:r w:rsidRPr="4FE1F094">
        <w:rPr>
          <w:rFonts w:ascii="Arial" w:eastAsia="Arial" w:hAnsi="Arial" w:cs="Arial"/>
          <w:sz w:val="28"/>
          <w:szCs w:val="28"/>
        </w:rPr>
        <w:t>Despite its potential benefits, the proposed innovation also presents several risks. Customer engagement with the language-learning activities may be lower than expected, particularly if visitors prefer a traditional café experience rather than educational activities. The innovation also relies on AI technology, which may involve ongoing subscription costs and technical issues that could affect service quality. Furthermore, the use of customer photographs raises privacy considerations and may discourage some users from participating. There is also a risk that managing learning activities, cultural events, and digital content could place additional demands on staff and management.</w:t>
      </w:r>
    </w:p>
    <w:p w14:paraId="49624CE6" w14:textId="4089B494" w:rsidR="2359045B" w:rsidRDefault="2359045B" w:rsidP="4FE1F094">
      <w:pPr>
        <w:spacing w:line="360" w:lineRule="auto"/>
        <w:jc w:val="both"/>
        <w:rPr>
          <w:rFonts w:ascii="Arial" w:eastAsia="Arial" w:hAnsi="Arial" w:cs="Arial"/>
          <w:sz w:val="28"/>
          <w:szCs w:val="28"/>
        </w:rPr>
      </w:pPr>
      <w:r w:rsidRPr="4FE1F094">
        <w:rPr>
          <w:rFonts w:ascii="Arial" w:eastAsia="Arial" w:hAnsi="Arial" w:cs="Arial"/>
          <w:sz w:val="28"/>
          <w:szCs w:val="28"/>
        </w:rPr>
        <w:t>Overall, the Business Model Canvas shows that Seren Global Learning Café can create educational, cultural, social, and economic value at the same time. The concept increases customer engagement, supports community involvement, and creates a unique position in the market while remaining consistent with Seren Coffi’s resources and values. Therefore, the innovation has strong potential to create sustainable long-term value for both customers and the business.</w:t>
      </w:r>
    </w:p>
    <w:p w14:paraId="5E8BD959" w14:textId="751E7CD0" w:rsidR="4FE1F094" w:rsidRDefault="4FE1F094" w:rsidP="4FE1F094"/>
    <w:p w14:paraId="164C9A3B" w14:textId="05D03875" w:rsidR="7599FB22" w:rsidRDefault="7599FB22" w:rsidP="4FE1F094">
      <w:pPr>
        <w:pStyle w:val="Heading1"/>
        <w:rPr>
          <w:rFonts w:asciiTheme="minorHAnsi" w:eastAsiaTheme="minorEastAsia" w:hAnsiTheme="minorHAnsi" w:cstheme="minorBidi"/>
          <w:b/>
          <w:bCs/>
          <w:color w:val="auto"/>
          <w:sz w:val="28"/>
          <w:szCs w:val="28"/>
        </w:rPr>
      </w:pPr>
      <w:bookmarkStart w:id="15" w:name="_Toc414368764"/>
      <w:r w:rsidRPr="596E7CBB">
        <w:rPr>
          <w:rFonts w:asciiTheme="minorHAnsi" w:eastAsiaTheme="minorEastAsia" w:hAnsiTheme="minorHAnsi" w:cstheme="minorBidi"/>
          <w:b/>
          <w:bCs/>
          <w:color w:val="auto"/>
          <w:sz w:val="28"/>
          <w:szCs w:val="28"/>
        </w:rPr>
        <w:t>7. Lewin’s Force Field Analysis</w:t>
      </w:r>
      <w:bookmarkEnd w:id="15"/>
    </w:p>
    <w:p w14:paraId="15B468E1" w14:textId="49D5E40E" w:rsidR="35BEA47D" w:rsidRDefault="35BEA47D" w:rsidP="4FE1F094">
      <w:pPr>
        <w:spacing w:line="360" w:lineRule="auto"/>
        <w:rPr>
          <w:rFonts w:ascii="Arial" w:eastAsia="Arial" w:hAnsi="Arial" w:cs="Arial"/>
          <w:sz w:val="28"/>
          <w:szCs w:val="28"/>
        </w:rPr>
      </w:pPr>
      <w:r w:rsidRPr="4FE1F094">
        <w:rPr>
          <w:rFonts w:ascii="Arial" w:eastAsia="Arial" w:hAnsi="Arial" w:cs="Arial"/>
          <w:sz w:val="28"/>
          <w:szCs w:val="28"/>
        </w:rPr>
        <w:t>Lewin's Force Field Analysis can be used to assess whether Seren Global Learning Café is likely to be successful. The model suggests that any change is influenced by forces that support the change and forces that resist it. If the driving forces are stronger than the restraining forces, the change is more likely to succeed.</w:t>
      </w:r>
    </w:p>
    <w:p w14:paraId="68850DFC" w14:textId="32A651B6" w:rsidR="35BEA47D" w:rsidRDefault="35BEA47D" w:rsidP="4FE1F094">
      <w:pPr>
        <w:spacing w:line="360" w:lineRule="auto"/>
        <w:rPr>
          <w:rFonts w:ascii="Arial" w:eastAsia="Arial" w:hAnsi="Arial" w:cs="Arial"/>
          <w:i/>
          <w:iCs/>
          <w:sz w:val="28"/>
          <w:szCs w:val="28"/>
        </w:rPr>
      </w:pPr>
      <w:r w:rsidRPr="4FE1F094">
        <w:rPr>
          <w:rFonts w:ascii="Arial" w:eastAsia="Arial" w:hAnsi="Arial" w:cs="Arial"/>
          <w:i/>
          <w:iCs/>
          <w:sz w:val="28"/>
          <w:szCs w:val="28"/>
        </w:rPr>
        <w:lastRenderedPageBreak/>
        <w:t>Driving forces</w:t>
      </w:r>
    </w:p>
    <w:p w14:paraId="2EA6DBB0" w14:textId="079B68F4" w:rsidR="35BEA47D" w:rsidRDefault="35BEA47D" w:rsidP="4FE1F094">
      <w:pPr>
        <w:spacing w:line="360" w:lineRule="auto"/>
        <w:rPr>
          <w:rFonts w:ascii="Arial" w:eastAsia="Arial" w:hAnsi="Arial" w:cs="Arial"/>
          <w:sz w:val="28"/>
          <w:szCs w:val="28"/>
        </w:rPr>
      </w:pPr>
      <w:r w:rsidRPr="4FE1F094">
        <w:rPr>
          <w:rFonts w:ascii="Arial" w:eastAsia="Arial" w:hAnsi="Arial" w:cs="Arial"/>
          <w:sz w:val="28"/>
          <w:szCs w:val="28"/>
        </w:rPr>
        <w:t>One important factor is that customers are increasingly looking for more than just food and drinks when visiting hospitality businesses. Many people are interested in learning new skills, meeting others, and taking part in meaningful experiences (Soomro et al., 2024). The proposed multilingual learning café responds to this trend by combining language learning, photography, cultural exchange, and hospitality within one environment.</w:t>
      </w:r>
    </w:p>
    <w:p w14:paraId="55543D9B" w14:textId="59E37482" w:rsidR="35BEA47D" w:rsidRDefault="35BEA47D" w:rsidP="4FE1F094">
      <w:pPr>
        <w:spacing w:line="360" w:lineRule="auto"/>
        <w:rPr>
          <w:rFonts w:ascii="Arial" w:eastAsia="Arial" w:hAnsi="Arial" w:cs="Arial"/>
          <w:sz w:val="28"/>
          <w:szCs w:val="28"/>
        </w:rPr>
      </w:pPr>
      <w:r w:rsidRPr="4FE1F094">
        <w:rPr>
          <w:rFonts w:ascii="Arial" w:eastAsia="Arial" w:hAnsi="Arial" w:cs="Arial"/>
          <w:sz w:val="28"/>
          <w:szCs w:val="28"/>
        </w:rPr>
        <w:t xml:space="preserve">Another driving force is the growing availability of AI and digital learning tools. These technologies can help create personalised learning experiences at a relatively low cost. Seren Coffi also already has a strong reputation within the </w:t>
      </w:r>
      <w:r w:rsidR="2E57AF84" w:rsidRPr="4FE1F094">
        <w:rPr>
          <w:rFonts w:ascii="Arial" w:eastAsia="Arial" w:hAnsi="Arial" w:cs="Arial"/>
          <w:sz w:val="28"/>
          <w:szCs w:val="28"/>
        </w:rPr>
        <w:t>local community</w:t>
      </w:r>
      <w:r w:rsidRPr="4FE1F094">
        <w:rPr>
          <w:rFonts w:ascii="Arial" w:eastAsia="Arial" w:hAnsi="Arial" w:cs="Arial"/>
          <w:sz w:val="28"/>
          <w:szCs w:val="28"/>
        </w:rPr>
        <w:t xml:space="preserve"> and experience in organising cultural activities. This provides a good foundation for introducing new learning-focused services and events.</w:t>
      </w:r>
    </w:p>
    <w:p w14:paraId="6A577581" w14:textId="505E6F5A" w:rsidR="35BEA47D" w:rsidRDefault="35BEA47D" w:rsidP="4FE1F094">
      <w:pPr>
        <w:spacing w:line="360" w:lineRule="auto"/>
        <w:rPr>
          <w:rFonts w:ascii="Arial" w:eastAsia="Arial" w:hAnsi="Arial" w:cs="Arial"/>
          <w:sz w:val="28"/>
          <w:szCs w:val="28"/>
        </w:rPr>
      </w:pPr>
      <w:r w:rsidRPr="4FE1F094">
        <w:rPr>
          <w:rFonts w:ascii="Arial" w:eastAsia="Arial" w:hAnsi="Arial" w:cs="Arial"/>
          <w:sz w:val="28"/>
          <w:szCs w:val="28"/>
        </w:rPr>
        <w:t>The location of Cardiff also supports the innovation. The city attracts students, international residents, tourists, and people from different cultural backgrounds. These groups may be interested in improving language skills, learning about different cultures, and meeting new people in an informal setting.</w:t>
      </w:r>
    </w:p>
    <w:p w14:paraId="18EF9D5F" w14:textId="30BFC051" w:rsidR="4FE1F094" w:rsidRDefault="4FE1F094" w:rsidP="4FE1F094">
      <w:pPr>
        <w:spacing w:line="360" w:lineRule="auto"/>
        <w:rPr>
          <w:rFonts w:ascii="Arial" w:eastAsia="Arial" w:hAnsi="Arial" w:cs="Arial"/>
          <w:sz w:val="28"/>
          <w:szCs w:val="28"/>
        </w:rPr>
      </w:pPr>
    </w:p>
    <w:p w14:paraId="04B77E97" w14:textId="39DAD9C1" w:rsidR="35BEA47D" w:rsidRDefault="35BEA47D" w:rsidP="4FE1F094">
      <w:pPr>
        <w:spacing w:line="360" w:lineRule="auto"/>
        <w:rPr>
          <w:rFonts w:ascii="Arial" w:eastAsia="Arial" w:hAnsi="Arial" w:cs="Arial"/>
          <w:i/>
          <w:iCs/>
          <w:sz w:val="28"/>
          <w:szCs w:val="28"/>
        </w:rPr>
      </w:pPr>
      <w:r w:rsidRPr="4FE1F094">
        <w:rPr>
          <w:rFonts w:ascii="Arial" w:eastAsia="Arial" w:hAnsi="Arial" w:cs="Arial"/>
          <w:i/>
          <w:iCs/>
          <w:sz w:val="28"/>
          <w:szCs w:val="28"/>
        </w:rPr>
        <w:t>Restraining forces</w:t>
      </w:r>
    </w:p>
    <w:p w14:paraId="686CFA1E" w14:textId="4E722E5E" w:rsidR="35BEA47D" w:rsidRDefault="35BEA47D" w:rsidP="4FE1F094">
      <w:pPr>
        <w:spacing w:line="360" w:lineRule="auto"/>
        <w:rPr>
          <w:rFonts w:ascii="Arial" w:eastAsia="Arial" w:hAnsi="Arial" w:cs="Arial"/>
          <w:sz w:val="28"/>
          <w:szCs w:val="28"/>
        </w:rPr>
      </w:pPr>
      <w:r w:rsidRPr="4FE1F094">
        <w:rPr>
          <w:rFonts w:ascii="Arial" w:eastAsia="Arial" w:hAnsi="Arial" w:cs="Arial"/>
          <w:sz w:val="28"/>
          <w:szCs w:val="28"/>
        </w:rPr>
        <w:t>One challenge is the limited budget available to support the innovation. Although the concept is designed to be affordable, some money will still be needed for AI tools, promotional materials, staff training, and learning resources. Staff may also need time to adapt to new activities and responsibilities.</w:t>
      </w:r>
    </w:p>
    <w:p w14:paraId="5DD9419E" w14:textId="468D997E" w:rsidR="35BEA47D" w:rsidRDefault="35BEA47D" w:rsidP="4FE1F094">
      <w:pPr>
        <w:spacing w:line="360" w:lineRule="auto"/>
        <w:rPr>
          <w:rFonts w:ascii="Arial" w:eastAsia="Arial" w:hAnsi="Arial" w:cs="Arial"/>
          <w:sz w:val="28"/>
          <w:szCs w:val="28"/>
        </w:rPr>
      </w:pPr>
      <w:r w:rsidRPr="4FE1F094">
        <w:rPr>
          <w:rFonts w:ascii="Arial" w:eastAsia="Arial" w:hAnsi="Arial" w:cs="Arial"/>
          <w:sz w:val="28"/>
          <w:szCs w:val="28"/>
        </w:rPr>
        <w:lastRenderedPageBreak/>
        <w:t>Another challenge is that some existing customers may prefer the café in its current form and may not immediately understand the benefits of the new concept. There is also a risk that some people may feel uncomfortable using new technology or AI-supported learning tools.</w:t>
      </w:r>
      <w:r w:rsidR="45AB35B5" w:rsidRPr="4FE1F094">
        <w:rPr>
          <w:rFonts w:ascii="Arial" w:eastAsia="Arial" w:hAnsi="Arial" w:cs="Arial"/>
          <w:sz w:val="28"/>
          <w:szCs w:val="28"/>
        </w:rPr>
        <w:t xml:space="preserve"> Also, there a possibility that customers may not engage with the language-learning activities as actively as expected, which could reduce the overall impact of the innovation.</w:t>
      </w:r>
    </w:p>
    <w:p w14:paraId="4F8AAEBA" w14:textId="7DEA637A" w:rsidR="4FE1F094" w:rsidRDefault="4FE1F094" w:rsidP="4FE1F094"/>
    <w:p w14:paraId="3D2ED330" w14:textId="545A30C9" w:rsidR="55947F32" w:rsidRDefault="55947F32" w:rsidP="4FE1F094">
      <w:pPr>
        <w:pStyle w:val="Heading1"/>
        <w:rPr>
          <w:rFonts w:asciiTheme="minorHAnsi" w:eastAsiaTheme="minorEastAsia" w:hAnsiTheme="minorHAnsi" w:cstheme="minorBidi"/>
          <w:b/>
          <w:bCs/>
          <w:color w:val="auto"/>
          <w:sz w:val="28"/>
          <w:szCs w:val="28"/>
        </w:rPr>
      </w:pPr>
      <w:bookmarkStart w:id="16" w:name="_Toc955556118"/>
      <w:r w:rsidRPr="596E7CBB">
        <w:rPr>
          <w:rFonts w:asciiTheme="minorHAnsi" w:eastAsiaTheme="minorEastAsia" w:hAnsiTheme="minorHAnsi" w:cstheme="minorBidi"/>
          <w:b/>
          <w:bCs/>
          <w:color w:val="auto"/>
          <w:sz w:val="28"/>
          <w:szCs w:val="28"/>
        </w:rPr>
        <w:t>8. Organisational Climate for Innovation</w:t>
      </w:r>
      <w:bookmarkEnd w:id="16"/>
    </w:p>
    <w:p w14:paraId="0E4156FF" w14:textId="244999DA" w:rsidR="46516E4C" w:rsidRDefault="46516E4C" w:rsidP="4FE1F094">
      <w:pPr>
        <w:spacing w:line="360" w:lineRule="auto"/>
        <w:jc w:val="both"/>
        <w:rPr>
          <w:rFonts w:ascii="Arial" w:eastAsia="Arial" w:hAnsi="Arial" w:cs="Arial"/>
          <w:sz w:val="28"/>
          <w:szCs w:val="28"/>
        </w:rPr>
      </w:pPr>
      <w:r w:rsidRPr="4FE1F094">
        <w:rPr>
          <w:rFonts w:ascii="Arial" w:eastAsia="Arial" w:hAnsi="Arial" w:cs="Arial"/>
          <w:sz w:val="28"/>
          <w:szCs w:val="28"/>
        </w:rPr>
        <w:t>There are both positive and negative factors affecting Seren Coffi’s innovation climate. On the positive side, the founders are creative, community-focused, and committed to the café’s values. They have successfully built strong relationships with local customers, showing a willingness to embrace new ideas that support the café’s identity and purpose. Kim et al. (2024) suggest that innovation is influenced by leadership and external challenges, which may encourage Seren Coffi to make positive changes during this difficult period.</w:t>
      </w:r>
      <w:r w:rsidR="29F3FB69" w:rsidRPr="4FE1F094">
        <w:rPr>
          <w:rFonts w:ascii="Arial" w:eastAsia="Arial" w:hAnsi="Arial" w:cs="Arial"/>
          <w:sz w:val="28"/>
          <w:szCs w:val="28"/>
        </w:rPr>
        <w:t xml:space="preserve"> Similarly, You et al. (2022) argue that a supportive organisational climate encourages innovative behaviour and increases willingness to adopt new ideas.</w:t>
      </w:r>
      <w:r w:rsidRPr="4FE1F094">
        <w:rPr>
          <w:rFonts w:ascii="Arial" w:eastAsia="Arial" w:hAnsi="Arial" w:cs="Arial"/>
          <w:sz w:val="28"/>
          <w:szCs w:val="28"/>
        </w:rPr>
        <w:t xml:space="preserve"> </w:t>
      </w:r>
      <w:r w:rsidR="5281FEEC" w:rsidRPr="4FE1F094">
        <w:rPr>
          <w:rFonts w:ascii="Arial" w:eastAsia="Arial" w:hAnsi="Arial" w:cs="Arial"/>
          <w:sz w:val="28"/>
          <w:szCs w:val="28"/>
        </w:rPr>
        <w:t>The strong support of customers also creates opportunities for customer engagement and collaborative activities</w:t>
      </w:r>
      <w:r w:rsidR="709D5B2D" w:rsidRPr="4FE1F094">
        <w:rPr>
          <w:rFonts w:ascii="Arial" w:eastAsia="Arial" w:hAnsi="Arial" w:cs="Arial"/>
          <w:sz w:val="28"/>
          <w:szCs w:val="28"/>
        </w:rPr>
        <w:t>.</w:t>
      </w:r>
    </w:p>
    <w:p w14:paraId="3B08428E" w14:textId="4AF7648C" w:rsidR="6092A071" w:rsidRDefault="6092A071" w:rsidP="4FE1F094">
      <w:pPr>
        <w:spacing w:line="360" w:lineRule="auto"/>
        <w:jc w:val="both"/>
      </w:pPr>
      <w:r w:rsidRPr="4FE1F094">
        <w:rPr>
          <w:rFonts w:ascii="Arial" w:eastAsia="Arial" w:hAnsi="Arial" w:cs="Arial"/>
          <w:sz w:val="28"/>
          <w:szCs w:val="28"/>
        </w:rPr>
        <w:t xml:space="preserve">However, some challenges may affect implementation. Limited financial resources and founder workload may reduce the time and energy available for managing new initiatives. </w:t>
      </w:r>
      <w:r w:rsidR="0CCDF359" w:rsidRPr="4FE1F094">
        <w:rPr>
          <w:rFonts w:ascii="Arial" w:eastAsia="Arial" w:hAnsi="Arial" w:cs="Arial"/>
          <w:sz w:val="28"/>
          <w:szCs w:val="28"/>
        </w:rPr>
        <w:t xml:space="preserve">The Department for Business and Trade (2025) highlights that innovation and adaptability are important factors in helping small and medium-sized businesses remain competitive during periods of economic uncertainty. </w:t>
      </w:r>
      <w:r w:rsidRPr="4FE1F094">
        <w:rPr>
          <w:rFonts w:ascii="Arial" w:eastAsia="Arial" w:hAnsi="Arial" w:cs="Arial"/>
          <w:sz w:val="28"/>
          <w:szCs w:val="28"/>
        </w:rPr>
        <w:t xml:space="preserve">Neupane et al. (2025) note that resource constraints can create barriers to innovation, particularly within </w:t>
      </w:r>
      <w:r w:rsidRPr="4FE1F094">
        <w:rPr>
          <w:rFonts w:ascii="Arial" w:eastAsia="Arial" w:hAnsi="Arial" w:cs="Arial"/>
          <w:sz w:val="28"/>
          <w:szCs w:val="28"/>
        </w:rPr>
        <w:lastRenderedPageBreak/>
        <w:t>small businesses. Staff may also require additional training to become confident using AI-supported learning tools and supporting educational activities.</w:t>
      </w:r>
    </w:p>
    <w:p w14:paraId="705CE1EA" w14:textId="03A15C8D" w:rsidR="46516E4C" w:rsidRDefault="46516E4C" w:rsidP="4FE1F094">
      <w:pPr>
        <w:pStyle w:val="Heading1"/>
        <w:rPr>
          <w:rFonts w:asciiTheme="minorHAnsi" w:eastAsiaTheme="minorEastAsia" w:hAnsiTheme="minorHAnsi" w:cstheme="minorBidi"/>
          <w:b/>
          <w:bCs/>
          <w:color w:val="auto"/>
          <w:sz w:val="28"/>
          <w:szCs w:val="28"/>
        </w:rPr>
      </w:pPr>
      <w:bookmarkStart w:id="17" w:name="_Toc1279172539"/>
      <w:r w:rsidRPr="596E7CBB">
        <w:rPr>
          <w:rFonts w:asciiTheme="minorHAnsi" w:eastAsiaTheme="minorEastAsia" w:hAnsiTheme="minorHAnsi" w:cstheme="minorBidi"/>
          <w:b/>
          <w:bCs/>
          <w:color w:val="auto"/>
          <w:sz w:val="28"/>
          <w:szCs w:val="28"/>
        </w:rPr>
        <w:t>9. Part 1 Conclusion</w:t>
      </w:r>
      <w:bookmarkEnd w:id="17"/>
    </w:p>
    <w:p w14:paraId="295E89F9" w14:textId="00BD0CEC" w:rsidR="6B6A9CBD" w:rsidRDefault="6B6A9CBD" w:rsidP="4FE1F094">
      <w:pPr>
        <w:spacing w:line="360" w:lineRule="auto"/>
        <w:jc w:val="both"/>
        <w:rPr>
          <w:rFonts w:ascii="Arial" w:eastAsia="Arial" w:hAnsi="Arial" w:cs="Arial"/>
          <w:sz w:val="28"/>
          <w:szCs w:val="28"/>
        </w:rPr>
      </w:pPr>
      <w:r w:rsidRPr="4FE1F094">
        <w:rPr>
          <w:rFonts w:ascii="Arial" w:eastAsia="Arial" w:hAnsi="Arial" w:cs="Arial"/>
          <w:sz w:val="28"/>
          <w:szCs w:val="28"/>
        </w:rPr>
        <w:t xml:space="preserve">The main issue facing Seren Coffi is not simply low income, but the fact that the systems and activities that once created strong community value are no longer working effectively. Seren </w:t>
      </w:r>
      <w:r w:rsidR="68A8A1CC" w:rsidRPr="4FE1F094">
        <w:rPr>
          <w:rFonts w:ascii="Arial" w:eastAsia="Arial" w:hAnsi="Arial" w:cs="Arial"/>
          <w:sz w:val="28"/>
          <w:szCs w:val="28"/>
        </w:rPr>
        <w:t>Global Learning Café</w:t>
      </w:r>
      <w:r w:rsidRPr="4FE1F094">
        <w:rPr>
          <w:rFonts w:ascii="Arial" w:eastAsia="Arial" w:hAnsi="Arial" w:cs="Arial"/>
          <w:sz w:val="28"/>
          <w:szCs w:val="28"/>
        </w:rPr>
        <w:t xml:space="preserve"> offers a creative and innovative solution by</w:t>
      </w:r>
      <w:r w:rsidR="311B5CBA" w:rsidRPr="4FE1F094">
        <w:rPr>
          <w:rFonts w:ascii="Arial" w:eastAsia="Arial" w:hAnsi="Arial" w:cs="Arial"/>
          <w:sz w:val="28"/>
          <w:szCs w:val="28"/>
        </w:rPr>
        <w:t xml:space="preserve"> turning the café into an AI-supported multilingual learning environment that combines hospitality, language learning, photography and cultural exchange.</w:t>
      </w:r>
      <w:r w:rsidRPr="4FE1F094">
        <w:rPr>
          <w:rFonts w:ascii="Arial" w:eastAsia="Arial" w:hAnsi="Arial" w:cs="Arial"/>
          <w:sz w:val="28"/>
          <w:szCs w:val="28"/>
        </w:rPr>
        <w:t xml:space="preserve"> The idea uses creativity to address the specific operational challenges faced by the café. It includes elements of the </w:t>
      </w:r>
      <w:r w:rsidR="2F977E10" w:rsidRPr="4FE1F094">
        <w:rPr>
          <w:rFonts w:ascii="Arial" w:eastAsia="Arial" w:hAnsi="Arial" w:cs="Arial"/>
          <w:sz w:val="28"/>
          <w:szCs w:val="28"/>
        </w:rPr>
        <w:t>4</w:t>
      </w:r>
      <w:r w:rsidRPr="4FE1F094">
        <w:rPr>
          <w:rFonts w:ascii="Arial" w:eastAsia="Arial" w:hAnsi="Arial" w:cs="Arial"/>
          <w:sz w:val="28"/>
          <w:szCs w:val="28"/>
        </w:rPr>
        <w:t xml:space="preserve">Ps of Innovation, with a strong focus on process, position, and paradigm innovation, while also including some service innovation. </w:t>
      </w:r>
      <w:r w:rsidR="1F7D1A98" w:rsidRPr="4FE1F094">
        <w:rPr>
          <w:rFonts w:ascii="Arial" w:eastAsia="Arial" w:hAnsi="Arial" w:cs="Arial"/>
          <w:sz w:val="28"/>
          <w:szCs w:val="28"/>
        </w:rPr>
        <w:t>Seren Global Learning Café represents a realistic and sustainable innovation that has the potential to strengthen Seren Coffi’s long-term future. By integrating learning, technology, creativity, and community participation into the customer experience, the café can differentiate itself from competitors while remaining true to its values and identity.</w:t>
      </w:r>
    </w:p>
    <w:p w14:paraId="2FF06242" w14:textId="13C42F4B" w:rsidR="4FE1F094" w:rsidRDefault="4FE1F094" w:rsidP="4FE1F094">
      <w:pPr>
        <w:spacing w:line="360" w:lineRule="auto"/>
        <w:jc w:val="both"/>
        <w:rPr>
          <w:rFonts w:ascii="Arial" w:eastAsia="Arial" w:hAnsi="Arial" w:cs="Arial"/>
          <w:sz w:val="28"/>
          <w:szCs w:val="28"/>
        </w:rPr>
      </w:pPr>
    </w:p>
    <w:p w14:paraId="69133856" w14:textId="02FFD3FD" w:rsidR="2DC3E6B1" w:rsidRDefault="2DC3E6B1" w:rsidP="4FE1F094">
      <w:pPr>
        <w:pStyle w:val="Heading1"/>
        <w:spacing w:line="360" w:lineRule="auto"/>
        <w:rPr>
          <w:rFonts w:asciiTheme="minorHAnsi" w:eastAsiaTheme="minorEastAsia" w:hAnsiTheme="minorHAnsi" w:cstheme="minorBidi"/>
          <w:b/>
          <w:bCs/>
          <w:color w:val="auto"/>
          <w:sz w:val="28"/>
          <w:szCs w:val="28"/>
        </w:rPr>
      </w:pPr>
      <w:bookmarkStart w:id="18" w:name="_Toc244872907"/>
      <w:r w:rsidRPr="596E7CBB">
        <w:rPr>
          <w:rFonts w:asciiTheme="minorHAnsi" w:eastAsiaTheme="minorEastAsia" w:hAnsiTheme="minorHAnsi" w:cstheme="minorBidi"/>
          <w:b/>
          <w:bCs/>
          <w:color w:val="auto"/>
          <w:sz w:val="28"/>
          <w:szCs w:val="28"/>
        </w:rPr>
        <w:t>Part 2: AI Supplement</w:t>
      </w:r>
      <w:bookmarkEnd w:id="18"/>
    </w:p>
    <w:p w14:paraId="6028D8CC" w14:textId="16F622D1" w:rsidR="2B29DE78" w:rsidRDefault="2B29DE78" w:rsidP="596E7CBB">
      <w:pPr>
        <w:pStyle w:val="Heading2"/>
        <w:spacing w:line="360" w:lineRule="auto"/>
        <w:rPr>
          <w:rFonts w:asciiTheme="minorHAnsi" w:eastAsiaTheme="minorEastAsia" w:hAnsiTheme="minorHAnsi" w:cstheme="minorBidi"/>
          <w:i/>
          <w:iCs/>
          <w:color w:val="auto"/>
          <w:sz w:val="28"/>
          <w:szCs w:val="28"/>
        </w:rPr>
      </w:pPr>
      <w:bookmarkStart w:id="19" w:name="_Toc783326879"/>
      <w:r w:rsidRPr="596E7CBB">
        <w:rPr>
          <w:rFonts w:asciiTheme="minorHAnsi" w:eastAsiaTheme="minorEastAsia" w:hAnsiTheme="minorHAnsi" w:cstheme="minorBidi"/>
          <w:i/>
          <w:iCs/>
          <w:color w:val="auto"/>
          <w:sz w:val="28"/>
          <w:szCs w:val="28"/>
        </w:rPr>
        <w:t>1. Introduction to the Use of AI</w:t>
      </w:r>
      <w:bookmarkEnd w:id="19"/>
    </w:p>
    <w:p w14:paraId="302101A2" w14:textId="047E81F3" w:rsidR="2D473E12" w:rsidRDefault="2D473E12" w:rsidP="4FE1F094">
      <w:pPr>
        <w:spacing w:line="360" w:lineRule="auto"/>
        <w:jc w:val="both"/>
      </w:pPr>
      <w:r w:rsidRPr="4FE1F094">
        <w:rPr>
          <w:rFonts w:ascii="Arial" w:eastAsia="Arial" w:hAnsi="Arial" w:cs="Arial"/>
          <w:sz w:val="28"/>
          <w:szCs w:val="28"/>
        </w:rPr>
        <w:t xml:space="preserve">I first developed the Seren Global Learning Café idea and then used an AI model to test it and explore ways to improve it. AI was used as a tool to support research, idea development, and creativity. Grilli and Pedota (2024) explain that while AI can help generate ideas, human judgement is still needed to ensure that solutions are practical and ethical. AI helped </w:t>
      </w:r>
      <w:r w:rsidRPr="4FE1F094">
        <w:rPr>
          <w:rFonts w:ascii="Arial" w:eastAsia="Arial" w:hAnsi="Arial" w:cs="Arial"/>
          <w:sz w:val="28"/>
          <w:szCs w:val="28"/>
        </w:rPr>
        <w:lastRenderedPageBreak/>
        <w:t>consider alternative ideas, identify weaknesses, and improve the overall feasibility of Seren Global Learning Café. Screenshots of the AI interactions have been included in the appendix as evidence of how it supported the development process.</w:t>
      </w:r>
    </w:p>
    <w:p w14:paraId="31C7EDEC" w14:textId="5670572E" w:rsidR="26DDC0F2" w:rsidRDefault="26DDC0F2" w:rsidP="596E7CBB">
      <w:pPr>
        <w:pStyle w:val="Heading2"/>
        <w:spacing w:line="360" w:lineRule="auto"/>
        <w:rPr>
          <w:rFonts w:asciiTheme="minorHAnsi" w:eastAsiaTheme="minorEastAsia" w:hAnsiTheme="minorHAnsi" w:cstheme="minorBidi"/>
          <w:i/>
          <w:iCs/>
          <w:color w:val="auto"/>
          <w:sz w:val="28"/>
          <w:szCs w:val="28"/>
        </w:rPr>
      </w:pPr>
      <w:bookmarkStart w:id="20" w:name="_Toc1334292515"/>
      <w:r w:rsidRPr="596E7CBB">
        <w:rPr>
          <w:rFonts w:asciiTheme="minorHAnsi" w:eastAsiaTheme="minorEastAsia" w:hAnsiTheme="minorHAnsi" w:cstheme="minorBidi"/>
          <w:i/>
          <w:iCs/>
          <w:color w:val="auto"/>
          <w:sz w:val="28"/>
          <w:szCs w:val="28"/>
        </w:rPr>
        <w:t>2. How AI Helped Develop the Original Innovation</w:t>
      </w:r>
      <w:bookmarkEnd w:id="20"/>
    </w:p>
    <w:p w14:paraId="30635CC3" w14:textId="471EEB36" w:rsidR="1BB5FE7D" w:rsidRDefault="1BB5FE7D" w:rsidP="4FE1F094">
      <w:pPr>
        <w:spacing w:line="360" w:lineRule="auto"/>
        <w:jc w:val="both"/>
        <w:rPr>
          <w:rFonts w:ascii="Arial" w:eastAsia="Arial" w:hAnsi="Arial" w:cs="Arial"/>
          <w:sz w:val="28"/>
          <w:szCs w:val="28"/>
        </w:rPr>
      </w:pPr>
      <w:r w:rsidRPr="4FE1F094">
        <w:rPr>
          <w:rFonts w:ascii="Arial" w:eastAsia="Arial" w:hAnsi="Arial" w:cs="Arial"/>
          <w:sz w:val="28"/>
          <w:szCs w:val="28"/>
        </w:rPr>
        <w:t>AI first helped evaluate whether the original idea was practical and suitable for Seren Coffi. Instead of focusing only on language learning, AI suggested developing the concept into a wider learning and cultural experience that combined education, tourism, community involvement, and hospitality. This helped create a stronger connection between the innovation and Seren Coffi’s values of learning, cultural engagement, and community interaction.</w:t>
      </w:r>
    </w:p>
    <w:p w14:paraId="4C9C9DF5" w14:textId="4E6FEBAC" w:rsidR="1BB5FE7D" w:rsidRDefault="1BB5FE7D" w:rsidP="4FE1F094">
      <w:pPr>
        <w:spacing w:line="360" w:lineRule="auto"/>
        <w:jc w:val="both"/>
        <w:rPr>
          <w:rFonts w:ascii="Arial" w:eastAsia="Arial" w:hAnsi="Arial" w:cs="Arial"/>
          <w:sz w:val="28"/>
          <w:szCs w:val="28"/>
        </w:rPr>
      </w:pPr>
      <w:r w:rsidRPr="4FE1F094">
        <w:rPr>
          <w:rFonts w:ascii="Arial" w:eastAsia="Arial" w:hAnsi="Arial" w:cs="Arial"/>
          <w:sz w:val="28"/>
          <w:szCs w:val="28"/>
        </w:rPr>
        <w:t xml:space="preserve">AI also suggested several features to increase customer </w:t>
      </w:r>
      <w:r w:rsidR="6F27D324" w:rsidRPr="4FE1F094">
        <w:rPr>
          <w:rFonts w:ascii="Arial" w:eastAsia="Arial" w:hAnsi="Arial" w:cs="Arial"/>
          <w:sz w:val="28"/>
          <w:szCs w:val="28"/>
        </w:rPr>
        <w:t>engagement</w:t>
      </w:r>
      <w:r w:rsidRPr="4FE1F094">
        <w:rPr>
          <w:rFonts w:ascii="Arial" w:eastAsia="Arial" w:hAnsi="Arial" w:cs="Arial"/>
          <w:sz w:val="28"/>
          <w:szCs w:val="28"/>
        </w:rPr>
        <w:t xml:space="preserve"> and improve the overall experience. These included a Language Passport to track learning progress, Cultural Discovery Nights, weekly language exchange café sessions, and small rewards such as discounts on drinks for completing activities. </w:t>
      </w:r>
      <w:r w:rsidR="389315D3" w:rsidRPr="4FE1F094">
        <w:rPr>
          <w:rFonts w:ascii="Arial" w:eastAsia="Arial" w:hAnsi="Arial" w:cs="Arial"/>
          <w:sz w:val="28"/>
          <w:szCs w:val="28"/>
        </w:rPr>
        <w:t>The photography-based learning concept was developed independently. AI subsequently helped expand the idea by suggesting additional activities, such as AI-generated conversation topics and personalised language exercises based on uploaded photographs</w:t>
      </w:r>
      <w:r w:rsidRPr="4FE1F094">
        <w:rPr>
          <w:rFonts w:ascii="Arial" w:eastAsia="Arial" w:hAnsi="Arial" w:cs="Arial"/>
          <w:sz w:val="28"/>
          <w:szCs w:val="28"/>
        </w:rPr>
        <w:t>. Another suggestion was “Explore Cardiff Through Language and Photography”, where visitors explore local attractions while taking part in language-learning activities linked to their experiences.</w:t>
      </w:r>
      <w:r w:rsidR="5E47A5CE" w:rsidRPr="4FE1F094">
        <w:rPr>
          <w:rFonts w:ascii="Arial" w:eastAsia="Arial" w:hAnsi="Arial" w:cs="Arial"/>
          <w:sz w:val="28"/>
          <w:szCs w:val="28"/>
        </w:rPr>
        <w:t xml:space="preserve"> </w:t>
      </w:r>
      <w:r w:rsidR="0009578B" w:rsidRPr="4FE1F094">
        <w:rPr>
          <w:rFonts w:ascii="Arial" w:eastAsia="Arial" w:hAnsi="Arial" w:cs="Arial"/>
          <w:sz w:val="28"/>
          <w:szCs w:val="28"/>
        </w:rPr>
        <w:t>Chesbrough (2003) argues that organisations can benefit from using external sources of knowledge to support innovation.</w:t>
      </w:r>
    </w:p>
    <w:p w14:paraId="3698A98D" w14:textId="67DFE48F" w:rsidR="5E47A5CE" w:rsidRDefault="5E47A5CE" w:rsidP="4FE1F094">
      <w:pPr>
        <w:spacing w:line="360" w:lineRule="auto"/>
        <w:jc w:val="both"/>
      </w:pPr>
      <w:r w:rsidRPr="4FE1F094">
        <w:rPr>
          <w:rFonts w:ascii="Arial" w:eastAsia="Arial" w:hAnsi="Arial" w:cs="Arial"/>
          <w:sz w:val="28"/>
          <w:szCs w:val="28"/>
        </w:rPr>
        <w:t xml:space="preserve">In addition, combining hospitality, language learning, and cultural exploration helped differentiate Seren Coffi from competing cafés. Many coffee shops compete primarily through products, pricing, or loyalty </w:t>
      </w:r>
      <w:r w:rsidRPr="4FE1F094">
        <w:rPr>
          <w:rFonts w:ascii="Arial" w:eastAsia="Arial" w:hAnsi="Arial" w:cs="Arial"/>
          <w:sz w:val="28"/>
          <w:szCs w:val="28"/>
        </w:rPr>
        <w:lastRenderedPageBreak/>
        <w:t>schemes, whereas the Seren Global Learning Café focuses on providing memorable experiences and opportunities for personal development. This creates value beyond the core coffee offering and strengthens the café’s position within the local community.</w:t>
      </w:r>
    </w:p>
    <w:p w14:paraId="322AABA8" w14:textId="5CA9DE52" w:rsidR="1BB5FE7D" w:rsidRDefault="1BB5FE7D" w:rsidP="4FE1F094">
      <w:pPr>
        <w:spacing w:line="360" w:lineRule="auto"/>
        <w:jc w:val="both"/>
        <w:rPr>
          <w:rFonts w:ascii="Arial" w:eastAsia="Arial" w:hAnsi="Arial" w:cs="Arial"/>
          <w:sz w:val="28"/>
          <w:szCs w:val="28"/>
        </w:rPr>
      </w:pPr>
      <w:r w:rsidRPr="4FE1F094">
        <w:rPr>
          <w:rFonts w:ascii="Arial" w:eastAsia="Arial" w:hAnsi="Arial" w:cs="Arial"/>
          <w:sz w:val="28"/>
          <w:szCs w:val="28"/>
        </w:rPr>
        <w:t xml:space="preserve">These suggestions supported value co-creation between customers and the organisation. Lopez et al. (2024) suggest that customer participation and service innovation help build stronger customer relationships and improve business resilience. </w:t>
      </w:r>
      <w:r w:rsidR="29B79AC3" w:rsidRPr="4FE1F094">
        <w:rPr>
          <w:rFonts w:ascii="Arial" w:eastAsia="Arial" w:hAnsi="Arial" w:cs="Arial"/>
          <w:sz w:val="28"/>
          <w:szCs w:val="28"/>
        </w:rPr>
        <w:t>Similarly, the proposed activities encourage deeper interaction with the café, helping to strengthen engagement and customer loyalty.</w:t>
      </w:r>
    </w:p>
    <w:p w14:paraId="5F37AD68" w14:textId="2CA125BF" w:rsidR="4FE1F094" w:rsidRDefault="4FE1F094" w:rsidP="4FE1F094">
      <w:pPr>
        <w:spacing w:line="360" w:lineRule="auto"/>
      </w:pPr>
    </w:p>
    <w:p w14:paraId="28B153C0" w14:textId="5BE4BEC3" w:rsidR="452863EA" w:rsidRDefault="452863EA" w:rsidP="596E7CBB">
      <w:pPr>
        <w:pStyle w:val="Heading2"/>
        <w:spacing w:line="360" w:lineRule="auto"/>
        <w:rPr>
          <w:rFonts w:asciiTheme="minorHAnsi" w:eastAsiaTheme="minorEastAsia" w:hAnsiTheme="minorHAnsi" w:cstheme="minorBidi"/>
          <w:i/>
          <w:iCs/>
          <w:color w:val="auto"/>
          <w:sz w:val="28"/>
          <w:szCs w:val="28"/>
        </w:rPr>
      </w:pPr>
      <w:bookmarkStart w:id="21" w:name="_Toc950676929"/>
      <w:r w:rsidRPr="596E7CBB">
        <w:rPr>
          <w:rFonts w:asciiTheme="minorHAnsi" w:eastAsiaTheme="minorEastAsia" w:hAnsiTheme="minorHAnsi" w:cstheme="minorBidi"/>
          <w:i/>
          <w:iCs/>
          <w:color w:val="auto"/>
          <w:sz w:val="28"/>
          <w:szCs w:val="28"/>
        </w:rPr>
        <w:t>3. Critical Appraisal of AI Recommendations</w:t>
      </w:r>
      <w:bookmarkEnd w:id="21"/>
    </w:p>
    <w:p w14:paraId="7E667EA4" w14:textId="2240984B" w:rsidR="72C97C7A" w:rsidRDefault="72C97C7A" w:rsidP="4FE1F094">
      <w:pPr>
        <w:spacing w:line="360" w:lineRule="auto"/>
        <w:jc w:val="both"/>
      </w:pPr>
      <w:r w:rsidRPr="4FE1F094">
        <w:rPr>
          <w:rFonts w:ascii="Arial" w:eastAsia="Arial" w:hAnsi="Arial" w:cs="Arial"/>
          <w:sz w:val="28"/>
          <w:szCs w:val="28"/>
        </w:rPr>
        <w:t>One of the most useful ways AI helped was by developing the original innovation idea further. AI suggested several practical features, including a Language Passport to track learning progress, Cultural Discovery Nights, weekly language exchange sessions, AI-generated conversation topics based on uploaded photographs, and the “Explore Cardiff Through Language and Photography” activity. These suggestions helped turn the idea from a basic language-learning activity into a more complete learning and cultural experience. Kayhan Tajeddini et al. (2024) highlight the importance of service innovation in hospitality, and AI helped identify practical ways to make the customer experience more engaging while supporting Seren Coffi’s community-focused values.</w:t>
      </w:r>
    </w:p>
    <w:p w14:paraId="2970289A" w14:textId="092B4770" w:rsidR="4FE1F094" w:rsidRDefault="4FE1F094" w:rsidP="4FE1F094"/>
    <w:p w14:paraId="5E813714" w14:textId="43A6CCA7" w:rsidR="1DE42C04" w:rsidRDefault="1DE42C04" w:rsidP="4FE1F094">
      <w:pPr>
        <w:spacing w:line="360" w:lineRule="auto"/>
        <w:jc w:val="both"/>
        <w:rPr>
          <w:sz w:val="28"/>
          <w:szCs w:val="28"/>
        </w:rPr>
      </w:pPr>
      <w:r w:rsidRPr="4FE1F094">
        <w:rPr>
          <w:sz w:val="28"/>
          <w:szCs w:val="28"/>
        </w:rPr>
        <w:t>However, AI also had limitations. Some suggestions were too ambitious and did not fully consider the café’s limited budget and resources.</w:t>
      </w:r>
      <w:r w:rsidR="1374A4A5" w:rsidRPr="4FE1F094">
        <w:rPr>
          <w:rFonts w:ascii="Arial" w:eastAsia="Arial" w:hAnsi="Arial" w:cs="Arial"/>
          <w:sz w:val="28"/>
          <w:szCs w:val="28"/>
        </w:rPr>
        <w:t xml:space="preserve"> Furstenthal et al. (2022) argue that successful innovation depends on </w:t>
      </w:r>
      <w:r w:rsidR="1374A4A5" w:rsidRPr="4FE1F094">
        <w:rPr>
          <w:rFonts w:ascii="Arial" w:eastAsia="Arial" w:hAnsi="Arial" w:cs="Arial"/>
          <w:sz w:val="28"/>
          <w:szCs w:val="28"/>
        </w:rPr>
        <w:lastRenderedPageBreak/>
        <w:t>focusing on practical priorities rather than introducing too many changes at the same time.</w:t>
      </w:r>
      <w:r w:rsidRPr="4FE1F094">
        <w:rPr>
          <w:sz w:val="28"/>
          <w:szCs w:val="28"/>
        </w:rPr>
        <w:t xml:space="preserve"> Bittner et al. (2024) argue that innovation should fit the specific business context. </w:t>
      </w:r>
      <w:r w:rsidR="137A0903" w:rsidRPr="4FE1F094">
        <w:rPr>
          <w:rFonts w:ascii="Arial" w:eastAsia="Arial" w:hAnsi="Arial" w:cs="Arial"/>
          <w:sz w:val="28"/>
          <w:szCs w:val="28"/>
        </w:rPr>
        <w:t>As a result, the idea had to be simplified and adjusted several times before a practical solution was created.</w:t>
      </w:r>
    </w:p>
    <w:p w14:paraId="531499DF" w14:textId="790B2B26" w:rsidR="781D9E14" w:rsidRDefault="781D9E14" w:rsidP="4FE1F094">
      <w:pPr>
        <w:spacing w:line="360" w:lineRule="auto"/>
        <w:jc w:val="both"/>
      </w:pPr>
      <w:r w:rsidRPr="4FE1F094">
        <w:rPr>
          <w:rFonts w:ascii="Arial" w:eastAsia="Arial" w:hAnsi="Arial" w:cs="Arial"/>
          <w:sz w:val="28"/>
          <w:szCs w:val="28"/>
        </w:rPr>
        <w:t>S</w:t>
      </w:r>
      <w:r w:rsidR="20F5F0C2" w:rsidRPr="4FE1F094">
        <w:rPr>
          <w:rFonts w:ascii="Arial" w:eastAsia="Arial" w:hAnsi="Arial" w:cs="Arial"/>
          <w:sz w:val="28"/>
          <w:szCs w:val="28"/>
        </w:rPr>
        <w:t>ome of these recommendations may also be considered a weakness. Introducing too many features could make the concept overly complex for a small independent café with limited staff, time, and financial resources. Managing language activities, cultural events, AI tools, and reward systems at the same time may increase operational pressure and make implementation more difficult. Therefore, not all AI suggestions were practical, and some needed to be simplified to ensure the innovation remained realistic and achievable.</w:t>
      </w:r>
    </w:p>
    <w:p w14:paraId="5BE5D810" w14:textId="0C476243" w:rsidR="46D84DB2" w:rsidRDefault="46D84DB2" w:rsidP="4FE1F094">
      <w:pPr>
        <w:spacing w:line="360" w:lineRule="auto"/>
        <w:jc w:val="both"/>
        <w:rPr>
          <w:rFonts w:ascii="Arial" w:eastAsia="Arial" w:hAnsi="Arial" w:cs="Arial"/>
          <w:sz w:val="28"/>
          <w:szCs w:val="28"/>
        </w:rPr>
      </w:pPr>
      <w:r w:rsidRPr="4FE1F094">
        <w:rPr>
          <w:rFonts w:ascii="Arial" w:eastAsia="Arial" w:hAnsi="Arial" w:cs="Arial"/>
          <w:sz w:val="28"/>
          <w:szCs w:val="28"/>
        </w:rPr>
        <w:t>A s</w:t>
      </w:r>
      <w:r w:rsidR="105D115C" w:rsidRPr="4FE1F094">
        <w:rPr>
          <w:rFonts w:ascii="Arial" w:eastAsia="Arial" w:hAnsi="Arial" w:cs="Arial"/>
          <w:sz w:val="28"/>
          <w:szCs w:val="28"/>
        </w:rPr>
        <w:t>econd</w:t>
      </w:r>
      <w:r w:rsidR="0A296CCD" w:rsidRPr="4FE1F094">
        <w:rPr>
          <w:rFonts w:ascii="Arial" w:eastAsia="Arial" w:hAnsi="Arial" w:cs="Arial"/>
          <w:sz w:val="28"/>
          <w:szCs w:val="28"/>
        </w:rPr>
        <w:t xml:space="preserve"> limitation of AI was that it often suggested ideas based on general hospitality trends rather than the specific situation of Seren Coffi. Although many of the recommendations seemed creative and innovative, they did not always consider the café’s limited budget, staff availability, or operational problems. This shows a weakness of AI because it generates suggestions based on information from many businesses rather than having a full understanding of one organisation.</w:t>
      </w:r>
    </w:p>
    <w:p w14:paraId="5B905EEC" w14:textId="57C48106" w:rsidR="1DE42C04" w:rsidRDefault="1DE42C04" w:rsidP="4FE1F094">
      <w:pPr>
        <w:spacing w:line="360" w:lineRule="auto"/>
        <w:jc w:val="both"/>
        <w:rPr>
          <w:sz w:val="28"/>
          <w:szCs w:val="28"/>
        </w:rPr>
      </w:pPr>
      <w:r w:rsidRPr="4FE1F094">
        <w:rPr>
          <w:sz w:val="28"/>
          <w:szCs w:val="28"/>
        </w:rPr>
        <w:t>Another limitation was that AI often agreed with the idea rather than challenging it. More useful feedback came when I asked it to identify weaknesses</w:t>
      </w:r>
      <w:r w:rsidR="5147ECE6" w:rsidRPr="4FE1F094">
        <w:rPr>
          <w:sz w:val="28"/>
          <w:szCs w:val="28"/>
        </w:rPr>
        <w:t>.</w:t>
      </w:r>
      <w:r w:rsidRPr="4FE1F094">
        <w:rPr>
          <w:sz w:val="28"/>
          <w:szCs w:val="28"/>
        </w:rPr>
        <w:t xml:space="preserve"> This showed that the quality of AI responses depends heavily on the quality of the prompts. Quang-Huy (2023) suggests that success depends on strategic alignment, which also applies to AI use. Human judgement was therefore essential when deciding which AI suggestions to accept, reject, or modify.</w:t>
      </w:r>
    </w:p>
    <w:p w14:paraId="299F7399" w14:textId="383E7F2F" w:rsidR="4FE1F094" w:rsidRDefault="4FE1F094" w:rsidP="4FE1F094">
      <w:pPr>
        <w:spacing w:line="360" w:lineRule="auto"/>
        <w:jc w:val="both"/>
        <w:rPr>
          <w:sz w:val="28"/>
          <w:szCs w:val="28"/>
        </w:rPr>
      </w:pPr>
    </w:p>
    <w:p w14:paraId="232123D8" w14:textId="7AFE9FBF" w:rsidR="0C2021F2" w:rsidRDefault="0C2021F2" w:rsidP="596E7CBB">
      <w:pPr>
        <w:pStyle w:val="Heading2"/>
        <w:spacing w:line="360" w:lineRule="auto"/>
        <w:rPr>
          <w:rFonts w:asciiTheme="minorHAnsi" w:eastAsiaTheme="minorEastAsia" w:hAnsiTheme="minorHAnsi" w:cstheme="minorBidi"/>
          <w:i/>
          <w:iCs/>
          <w:color w:val="auto"/>
          <w:sz w:val="28"/>
          <w:szCs w:val="28"/>
        </w:rPr>
      </w:pPr>
      <w:bookmarkStart w:id="22" w:name="_Toc522453018"/>
      <w:r w:rsidRPr="596E7CBB">
        <w:rPr>
          <w:rFonts w:asciiTheme="minorHAnsi" w:eastAsiaTheme="minorEastAsia" w:hAnsiTheme="minorHAnsi" w:cstheme="minorBidi"/>
          <w:i/>
          <w:iCs/>
          <w:color w:val="auto"/>
          <w:sz w:val="28"/>
          <w:szCs w:val="28"/>
        </w:rPr>
        <w:lastRenderedPageBreak/>
        <w:t>4. Issues and Successes When Applying AI</w:t>
      </w:r>
      <w:bookmarkEnd w:id="22"/>
    </w:p>
    <w:p w14:paraId="32A5B797" w14:textId="71B4F5D4" w:rsidR="4FE1F094" w:rsidRDefault="4FE1F094" w:rsidP="4FE1F094">
      <w:pPr>
        <w:spacing w:line="360" w:lineRule="auto"/>
        <w:jc w:val="both"/>
        <w:rPr>
          <w:sz w:val="28"/>
          <w:szCs w:val="28"/>
        </w:rPr>
      </w:pPr>
    </w:p>
    <w:p w14:paraId="48F11FE7" w14:textId="0D0565F0" w:rsidR="368D56A4" w:rsidRDefault="368D56A4" w:rsidP="4FE1F094">
      <w:pPr>
        <w:spacing w:line="360" w:lineRule="auto"/>
        <w:jc w:val="both"/>
        <w:rPr>
          <w:rFonts w:ascii="Arial" w:eastAsia="Arial" w:hAnsi="Arial" w:cs="Arial"/>
          <w:sz w:val="28"/>
          <w:szCs w:val="28"/>
        </w:rPr>
      </w:pPr>
      <w:r w:rsidRPr="4FE1F094">
        <w:rPr>
          <w:rFonts w:ascii="Arial" w:eastAsia="Arial" w:hAnsi="Arial" w:cs="Arial"/>
          <w:sz w:val="28"/>
          <w:szCs w:val="28"/>
        </w:rPr>
        <w:t xml:space="preserve">AI was useful because it helped expand the creative thinking process. It allowed different ideas, such as </w:t>
      </w:r>
      <w:r w:rsidR="4034144B" w:rsidRPr="4FE1F094">
        <w:rPr>
          <w:rFonts w:ascii="Arial" w:eastAsia="Arial" w:hAnsi="Arial" w:cs="Arial"/>
          <w:sz w:val="28"/>
          <w:szCs w:val="28"/>
        </w:rPr>
        <w:t>language exchange meetups, AI-generated conversation topics based on customers’ uploaded photographs, cultural workshops, a digital progress passport, personalised learning plans, pronunciation feedback, and reward-based learning activities</w:t>
      </w:r>
      <w:r w:rsidRPr="4FE1F094">
        <w:rPr>
          <w:rFonts w:ascii="Arial" w:eastAsia="Arial" w:hAnsi="Arial" w:cs="Arial"/>
          <w:sz w:val="28"/>
          <w:szCs w:val="28"/>
        </w:rPr>
        <w:t xml:space="preserve">. Agyapong et al. (2025) suggest that using AI to explore a wider range of options can help SMEs make better decisions and avoid choosing solutions too quickly. </w:t>
      </w:r>
    </w:p>
    <w:p w14:paraId="26C00B60" w14:textId="4E57F917" w:rsidR="368D56A4" w:rsidRDefault="368D56A4" w:rsidP="4FE1F094">
      <w:pPr>
        <w:spacing w:line="360" w:lineRule="auto"/>
        <w:jc w:val="both"/>
      </w:pPr>
      <w:r w:rsidRPr="4FE1F094">
        <w:rPr>
          <w:rFonts w:ascii="Arial" w:eastAsia="Arial" w:hAnsi="Arial" w:cs="Arial"/>
          <w:sz w:val="28"/>
          <w:szCs w:val="28"/>
        </w:rPr>
        <w:t xml:space="preserve">Bowen et al. (2023) argue that hospitality SMEs need practical solutions after periods of disruption, which helped keep the proposal realistic and achievable. </w:t>
      </w:r>
    </w:p>
    <w:p w14:paraId="2E61878B" w14:textId="01E12009" w:rsidR="6B845A55" w:rsidRDefault="6B845A55" w:rsidP="4FE1F094">
      <w:pPr>
        <w:spacing w:line="360" w:lineRule="auto"/>
        <w:jc w:val="both"/>
      </w:pPr>
      <w:r w:rsidRPr="4FE1F094">
        <w:rPr>
          <w:rFonts w:ascii="Arial" w:eastAsia="Arial" w:hAnsi="Arial" w:cs="Arial"/>
          <w:sz w:val="28"/>
          <w:szCs w:val="28"/>
        </w:rPr>
        <w:t>AI also gave suggestions about how the remaining £2,000 could be spent. It briefly mentioned that the café’s grinder was broken, but it did not identify this as a main priority. Instead, AI focused more on spending money on new learning activities and customer experience features. It was only after I asked whether the money should first be used to repair or replace the grinder that AI agreed this should be the priority. This shows a limitation of AI recommendations, as it did not immediately recognise the importance of solving an existing operational problem before investing in new innovations. Therefore, human judgement was needed to question the AI’s suggestions and ensure that the final proposal was realistic and focused on the café’s most urgent needs.</w:t>
      </w:r>
    </w:p>
    <w:p w14:paraId="4D87C3E8" w14:textId="161C925B" w:rsidR="5CD17CBC" w:rsidRDefault="5CD17CBC" w:rsidP="4FE1F094">
      <w:pPr>
        <w:spacing w:line="360" w:lineRule="auto"/>
        <w:jc w:val="both"/>
        <w:rPr>
          <w:rFonts w:ascii="Arial" w:eastAsia="Arial" w:hAnsi="Arial" w:cs="Arial"/>
          <w:sz w:val="28"/>
          <w:szCs w:val="28"/>
        </w:rPr>
      </w:pPr>
      <w:r w:rsidRPr="4FE1F094">
        <w:rPr>
          <w:rFonts w:ascii="Arial" w:eastAsia="Arial" w:hAnsi="Arial" w:cs="Arial"/>
          <w:sz w:val="28"/>
          <w:szCs w:val="28"/>
        </w:rPr>
        <w:t xml:space="preserve">Teoh et al. (2023) suggest that digital business model innovation can support SME development. The AI-generated feedback encouraged </w:t>
      </w:r>
      <w:r w:rsidRPr="4FE1F094">
        <w:rPr>
          <w:rFonts w:ascii="Arial" w:eastAsia="Arial" w:hAnsi="Arial" w:cs="Arial"/>
          <w:sz w:val="28"/>
          <w:szCs w:val="28"/>
        </w:rPr>
        <w:lastRenderedPageBreak/>
        <w:t>critical evaluation of the idea and highlighted the importance of balancing innovation with the café’s available resources and operational constraints.</w:t>
      </w:r>
    </w:p>
    <w:p w14:paraId="07A72EC9" w14:textId="155A4E46" w:rsidR="5CD17CBC" w:rsidRDefault="5CD17CBC" w:rsidP="4FE1F094">
      <w:pPr>
        <w:spacing w:line="360" w:lineRule="auto"/>
        <w:jc w:val="both"/>
        <w:rPr>
          <w:rFonts w:ascii="Arial" w:eastAsia="Arial" w:hAnsi="Arial" w:cs="Arial"/>
          <w:sz w:val="28"/>
          <w:szCs w:val="28"/>
        </w:rPr>
      </w:pPr>
      <w:r w:rsidRPr="4FE1F094">
        <w:rPr>
          <w:rFonts w:ascii="Arial" w:eastAsia="Arial" w:hAnsi="Arial" w:cs="Arial"/>
          <w:sz w:val="28"/>
          <w:szCs w:val="28"/>
        </w:rPr>
        <w:t>Several suggestions generated during the development process were not included in the final proposal because they were considered unrealistic, costly, or difficult to implement within the café’s current circumstances. The Department for Energy Security and Net Zero and Jones MP (2025) highlight the financial pressures facing hospitality businesses, making careful resource allocation particularly important. Although AI supported the idea-generation process, the final innovation proposal was shaped through critical judgement and adaptation to ensure it remained practical, affordable, and aligned with Seren Coffi’s values and long-term objectives.</w:t>
      </w:r>
    </w:p>
    <w:p w14:paraId="50B388B9" w14:textId="75DF23E4" w:rsidR="4FE1F094" w:rsidRDefault="4FE1F094" w:rsidP="4FE1F094">
      <w:pPr>
        <w:spacing w:line="360" w:lineRule="auto"/>
      </w:pPr>
    </w:p>
    <w:p w14:paraId="0D8229AD" w14:textId="60172DC1" w:rsidR="6F531B41" w:rsidRDefault="6F531B41" w:rsidP="596E7CBB">
      <w:pPr>
        <w:pStyle w:val="Heading2"/>
        <w:spacing w:line="360" w:lineRule="auto"/>
        <w:rPr>
          <w:rFonts w:asciiTheme="minorHAnsi" w:eastAsiaTheme="minorEastAsia" w:hAnsiTheme="minorHAnsi" w:cstheme="minorBidi"/>
          <w:i/>
          <w:iCs/>
          <w:color w:val="auto"/>
          <w:sz w:val="28"/>
          <w:szCs w:val="28"/>
        </w:rPr>
      </w:pPr>
      <w:bookmarkStart w:id="23" w:name="_Toc1953831534"/>
      <w:r w:rsidRPr="596E7CBB">
        <w:rPr>
          <w:rFonts w:asciiTheme="minorHAnsi" w:eastAsiaTheme="minorEastAsia" w:hAnsiTheme="minorHAnsi" w:cstheme="minorBidi"/>
          <w:i/>
          <w:iCs/>
          <w:color w:val="auto"/>
          <w:sz w:val="28"/>
          <w:szCs w:val="28"/>
        </w:rPr>
        <w:t>5</w:t>
      </w:r>
      <w:r w:rsidR="0716B1C2" w:rsidRPr="596E7CBB">
        <w:rPr>
          <w:rFonts w:asciiTheme="minorHAnsi" w:eastAsiaTheme="minorEastAsia" w:hAnsiTheme="minorHAnsi" w:cstheme="minorBidi"/>
          <w:i/>
          <w:iCs/>
          <w:color w:val="auto"/>
          <w:sz w:val="28"/>
          <w:szCs w:val="28"/>
        </w:rPr>
        <w:t>. Ethical and Academic Reflection on AI Use</w:t>
      </w:r>
      <w:bookmarkEnd w:id="23"/>
    </w:p>
    <w:p w14:paraId="44C8E7C0" w14:textId="6A7F4523" w:rsidR="656A23ED" w:rsidRDefault="656A23ED" w:rsidP="4FE1F094">
      <w:pPr>
        <w:spacing w:line="360" w:lineRule="auto"/>
        <w:jc w:val="both"/>
        <w:rPr>
          <w:sz w:val="28"/>
          <w:szCs w:val="28"/>
        </w:rPr>
      </w:pPr>
      <w:r w:rsidRPr="4FE1F094">
        <w:rPr>
          <w:sz w:val="28"/>
          <w:szCs w:val="28"/>
        </w:rPr>
        <w:t>AI was used as a tool to support idea development and research</w:t>
      </w:r>
      <w:r w:rsidR="7AC77972" w:rsidRPr="4FE1F094">
        <w:rPr>
          <w:sz w:val="28"/>
          <w:szCs w:val="28"/>
        </w:rPr>
        <w:t>.</w:t>
      </w:r>
      <w:r w:rsidRPr="4FE1F094">
        <w:rPr>
          <w:sz w:val="28"/>
          <w:szCs w:val="28"/>
        </w:rPr>
        <w:t xml:space="preserve"> For this reason, full screenshots of prompts and responses have been included in the appendix as evidence of the development process. Grilli and Pedota (2024) argue that AI can support creativity, but it is important to understand its limitations and use it appropriately. In this project, AI was used to challenge ideas, suggest improvements, and explore alternatives, while all final decisions, evaluations, and critical analysis remained the responsibility of </w:t>
      </w:r>
      <w:r w:rsidR="5CE5BC8D" w:rsidRPr="4FE1F094">
        <w:rPr>
          <w:sz w:val="28"/>
          <w:szCs w:val="28"/>
        </w:rPr>
        <w:t>me.</w:t>
      </w:r>
    </w:p>
    <w:p w14:paraId="795EF2BA" w14:textId="52C63F6A" w:rsidR="656A23ED" w:rsidRDefault="656A23ED" w:rsidP="4FE1F094">
      <w:pPr>
        <w:spacing w:line="360" w:lineRule="auto"/>
        <w:jc w:val="both"/>
        <w:rPr>
          <w:sz w:val="28"/>
          <w:szCs w:val="28"/>
        </w:rPr>
      </w:pPr>
      <w:r w:rsidRPr="4FE1F094">
        <w:rPr>
          <w:sz w:val="28"/>
          <w:szCs w:val="28"/>
        </w:rPr>
        <w:t>Another concern was that AI can sometimes make ideas appear more advanced or practical than they really are. Although AI can generate convincing suggestions, not all of them are realistic. This was particularly important in the Seren Coffi case, where limited finances, founder capacity, and community values had to be considered. As a result, the final proposal needed to remain simple, practical, and affordable.</w:t>
      </w:r>
    </w:p>
    <w:p w14:paraId="55EB0E69" w14:textId="204AC312" w:rsidR="11092821" w:rsidRDefault="11092821" w:rsidP="596E7CBB">
      <w:pPr>
        <w:pStyle w:val="Heading2"/>
        <w:spacing w:line="360" w:lineRule="auto"/>
        <w:rPr>
          <w:rFonts w:asciiTheme="minorHAnsi" w:eastAsiaTheme="minorEastAsia" w:hAnsiTheme="minorHAnsi" w:cstheme="minorBidi"/>
          <w:i/>
          <w:iCs/>
          <w:color w:val="auto"/>
          <w:sz w:val="28"/>
          <w:szCs w:val="28"/>
        </w:rPr>
      </w:pPr>
      <w:bookmarkStart w:id="24" w:name="_Toc1285512083"/>
      <w:r w:rsidRPr="596E7CBB">
        <w:rPr>
          <w:rFonts w:asciiTheme="minorHAnsi" w:eastAsiaTheme="minorEastAsia" w:hAnsiTheme="minorHAnsi" w:cstheme="minorBidi"/>
          <w:i/>
          <w:iCs/>
          <w:color w:val="auto"/>
          <w:sz w:val="28"/>
          <w:szCs w:val="28"/>
        </w:rPr>
        <w:lastRenderedPageBreak/>
        <w:t>6</w:t>
      </w:r>
      <w:r w:rsidR="34977885" w:rsidRPr="596E7CBB">
        <w:rPr>
          <w:rFonts w:asciiTheme="minorHAnsi" w:eastAsiaTheme="minorEastAsia" w:hAnsiTheme="minorHAnsi" w:cstheme="minorBidi"/>
          <w:i/>
          <w:iCs/>
          <w:color w:val="auto"/>
          <w:sz w:val="28"/>
          <w:szCs w:val="28"/>
        </w:rPr>
        <w:t>. Part 2 Conclusion</w:t>
      </w:r>
      <w:bookmarkEnd w:id="24"/>
    </w:p>
    <w:p w14:paraId="35AA0AB9" w14:textId="211ED898" w:rsidR="28F19F6F" w:rsidRDefault="28F19F6F" w:rsidP="4FE1F094">
      <w:pPr>
        <w:spacing w:line="360" w:lineRule="auto"/>
        <w:jc w:val="both"/>
        <w:rPr>
          <w:rFonts w:ascii="Arial" w:eastAsia="Arial" w:hAnsi="Arial" w:cs="Arial"/>
          <w:sz w:val="28"/>
          <w:szCs w:val="28"/>
        </w:rPr>
      </w:pPr>
      <w:r w:rsidRPr="4FE1F094">
        <w:rPr>
          <w:rFonts w:ascii="Arial" w:eastAsia="Arial" w:hAnsi="Arial" w:cs="Arial"/>
          <w:sz w:val="28"/>
          <w:szCs w:val="28"/>
        </w:rPr>
        <w:t>Overall, AI was a useful tool for developing and testing ideas, but it could not replace human judgement. It helped identify operational problems</w:t>
      </w:r>
      <w:r w:rsidR="6D2BB72E" w:rsidRPr="4FE1F094">
        <w:rPr>
          <w:rFonts w:ascii="Arial" w:eastAsia="Arial" w:hAnsi="Arial" w:cs="Arial"/>
          <w:sz w:val="28"/>
          <w:szCs w:val="28"/>
        </w:rPr>
        <w:t xml:space="preserve"> and</w:t>
      </w:r>
      <w:r w:rsidRPr="4FE1F094">
        <w:rPr>
          <w:rFonts w:ascii="Arial" w:eastAsia="Arial" w:hAnsi="Arial" w:cs="Arial"/>
          <w:sz w:val="28"/>
          <w:szCs w:val="28"/>
        </w:rPr>
        <w:t xml:space="preserve"> compare different innovation options. However, some of its suggestions were too general, overly optimistic, and did not fully consider the challenges faced by small businesses. Neupane et al. (2025) highlight the importance of flexibility, leadership, and community connections for hospitality SMEs, which was reflected in the development of Seren </w:t>
      </w:r>
      <w:r w:rsidR="313F6AD0" w:rsidRPr="4FE1F094">
        <w:rPr>
          <w:rFonts w:ascii="Arial" w:eastAsia="Arial" w:hAnsi="Arial" w:cs="Arial"/>
          <w:sz w:val="28"/>
          <w:szCs w:val="28"/>
        </w:rPr>
        <w:t>Global Learning Café</w:t>
      </w:r>
      <w:r w:rsidRPr="4FE1F094">
        <w:rPr>
          <w:rFonts w:ascii="Arial" w:eastAsia="Arial" w:hAnsi="Arial" w:cs="Arial"/>
          <w:sz w:val="28"/>
          <w:szCs w:val="28"/>
        </w:rPr>
        <w:t xml:space="preserve"> as a flexible and community-focused solution.</w:t>
      </w:r>
    </w:p>
    <w:p w14:paraId="5C1D0C83" w14:textId="2A2220FE" w:rsidR="4FE1F094" w:rsidRDefault="4FE1F094" w:rsidP="4FE1F094">
      <w:pPr>
        <w:spacing w:line="360" w:lineRule="auto"/>
        <w:jc w:val="both"/>
        <w:rPr>
          <w:rFonts w:ascii="Arial" w:eastAsia="Arial" w:hAnsi="Arial" w:cs="Arial"/>
          <w:sz w:val="28"/>
          <w:szCs w:val="28"/>
        </w:rPr>
      </w:pPr>
    </w:p>
    <w:p w14:paraId="4DFCABC6" w14:textId="2B598C86" w:rsidR="4FE1F094" w:rsidRDefault="4FE1F094" w:rsidP="4FE1F094">
      <w:pPr>
        <w:spacing w:line="360" w:lineRule="auto"/>
        <w:jc w:val="both"/>
        <w:rPr>
          <w:rFonts w:ascii="Arial" w:eastAsia="Arial" w:hAnsi="Arial" w:cs="Arial"/>
          <w:sz w:val="28"/>
          <w:szCs w:val="28"/>
        </w:rPr>
      </w:pPr>
    </w:p>
    <w:p w14:paraId="01E1BF30" w14:textId="419F4FD2" w:rsidR="4FE1F094" w:rsidRDefault="4FE1F094" w:rsidP="4FE1F094">
      <w:pPr>
        <w:spacing w:line="360" w:lineRule="auto"/>
        <w:jc w:val="both"/>
        <w:rPr>
          <w:rFonts w:ascii="Arial" w:eastAsia="Arial" w:hAnsi="Arial" w:cs="Arial"/>
          <w:sz w:val="28"/>
          <w:szCs w:val="28"/>
        </w:rPr>
      </w:pPr>
    </w:p>
    <w:p w14:paraId="7DDC5E74" w14:textId="749466D3" w:rsidR="0411E1D4" w:rsidRDefault="0411E1D4" w:rsidP="4FE1F094">
      <w:pPr>
        <w:pStyle w:val="Heading1"/>
        <w:rPr>
          <w:b/>
          <w:bCs/>
          <w:color w:val="auto"/>
          <w:sz w:val="32"/>
          <w:szCs w:val="32"/>
          <w:lang w:val="en-US"/>
        </w:rPr>
      </w:pPr>
      <w:bookmarkStart w:id="25" w:name="_Toc507634723"/>
      <w:r w:rsidRPr="596E7CBB">
        <w:rPr>
          <w:b/>
          <w:bCs/>
          <w:color w:val="auto"/>
          <w:sz w:val="32"/>
          <w:szCs w:val="32"/>
          <w:lang w:val="en-US"/>
        </w:rPr>
        <w:t>References</w:t>
      </w:r>
      <w:bookmarkEnd w:id="25"/>
    </w:p>
    <w:p w14:paraId="1C0E354D" w14:textId="45EDCEBA" w:rsidR="0411E1D4" w:rsidRDefault="0411E1D4" w:rsidP="596E7CBB">
      <w:pPr>
        <w:spacing w:after="120" w:line="480" w:lineRule="auto"/>
        <w:ind w:left="720" w:hanging="720"/>
        <w:jc w:val="both"/>
      </w:pPr>
      <w:r w:rsidRPr="596E7CBB">
        <w:rPr>
          <w:rFonts w:ascii="Times New Roman" w:eastAsia="Times New Roman" w:hAnsi="Times New Roman" w:cs="Times New Roman"/>
        </w:rPr>
        <w:t>Agyapong, A., Appiah, F.A., Osei, H.V. and Aidoo, S. (2025)</w:t>
      </w:r>
      <w:r w:rsidR="028D8101" w:rsidRPr="596E7CBB">
        <w:rPr>
          <w:rFonts w:ascii="Times New Roman" w:eastAsia="Times New Roman" w:hAnsi="Times New Roman" w:cs="Times New Roman"/>
        </w:rPr>
        <w:t>.</w:t>
      </w:r>
      <w:r w:rsidRPr="596E7CBB">
        <w:rPr>
          <w:rFonts w:ascii="Times New Roman" w:eastAsia="Times New Roman" w:hAnsi="Times New Roman" w:cs="Times New Roman"/>
        </w:rPr>
        <w:t xml:space="preserve"> ‘When and how does creativity influence performance? An examination of SMEs in an emerging economy’. </w:t>
      </w:r>
      <w:r w:rsidRPr="596E7CBB">
        <w:rPr>
          <w:rFonts w:ascii="Times New Roman" w:eastAsia="Times New Roman" w:hAnsi="Times New Roman" w:cs="Times New Roman"/>
          <w:i/>
          <w:iCs/>
        </w:rPr>
        <w:t>Africa Journal of Management</w:t>
      </w:r>
      <w:r w:rsidRPr="596E7CBB">
        <w:rPr>
          <w:rFonts w:ascii="Times New Roman" w:eastAsia="Times New Roman" w:hAnsi="Times New Roman" w:cs="Times New Roman"/>
        </w:rPr>
        <w:t xml:space="preserve"> 11(2), pp. 176–202. doi: </w:t>
      </w:r>
      <w:hyperlink r:id="rId7">
        <w:r w:rsidRPr="596E7CBB">
          <w:rPr>
            <w:rStyle w:val="Hyperlink"/>
            <w:color w:val="0563C1"/>
          </w:rPr>
          <w:t>https://doi.org/10.1080/23322373.2025.2500919</w:t>
        </w:r>
      </w:hyperlink>
      <w:r w:rsidR="401B966B" w:rsidRPr="596E7CBB">
        <w:t xml:space="preserve"> (Accessed: 14 June 2026).</w:t>
      </w:r>
    </w:p>
    <w:p w14:paraId="487C53F1" w14:textId="153E358C" w:rsidR="0411E1D4" w:rsidRDefault="0411E1D4" w:rsidP="596E7CBB">
      <w:pPr>
        <w:spacing w:after="120" w:line="480" w:lineRule="auto"/>
        <w:ind w:left="720" w:hanging="720"/>
        <w:jc w:val="both"/>
      </w:pPr>
      <w:r w:rsidRPr="596E7CBB">
        <w:rPr>
          <w:rFonts w:ascii="Times New Roman" w:eastAsia="Times New Roman" w:hAnsi="Times New Roman" w:cs="Times New Roman"/>
        </w:rPr>
        <w:t>Alhumud, A.A., Habib, S., Alghizzawi, M. and Alkhwaldi, A.F. (2024)</w:t>
      </w:r>
      <w:r w:rsidR="7BF5A263" w:rsidRPr="596E7CBB">
        <w:rPr>
          <w:rFonts w:ascii="Times New Roman" w:eastAsia="Times New Roman" w:hAnsi="Times New Roman" w:cs="Times New Roman"/>
        </w:rPr>
        <w:t>.</w:t>
      </w:r>
      <w:r w:rsidRPr="596E7CBB">
        <w:rPr>
          <w:rFonts w:ascii="Times New Roman" w:eastAsia="Times New Roman" w:hAnsi="Times New Roman" w:cs="Times New Roman"/>
        </w:rPr>
        <w:t xml:space="preserve"> ‘Social commerce and customer-to-customer value co-creation: The role of sustainable customer relationships’, </w:t>
      </w:r>
      <w:r w:rsidRPr="596E7CBB">
        <w:rPr>
          <w:rFonts w:ascii="Times New Roman" w:eastAsia="Times New Roman" w:hAnsi="Times New Roman" w:cs="Times New Roman"/>
          <w:i/>
          <w:iCs/>
        </w:rPr>
        <w:t>Sustainability</w:t>
      </w:r>
      <w:r w:rsidRPr="596E7CBB">
        <w:rPr>
          <w:rFonts w:ascii="Times New Roman" w:eastAsia="Times New Roman" w:hAnsi="Times New Roman" w:cs="Times New Roman"/>
        </w:rPr>
        <w:t xml:space="preserve">, 16(10), 4237. Available at: </w:t>
      </w:r>
      <w:hyperlink r:id="rId8">
        <w:r w:rsidRPr="596E7CBB">
          <w:rPr>
            <w:rStyle w:val="Hyperlink"/>
          </w:rPr>
          <w:t>https://www.mdpi.com/2071-1050/16/10/4237</w:t>
        </w:r>
      </w:hyperlink>
      <w:r w:rsidR="1C37FA31" w:rsidRPr="596E7CBB">
        <w:t xml:space="preserve"> (Accessed: 14 June 2026).</w:t>
      </w:r>
    </w:p>
    <w:p w14:paraId="481B9B39" w14:textId="2910C491" w:rsidR="0411E1D4" w:rsidRDefault="0411E1D4" w:rsidP="596E7CBB">
      <w:pPr>
        <w:spacing w:after="120" w:line="480" w:lineRule="auto"/>
        <w:ind w:left="720" w:hanging="720"/>
        <w:jc w:val="both"/>
      </w:pPr>
      <w:r w:rsidRPr="596E7CBB">
        <w:rPr>
          <w:rFonts w:ascii="Times New Roman" w:eastAsia="Times New Roman" w:hAnsi="Times New Roman" w:cs="Times New Roman"/>
        </w:rPr>
        <w:t>Arandia Arzabe, F. and Reyna, J. (2024)</w:t>
      </w:r>
      <w:r w:rsidR="463E6E24" w:rsidRPr="596E7CBB">
        <w:rPr>
          <w:rFonts w:ascii="Times New Roman" w:eastAsia="Times New Roman" w:hAnsi="Times New Roman" w:cs="Times New Roman"/>
        </w:rPr>
        <w:t>.</w:t>
      </w:r>
      <w:r w:rsidRPr="596E7CBB">
        <w:rPr>
          <w:rFonts w:ascii="Times New Roman" w:eastAsia="Times New Roman" w:hAnsi="Times New Roman" w:cs="Times New Roman"/>
        </w:rPr>
        <w:t xml:space="preserve"> ‘Business model innovation factors of small and medium-sised enterprises in Bolivia’, </w:t>
      </w:r>
      <w:r w:rsidRPr="596E7CBB">
        <w:rPr>
          <w:rFonts w:ascii="Times New Roman" w:eastAsia="Times New Roman" w:hAnsi="Times New Roman" w:cs="Times New Roman"/>
          <w:i/>
          <w:iCs/>
        </w:rPr>
        <w:t>Journal of Risk and Financial Management</w:t>
      </w:r>
      <w:r w:rsidRPr="596E7CBB">
        <w:rPr>
          <w:rFonts w:ascii="Times New Roman" w:eastAsia="Times New Roman" w:hAnsi="Times New Roman" w:cs="Times New Roman"/>
        </w:rPr>
        <w:t xml:space="preserve">, 17(8), 334. Available at: </w:t>
      </w:r>
      <w:hyperlink r:id="rId9">
        <w:r w:rsidRPr="596E7CBB">
          <w:rPr>
            <w:rStyle w:val="Hyperlink"/>
          </w:rPr>
          <w:t>https://www.mdpi.com/1911-8074/17/8/334</w:t>
        </w:r>
      </w:hyperlink>
      <w:r w:rsidR="6DDCB082" w:rsidRPr="596E7CBB">
        <w:t xml:space="preserve"> (Accessed: 31 May 2026).</w:t>
      </w:r>
    </w:p>
    <w:p w14:paraId="614E367E" w14:textId="75BAAF75" w:rsidR="0411E1D4" w:rsidRDefault="0411E1D4" w:rsidP="596E7CBB">
      <w:pPr>
        <w:spacing w:after="120" w:line="480" w:lineRule="auto"/>
        <w:ind w:left="720" w:hanging="720"/>
        <w:jc w:val="both"/>
      </w:pPr>
      <w:r w:rsidRPr="596E7CBB">
        <w:rPr>
          <w:rFonts w:ascii="Times New Roman" w:eastAsia="Times New Roman" w:hAnsi="Times New Roman" w:cs="Times New Roman"/>
        </w:rPr>
        <w:lastRenderedPageBreak/>
        <w:t>Bittner, N., Bakker, N. and Long, T.B. (2024)</w:t>
      </w:r>
      <w:r w:rsidR="34203EC3" w:rsidRPr="596E7CBB">
        <w:rPr>
          <w:rFonts w:ascii="Times New Roman" w:eastAsia="Times New Roman" w:hAnsi="Times New Roman" w:cs="Times New Roman"/>
        </w:rPr>
        <w:t>.</w:t>
      </w:r>
      <w:r w:rsidRPr="596E7CBB">
        <w:rPr>
          <w:rFonts w:ascii="Times New Roman" w:eastAsia="Times New Roman" w:hAnsi="Times New Roman" w:cs="Times New Roman"/>
        </w:rPr>
        <w:t xml:space="preserve"> ‘Circular economy and the hospitality industry: A comparison of the Netherlands and Indonesia’. </w:t>
      </w:r>
      <w:r w:rsidRPr="596E7CBB">
        <w:rPr>
          <w:rFonts w:ascii="Times New Roman" w:eastAsia="Times New Roman" w:hAnsi="Times New Roman" w:cs="Times New Roman"/>
          <w:i/>
          <w:iCs/>
        </w:rPr>
        <w:t>Journal of Cleaner Production</w:t>
      </w:r>
      <w:r w:rsidRPr="596E7CBB">
        <w:rPr>
          <w:rFonts w:ascii="Times New Roman" w:eastAsia="Times New Roman" w:hAnsi="Times New Roman" w:cs="Times New Roman"/>
        </w:rPr>
        <w:t xml:space="preserve"> 444, pp. 141253–141253. doi: </w:t>
      </w:r>
      <w:hyperlink r:id="rId10">
        <w:r w:rsidRPr="596E7CBB">
          <w:rPr>
            <w:rStyle w:val="Hyperlink"/>
            <w:color w:val="0563C1"/>
          </w:rPr>
          <w:t>https://doi.org/10.1016/j.jclepro.2024.141253</w:t>
        </w:r>
      </w:hyperlink>
      <w:r w:rsidR="019DB4F8" w:rsidRPr="596E7CBB">
        <w:rPr>
          <w:color w:val="0563C1"/>
          <w:u w:val="single"/>
        </w:rPr>
        <w:t xml:space="preserve"> </w:t>
      </w:r>
      <w:r w:rsidR="019DB4F8" w:rsidRPr="596E7CBB">
        <w:t>(Accessed: 31 May 2026).</w:t>
      </w:r>
    </w:p>
    <w:p w14:paraId="0E7470CA" w14:textId="2475DA6D" w:rsidR="0411E1D4" w:rsidRDefault="0411E1D4" w:rsidP="596E7CBB">
      <w:pPr>
        <w:spacing w:after="120" w:line="480" w:lineRule="auto"/>
        <w:ind w:left="720" w:hanging="720"/>
        <w:jc w:val="both"/>
      </w:pPr>
      <w:r w:rsidRPr="596E7CBB">
        <w:rPr>
          <w:rFonts w:ascii="Times New Roman" w:eastAsia="Times New Roman" w:hAnsi="Times New Roman" w:cs="Times New Roman"/>
        </w:rPr>
        <w:t>Bowen, R., Dowell, D. and Morris, W. (2023)</w:t>
      </w:r>
      <w:r w:rsidR="6DE4DA3E" w:rsidRPr="596E7CBB">
        <w:rPr>
          <w:rFonts w:ascii="Times New Roman" w:eastAsia="Times New Roman" w:hAnsi="Times New Roman" w:cs="Times New Roman"/>
        </w:rPr>
        <w:t>.</w:t>
      </w:r>
      <w:r w:rsidRPr="596E7CBB">
        <w:rPr>
          <w:rFonts w:ascii="Times New Roman" w:eastAsia="Times New Roman" w:hAnsi="Times New Roman" w:cs="Times New Roman"/>
        </w:rPr>
        <w:t xml:space="preserve"> ‘Hospitality SMEs and the Circular economy: Strategies and Practice post-COVID’. </w:t>
      </w:r>
      <w:r w:rsidRPr="596E7CBB">
        <w:rPr>
          <w:rFonts w:ascii="Times New Roman" w:eastAsia="Times New Roman" w:hAnsi="Times New Roman" w:cs="Times New Roman"/>
          <w:i/>
          <w:iCs/>
        </w:rPr>
        <w:t>British Food Journal</w:t>
      </w:r>
      <w:r w:rsidRPr="596E7CBB">
        <w:rPr>
          <w:rFonts w:ascii="Times New Roman" w:eastAsia="Times New Roman" w:hAnsi="Times New Roman" w:cs="Times New Roman"/>
        </w:rPr>
        <w:t xml:space="preserve"> 126(1). doi: </w:t>
      </w:r>
      <w:hyperlink r:id="rId11">
        <w:r w:rsidRPr="596E7CBB">
          <w:rPr>
            <w:rStyle w:val="Hyperlink"/>
            <w:color w:val="0563C1"/>
          </w:rPr>
          <w:t>https://doi.org/10.1108/bfj-10-2022-0932</w:t>
        </w:r>
      </w:hyperlink>
      <w:r w:rsidR="1948A2C5" w:rsidRPr="596E7CBB">
        <w:rPr>
          <w:color w:val="0563C1"/>
          <w:u w:val="single"/>
        </w:rPr>
        <w:t xml:space="preserve"> </w:t>
      </w:r>
      <w:r w:rsidR="1948A2C5" w:rsidRPr="596E7CBB">
        <w:t>(Accessed: 14 June 2026).</w:t>
      </w:r>
    </w:p>
    <w:p w14:paraId="35F1A2AB" w14:textId="3136FB3F" w:rsidR="0411E1D4" w:rsidRDefault="0411E1D4" w:rsidP="596E7CBB">
      <w:pPr>
        <w:spacing w:after="120" w:line="480" w:lineRule="auto"/>
        <w:ind w:left="720" w:hanging="720"/>
        <w:jc w:val="both"/>
      </w:pPr>
      <w:r w:rsidRPr="596E7CBB">
        <w:rPr>
          <w:rFonts w:ascii="Times New Roman" w:eastAsia="Times New Roman" w:hAnsi="Times New Roman" w:cs="Times New Roman"/>
        </w:rPr>
        <w:t>Chen, X. and Rahman, I. (2022)</w:t>
      </w:r>
      <w:r w:rsidR="4C379F9C" w:rsidRPr="596E7CBB">
        <w:rPr>
          <w:rFonts w:ascii="Times New Roman" w:eastAsia="Times New Roman" w:hAnsi="Times New Roman" w:cs="Times New Roman"/>
        </w:rPr>
        <w:t>.</w:t>
      </w:r>
      <w:r w:rsidRPr="596E7CBB">
        <w:rPr>
          <w:rFonts w:ascii="Times New Roman" w:eastAsia="Times New Roman" w:hAnsi="Times New Roman" w:cs="Times New Roman"/>
        </w:rPr>
        <w:t xml:space="preserve"> ‘The impact of hotel customer engagement and service evaluation on brand trust and customer behavioural intention’, </w:t>
      </w:r>
      <w:r w:rsidRPr="596E7CBB">
        <w:rPr>
          <w:rFonts w:ascii="Times New Roman" w:eastAsia="Times New Roman" w:hAnsi="Times New Roman" w:cs="Times New Roman"/>
          <w:i/>
          <w:iCs/>
        </w:rPr>
        <w:t>Sustainability</w:t>
      </w:r>
      <w:r w:rsidRPr="596E7CBB">
        <w:rPr>
          <w:rFonts w:ascii="Times New Roman" w:eastAsia="Times New Roman" w:hAnsi="Times New Roman" w:cs="Times New Roman"/>
        </w:rPr>
        <w:t xml:space="preserve">, 14(10), 5814. Available at: </w:t>
      </w:r>
      <w:hyperlink r:id="rId12">
        <w:r w:rsidRPr="596E7CBB">
          <w:rPr>
            <w:rStyle w:val="Hyperlink"/>
          </w:rPr>
          <w:t>https://pmc.ncbi.nlm.nih.gov/articles/PMC9088737/</w:t>
        </w:r>
      </w:hyperlink>
      <w:r w:rsidR="4DF500B6" w:rsidRPr="596E7CBB">
        <w:t xml:space="preserve"> (Accessed: 14 June 2026).</w:t>
      </w:r>
    </w:p>
    <w:p w14:paraId="72D088A3" w14:textId="42895E18" w:rsidR="57C8F288" w:rsidRDefault="57C8F288" w:rsidP="4FE1F094">
      <w:pPr>
        <w:spacing w:after="120" w:line="480" w:lineRule="auto"/>
        <w:ind w:left="720" w:hanging="720"/>
        <w:jc w:val="both"/>
        <w:rPr>
          <w:rFonts w:ascii="Times New Roman" w:eastAsia="Times New Roman" w:hAnsi="Times New Roman" w:cs="Times New Roman"/>
        </w:rPr>
      </w:pPr>
      <w:r w:rsidRPr="596E7CBB">
        <w:rPr>
          <w:rFonts w:ascii="Times New Roman" w:eastAsia="Times New Roman" w:hAnsi="Times New Roman" w:cs="Times New Roman"/>
          <w:sz w:val="26"/>
          <w:szCs w:val="26"/>
        </w:rPr>
        <w:t xml:space="preserve">Chesbrough, H. (2003). </w:t>
      </w:r>
      <w:r w:rsidRPr="596E7CBB">
        <w:rPr>
          <w:rFonts w:ascii="Times New Roman" w:eastAsia="Times New Roman" w:hAnsi="Times New Roman" w:cs="Times New Roman"/>
          <w:i/>
          <w:iCs/>
        </w:rPr>
        <w:t>Open Innovation: The New Imperative for Creating and Profiting from Technology</w:t>
      </w:r>
      <w:r w:rsidRPr="596E7CBB">
        <w:rPr>
          <w:rFonts w:ascii="Times New Roman" w:eastAsia="Times New Roman" w:hAnsi="Times New Roman" w:cs="Times New Roman"/>
        </w:rPr>
        <w:t>. Boston: Harvard Business School Press.</w:t>
      </w:r>
      <w:r w:rsidR="3529DF11" w:rsidRPr="596E7CBB">
        <w:rPr>
          <w:rFonts w:ascii="Times New Roman" w:eastAsia="Times New Roman" w:hAnsi="Times New Roman" w:cs="Times New Roman"/>
        </w:rPr>
        <w:t xml:space="preserve"> (Accessed: 28 May 2026).</w:t>
      </w:r>
    </w:p>
    <w:p w14:paraId="0932A161" w14:textId="7AB3BEC2" w:rsidR="0411E1D4" w:rsidRDefault="0411E1D4" w:rsidP="596E7CBB">
      <w:pPr>
        <w:spacing w:after="120" w:line="480" w:lineRule="auto"/>
        <w:ind w:left="720" w:hanging="720"/>
        <w:jc w:val="both"/>
        <w:rPr>
          <w:rFonts w:ascii="Times New Roman" w:eastAsia="Times New Roman" w:hAnsi="Times New Roman" w:cs="Times New Roman"/>
        </w:rPr>
      </w:pPr>
      <w:r w:rsidRPr="596E7CBB">
        <w:rPr>
          <w:rFonts w:ascii="Times New Roman" w:eastAsia="Times New Roman" w:hAnsi="Times New Roman" w:cs="Times New Roman"/>
        </w:rPr>
        <w:t>Department for Business and Trade (2025)</w:t>
      </w:r>
      <w:r w:rsidR="65682A30" w:rsidRPr="596E7CBB">
        <w:rPr>
          <w:rFonts w:ascii="Times New Roman" w:eastAsia="Times New Roman" w:hAnsi="Times New Roman" w:cs="Times New Roman"/>
        </w:rPr>
        <w:t>.</w:t>
      </w:r>
      <w:r w:rsidRPr="596E7CBB">
        <w:rPr>
          <w:rFonts w:ascii="Times New Roman" w:eastAsia="Times New Roman" w:hAnsi="Times New Roman" w:cs="Times New Roman"/>
        </w:rPr>
        <w:t xml:space="preserve"> </w:t>
      </w:r>
      <w:r w:rsidRPr="596E7CBB">
        <w:rPr>
          <w:rFonts w:ascii="Times New Roman" w:eastAsia="Times New Roman" w:hAnsi="Times New Roman" w:cs="Times New Roman"/>
          <w:i/>
          <w:iCs/>
        </w:rPr>
        <w:t>BACKING YOUR BUSINESS Our Plan for Small and Medium-Sised Businesses CP 1358</w:t>
      </w:r>
      <w:r w:rsidRPr="596E7CBB">
        <w:rPr>
          <w:rFonts w:ascii="Times New Roman" w:eastAsia="Times New Roman" w:hAnsi="Times New Roman" w:cs="Times New Roman"/>
        </w:rPr>
        <w:t xml:space="preserve">. Available at: </w:t>
      </w:r>
      <w:hyperlink r:id="rId13">
        <w:r w:rsidRPr="596E7CBB">
          <w:rPr>
            <w:rStyle w:val="Hyperlink"/>
            <w:color w:val="0563C1"/>
          </w:rPr>
          <w:t>https://assets.publishing.service.gov.uk/media/695e3c022a4a53b73d51380f/our-plan-for-small-and-medium-sised-businesses.pdf</w:t>
        </w:r>
      </w:hyperlink>
      <w:r w:rsidR="55E5E00F" w:rsidRPr="596E7CBB">
        <w:rPr>
          <w:color w:val="0563C1"/>
          <w:u w:val="single"/>
        </w:rPr>
        <w:t xml:space="preserve"> </w:t>
      </w:r>
      <w:r w:rsidR="55E5E00F" w:rsidRPr="596E7CBB">
        <w:rPr>
          <w:rFonts w:ascii="Times New Roman" w:eastAsia="Times New Roman" w:hAnsi="Times New Roman" w:cs="Times New Roman"/>
        </w:rPr>
        <w:t>(Accessed: 26 May 2026).</w:t>
      </w:r>
    </w:p>
    <w:p w14:paraId="2205941D" w14:textId="6A65DE47" w:rsidR="0411E1D4" w:rsidRDefault="0411E1D4" w:rsidP="596E7CBB">
      <w:pPr>
        <w:spacing w:after="120" w:line="480" w:lineRule="auto"/>
        <w:ind w:left="720" w:hanging="720"/>
        <w:jc w:val="both"/>
        <w:rPr>
          <w:rFonts w:ascii="Times New Roman" w:eastAsia="Times New Roman" w:hAnsi="Times New Roman" w:cs="Times New Roman"/>
        </w:rPr>
      </w:pPr>
      <w:r w:rsidRPr="596E7CBB">
        <w:rPr>
          <w:rFonts w:ascii="Times New Roman" w:eastAsia="Times New Roman" w:hAnsi="Times New Roman" w:cs="Times New Roman"/>
        </w:rPr>
        <w:t>Department for Energy Security and Net Zero (2023)</w:t>
      </w:r>
      <w:r w:rsidR="45EF62AD" w:rsidRPr="596E7CBB">
        <w:rPr>
          <w:rFonts w:ascii="Times New Roman" w:eastAsia="Times New Roman" w:hAnsi="Times New Roman" w:cs="Times New Roman"/>
        </w:rPr>
        <w:t>.</w:t>
      </w:r>
      <w:r w:rsidRPr="596E7CBB">
        <w:rPr>
          <w:rFonts w:ascii="Times New Roman" w:eastAsia="Times New Roman" w:hAnsi="Times New Roman" w:cs="Times New Roman"/>
        </w:rPr>
        <w:t xml:space="preserve"> </w:t>
      </w:r>
      <w:r w:rsidRPr="596E7CBB">
        <w:rPr>
          <w:rFonts w:ascii="Times New Roman" w:eastAsia="Times New Roman" w:hAnsi="Times New Roman" w:cs="Times New Roman"/>
          <w:i/>
          <w:iCs/>
        </w:rPr>
        <w:t>Non-Domestic Building Stock in England and Wales Part 3: Hospitality Sector Report</w:t>
      </w:r>
      <w:r w:rsidRPr="596E7CBB">
        <w:rPr>
          <w:rFonts w:ascii="Times New Roman" w:eastAsia="Times New Roman" w:hAnsi="Times New Roman" w:cs="Times New Roman"/>
        </w:rPr>
        <w:t xml:space="preserve">. Available at: </w:t>
      </w:r>
      <w:hyperlink r:id="rId14">
        <w:r w:rsidRPr="596E7CBB">
          <w:rPr>
            <w:rStyle w:val="Hyperlink"/>
            <w:color w:val="0563C1"/>
          </w:rPr>
          <w:t>https://assets.publishing.service.gov.uk/media/65c3ba8ab17912000dba6873/non-domestic-building-stock-part-3-hospitality-sector.pdf</w:t>
        </w:r>
      </w:hyperlink>
      <w:r w:rsidR="6C11D29B" w:rsidRPr="596E7CBB">
        <w:rPr>
          <w:color w:val="0563C1"/>
          <w:u w:val="single"/>
        </w:rPr>
        <w:t xml:space="preserve"> </w:t>
      </w:r>
      <w:r w:rsidR="6C11D29B" w:rsidRPr="596E7CBB">
        <w:rPr>
          <w:rFonts w:ascii="Times New Roman" w:eastAsia="Times New Roman" w:hAnsi="Times New Roman" w:cs="Times New Roman"/>
        </w:rPr>
        <w:t>(Accessed: 27 May 2026).</w:t>
      </w:r>
    </w:p>
    <w:p w14:paraId="057EEB5C" w14:textId="5694F901" w:rsidR="0411E1D4" w:rsidRDefault="0411E1D4" w:rsidP="596E7CBB">
      <w:pPr>
        <w:spacing w:after="120" w:line="480" w:lineRule="auto"/>
        <w:ind w:left="720" w:hanging="720"/>
        <w:jc w:val="both"/>
        <w:rPr>
          <w:rFonts w:ascii="Times New Roman" w:eastAsia="Times New Roman" w:hAnsi="Times New Roman" w:cs="Times New Roman"/>
        </w:rPr>
      </w:pPr>
      <w:r w:rsidRPr="596E7CBB">
        <w:rPr>
          <w:rFonts w:ascii="Times New Roman" w:eastAsia="Times New Roman" w:hAnsi="Times New Roman" w:cs="Times New Roman"/>
        </w:rPr>
        <w:t>Department for Energy Security and Net Zero and Jones MP, S. (2025)</w:t>
      </w:r>
      <w:r w:rsidR="5F4E320B" w:rsidRPr="596E7CBB">
        <w:rPr>
          <w:rFonts w:ascii="Times New Roman" w:eastAsia="Times New Roman" w:hAnsi="Times New Roman" w:cs="Times New Roman"/>
        </w:rPr>
        <w:t>.</w:t>
      </w:r>
      <w:r w:rsidRPr="596E7CBB">
        <w:rPr>
          <w:rFonts w:ascii="Times New Roman" w:eastAsia="Times New Roman" w:hAnsi="Times New Roman" w:cs="Times New Roman"/>
        </w:rPr>
        <w:t xml:space="preserve"> </w:t>
      </w:r>
      <w:r w:rsidRPr="596E7CBB">
        <w:rPr>
          <w:rFonts w:ascii="Times New Roman" w:eastAsia="Times New Roman" w:hAnsi="Times New Roman" w:cs="Times New Roman"/>
          <w:i/>
          <w:iCs/>
        </w:rPr>
        <w:t>Britain’s hospitality sector to save £3 million under new scheme</w:t>
      </w:r>
      <w:r w:rsidRPr="596E7CBB">
        <w:rPr>
          <w:rFonts w:ascii="Times New Roman" w:eastAsia="Times New Roman" w:hAnsi="Times New Roman" w:cs="Times New Roman"/>
        </w:rPr>
        <w:t xml:space="preserve">. Available at: </w:t>
      </w:r>
      <w:hyperlink r:id="rId15">
        <w:r w:rsidRPr="596E7CBB">
          <w:rPr>
            <w:rStyle w:val="Hyperlink"/>
            <w:color w:val="0563C1"/>
          </w:rPr>
          <w:t>https://www.gov.uk/government/news/britains-hospitality-sector-to-save-3-million-under-new-scheme</w:t>
        </w:r>
      </w:hyperlink>
      <w:r w:rsidR="01E384CC" w:rsidRPr="596E7CBB">
        <w:rPr>
          <w:color w:val="0563C1"/>
          <w:u w:val="single"/>
        </w:rPr>
        <w:t xml:space="preserve"> </w:t>
      </w:r>
      <w:r w:rsidR="01E384CC" w:rsidRPr="596E7CBB">
        <w:rPr>
          <w:rFonts w:ascii="Times New Roman" w:eastAsia="Times New Roman" w:hAnsi="Times New Roman" w:cs="Times New Roman"/>
        </w:rPr>
        <w:t>(Accessed: 28 May 2026).</w:t>
      </w:r>
    </w:p>
    <w:p w14:paraId="27041E66" w14:textId="419303E4" w:rsidR="0411E1D4" w:rsidRDefault="0411E1D4" w:rsidP="596E7CBB">
      <w:pPr>
        <w:spacing w:after="120" w:line="480" w:lineRule="auto"/>
        <w:ind w:left="720" w:hanging="720"/>
        <w:jc w:val="both"/>
        <w:rPr>
          <w:rFonts w:ascii="Times New Roman" w:eastAsia="Times New Roman" w:hAnsi="Times New Roman" w:cs="Times New Roman"/>
        </w:rPr>
      </w:pPr>
      <w:r w:rsidRPr="596E7CBB">
        <w:rPr>
          <w:rFonts w:ascii="Times New Roman" w:eastAsia="Times New Roman" w:hAnsi="Times New Roman" w:cs="Times New Roman"/>
        </w:rPr>
        <w:t>Ertz, M. (2024)</w:t>
      </w:r>
      <w:r w:rsidR="2F7623EF" w:rsidRPr="596E7CBB">
        <w:rPr>
          <w:rFonts w:ascii="Times New Roman" w:eastAsia="Times New Roman" w:hAnsi="Times New Roman" w:cs="Times New Roman"/>
        </w:rPr>
        <w:t>.</w:t>
      </w:r>
      <w:r w:rsidRPr="596E7CBB">
        <w:rPr>
          <w:rFonts w:ascii="Times New Roman" w:eastAsia="Times New Roman" w:hAnsi="Times New Roman" w:cs="Times New Roman"/>
        </w:rPr>
        <w:t xml:space="preserve"> ‘Co-creation’, </w:t>
      </w:r>
      <w:r w:rsidRPr="596E7CBB">
        <w:rPr>
          <w:rFonts w:ascii="Times New Roman" w:eastAsia="Times New Roman" w:hAnsi="Times New Roman" w:cs="Times New Roman"/>
          <w:i/>
          <w:iCs/>
        </w:rPr>
        <w:t>Encyclopedia</w:t>
      </w:r>
      <w:r w:rsidRPr="596E7CBB">
        <w:rPr>
          <w:rFonts w:ascii="Times New Roman" w:eastAsia="Times New Roman" w:hAnsi="Times New Roman" w:cs="Times New Roman"/>
        </w:rPr>
        <w:t xml:space="preserve">, 4(1), pp. 276–289. Available at: </w:t>
      </w:r>
      <w:hyperlink r:id="rId16">
        <w:r w:rsidRPr="596E7CBB">
          <w:rPr>
            <w:rStyle w:val="Hyperlink"/>
          </w:rPr>
          <w:t>https://www.mdpi.com/2673-8392/4/1/12</w:t>
        </w:r>
      </w:hyperlink>
      <w:r w:rsidR="5C86B2F1" w:rsidRPr="596E7CBB">
        <w:t xml:space="preserve"> </w:t>
      </w:r>
      <w:r w:rsidR="5C86B2F1" w:rsidRPr="596E7CBB">
        <w:rPr>
          <w:rFonts w:ascii="Times New Roman" w:eastAsia="Times New Roman" w:hAnsi="Times New Roman" w:cs="Times New Roman"/>
        </w:rPr>
        <w:t>(Accessed: 24May 2026).</w:t>
      </w:r>
    </w:p>
    <w:p w14:paraId="5DAD018D" w14:textId="399F0A28" w:rsidR="0411E1D4" w:rsidRDefault="0411E1D4" w:rsidP="596E7CBB">
      <w:pPr>
        <w:spacing w:after="120" w:line="480" w:lineRule="auto"/>
        <w:ind w:left="720" w:hanging="720"/>
        <w:jc w:val="both"/>
        <w:rPr>
          <w:rFonts w:ascii="Times New Roman" w:eastAsia="Times New Roman" w:hAnsi="Times New Roman" w:cs="Times New Roman"/>
        </w:rPr>
      </w:pPr>
      <w:r w:rsidRPr="596E7CBB">
        <w:rPr>
          <w:rFonts w:ascii="Times New Roman" w:eastAsia="Times New Roman" w:hAnsi="Times New Roman" w:cs="Times New Roman"/>
        </w:rPr>
        <w:t>Ferreira, J.J., Joana, A. and Gerschewski, S. (2024)</w:t>
      </w:r>
      <w:r w:rsidR="415A9FF6" w:rsidRPr="596E7CBB">
        <w:rPr>
          <w:rFonts w:ascii="Times New Roman" w:eastAsia="Times New Roman" w:hAnsi="Times New Roman" w:cs="Times New Roman"/>
        </w:rPr>
        <w:t>.</w:t>
      </w:r>
      <w:r w:rsidRPr="596E7CBB">
        <w:rPr>
          <w:rFonts w:ascii="Times New Roman" w:eastAsia="Times New Roman" w:hAnsi="Times New Roman" w:cs="Times New Roman"/>
        </w:rPr>
        <w:t xml:space="preserve"> ‘Innovative business models of SMEs: state-of-the-art and future research agenda’. </w:t>
      </w:r>
      <w:r w:rsidRPr="596E7CBB">
        <w:rPr>
          <w:rFonts w:ascii="Times New Roman" w:eastAsia="Times New Roman" w:hAnsi="Times New Roman" w:cs="Times New Roman"/>
          <w:i/>
          <w:iCs/>
        </w:rPr>
        <w:t>Journal of Small Business and Enterprise Development</w:t>
      </w:r>
      <w:r w:rsidRPr="596E7CBB">
        <w:rPr>
          <w:rFonts w:ascii="Times New Roman" w:eastAsia="Times New Roman" w:hAnsi="Times New Roman" w:cs="Times New Roman"/>
        </w:rPr>
        <w:t xml:space="preserve"> . doi: </w:t>
      </w:r>
      <w:hyperlink r:id="rId17">
        <w:r w:rsidRPr="596E7CBB">
          <w:rPr>
            <w:rStyle w:val="Hyperlink"/>
            <w:color w:val="0563C1"/>
          </w:rPr>
          <w:t>https://doi.org/10.1108/jsbed-10-2023-0505</w:t>
        </w:r>
      </w:hyperlink>
      <w:r w:rsidR="4CF92B85" w:rsidRPr="596E7CBB">
        <w:rPr>
          <w:color w:val="0563C1"/>
          <w:u w:val="single"/>
        </w:rPr>
        <w:t xml:space="preserve"> </w:t>
      </w:r>
      <w:r w:rsidR="4CF92B85" w:rsidRPr="596E7CBB">
        <w:rPr>
          <w:rFonts w:ascii="Times New Roman" w:eastAsia="Times New Roman" w:hAnsi="Times New Roman" w:cs="Times New Roman"/>
        </w:rPr>
        <w:t>(Accessed: 28 May 2026).</w:t>
      </w:r>
    </w:p>
    <w:p w14:paraId="58B1077D" w14:textId="4C525607" w:rsidR="0411E1D4" w:rsidRDefault="0411E1D4" w:rsidP="4FE1F094">
      <w:pPr>
        <w:spacing w:after="120" w:line="480" w:lineRule="auto"/>
        <w:ind w:left="720" w:hanging="720"/>
        <w:jc w:val="both"/>
      </w:pPr>
      <w:r w:rsidRPr="4FE1F094">
        <w:rPr>
          <w:rFonts w:ascii="Times New Roman" w:eastAsia="Times New Roman" w:hAnsi="Times New Roman" w:cs="Times New Roman"/>
        </w:rPr>
        <w:t>Furstenthal L., McClain J., Quinn B, Roth E. (2022)</w:t>
      </w:r>
      <w:r w:rsidR="31AE4766" w:rsidRPr="4FE1F094">
        <w:rPr>
          <w:rFonts w:ascii="Times New Roman" w:eastAsia="Times New Roman" w:hAnsi="Times New Roman" w:cs="Times New Roman"/>
        </w:rPr>
        <w:t>.</w:t>
      </w:r>
      <w:r w:rsidRPr="4FE1F094">
        <w:rPr>
          <w:rFonts w:ascii="Times New Roman" w:eastAsia="Times New Roman" w:hAnsi="Times New Roman" w:cs="Times New Roman"/>
        </w:rPr>
        <w:t xml:space="preserve"> Committed innovators: How masters of essentials outperform, Available at: </w:t>
      </w:r>
      <w:hyperlink r:id="rId18">
        <w:r w:rsidRPr="4FE1F094">
          <w:rPr>
            <w:rStyle w:val="Hyperlink"/>
            <w:color w:val="0563C1"/>
          </w:rPr>
          <w:t>https://www.mckinsey.com/capabilities/strategy-and-corporate-finance/our-insights/committed-innovators-how-masters-of-essentials-outperform</w:t>
        </w:r>
      </w:hyperlink>
      <w:r w:rsidRPr="4FE1F094">
        <w:rPr>
          <w:rFonts w:ascii="Times New Roman" w:eastAsia="Times New Roman" w:hAnsi="Times New Roman" w:cs="Times New Roman"/>
        </w:rPr>
        <w:t xml:space="preserve">   (Accessed: 24 </w:t>
      </w:r>
      <w:r w:rsidR="1643B8FB" w:rsidRPr="4FE1F094">
        <w:rPr>
          <w:rFonts w:ascii="Times New Roman" w:eastAsia="Times New Roman" w:hAnsi="Times New Roman" w:cs="Times New Roman"/>
        </w:rPr>
        <w:t>May</w:t>
      </w:r>
      <w:r w:rsidRPr="4FE1F094">
        <w:rPr>
          <w:rFonts w:ascii="Times New Roman" w:eastAsia="Times New Roman" w:hAnsi="Times New Roman" w:cs="Times New Roman"/>
        </w:rPr>
        <w:t xml:space="preserve"> 2026).</w:t>
      </w:r>
    </w:p>
    <w:p w14:paraId="3AD03F23" w14:textId="1D4A2BB0" w:rsidR="0411E1D4" w:rsidRDefault="0411E1D4" w:rsidP="596E7CBB">
      <w:pPr>
        <w:spacing w:after="120" w:line="480" w:lineRule="auto"/>
        <w:ind w:left="720" w:hanging="720"/>
        <w:jc w:val="both"/>
        <w:rPr>
          <w:rFonts w:ascii="Times New Roman" w:eastAsia="Times New Roman" w:hAnsi="Times New Roman" w:cs="Times New Roman"/>
        </w:rPr>
      </w:pPr>
      <w:r w:rsidRPr="596E7CBB">
        <w:rPr>
          <w:rFonts w:ascii="Times New Roman" w:eastAsia="Times New Roman" w:hAnsi="Times New Roman" w:cs="Times New Roman"/>
        </w:rPr>
        <w:t>Grilli, L. and Pedota, M. (2024)</w:t>
      </w:r>
      <w:r w:rsidR="5FF965B0" w:rsidRPr="596E7CBB">
        <w:rPr>
          <w:rFonts w:ascii="Times New Roman" w:eastAsia="Times New Roman" w:hAnsi="Times New Roman" w:cs="Times New Roman"/>
        </w:rPr>
        <w:t>.</w:t>
      </w:r>
      <w:r w:rsidRPr="596E7CBB">
        <w:rPr>
          <w:rFonts w:ascii="Times New Roman" w:eastAsia="Times New Roman" w:hAnsi="Times New Roman" w:cs="Times New Roman"/>
        </w:rPr>
        <w:t xml:space="preserve"> ‘Creativity and artificial intelligence: A multilevel perspective’, </w:t>
      </w:r>
      <w:r w:rsidRPr="596E7CBB">
        <w:rPr>
          <w:rFonts w:ascii="Times New Roman" w:eastAsia="Times New Roman" w:hAnsi="Times New Roman" w:cs="Times New Roman"/>
          <w:i/>
          <w:iCs/>
        </w:rPr>
        <w:t>Creativity and Innovation Management</w:t>
      </w:r>
      <w:r w:rsidRPr="596E7CBB">
        <w:rPr>
          <w:rFonts w:ascii="Times New Roman" w:eastAsia="Times New Roman" w:hAnsi="Times New Roman" w:cs="Times New Roman"/>
        </w:rPr>
        <w:t xml:space="preserve">, 33(2), pp. 234–247. Available at: </w:t>
      </w:r>
      <w:hyperlink r:id="rId19">
        <w:r w:rsidRPr="596E7CBB">
          <w:rPr>
            <w:rStyle w:val="Hyperlink"/>
          </w:rPr>
          <w:t>https://onlinelibrary.wiley.com/doi/full/10.1111/caim.12580</w:t>
        </w:r>
      </w:hyperlink>
      <w:r w:rsidR="1142E3D6" w:rsidRPr="596E7CBB">
        <w:t xml:space="preserve"> </w:t>
      </w:r>
      <w:r w:rsidR="1142E3D6" w:rsidRPr="596E7CBB">
        <w:rPr>
          <w:rFonts w:ascii="Times New Roman" w:eastAsia="Times New Roman" w:hAnsi="Times New Roman" w:cs="Times New Roman"/>
        </w:rPr>
        <w:t>(Accessed: 29 May 2026).</w:t>
      </w:r>
    </w:p>
    <w:p w14:paraId="595BAA7B" w14:textId="1373C642" w:rsidR="0411E1D4" w:rsidRDefault="0411E1D4" w:rsidP="596E7CBB">
      <w:pPr>
        <w:spacing w:after="120" w:line="480" w:lineRule="auto"/>
        <w:ind w:left="720" w:hanging="720"/>
        <w:jc w:val="both"/>
      </w:pPr>
      <w:r w:rsidRPr="596E7CBB">
        <w:rPr>
          <w:rFonts w:ascii="Times New Roman" w:eastAsia="Times New Roman" w:hAnsi="Times New Roman" w:cs="Times New Roman"/>
        </w:rPr>
        <w:t>Huang, W. and Ichikohji, T. (2023)</w:t>
      </w:r>
      <w:r w:rsidR="4536D9A7" w:rsidRPr="596E7CBB">
        <w:rPr>
          <w:rFonts w:ascii="Times New Roman" w:eastAsia="Times New Roman" w:hAnsi="Times New Roman" w:cs="Times New Roman"/>
        </w:rPr>
        <w:t>.</w:t>
      </w:r>
      <w:r w:rsidRPr="596E7CBB">
        <w:rPr>
          <w:rFonts w:ascii="Times New Roman" w:eastAsia="Times New Roman" w:hAnsi="Times New Roman" w:cs="Times New Roman"/>
        </w:rPr>
        <w:t xml:space="preserve"> ‘A review and analysis of the business model innovation literature’. </w:t>
      </w:r>
      <w:r w:rsidRPr="596E7CBB">
        <w:rPr>
          <w:rFonts w:ascii="Times New Roman" w:eastAsia="Times New Roman" w:hAnsi="Times New Roman" w:cs="Times New Roman"/>
          <w:i/>
          <w:iCs/>
        </w:rPr>
        <w:t>Heliyon</w:t>
      </w:r>
      <w:r w:rsidRPr="596E7CBB">
        <w:rPr>
          <w:rFonts w:ascii="Times New Roman" w:eastAsia="Times New Roman" w:hAnsi="Times New Roman" w:cs="Times New Roman"/>
        </w:rPr>
        <w:t xml:space="preserve"> 9(7), p. e17895. Available at: </w:t>
      </w:r>
      <w:hyperlink r:id="rId20">
        <w:r w:rsidRPr="596E7CBB">
          <w:rPr>
            <w:rStyle w:val="Hyperlink"/>
            <w:color w:val="0563C1"/>
          </w:rPr>
          <w:t>https://www.sciencedirect.com/science/article/pii/S2405844023051034</w:t>
        </w:r>
      </w:hyperlink>
      <w:r w:rsidR="6C728ED9" w:rsidRPr="596E7CBB">
        <w:rPr>
          <w:color w:val="0563C1"/>
          <w:u w:val="single"/>
        </w:rPr>
        <w:t xml:space="preserve"> </w:t>
      </w:r>
      <w:r w:rsidR="6C728ED9" w:rsidRPr="596E7CBB">
        <w:t>(Accessed: 14 June 2026).</w:t>
      </w:r>
    </w:p>
    <w:p w14:paraId="7BDE51BE" w14:textId="7C4E8C3F" w:rsidR="0411E1D4" w:rsidRDefault="0411E1D4" w:rsidP="596E7CBB">
      <w:pPr>
        <w:spacing w:after="120" w:line="480" w:lineRule="auto"/>
        <w:ind w:left="720" w:hanging="720"/>
        <w:jc w:val="both"/>
      </w:pPr>
      <w:r w:rsidRPr="596E7CBB">
        <w:rPr>
          <w:rFonts w:ascii="Times New Roman" w:eastAsia="Times New Roman" w:hAnsi="Times New Roman" w:cs="Times New Roman"/>
        </w:rPr>
        <w:t>IBISWorld (2026)</w:t>
      </w:r>
      <w:r w:rsidR="63F20906" w:rsidRPr="596E7CBB">
        <w:rPr>
          <w:rFonts w:ascii="Times New Roman" w:eastAsia="Times New Roman" w:hAnsi="Times New Roman" w:cs="Times New Roman"/>
        </w:rPr>
        <w:t>.</w:t>
      </w:r>
      <w:r w:rsidRPr="596E7CBB">
        <w:rPr>
          <w:rFonts w:ascii="Times New Roman" w:eastAsia="Times New Roman" w:hAnsi="Times New Roman" w:cs="Times New Roman"/>
        </w:rPr>
        <w:t xml:space="preserve"> ‘Cafes &amp; coffee shops in the UK – industry analysis’. Available at: </w:t>
      </w:r>
      <w:hyperlink r:id="rId21">
        <w:r w:rsidRPr="596E7CBB">
          <w:rPr>
            <w:rStyle w:val="Hyperlink"/>
          </w:rPr>
          <w:t>https://www.ibisworld.com/united-kingdom/industry/cafes-coffee-shops/6242/</w:t>
        </w:r>
      </w:hyperlink>
      <w:r w:rsidR="135183D0" w:rsidRPr="596E7CBB">
        <w:t xml:space="preserve"> (Accessed: 14 June 2026).</w:t>
      </w:r>
    </w:p>
    <w:p w14:paraId="38BCED31" w14:textId="5EF604CC" w:rsidR="0411E1D4" w:rsidRDefault="0411E1D4" w:rsidP="596E7CBB">
      <w:pPr>
        <w:spacing w:after="120" w:line="480" w:lineRule="auto"/>
        <w:ind w:left="720" w:hanging="720"/>
        <w:jc w:val="both"/>
        <w:rPr>
          <w:rFonts w:ascii="Times New Roman" w:eastAsia="Times New Roman" w:hAnsi="Times New Roman" w:cs="Times New Roman"/>
        </w:rPr>
      </w:pPr>
      <w:r w:rsidRPr="596E7CBB">
        <w:rPr>
          <w:rFonts w:ascii="Times New Roman" w:eastAsia="Times New Roman" w:hAnsi="Times New Roman" w:cs="Times New Roman"/>
        </w:rPr>
        <w:lastRenderedPageBreak/>
        <w:t>Kayhan Tajeddini, Thilini Chathurika Gamage, Javad Tajdini, Waseem Ul Hameed and Omid Tajeddini (2024)</w:t>
      </w:r>
      <w:r w:rsidR="2D1C4C0B" w:rsidRPr="596E7CBB">
        <w:rPr>
          <w:rFonts w:ascii="Times New Roman" w:eastAsia="Times New Roman" w:hAnsi="Times New Roman" w:cs="Times New Roman"/>
        </w:rPr>
        <w:t>.</w:t>
      </w:r>
      <w:r w:rsidRPr="596E7CBB">
        <w:rPr>
          <w:rFonts w:ascii="Times New Roman" w:eastAsia="Times New Roman" w:hAnsi="Times New Roman" w:cs="Times New Roman"/>
        </w:rPr>
        <w:t xml:space="preserve"> ‘Exploring the effects of service innovation ambidexterity on service design in the tourism and hospitality industry’. </w:t>
      </w:r>
      <w:r w:rsidRPr="596E7CBB">
        <w:rPr>
          <w:rFonts w:ascii="Times New Roman" w:eastAsia="Times New Roman" w:hAnsi="Times New Roman" w:cs="Times New Roman"/>
          <w:i/>
          <w:iCs/>
        </w:rPr>
        <w:t>International Journal of Hospitality Management</w:t>
      </w:r>
      <w:r w:rsidRPr="596E7CBB">
        <w:rPr>
          <w:rFonts w:ascii="Times New Roman" w:eastAsia="Times New Roman" w:hAnsi="Times New Roman" w:cs="Times New Roman"/>
        </w:rPr>
        <w:t xml:space="preserve"> 119, pp. 103730–103730. doi: </w:t>
      </w:r>
      <w:hyperlink r:id="rId22">
        <w:r w:rsidRPr="596E7CBB">
          <w:rPr>
            <w:rStyle w:val="Hyperlink"/>
            <w:color w:val="0563C1"/>
          </w:rPr>
          <w:t>https://doi.org/10.1016/j.ijhm.2024.103730</w:t>
        </w:r>
      </w:hyperlink>
      <w:r w:rsidR="5DAB8589" w:rsidRPr="596E7CBB">
        <w:rPr>
          <w:color w:val="0563C1"/>
          <w:u w:val="single"/>
        </w:rPr>
        <w:t xml:space="preserve"> </w:t>
      </w:r>
      <w:r w:rsidR="5DAB8589" w:rsidRPr="596E7CBB">
        <w:rPr>
          <w:rFonts w:ascii="Times New Roman" w:eastAsia="Times New Roman" w:hAnsi="Times New Roman" w:cs="Times New Roman"/>
        </w:rPr>
        <w:t>(Accessed: 28 May 2026).</w:t>
      </w:r>
    </w:p>
    <w:p w14:paraId="6D9EDF90" w14:textId="3B2C4194" w:rsidR="0411E1D4" w:rsidRDefault="0411E1D4" w:rsidP="596E7CBB">
      <w:pPr>
        <w:spacing w:after="120" w:line="480" w:lineRule="auto"/>
        <w:ind w:left="720" w:hanging="720"/>
        <w:jc w:val="both"/>
        <w:rPr>
          <w:rFonts w:ascii="Times New Roman" w:eastAsia="Times New Roman" w:hAnsi="Times New Roman" w:cs="Times New Roman"/>
        </w:rPr>
      </w:pPr>
      <w:r w:rsidRPr="596E7CBB">
        <w:rPr>
          <w:rFonts w:ascii="Times New Roman" w:eastAsia="Times New Roman" w:hAnsi="Times New Roman" w:cs="Times New Roman"/>
        </w:rPr>
        <w:t>Khalid, R., Abdul Hamid, A.B., Raza, M., Promsivapallop, P. and Valeri, M. (2023)</w:t>
      </w:r>
      <w:r w:rsidR="591B08C2" w:rsidRPr="596E7CBB">
        <w:rPr>
          <w:rFonts w:ascii="Times New Roman" w:eastAsia="Times New Roman" w:hAnsi="Times New Roman" w:cs="Times New Roman"/>
        </w:rPr>
        <w:t>.</w:t>
      </w:r>
      <w:r w:rsidRPr="596E7CBB">
        <w:rPr>
          <w:rFonts w:ascii="Times New Roman" w:eastAsia="Times New Roman" w:hAnsi="Times New Roman" w:cs="Times New Roman"/>
        </w:rPr>
        <w:t xml:space="preserve"> ‘Innovation and organisational learning practices in tourism and hospitality sector: a gender-based perspective’. </w:t>
      </w:r>
      <w:r w:rsidRPr="596E7CBB">
        <w:rPr>
          <w:rFonts w:ascii="Times New Roman" w:eastAsia="Times New Roman" w:hAnsi="Times New Roman" w:cs="Times New Roman"/>
          <w:i/>
          <w:iCs/>
        </w:rPr>
        <w:t>European Business Review</w:t>
      </w:r>
      <w:r w:rsidRPr="596E7CBB">
        <w:rPr>
          <w:rFonts w:ascii="Times New Roman" w:eastAsia="Times New Roman" w:hAnsi="Times New Roman" w:cs="Times New Roman"/>
        </w:rPr>
        <w:t xml:space="preserve"> 35(5). doi: </w:t>
      </w:r>
      <w:hyperlink r:id="rId23">
        <w:r w:rsidRPr="596E7CBB">
          <w:rPr>
            <w:rStyle w:val="Hyperlink"/>
            <w:color w:val="0563C1"/>
          </w:rPr>
          <w:t>https://doi.org/10.1108/ebr-09-2022-0191</w:t>
        </w:r>
      </w:hyperlink>
      <w:r w:rsidR="5C300CEC" w:rsidRPr="596E7CBB">
        <w:rPr>
          <w:color w:val="0563C1"/>
          <w:u w:val="single"/>
        </w:rPr>
        <w:t xml:space="preserve"> </w:t>
      </w:r>
      <w:r w:rsidR="5C300CEC" w:rsidRPr="596E7CBB">
        <w:rPr>
          <w:rFonts w:ascii="Times New Roman" w:eastAsia="Times New Roman" w:hAnsi="Times New Roman" w:cs="Times New Roman"/>
        </w:rPr>
        <w:t>(Accessed: 28 May 2026).</w:t>
      </w:r>
    </w:p>
    <w:p w14:paraId="02089503" w14:textId="61DDFB7A" w:rsidR="0411E1D4" w:rsidRDefault="0411E1D4" w:rsidP="596E7CBB">
      <w:pPr>
        <w:spacing w:after="120" w:line="480" w:lineRule="auto"/>
        <w:ind w:left="720" w:hanging="720"/>
        <w:jc w:val="both"/>
      </w:pPr>
      <w:r w:rsidRPr="596E7CBB">
        <w:rPr>
          <w:rFonts w:ascii="Times New Roman" w:eastAsia="Times New Roman" w:hAnsi="Times New Roman" w:cs="Times New Roman"/>
        </w:rPr>
        <w:t>Kim, T.-Y., Wang, X., Schuh, S.C. and Liu, Z. (2024)</w:t>
      </w:r>
      <w:r w:rsidR="258F751F" w:rsidRPr="596E7CBB">
        <w:rPr>
          <w:rFonts w:ascii="Times New Roman" w:eastAsia="Times New Roman" w:hAnsi="Times New Roman" w:cs="Times New Roman"/>
        </w:rPr>
        <w:t>.</w:t>
      </w:r>
      <w:r w:rsidRPr="596E7CBB">
        <w:rPr>
          <w:rFonts w:ascii="Times New Roman" w:eastAsia="Times New Roman" w:hAnsi="Times New Roman" w:cs="Times New Roman"/>
        </w:rPr>
        <w:t xml:space="preserve"> ‘Effects of organisational innovative climate within organisations: The roles of Managers’ proactive goal regulation and external environments’. </w:t>
      </w:r>
      <w:r w:rsidRPr="596E7CBB">
        <w:rPr>
          <w:rFonts w:ascii="Times New Roman" w:eastAsia="Times New Roman" w:hAnsi="Times New Roman" w:cs="Times New Roman"/>
          <w:i/>
          <w:iCs/>
        </w:rPr>
        <w:t>Research policy</w:t>
      </w:r>
      <w:r w:rsidRPr="596E7CBB">
        <w:rPr>
          <w:rFonts w:ascii="Times New Roman" w:eastAsia="Times New Roman" w:hAnsi="Times New Roman" w:cs="Times New Roman"/>
        </w:rPr>
        <w:t xml:space="preserve"> 53(5), pp. 104993–104993. doi: </w:t>
      </w:r>
      <w:hyperlink r:id="rId24">
        <w:r w:rsidRPr="596E7CBB">
          <w:rPr>
            <w:rStyle w:val="Hyperlink"/>
            <w:color w:val="0563C1"/>
          </w:rPr>
          <w:t>https://doi.org/10.1016/j.respol.2024.104993</w:t>
        </w:r>
      </w:hyperlink>
      <w:r w:rsidR="4C29219A" w:rsidRPr="596E7CBB">
        <w:rPr>
          <w:color w:val="0563C1"/>
          <w:u w:val="single"/>
        </w:rPr>
        <w:t xml:space="preserve"> </w:t>
      </w:r>
      <w:r w:rsidR="4C29219A" w:rsidRPr="596E7CBB">
        <w:t>(Accessed: 31 May 2026).</w:t>
      </w:r>
    </w:p>
    <w:p w14:paraId="1444D134" w14:textId="753801B0" w:rsidR="0411E1D4" w:rsidRDefault="0411E1D4" w:rsidP="596E7CBB">
      <w:pPr>
        <w:spacing w:after="120" w:line="480" w:lineRule="auto"/>
        <w:ind w:left="720" w:hanging="720"/>
        <w:jc w:val="both"/>
      </w:pPr>
      <w:r w:rsidRPr="596E7CBB">
        <w:rPr>
          <w:rFonts w:ascii="Times New Roman" w:eastAsia="Times New Roman" w:hAnsi="Times New Roman" w:cs="Times New Roman"/>
        </w:rPr>
        <w:t>Li, Y., Li, B. and Lu, T. (2022)</w:t>
      </w:r>
      <w:r w:rsidR="58DE6F3B" w:rsidRPr="596E7CBB">
        <w:rPr>
          <w:rFonts w:ascii="Times New Roman" w:eastAsia="Times New Roman" w:hAnsi="Times New Roman" w:cs="Times New Roman"/>
        </w:rPr>
        <w:t>.</w:t>
      </w:r>
      <w:r w:rsidRPr="596E7CBB">
        <w:rPr>
          <w:rFonts w:ascii="Times New Roman" w:eastAsia="Times New Roman" w:hAnsi="Times New Roman" w:cs="Times New Roman"/>
        </w:rPr>
        <w:t xml:space="preserve"> ‘Founders’ creativity, business model innovation, and business growth’, </w:t>
      </w:r>
      <w:r w:rsidRPr="596E7CBB">
        <w:rPr>
          <w:rFonts w:ascii="Times New Roman" w:eastAsia="Times New Roman" w:hAnsi="Times New Roman" w:cs="Times New Roman"/>
          <w:i/>
          <w:iCs/>
        </w:rPr>
        <w:t>Frontiers in Psychology</w:t>
      </w:r>
      <w:r w:rsidRPr="596E7CBB">
        <w:rPr>
          <w:rFonts w:ascii="Times New Roman" w:eastAsia="Times New Roman" w:hAnsi="Times New Roman" w:cs="Times New Roman"/>
        </w:rPr>
        <w:t xml:space="preserve">, 13, 892716. Available at: </w:t>
      </w:r>
      <w:hyperlink r:id="rId25">
        <w:r w:rsidRPr="596E7CBB">
          <w:rPr>
            <w:rStyle w:val="Hyperlink"/>
          </w:rPr>
          <w:t>https://www.frontiersin.org/journals/psychology/articles/10.3389/fpsyg.2022.892716/full</w:t>
        </w:r>
      </w:hyperlink>
      <w:r w:rsidR="14C12C43" w:rsidRPr="596E7CBB">
        <w:t xml:space="preserve"> (Accessed: 15 June 2026).</w:t>
      </w:r>
    </w:p>
    <w:p w14:paraId="5BD8CB63" w14:textId="23EE8E3E" w:rsidR="0411E1D4" w:rsidRDefault="0411E1D4" w:rsidP="596E7CBB">
      <w:pPr>
        <w:spacing w:after="120" w:line="480" w:lineRule="auto"/>
        <w:ind w:left="720" w:hanging="720"/>
        <w:jc w:val="both"/>
      </w:pPr>
      <w:r w:rsidRPr="596E7CBB">
        <w:rPr>
          <w:rFonts w:ascii="Times New Roman" w:eastAsia="Times New Roman" w:hAnsi="Times New Roman" w:cs="Times New Roman"/>
        </w:rPr>
        <w:t>Lim, W.M., Kumar, S., Pandey, N., Verma, D. and Kumar, D. (2022)</w:t>
      </w:r>
      <w:r w:rsidR="3AECB2FF" w:rsidRPr="596E7CBB">
        <w:rPr>
          <w:rFonts w:ascii="Times New Roman" w:eastAsia="Times New Roman" w:hAnsi="Times New Roman" w:cs="Times New Roman"/>
        </w:rPr>
        <w:t>.</w:t>
      </w:r>
      <w:r w:rsidRPr="596E7CBB">
        <w:rPr>
          <w:rFonts w:ascii="Times New Roman" w:eastAsia="Times New Roman" w:hAnsi="Times New Roman" w:cs="Times New Roman"/>
        </w:rPr>
        <w:t xml:space="preserve"> ‘Customer engagement and social media: Revisiting the past to inform the future’, </w:t>
      </w:r>
      <w:r w:rsidRPr="596E7CBB">
        <w:rPr>
          <w:rFonts w:ascii="Times New Roman" w:eastAsia="Times New Roman" w:hAnsi="Times New Roman" w:cs="Times New Roman"/>
          <w:i/>
          <w:iCs/>
        </w:rPr>
        <w:t>Journal of Business Research</w:t>
      </w:r>
      <w:r w:rsidRPr="596E7CBB">
        <w:rPr>
          <w:rFonts w:ascii="Times New Roman" w:eastAsia="Times New Roman" w:hAnsi="Times New Roman" w:cs="Times New Roman"/>
        </w:rPr>
        <w:t xml:space="preserve">, 148, pp. 325–342. Available at: </w:t>
      </w:r>
      <w:hyperlink r:id="rId26">
        <w:r w:rsidRPr="596E7CBB">
          <w:rPr>
            <w:rStyle w:val="Hyperlink"/>
          </w:rPr>
          <w:t>https://www.sciencedirect.com/science/article/pii/S0148296322004192</w:t>
        </w:r>
      </w:hyperlink>
      <w:r w:rsidR="67328FA9" w:rsidRPr="596E7CBB">
        <w:t xml:space="preserve"> (Accessed: 15 June 2026).</w:t>
      </w:r>
    </w:p>
    <w:p w14:paraId="0DAB40AB" w14:textId="44C876AF" w:rsidR="0411E1D4" w:rsidRDefault="0411E1D4" w:rsidP="596E7CBB">
      <w:pPr>
        <w:spacing w:after="120" w:line="480" w:lineRule="auto"/>
        <w:ind w:left="720" w:hanging="720"/>
        <w:jc w:val="both"/>
      </w:pPr>
      <w:r w:rsidRPr="596E7CBB">
        <w:rPr>
          <w:rFonts w:ascii="Times New Roman" w:eastAsia="Times New Roman" w:hAnsi="Times New Roman" w:cs="Times New Roman"/>
        </w:rPr>
        <w:t>Liu, H., Xiao, Q. and Wang, H. (2024)</w:t>
      </w:r>
      <w:r w:rsidR="4C4F8A2E" w:rsidRPr="596E7CBB">
        <w:rPr>
          <w:rFonts w:ascii="Times New Roman" w:eastAsia="Times New Roman" w:hAnsi="Times New Roman" w:cs="Times New Roman"/>
        </w:rPr>
        <w:t>.</w:t>
      </w:r>
      <w:r w:rsidRPr="596E7CBB">
        <w:rPr>
          <w:rFonts w:ascii="Times New Roman" w:eastAsia="Times New Roman" w:hAnsi="Times New Roman" w:cs="Times New Roman"/>
        </w:rPr>
        <w:t xml:space="preserve"> ‘Understanding Customer Experience for Sustainable Innovation: An Integration of Conscious and Unconscious Perspectives of Theme Hotel </w:t>
      </w:r>
      <w:r w:rsidRPr="596E7CBB">
        <w:rPr>
          <w:rFonts w:ascii="Times New Roman" w:eastAsia="Times New Roman" w:hAnsi="Times New Roman" w:cs="Times New Roman"/>
        </w:rPr>
        <w:lastRenderedPageBreak/>
        <w:t xml:space="preserve">Guests’. </w:t>
      </w:r>
      <w:r w:rsidRPr="596E7CBB">
        <w:rPr>
          <w:rFonts w:ascii="Times New Roman" w:eastAsia="Times New Roman" w:hAnsi="Times New Roman" w:cs="Times New Roman"/>
          <w:i/>
          <w:iCs/>
        </w:rPr>
        <w:t>Sustainability</w:t>
      </w:r>
      <w:r w:rsidRPr="596E7CBB">
        <w:rPr>
          <w:rFonts w:ascii="Times New Roman" w:eastAsia="Times New Roman" w:hAnsi="Times New Roman" w:cs="Times New Roman"/>
        </w:rPr>
        <w:t xml:space="preserve"> 16(13), p. 5274. Available at: </w:t>
      </w:r>
      <w:hyperlink r:id="rId27">
        <w:r w:rsidRPr="596E7CBB">
          <w:rPr>
            <w:rStyle w:val="Hyperlink"/>
            <w:color w:val="0563C1"/>
          </w:rPr>
          <w:t>https://www.mdpi.com/2071-1050/16/13/5274</w:t>
        </w:r>
      </w:hyperlink>
      <w:r w:rsidR="48855EAB" w:rsidRPr="596E7CBB">
        <w:rPr>
          <w:color w:val="0563C1"/>
          <w:u w:val="single"/>
        </w:rPr>
        <w:t xml:space="preserve"> </w:t>
      </w:r>
      <w:r w:rsidR="48855EAB" w:rsidRPr="596E7CBB">
        <w:t>(Accessed: 15 June 2026).</w:t>
      </w:r>
    </w:p>
    <w:p w14:paraId="61D9C96C" w14:textId="3E48CCB8" w:rsidR="0411E1D4" w:rsidRDefault="0411E1D4" w:rsidP="596E7CBB">
      <w:pPr>
        <w:spacing w:after="120" w:line="480" w:lineRule="auto"/>
        <w:ind w:left="720" w:hanging="720"/>
        <w:jc w:val="both"/>
      </w:pPr>
      <w:r w:rsidRPr="596E7CBB">
        <w:rPr>
          <w:rFonts w:ascii="Times New Roman" w:eastAsia="Times New Roman" w:hAnsi="Times New Roman" w:cs="Times New Roman"/>
        </w:rPr>
        <w:t>Lopez, E., Flecha-Ortiz, J.A., Santos-Corrada, M. and Dones, V. (2024)</w:t>
      </w:r>
      <w:r w:rsidR="616BB2DD" w:rsidRPr="596E7CBB">
        <w:rPr>
          <w:rFonts w:ascii="Times New Roman" w:eastAsia="Times New Roman" w:hAnsi="Times New Roman" w:cs="Times New Roman"/>
        </w:rPr>
        <w:t>.</w:t>
      </w:r>
      <w:r w:rsidRPr="596E7CBB">
        <w:rPr>
          <w:rFonts w:ascii="Times New Roman" w:eastAsia="Times New Roman" w:hAnsi="Times New Roman" w:cs="Times New Roman"/>
        </w:rPr>
        <w:t xml:space="preserve"> ‘The role of organisational resilience in SME service innovation and value cocreation’. </w:t>
      </w:r>
      <w:r w:rsidRPr="596E7CBB">
        <w:rPr>
          <w:rFonts w:ascii="Times New Roman" w:eastAsia="Times New Roman" w:hAnsi="Times New Roman" w:cs="Times New Roman"/>
          <w:i/>
          <w:iCs/>
        </w:rPr>
        <w:t>Journal of services marketing/The Journal of services marketing</w:t>
      </w:r>
      <w:r w:rsidRPr="596E7CBB">
        <w:rPr>
          <w:rFonts w:ascii="Times New Roman" w:eastAsia="Times New Roman" w:hAnsi="Times New Roman" w:cs="Times New Roman"/>
        </w:rPr>
        <w:t xml:space="preserve"> . doi: </w:t>
      </w:r>
      <w:hyperlink r:id="rId28">
        <w:r w:rsidRPr="596E7CBB">
          <w:rPr>
            <w:rStyle w:val="Hyperlink"/>
            <w:color w:val="0563C1"/>
          </w:rPr>
          <w:t>https://doi.org/10.1108/jsm-03-2023-0081</w:t>
        </w:r>
      </w:hyperlink>
      <w:r w:rsidR="6BC0B5A7" w:rsidRPr="596E7CBB">
        <w:rPr>
          <w:color w:val="0563C1"/>
          <w:u w:val="single"/>
        </w:rPr>
        <w:t xml:space="preserve"> </w:t>
      </w:r>
      <w:r w:rsidR="6BC0B5A7" w:rsidRPr="596E7CBB">
        <w:t>(Accessed: 30 May 2026).</w:t>
      </w:r>
    </w:p>
    <w:p w14:paraId="2417D9FC" w14:textId="5FFF2279" w:rsidR="0411E1D4" w:rsidRDefault="0411E1D4" w:rsidP="596E7CBB">
      <w:pPr>
        <w:spacing w:after="120" w:line="480" w:lineRule="auto"/>
        <w:ind w:left="720" w:hanging="720"/>
        <w:jc w:val="both"/>
      </w:pPr>
      <w:r w:rsidRPr="596E7CBB">
        <w:rPr>
          <w:rFonts w:ascii="Times New Roman" w:eastAsia="Times New Roman" w:hAnsi="Times New Roman" w:cs="Times New Roman"/>
        </w:rPr>
        <w:t>Natnael Salfore, Matiwos Ensermu and Kinde, Z. (2023)</w:t>
      </w:r>
      <w:r w:rsidR="7A0E87AE" w:rsidRPr="596E7CBB">
        <w:rPr>
          <w:rFonts w:ascii="Times New Roman" w:eastAsia="Times New Roman" w:hAnsi="Times New Roman" w:cs="Times New Roman"/>
        </w:rPr>
        <w:t>.</w:t>
      </w:r>
      <w:r w:rsidRPr="596E7CBB">
        <w:rPr>
          <w:rFonts w:ascii="Times New Roman" w:eastAsia="Times New Roman" w:hAnsi="Times New Roman" w:cs="Times New Roman"/>
        </w:rPr>
        <w:t xml:space="preserve"> ‘Business model innovation and firm performance: Evidence from manufacturing SMEs’. </w:t>
      </w:r>
      <w:r w:rsidRPr="596E7CBB">
        <w:rPr>
          <w:rFonts w:ascii="Times New Roman" w:eastAsia="Times New Roman" w:hAnsi="Times New Roman" w:cs="Times New Roman"/>
          <w:i/>
          <w:iCs/>
        </w:rPr>
        <w:t>Heliyon</w:t>
      </w:r>
      <w:r w:rsidRPr="596E7CBB">
        <w:rPr>
          <w:rFonts w:ascii="Times New Roman" w:eastAsia="Times New Roman" w:hAnsi="Times New Roman" w:cs="Times New Roman"/>
        </w:rPr>
        <w:t xml:space="preserve"> 9(6), pp. e16384–e16384. doi: </w:t>
      </w:r>
      <w:hyperlink r:id="rId29">
        <w:r w:rsidRPr="596E7CBB">
          <w:rPr>
            <w:rStyle w:val="Hyperlink"/>
            <w:color w:val="0563C1"/>
          </w:rPr>
          <w:t>https://doi.org/10.1016/j.heliyon.2023.e16384</w:t>
        </w:r>
      </w:hyperlink>
      <w:r w:rsidR="0E5A23DD" w:rsidRPr="596E7CBB">
        <w:rPr>
          <w:color w:val="0563C1"/>
          <w:u w:val="single"/>
        </w:rPr>
        <w:t xml:space="preserve"> </w:t>
      </w:r>
      <w:r w:rsidR="0E5A23DD" w:rsidRPr="596E7CBB">
        <w:t>(Accessed: 30 May 2026).</w:t>
      </w:r>
    </w:p>
    <w:p w14:paraId="2CBC904F" w14:textId="02B70B57" w:rsidR="0411E1D4" w:rsidRDefault="0411E1D4" w:rsidP="596E7CBB">
      <w:pPr>
        <w:spacing w:after="120" w:line="480" w:lineRule="auto"/>
        <w:ind w:left="720" w:hanging="720"/>
        <w:jc w:val="both"/>
      </w:pPr>
      <w:r w:rsidRPr="596E7CBB">
        <w:rPr>
          <w:rFonts w:ascii="Times New Roman" w:eastAsia="Times New Roman" w:hAnsi="Times New Roman" w:cs="Times New Roman"/>
        </w:rPr>
        <w:t>Neupane, B.P., Zielinski, S. and Milanes, C.B. (2025)</w:t>
      </w:r>
      <w:r w:rsidR="0B9095B6" w:rsidRPr="596E7CBB">
        <w:rPr>
          <w:rFonts w:ascii="Times New Roman" w:eastAsia="Times New Roman" w:hAnsi="Times New Roman" w:cs="Times New Roman"/>
        </w:rPr>
        <w:t>.</w:t>
      </w:r>
      <w:r w:rsidRPr="596E7CBB">
        <w:rPr>
          <w:rFonts w:ascii="Times New Roman" w:eastAsia="Times New Roman" w:hAnsi="Times New Roman" w:cs="Times New Roman"/>
        </w:rPr>
        <w:t xml:space="preserve"> ‘Startup Success in Hospitality &amp; Tourism SMEs in Emerging Economies: How Innovation and Growth Are Driven by Entrepreneurial Orientation, Networking Strategy, Leadership, and Flexibility’. </w:t>
      </w:r>
      <w:r w:rsidRPr="596E7CBB">
        <w:rPr>
          <w:rFonts w:ascii="Times New Roman" w:eastAsia="Times New Roman" w:hAnsi="Times New Roman" w:cs="Times New Roman"/>
          <w:i/>
          <w:iCs/>
        </w:rPr>
        <w:t>Sustainability</w:t>
      </w:r>
      <w:r w:rsidRPr="596E7CBB">
        <w:rPr>
          <w:rFonts w:ascii="Times New Roman" w:eastAsia="Times New Roman" w:hAnsi="Times New Roman" w:cs="Times New Roman"/>
        </w:rPr>
        <w:t xml:space="preserve"> 17(8), p. 3485. Available at: </w:t>
      </w:r>
      <w:hyperlink r:id="rId30">
        <w:r w:rsidRPr="596E7CBB">
          <w:rPr>
            <w:rStyle w:val="Hyperlink"/>
            <w:color w:val="0563C1"/>
          </w:rPr>
          <w:t>https://www.mdpi.com/2071-1050/17/8/3485</w:t>
        </w:r>
      </w:hyperlink>
      <w:r w:rsidR="448E8E9F" w:rsidRPr="596E7CBB">
        <w:rPr>
          <w:color w:val="0563C1"/>
          <w:u w:val="single"/>
        </w:rPr>
        <w:t xml:space="preserve"> </w:t>
      </w:r>
      <w:r w:rsidR="448E8E9F" w:rsidRPr="596E7CBB">
        <w:t>(Accessed: 30 May 2026).</w:t>
      </w:r>
    </w:p>
    <w:p w14:paraId="069A6F97" w14:textId="4E071D32" w:rsidR="0411E1D4" w:rsidRDefault="0411E1D4" w:rsidP="596E7CBB">
      <w:pPr>
        <w:spacing w:after="120" w:line="480" w:lineRule="auto"/>
        <w:ind w:left="720" w:hanging="720"/>
        <w:jc w:val="both"/>
      </w:pPr>
      <w:r w:rsidRPr="596E7CBB">
        <w:rPr>
          <w:rFonts w:ascii="Times New Roman" w:eastAsia="Times New Roman" w:hAnsi="Times New Roman" w:cs="Times New Roman"/>
        </w:rPr>
        <w:t>Nguyen, V.K., Natoli, R. and Divisekera, S. (2021)</w:t>
      </w:r>
      <w:r w:rsidR="480F5F11" w:rsidRPr="596E7CBB">
        <w:rPr>
          <w:rFonts w:ascii="Times New Roman" w:eastAsia="Times New Roman" w:hAnsi="Times New Roman" w:cs="Times New Roman"/>
        </w:rPr>
        <w:t>.</w:t>
      </w:r>
      <w:r w:rsidRPr="596E7CBB">
        <w:rPr>
          <w:rFonts w:ascii="Times New Roman" w:eastAsia="Times New Roman" w:hAnsi="Times New Roman" w:cs="Times New Roman"/>
        </w:rPr>
        <w:t xml:space="preserve"> ‘Innovation and productivity in tourism small and medium enterprises: A longitudinal study’. </w:t>
      </w:r>
      <w:r w:rsidRPr="596E7CBB">
        <w:rPr>
          <w:rFonts w:ascii="Times New Roman" w:eastAsia="Times New Roman" w:hAnsi="Times New Roman" w:cs="Times New Roman"/>
          <w:i/>
          <w:iCs/>
        </w:rPr>
        <w:t>Tourism Management Perspectives</w:t>
      </w:r>
      <w:r w:rsidRPr="596E7CBB">
        <w:rPr>
          <w:rFonts w:ascii="Times New Roman" w:eastAsia="Times New Roman" w:hAnsi="Times New Roman" w:cs="Times New Roman"/>
        </w:rPr>
        <w:t xml:space="preserve"> 38, p. 100804. doi: </w:t>
      </w:r>
      <w:hyperlink r:id="rId31">
        <w:r w:rsidRPr="596E7CBB">
          <w:rPr>
            <w:rStyle w:val="Hyperlink"/>
            <w:color w:val="0563C1"/>
          </w:rPr>
          <w:t>https://doi.org/10.1016/j.tmp.2021.100804</w:t>
        </w:r>
      </w:hyperlink>
      <w:r w:rsidR="74087A87" w:rsidRPr="596E7CBB">
        <w:rPr>
          <w:color w:val="0563C1"/>
          <w:u w:val="single"/>
        </w:rPr>
        <w:t xml:space="preserve"> </w:t>
      </w:r>
      <w:r w:rsidR="74087A87" w:rsidRPr="596E7CBB">
        <w:t>(Accessed: 30 May 2026).</w:t>
      </w:r>
    </w:p>
    <w:p w14:paraId="13AC7C45" w14:textId="3B0006FE" w:rsidR="1DB155D7" w:rsidRDefault="1DB155D7" w:rsidP="4FE1F094">
      <w:pPr>
        <w:spacing w:after="120" w:line="480" w:lineRule="auto"/>
        <w:ind w:left="720" w:hanging="720"/>
        <w:jc w:val="both"/>
        <w:rPr>
          <w:rFonts w:ascii="Times New Roman" w:eastAsia="Times New Roman" w:hAnsi="Times New Roman" w:cs="Times New Roman"/>
          <w:sz w:val="26"/>
          <w:szCs w:val="26"/>
        </w:rPr>
      </w:pPr>
      <w:r w:rsidRPr="4FE1F094">
        <w:rPr>
          <w:rFonts w:ascii="Times New Roman" w:eastAsia="Times New Roman" w:hAnsi="Times New Roman" w:cs="Times New Roman"/>
          <w:sz w:val="26"/>
          <w:szCs w:val="26"/>
        </w:rPr>
        <w:t>Pine, B.J. and Gilmore, J.H. (1999)</w:t>
      </w:r>
      <w:r w:rsidR="645BACF0" w:rsidRPr="4FE1F094">
        <w:rPr>
          <w:rFonts w:ascii="Times New Roman" w:eastAsia="Times New Roman" w:hAnsi="Times New Roman" w:cs="Times New Roman"/>
          <w:sz w:val="26"/>
          <w:szCs w:val="26"/>
        </w:rPr>
        <w:t>.</w:t>
      </w:r>
      <w:r w:rsidRPr="4FE1F094">
        <w:rPr>
          <w:rFonts w:ascii="Times New Roman" w:eastAsia="Times New Roman" w:hAnsi="Times New Roman" w:cs="Times New Roman"/>
          <w:sz w:val="26"/>
          <w:szCs w:val="26"/>
        </w:rPr>
        <w:t xml:space="preserve"> </w:t>
      </w:r>
      <w:r w:rsidRPr="4FE1F094">
        <w:rPr>
          <w:rFonts w:ascii="Times New Roman" w:eastAsia="Times New Roman" w:hAnsi="Times New Roman" w:cs="Times New Roman"/>
          <w:i/>
          <w:iCs/>
          <w:sz w:val="26"/>
          <w:szCs w:val="26"/>
        </w:rPr>
        <w:t>The Experience Economy: Work Is Theatre and Every Business a Stage</w:t>
      </w:r>
      <w:r w:rsidRPr="4FE1F094">
        <w:rPr>
          <w:rFonts w:ascii="Times New Roman" w:eastAsia="Times New Roman" w:hAnsi="Times New Roman" w:cs="Times New Roman"/>
          <w:sz w:val="26"/>
          <w:szCs w:val="26"/>
        </w:rPr>
        <w:t>. Boston: Harvard Business School Press.</w:t>
      </w:r>
    </w:p>
    <w:p w14:paraId="22230DDF" w14:textId="541583C9" w:rsidR="6C316E94" w:rsidRDefault="6C316E94" w:rsidP="4FE1F094">
      <w:pPr>
        <w:spacing w:after="120" w:line="480" w:lineRule="auto"/>
        <w:ind w:left="720" w:hanging="720"/>
        <w:jc w:val="both"/>
      </w:pPr>
      <w:r w:rsidRPr="4FE1F094">
        <w:rPr>
          <w:rFonts w:ascii="Times New Roman" w:eastAsia="Times New Roman" w:hAnsi="Times New Roman" w:cs="Times New Roman"/>
          <w:sz w:val="26"/>
          <w:szCs w:val="26"/>
        </w:rPr>
        <w:t xml:space="preserve">Rosenbusch, N., Brinckmann, J. and Bausch, A. (2011). ‘Is innovation always beneficial? A meta-analysis of the relationship between innovation and performance in SMEs’, </w:t>
      </w:r>
      <w:r w:rsidRPr="4FE1F094">
        <w:rPr>
          <w:rFonts w:ascii="Times New Roman" w:eastAsia="Times New Roman" w:hAnsi="Times New Roman" w:cs="Times New Roman"/>
          <w:i/>
          <w:iCs/>
          <w:sz w:val="26"/>
          <w:szCs w:val="26"/>
        </w:rPr>
        <w:t>Journal of Business Venturing</w:t>
      </w:r>
      <w:r w:rsidRPr="4FE1F094">
        <w:rPr>
          <w:rFonts w:ascii="Times New Roman" w:eastAsia="Times New Roman" w:hAnsi="Times New Roman" w:cs="Times New Roman"/>
          <w:sz w:val="26"/>
          <w:szCs w:val="26"/>
        </w:rPr>
        <w:t>, 26(4), pp. 441–457.</w:t>
      </w:r>
    </w:p>
    <w:p w14:paraId="02DC41FC" w14:textId="2F2ED38D" w:rsidR="0411E1D4" w:rsidRDefault="0411E1D4" w:rsidP="596E7CBB">
      <w:pPr>
        <w:spacing w:after="120" w:line="480" w:lineRule="auto"/>
        <w:ind w:left="720" w:hanging="720"/>
        <w:jc w:val="both"/>
        <w:rPr>
          <w:rFonts w:ascii="Times New Roman" w:eastAsia="Times New Roman" w:hAnsi="Times New Roman" w:cs="Times New Roman"/>
        </w:rPr>
      </w:pPr>
      <w:r w:rsidRPr="596E7CBB">
        <w:rPr>
          <w:rFonts w:ascii="Times New Roman" w:eastAsia="Times New Roman" w:hAnsi="Times New Roman" w:cs="Times New Roman"/>
        </w:rPr>
        <w:lastRenderedPageBreak/>
        <w:t>Quang-Huy, N. (2023)</w:t>
      </w:r>
      <w:r w:rsidR="086D057D" w:rsidRPr="596E7CBB">
        <w:rPr>
          <w:rFonts w:ascii="Times New Roman" w:eastAsia="Times New Roman" w:hAnsi="Times New Roman" w:cs="Times New Roman"/>
        </w:rPr>
        <w:t>.</w:t>
      </w:r>
      <w:r w:rsidRPr="596E7CBB">
        <w:rPr>
          <w:rFonts w:ascii="Times New Roman" w:eastAsia="Times New Roman" w:hAnsi="Times New Roman" w:cs="Times New Roman"/>
        </w:rPr>
        <w:t xml:space="preserve"> ‘The Effectiveness of Strategic Alignment Between Open Innovation and Generic Strategies: Empirical Evidence from Restaurant SMEs in Vietnam’. </w:t>
      </w:r>
      <w:r w:rsidRPr="596E7CBB">
        <w:rPr>
          <w:rFonts w:ascii="Times New Roman" w:eastAsia="Times New Roman" w:hAnsi="Times New Roman" w:cs="Times New Roman"/>
          <w:i/>
          <w:iCs/>
        </w:rPr>
        <w:t>Journal of Open Innovation: Technology, Market, and Complexity</w:t>
      </w:r>
      <w:r w:rsidRPr="596E7CBB">
        <w:rPr>
          <w:rFonts w:ascii="Times New Roman" w:eastAsia="Times New Roman" w:hAnsi="Times New Roman" w:cs="Times New Roman"/>
        </w:rPr>
        <w:t xml:space="preserve"> 9(1), p. 100016. doi: </w:t>
      </w:r>
      <w:hyperlink r:id="rId32">
        <w:r w:rsidRPr="596E7CBB">
          <w:rPr>
            <w:rStyle w:val="Hyperlink"/>
            <w:color w:val="0563C1"/>
          </w:rPr>
          <w:t>https://doi.org/10.1016/j.joitmc.2023.100016</w:t>
        </w:r>
      </w:hyperlink>
      <w:r w:rsidR="1D457E4A" w:rsidRPr="596E7CBB">
        <w:rPr>
          <w:color w:val="0563C1"/>
          <w:u w:val="single"/>
        </w:rPr>
        <w:t xml:space="preserve"> </w:t>
      </w:r>
      <w:r w:rsidR="1D457E4A" w:rsidRPr="596E7CBB">
        <w:rPr>
          <w:rFonts w:ascii="Times New Roman" w:eastAsia="Times New Roman" w:hAnsi="Times New Roman" w:cs="Times New Roman"/>
        </w:rPr>
        <w:t>(Accessed: 09 June 2026).</w:t>
      </w:r>
    </w:p>
    <w:p w14:paraId="0A674068" w14:textId="3F5B96DF" w:rsidR="0411E1D4" w:rsidRDefault="0411E1D4" w:rsidP="596E7CBB">
      <w:pPr>
        <w:spacing w:after="120" w:line="480" w:lineRule="auto"/>
        <w:ind w:left="720" w:hanging="720"/>
        <w:jc w:val="both"/>
      </w:pPr>
      <w:r w:rsidRPr="596E7CBB">
        <w:rPr>
          <w:rFonts w:ascii="Times New Roman" w:eastAsia="Times New Roman" w:hAnsi="Times New Roman" w:cs="Times New Roman"/>
        </w:rPr>
        <w:t>Shin, H. and Perdue, R.R. (2022)</w:t>
      </w:r>
      <w:r w:rsidR="5F729352" w:rsidRPr="596E7CBB">
        <w:rPr>
          <w:rFonts w:ascii="Times New Roman" w:eastAsia="Times New Roman" w:hAnsi="Times New Roman" w:cs="Times New Roman"/>
        </w:rPr>
        <w:t>.</w:t>
      </w:r>
      <w:r w:rsidRPr="596E7CBB">
        <w:rPr>
          <w:rFonts w:ascii="Times New Roman" w:eastAsia="Times New Roman" w:hAnsi="Times New Roman" w:cs="Times New Roman"/>
        </w:rPr>
        <w:t xml:space="preserve"> ‘Developing creative service ideas through hotel customer engagement for open innovation: Focused on empowerment and motivation processes’. </w:t>
      </w:r>
      <w:r w:rsidRPr="596E7CBB">
        <w:rPr>
          <w:rFonts w:ascii="Times New Roman" w:eastAsia="Times New Roman" w:hAnsi="Times New Roman" w:cs="Times New Roman"/>
          <w:i/>
          <w:iCs/>
        </w:rPr>
        <w:t>International Journal of Hospitality Management</w:t>
      </w:r>
      <w:r w:rsidRPr="596E7CBB">
        <w:rPr>
          <w:rFonts w:ascii="Times New Roman" w:eastAsia="Times New Roman" w:hAnsi="Times New Roman" w:cs="Times New Roman"/>
        </w:rPr>
        <w:t xml:space="preserve"> 100, p. 103077. doi:  </w:t>
      </w:r>
      <w:hyperlink r:id="rId33">
        <w:r w:rsidRPr="596E7CBB">
          <w:rPr>
            <w:rStyle w:val="Hyperlink"/>
            <w:color w:val="0563C1"/>
          </w:rPr>
          <w:t>https://doi.org/10.1016/j.ijhm.2021.103077</w:t>
        </w:r>
      </w:hyperlink>
      <w:r w:rsidR="58D8B364" w:rsidRPr="596E7CBB">
        <w:rPr>
          <w:color w:val="0563C1"/>
          <w:u w:val="single"/>
        </w:rPr>
        <w:t xml:space="preserve"> </w:t>
      </w:r>
      <w:r w:rsidR="58D8B364" w:rsidRPr="596E7CBB">
        <w:t>(Accessed: 30 May 2026).</w:t>
      </w:r>
    </w:p>
    <w:p w14:paraId="79340E38" w14:textId="4F37C1A4" w:rsidR="0411E1D4" w:rsidRDefault="0411E1D4" w:rsidP="596E7CBB">
      <w:pPr>
        <w:spacing w:after="120" w:line="480" w:lineRule="auto"/>
        <w:ind w:left="720" w:hanging="720"/>
        <w:jc w:val="both"/>
      </w:pPr>
      <w:r w:rsidRPr="596E7CBB">
        <w:rPr>
          <w:rFonts w:ascii="Times New Roman" w:eastAsia="Times New Roman" w:hAnsi="Times New Roman" w:cs="Times New Roman"/>
        </w:rPr>
        <w:t>Soomro, R.B., Mangi, A.A., Shah, N., Baloch, Z.A. and Mahar, S. (2024)</w:t>
      </w:r>
      <w:r w:rsidR="7770223B" w:rsidRPr="596E7CBB">
        <w:rPr>
          <w:rFonts w:ascii="Times New Roman" w:eastAsia="Times New Roman" w:hAnsi="Times New Roman" w:cs="Times New Roman"/>
        </w:rPr>
        <w:t>.</w:t>
      </w:r>
      <w:r w:rsidRPr="596E7CBB">
        <w:rPr>
          <w:rFonts w:ascii="Times New Roman" w:eastAsia="Times New Roman" w:hAnsi="Times New Roman" w:cs="Times New Roman"/>
        </w:rPr>
        <w:t xml:space="preserve"> ‘The adoption of digital technologies by small and medium-sised enterprises for sustainability and value creation in Pakistan: The application of a two-staged hybrid SEM-ANN approach’, </w:t>
      </w:r>
      <w:r w:rsidRPr="596E7CBB">
        <w:rPr>
          <w:rFonts w:ascii="Times New Roman" w:eastAsia="Times New Roman" w:hAnsi="Times New Roman" w:cs="Times New Roman"/>
          <w:i/>
          <w:iCs/>
        </w:rPr>
        <w:t>Sustainability</w:t>
      </w:r>
      <w:r w:rsidRPr="596E7CBB">
        <w:rPr>
          <w:rFonts w:ascii="Times New Roman" w:eastAsia="Times New Roman" w:hAnsi="Times New Roman" w:cs="Times New Roman"/>
        </w:rPr>
        <w:t xml:space="preserve">, 16(17), 7351. Available at: </w:t>
      </w:r>
      <w:hyperlink r:id="rId34">
        <w:r w:rsidRPr="596E7CBB">
          <w:rPr>
            <w:rStyle w:val="Hyperlink"/>
          </w:rPr>
          <w:t>https://www.mdpi.com/2071-1050/16/17/7351</w:t>
        </w:r>
      </w:hyperlink>
      <w:r w:rsidR="4B58D7B4" w:rsidRPr="596E7CBB">
        <w:t xml:space="preserve"> (Accessed: 30 May 2026).</w:t>
      </w:r>
    </w:p>
    <w:p w14:paraId="6D4ABDA6" w14:textId="5A3C3EE3" w:rsidR="0411E1D4" w:rsidRDefault="0411E1D4" w:rsidP="4FE1F094">
      <w:pPr>
        <w:spacing w:after="120" w:line="480" w:lineRule="auto"/>
        <w:ind w:left="720" w:hanging="720"/>
        <w:jc w:val="both"/>
      </w:pPr>
      <w:r w:rsidRPr="596E7CBB">
        <w:rPr>
          <w:rFonts w:ascii="Times New Roman" w:eastAsia="Times New Roman" w:hAnsi="Times New Roman" w:cs="Times New Roman"/>
        </w:rPr>
        <w:t>Teachers Institute (2023)</w:t>
      </w:r>
      <w:r w:rsidR="24D4BF7C" w:rsidRPr="596E7CBB">
        <w:rPr>
          <w:rFonts w:ascii="Times New Roman" w:eastAsia="Times New Roman" w:hAnsi="Times New Roman" w:cs="Times New Roman"/>
        </w:rPr>
        <w:t>.</w:t>
      </w:r>
      <w:r w:rsidRPr="596E7CBB">
        <w:rPr>
          <w:rFonts w:ascii="Times New Roman" w:eastAsia="Times New Roman" w:hAnsi="Times New Roman" w:cs="Times New Roman"/>
        </w:rPr>
        <w:t xml:space="preserve"> What Blocks Creativity? Overcoming Mental and Environmental Barriers, Available at: </w:t>
      </w:r>
      <w:hyperlink r:id="rId35">
        <w:r w:rsidRPr="596E7CBB">
          <w:rPr>
            <w:rStyle w:val="Hyperlink"/>
            <w:color w:val="0563C1"/>
          </w:rPr>
          <w:t>https://teachers.institute/higher- education-the-psycho-social-context/blocks-creativity-overcoming-barriers/</w:t>
        </w:r>
      </w:hyperlink>
      <w:r w:rsidRPr="596E7CBB">
        <w:rPr>
          <w:rFonts w:ascii="Times New Roman" w:eastAsia="Times New Roman" w:hAnsi="Times New Roman" w:cs="Times New Roman"/>
        </w:rPr>
        <w:t xml:space="preserve"> (Accessed: 18 </w:t>
      </w:r>
      <w:r w:rsidR="657C5F6A" w:rsidRPr="596E7CBB">
        <w:rPr>
          <w:rFonts w:ascii="Times New Roman" w:eastAsia="Times New Roman" w:hAnsi="Times New Roman" w:cs="Times New Roman"/>
        </w:rPr>
        <w:t>June</w:t>
      </w:r>
      <w:r w:rsidRPr="596E7CBB">
        <w:rPr>
          <w:rFonts w:ascii="Times New Roman" w:eastAsia="Times New Roman" w:hAnsi="Times New Roman" w:cs="Times New Roman"/>
        </w:rPr>
        <w:t xml:space="preserve"> 2026).</w:t>
      </w:r>
    </w:p>
    <w:p w14:paraId="760968F1" w14:textId="0BEC3510" w:rsidR="0411E1D4" w:rsidRDefault="0411E1D4" w:rsidP="596E7CBB">
      <w:pPr>
        <w:spacing w:after="120" w:line="480" w:lineRule="auto"/>
        <w:ind w:left="720" w:hanging="720"/>
        <w:jc w:val="both"/>
        <w:rPr>
          <w:rFonts w:ascii="Arial" w:eastAsia="Arial" w:hAnsi="Arial" w:cs="Arial"/>
        </w:rPr>
      </w:pPr>
      <w:r w:rsidRPr="596E7CBB">
        <w:rPr>
          <w:rFonts w:ascii="Times New Roman" w:eastAsia="Times New Roman" w:hAnsi="Times New Roman" w:cs="Times New Roman"/>
        </w:rPr>
        <w:t>Teoh, M.F., Ahmad, N.H., Abdul‐Halim, H. and Kan, W.H. (2023)</w:t>
      </w:r>
      <w:r w:rsidR="3CB61B8E" w:rsidRPr="596E7CBB">
        <w:rPr>
          <w:rFonts w:ascii="Times New Roman" w:eastAsia="Times New Roman" w:hAnsi="Times New Roman" w:cs="Times New Roman"/>
        </w:rPr>
        <w:t>.</w:t>
      </w:r>
      <w:r w:rsidRPr="596E7CBB">
        <w:rPr>
          <w:rFonts w:ascii="Times New Roman" w:eastAsia="Times New Roman" w:hAnsi="Times New Roman" w:cs="Times New Roman"/>
        </w:rPr>
        <w:t xml:space="preserve"> ‘Digital business model innovation among small and medium‐sised enterprises (SMEs)’. </w:t>
      </w:r>
      <w:r w:rsidRPr="596E7CBB">
        <w:rPr>
          <w:rFonts w:ascii="Times New Roman" w:eastAsia="Times New Roman" w:hAnsi="Times New Roman" w:cs="Times New Roman"/>
          <w:i/>
          <w:iCs/>
        </w:rPr>
        <w:t>Global Business and Organisational Excellence</w:t>
      </w:r>
      <w:r w:rsidRPr="596E7CBB">
        <w:rPr>
          <w:rFonts w:ascii="Times New Roman" w:eastAsia="Times New Roman" w:hAnsi="Times New Roman" w:cs="Times New Roman"/>
        </w:rPr>
        <w:t xml:space="preserve"> 42(6). doi: </w:t>
      </w:r>
      <w:hyperlink r:id="rId36">
        <w:r w:rsidRPr="596E7CBB">
          <w:rPr>
            <w:rStyle w:val="Hyperlink"/>
            <w:color w:val="0563C1"/>
          </w:rPr>
          <w:t>https://doi.org/10.1002/joe.22200</w:t>
        </w:r>
      </w:hyperlink>
      <w:r w:rsidR="353C87A8" w:rsidRPr="596E7CBB">
        <w:rPr>
          <w:color w:val="0563C1"/>
          <w:u w:val="single"/>
        </w:rPr>
        <w:t xml:space="preserve"> </w:t>
      </w:r>
      <w:r w:rsidR="353C87A8" w:rsidRPr="596E7CBB">
        <w:rPr>
          <w:rFonts w:ascii="Times New Roman" w:eastAsia="Times New Roman" w:hAnsi="Times New Roman" w:cs="Times New Roman"/>
          <w:color w:val="000000" w:themeColor="text1"/>
        </w:rPr>
        <w:t>(Accessed: 09 June 2026).</w:t>
      </w:r>
    </w:p>
    <w:p w14:paraId="05DBED81" w14:textId="0646787E" w:rsidR="478DED82" w:rsidRDefault="478DED82" w:rsidP="4FE1F094">
      <w:pPr>
        <w:spacing w:after="120" w:line="480" w:lineRule="auto"/>
        <w:ind w:left="720" w:hanging="720"/>
        <w:jc w:val="both"/>
        <w:rPr>
          <w:rFonts w:ascii="Times New Roman" w:eastAsia="Times New Roman" w:hAnsi="Times New Roman" w:cs="Times New Roman"/>
          <w:sz w:val="26"/>
          <w:szCs w:val="26"/>
        </w:rPr>
      </w:pPr>
      <w:r w:rsidRPr="4FE1F094">
        <w:rPr>
          <w:rFonts w:ascii="Times New Roman" w:eastAsia="Times New Roman" w:hAnsi="Times New Roman" w:cs="Times New Roman"/>
          <w:sz w:val="26"/>
          <w:szCs w:val="26"/>
        </w:rPr>
        <w:t xml:space="preserve">Vargo, S.L. and Lusch, R.F. (2008). ‘Service-dominant logic: Continuing the evolution’, </w:t>
      </w:r>
      <w:r w:rsidRPr="4FE1F094">
        <w:rPr>
          <w:rFonts w:ascii="Times New Roman" w:eastAsia="Times New Roman" w:hAnsi="Times New Roman" w:cs="Times New Roman"/>
          <w:i/>
          <w:iCs/>
          <w:sz w:val="26"/>
          <w:szCs w:val="26"/>
        </w:rPr>
        <w:t>Journal of the Academy of Marketing Science</w:t>
      </w:r>
      <w:r w:rsidRPr="4FE1F094">
        <w:rPr>
          <w:rFonts w:ascii="Times New Roman" w:eastAsia="Times New Roman" w:hAnsi="Times New Roman" w:cs="Times New Roman"/>
          <w:sz w:val="26"/>
          <w:szCs w:val="26"/>
        </w:rPr>
        <w:t>, 36(1), pp. 1–10.</w:t>
      </w:r>
    </w:p>
    <w:p w14:paraId="20D2B29F" w14:textId="5F507FD2" w:rsidR="0411E1D4" w:rsidRDefault="0411E1D4" w:rsidP="596E7CBB">
      <w:pPr>
        <w:spacing w:after="120" w:line="480" w:lineRule="auto"/>
        <w:ind w:left="720" w:hanging="720"/>
        <w:jc w:val="both"/>
        <w:rPr>
          <w:rFonts w:ascii="Arial" w:eastAsia="Arial" w:hAnsi="Arial" w:cs="Arial"/>
        </w:rPr>
      </w:pPr>
      <w:r w:rsidRPr="596E7CBB">
        <w:rPr>
          <w:rFonts w:ascii="Times New Roman" w:eastAsia="Times New Roman" w:hAnsi="Times New Roman" w:cs="Times New Roman"/>
        </w:rPr>
        <w:t>Vasconcellos, S.L.D., Parente, R.C., Schotter, A.P.J., Garrido, I.L. and Gonçalo, C.R. (2024)</w:t>
      </w:r>
      <w:r w:rsidR="0DB820B1" w:rsidRPr="596E7CBB">
        <w:rPr>
          <w:rFonts w:ascii="Times New Roman" w:eastAsia="Times New Roman" w:hAnsi="Times New Roman" w:cs="Times New Roman"/>
        </w:rPr>
        <w:t>.</w:t>
      </w:r>
      <w:r w:rsidRPr="596E7CBB">
        <w:rPr>
          <w:rFonts w:ascii="Times New Roman" w:eastAsia="Times New Roman" w:hAnsi="Times New Roman" w:cs="Times New Roman"/>
        </w:rPr>
        <w:t xml:space="preserve"> ‘Organisational creativity: A microfoundation of the international business competence </w:t>
      </w:r>
      <w:r w:rsidRPr="596E7CBB">
        <w:rPr>
          <w:rFonts w:ascii="Times New Roman" w:eastAsia="Times New Roman" w:hAnsi="Times New Roman" w:cs="Times New Roman"/>
        </w:rPr>
        <w:lastRenderedPageBreak/>
        <w:t xml:space="preserve">and performance link’. </w:t>
      </w:r>
      <w:r w:rsidRPr="596E7CBB">
        <w:rPr>
          <w:rFonts w:ascii="Times New Roman" w:eastAsia="Times New Roman" w:hAnsi="Times New Roman" w:cs="Times New Roman"/>
          <w:i/>
          <w:iCs/>
        </w:rPr>
        <w:t>Journal of International Management</w:t>
      </w:r>
      <w:r w:rsidRPr="596E7CBB">
        <w:rPr>
          <w:rFonts w:ascii="Times New Roman" w:eastAsia="Times New Roman" w:hAnsi="Times New Roman" w:cs="Times New Roman"/>
        </w:rPr>
        <w:t xml:space="preserve"> 30(6), p. 101203. Available at: </w:t>
      </w:r>
      <w:hyperlink r:id="rId37" w:anchor="bb0390">
        <w:r w:rsidRPr="596E7CBB">
          <w:rPr>
            <w:rStyle w:val="Hyperlink"/>
            <w:color w:val="0563C1"/>
          </w:rPr>
          <w:t>https://www.sciencedirect.com/science/article/pii/S107542532400084X#bb0390</w:t>
        </w:r>
      </w:hyperlink>
      <w:r w:rsidR="78202DFF" w:rsidRPr="596E7CBB">
        <w:rPr>
          <w:color w:val="0563C1"/>
          <w:u w:val="single"/>
        </w:rPr>
        <w:t xml:space="preserve">  </w:t>
      </w:r>
      <w:r w:rsidR="7FA58613" w:rsidRPr="596E7CBB">
        <w:rPr>
          <w:rFonts w:ascii="Times New Roman" w:eastAsia="Times New Roman" w:hAnsi="Times New Roman" w:cs="Times New Roman"/>
          <w:color w:val="000000" w:themeColor="text1"/>
        </w:rPr>
        <w:t>(Accessed: 09 June 2026).</w:t>
      </w:r>
    </w:p>
    <w:p w14:paraId="501A8116" w14:textId="107CE838" w:rsidR="7C1F830E" w:rsidRDefault="7C1F830E" w:rsidP="4FE1F094">
      <w:pPr>
        <w:spacing w:after="120" w:line="480" w:lineRule="auto"/>
        <w:ind w:left="720" w:hanging="720"/>
        <w:jc w:val="both"/>
        <w:rPr>
          <w:rFonts w:ascii="Times New Roman" w:eastAsia="Times New Roman" w:hAnsi="Times New Roman" w:cs="Times New Roman"/>
          <w:sz w:val="26"/>
          <w:szCs w:val="26"/>
        </w:rPr>
      </w:pPr>
      <w:r w:rsidRPr="4FE1F094">
        <w:rPr>
          <w:rFonts w:ascii="Times New Roman" w:eastAsia="Times New Roman" w:hAnsi="Times New Roman" w:cs="Times New Roman"/>
          <w:sz w:val="26"/>
          <w:szCs w:val="26"/>
        </w:rPr>
        <w:t xml:space="preserve">Verhoef, P.C., Lemon, K.N., Parasuraman, A., Roggeveen, A., Tsiros, M. and Schlesinger, L.A. (2009). ‘Customer experience creation: Determinants, dynamics and management strategies’, </w:t>
      </w:r>
      <w:r w:rsidRPr="4FE1F094">
        <w:rPr>
          <w:rFonts w:ascii="Times New Roman" w:eastAsia="Times New Roman" w:hAnsi="Times New Roman" w:cs="Times New Roman"/>
          <w:i/>
          <w:iCs/>
          <w:sz w:val="26"/>
          <w:szCs w:val="26"/>
        </w:rPr>
        <w:t>Journal of Retailing</w:t>
      </w:r>
      <w:r w:rsidRPr="4FE1F094">
        <w:rPr>
          <w:rFonts w:ascii="Times New Roman" w:eastAsia="Times New Roman" w:hAnsi="Times New Roman" w:cs="Times New Roman"/>
          <w:sz w:val="26"/>
          <w:szCs w:val="26"/>
        </w:rPr>
        <w:t>, 85(1), pp. 31–41.</w:t>
      </w:r>
    </w:p>
    <w:p w14:paraId="327873D8" w14:textId="6BB3EBA5" w:rsidR="0411E1D4" w:rsidRDefault="0411E1D4" w:rsidP="4FE1F094">
      <w:pPr>
        <w:spacing w:after="120" w:line="480" w:lineRule="auto"/>
        <w:ind w:left="720" w:hanging="720"/>
        <w:jc w:val="both"/>
      </w:pPr>
      <w:r w:rsidRPr="596E7CBB">
        <w:rPr>
          <w:rFonts w:ascii="Times New Roman" w:eastAsia="Times New Roman" w:hAnsi="Times New Roman" w:cs="Times New Roman"/>
        </w:rPr>
        <w:t xml:space="preserve">You, Y., Zhou, X., Wang, H. and Deng, J. (2022) ‘The effect of organisational innovation climate on employee innovative behavior’, </w:t>
      </w:r>
      <w:r w:rsidRPr="596E7CBB">
        <w:rPr>
          <w:rFonts w:ascii="Times New Roman" w:eastAsia="Times New Roman" w:hAnsi="Times New Roman" w:cs="Times New Roman"/>
          <w:i/>
          <w:iCs/>
        </w:rPr>
        <w:t>Frontiers in Psychology</w:t>
      </w:r>
      <w:r w:rsidRPr="596E7CBB">
        <w:rPr>
          <w:rFonts w:ascii="Times New Roman" w:eastAsia="Times New Roman" w:hAnsi="Times New Roman" w:cs="Times New Roman"/>
        </w:rPr>
        <w:t xml:space="preserve">, 13, 932826. Available at: </w:t>
      </w:r>
      <w:hyperlink r:id="rId38">
        <w:r w:rsidRPr="596E7CBB">
          <w:rPr>
            <w:rStyle w:val="Hyperlink"/>
          </w:rPr>
          <w:t>https://pmc.ncbi.nlm.nih.gov/articles/PMC9253878/</w:t>
        </w:r>
      </w:hyperlink>
      <w:r w:rsidR="3B421565" w:rsidRPr="596E7CBB">
        <w:t xml:space="preserve"> (Accessed: 14 June 2026).</w:t>
      </w:r>
    </w:p>
    <w:p w14:paraId="691CDAED" w14:textId="1F8BF2CB" w:rsidR="0411E1D4" w:rsidRDefault="0411E1D4" w:rsidP="596E7CBB">
      <w:pPr>
        <w:spacing w:after="120" w:line="480" w:lineRule="auto"/>
        <w:ind w:left="720" w:hanging="720"/>
        <w:jc w:val="both"/>
        <w:rPr>
          <w:rFonts w:ascii="Arial" w:eastAsia="Arial" w:hAnsi="Arial" w:cs="Arial"/>
        </w:rPr>
      </w:pPr>
      <w:r w:rsidRPr="596E7CBB">
        <w:rPr>
          <w:rFonts w:ascii="Times New Roman" w:eastAsia="Times New Roman" w:hAnsi="Times New Roman" w:cs="Times New Roman"/>
        </w:rPr>
        <w:t xml:space="preserve">Zhang, Y. and Ha, H.-Y. (2025) ‘Does service innovation reduce customer defection intentions among disappointed customers? A latent growth modeling approach in the hotel sector’. </w:t>
      </w:r>
      <w:r w:rsidRPr="596E7CBB">
        <w:rPr>
          <w:rFonts w:ascii="Times New Roman" w:eastAsia="Times New Roman" w:hAnsi="Times New Roman" w:cs="Times New Roman"/>
          <w:i/>
          <w:iCs/>
        </w:rPr>
        <w:t>International Journal of Hospitality Management</w:t>
      </w:r>
      <w:r w:rsidRPr="596E7CBB">
        <w:rPr>
          <w:rFonts w:ascii="Times New Roman" w:eastAsia="Times New Roman" w:hAnsi="Times New Roman" w:cs="Times New Roman"/>
        </w:rPr>
        <w:t xml:space="preserve"> 124, p. 103954. doi: </w:t>
      </w:r>
      <w:hyperlink r:id="rId39">
        <w:r w:rsidRPr="596E7CBB">
          <w:rPr>
            <w:rStyle w:val="Hyperlink"/>
            <w:color w:val="0563C1"/>
          </w:rPr>
          <w:t>https://doi.org/10.1016/j.ijhm.2024.103954</w:t>
        </w:r>
      </w:hyperlink>
      <w:r w:rsidR="410E5721" w:rsidRPr="596E7CBB">
        <w:rPr>
          <w:color w:val="0563C1"/>
          <w:u w:val="single"/>
        </w:rPr>
        <w:t xml:space="preserve"> </w:t>
      </w:r>
      <w:r w:rsidR="410E5721" w:rsidRPr="596E7CBB">
        <w:rPr>
          <w:rFonts w:ascii="Times New Roman" w:eastAsia="Times New Roman" w:hAnsi="Times New Roman" w:cs="Times New Roman"/>
          <w:color w:val="000000" w:themeColor="text1"/>
        </w:rPr>
        <w:t>(Accessed: 01 June 2026).</w:t>
      </w:r>
    </w:p>
    <w:p w14:paraId="2F4B45C7" w14:textId="763FB7EF" w:rsidR="596E7CBB" w:rsidRDefault="596E7CBB" w:rsidP="596E7CBB">
      <w:pPr>
        <w:spacing w:after="120" w:line="480" w:lineRule="auto"/>
        <w:ind w:left="720" w:hanging="720"/>
        <w:jc w:val="both"/>
        <w:rPr>
          <w:rFonts w:ascii="Times New Roman" w:eastAsia="Times New Roman" w:hAnsi="Times New Roman" w:cs="Times New Roman"/>
          <w:color w:val="000000" w:themeColor="text1"/>
        </w:rPr>
      </w:pPr>
    </w:p>
    <w:p w14:paraId="0B20DBA8" w14:textId="0928CE8F" w:rsidR="596E7CBB" w:rsidRDefault="596E7CBB" w:rsidP="596E7CBB">
      <w:pPr>
        <w:spacing w:after="120" w:line="480" w:lineRule="auto"/>
        <w:ind w:left="720" w:hanging="720"/>
        <w:jc w:val="both"/>
        <w:rPr>
          <w:rFonts w:ascii="Times New Roman" w:eastAsia="Times New Roman" w:hAnsi="Times New Roman" w:cs="Times New Roman"/>
          <w:color w:val="000000" w:themeColor="text1"/>
        </w:rPr>
      </w:pPr>
    </w:p>
    <w:p w14:paraId="78D15C27" w14:textId="5E06B1F9" w:rsidR="596E7CBB" w:rsidRDefault="596E7CBB" w:rsidP="596E7CBB">
      <w:pPr>
        <w:spacing w:after="120" w:line="480" w:lineRule="auto"/>
        <w:ind w:left="720" w:hanging="720"/>
        <w:jc w:val="both"/>
        <w:rPr>
          <w:rFonts w:ascii="Times New Roman" w:eastAsia="Times New Roman" w:hAnsi="Times New Roman" w:cs="Times New Roman"/>
          <w:color w:val="000000" w:themeColor="text1"/>
        </w:rPr>
      </w:pPr>
    </w:p>
    <w:p w14:paraId="4ABC9E7C" w14:textId="3542D33C" w:rsidR="596E7CBB" w:rsidRDefault="596E7CBB" w:rsidP="596E7CBB">
      <w:pPr>
        <w:spacing w:after="120" w:line="480" w:lineRule="auto"/>
        <w:ind w:left="720" w:hanging="720"/>
        <w:jc w:val="both"/>
        <w:rPr>
          <w:rFonts w:ascii="Times New Roman" w:eastAsia="Times New Roman" w:hAnsi="Times New Roman" w:cs="Times New Roman"/>
          <w:color w:val="000000" w:themeColor="text1"/>
        </w:rPr>
      </w:pPr>
    </w:p>
    <w:p w14:paraId="0E0A8F3E" w14:textId="0AE731FD" w:rsidR="596E7CBB" w:rsidRDefault="596E7CBB" w:rsidP="596E7CBB">
      <w:pPr>
        <w:spacing w:after="120" w:line="480" w:lineRule="auto"/>
        <w:ind w:left="720" w:hanging="720"/>
        <w:jc w:val="both"/>
        <w:rPr>
          <w:rFonts w:ascii="Times New Roman" w:eastAsia="Times New Roman" w:hAnsi="Times New Roman" w:cs="Times New Roman"/>
          <w:color w:val="000000" w:themeColor="text1"/>
        </w:rPr>
      </w:pPr>
    </w:p>
    <w:p w14:paraId="0FA54703" w14:textId="0361233C" w:rsidR="596E7CBB" w:rsidRDefault="596E7CBB" w:rsidP="596E7CBB">
      <w:pPr>
        <w:spacing w:after="120" w:line="480" w:lineRule="auto"/>
        <w:ind w:left="720" w:hanging="720"/>
        <w:jc w:val="both"/>
        <w:rPr>
          <w:rFonts w:ascii="Times New Roman" w:eastAsia="Times New Roman" w:hAnsi="Times New Roman" w:cs="Times New Roman"/>
          <w:color w:val="000000" w:themeColor="text1"/>
        </w:rPr>
      </w:pPr>
    </w:p>
    <w:p w14:paraId="20DB1B22" w14:textId="77777777" w:rsidR="00EF1C76" w:rsidRDefault="00EF1C76" w:rsidP="596E7CBB">
      <w:pPr>
        <w:spacing w:after="120" w:line="480" w:lineRule="auto"/>
        <w:ind w:left="720" w:hanging="720"/>
        <w:jc w:val="both"/>
        <w:rPr>
          <w:rFonts w:ascii="Times New Roman" w:eastAsia="Times New Roman" w:hAnsi="Times New Roman" w:cs="Times New Roman"/>
          <w:color w:val="000000" w:themeColor="text1"/>
        </w:rPr>
      </w:pPr>
    </w:p>
    <w:p w14:paraId="4AF88EF4" w14:textId="77777777" w:rsidR="00EF1C76" w:rsidRDefault="00EF1C76" w:rsidP="596E7CBB">
      <w:pPr>
        <w:spacing w:after="120" w:line="480" w:lineRule="auto"/>
        <w:ind w:left="720" w:hanging="720"/>
        <w:jc w:val="both"/>
        <w:rPr>
          <w:rFonts w:ascii="Times New Roman" w:eastAsia="Times New Roman" w:hAnsi="Times New Roman" w:cs="Times New Roman"/>
          <w:color w:val="000000" w:themeColor="text1"/>
        </w:rPr>
      </w:pPr>
    </w:p>
    <w:p w14:paraId="7AA0F78F" w14:textId="030C4804" w:rsidR="596E7CBB" w:rsidRDefault="596E7CBB" w:rsidP="596E7CBB">
      <w:pPr>
        <w:spacing w:after="120" w:line="480" w:lineRule="auto"/>
        <w:ind w:left="720" w:hanging="720"/>
        <w:jc w:val="both"/>
        <w:rPr>
          <w:rFonts w:ascii="Times New Roman" w:eastAsia="Times New Roman" w:hAnsi="Times New Roman" w:cs="Times New Roman"/>
          <w:color w:val="000000" w:themeColor="text1"/>
        </w:rPr>
      </w:pPr>
    </w:p>
    <w:p w14:paraId="5B1B6EDB" w14:textId="41E7E670" w:rsidR="26642B26" w:rsidRDefault="26642B26" w:rsidP="4FE1F094">
      <w:pPr>
        <w:pStyle w:val="Heading1"/>
        <w:rPr>
          <w:rFonts w:asciiTheme="minorHAnsi" w:eastAsiaTheme="minorEastAsia" w:hAnsiTheme="minorHAnsi" w:cstheme="minorBidi"/>
          <w:b/>
          <w:bCs/>
          <w:color w:val="auto"/>
          <w:sz w:val="32"/>
          <w:szCs w:val="32"/>
        </w:rPr>
      </w:pPr>
      <w:bookmarkStart w:id="26" w:name="_Toc1781097761"/>
      <w:bookmarkStart w:id="27" w:name="_Toc2069069354"/>
      <w:r w:rsidRPr="596E7CBB">
        <w:rPr>
          <w:rFonts w:asciiTheme="minorHAnsi" w:eastAsiaTheme="minorEastAsia" w:hAnsiTheme="minorHAnsi" w:cstheme="minorBidi"/>
          <w:b/>
          <w:bCs/>
          <w:color w:val="auto"/>
          <w:sz w:val="32"/>
          <w:szCs w:val="32"/>
        </w:rPr>
        <w:t>Appendix</w:t>
      </w:r>
      <w:bookmarkEnd w:id="26"/>
      <w:bookmarkEnd w:id="27"/>
    </w:p>
    <w:p w14:paraId="15953205" w14:textId="04F4B399" w:rsidR="4D61BFB0" w:rsidRDefault="4D61BFB0" w:rsidP="293C8C3E">
      <w:pPr>
        <w:rPr>
          <w:sz w:val="28"/>
          <w:szCs w:val="28"/>
        </w:rPr>
      </w:pPr>
      <w:r w:rsidRPr="293C8C3E">
        <w:rPr>
          <w:sz w:val="28"/>
          <w:szCs w:val="28"/>
        </w:rPr>
        <w:t>Note: Due to a formatting issue, the screenshots in this appendix appear in reverse order. The first screenshots are located at the end of the appendix, while the most recent screenshots appear at the beginning. The content of the screenshots has not been affected.</w:t>
      </w:r>
    </w:p>
    <w:p w14:paraId="4A1BD4E1" w14:textId="4843B1AF" w:rsidR="2FA412A4" w:rsidRDefault="2FA412A4" w:rsidP="293C8C3E">
      <w:pPr>
        <w:spacing w:line="360" w:lineRule="auto"/>
        <w:jc w:val="both"/>
        <w:rPr>
          <w:rFonts w:ascii="Arial" w:eastAsia="Arial" w:hAnsi="Arial" w:cs="Arial"/>
          <w:sz w:val="28"/>
          <w:szCs w:val="28"/>
        </w:rPr>
      </w:pPr>
      <w:r>
        <w:rPr>
          <w:noProof/>
        </w:rPr>
        <w:lastRenderedPageBreak/>
        <w:drawing>
          <wp:inline distT="0" distB="0" distL="0" distR="0" wp14:anchorId="78887589" wp14:editId="760CDE1A">
            <wp:extent cx="2809875" cy="5724525"/>
            <wp:effectExtent l="0" t="0" r="0" b="0"/>
            <wp:docPr id="17223116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311607" name="Picture 1722311607"/>
                    <pic:cNvPicPr/>
                  </pic:nvPicPr>
                  <pic:blipFill>
                    <a:blip r:embed="rId40">
                      <a:extLst>
                        <a:ext uri="{28A0092B-C50C-407E-A947-70E740481C1C}">
                          <a14:useLocalDpi xmlns:a14="http://schemas.microsoft.com/office/drawing/2010/main"/>
                        </a:ext>
                      </a:extLst>
                    </a:blip>
                    <a:stretch>
                      <a:fillRect/>
                    </a:stretch>
                  </pic:blipFill>
                  <pic:spPr>
                    <a:xfrm>
                      <a:off x="0" y="0"/>
                      <a:ext cx="2809875" cy="5724525"/>
                    </a:xfrm>
                    <a:prstGeom prst="rect">
                      <a:avLst/>
                    </a:prstGeom>
                  </pic:spPr>
                </pic:pic>
              </a:graphicData>
            </a:graphic>
          </wp:inline>
        </w:drawing>
      </w:r>
      <w:r>
        <w:rPr>
          <w:noProof/>
        </w:rPr>
        <w:drawing>
          <wp:inline distT="0" distB="0" distL="0" distR="0" wp14:anchorId="4266E385" wp14:editId="7A0459EA">
            <wp:extent cx="2800350" cy="5724525"/>
            <wp:effectExtent l="0" t="0" r="0" b="0"/>
            <wp:docPr id="185349444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494448" name="Picture 1853494448"/>
                    <pic:cNvPicPr/>
                  </pic:nvPicPr>
                  <pic:blipFill>
                    <a:blip r:embed="rId41">
                      <a:extLst>
                        <a:ext uri="{28A0092B-C50C-407E-A947-70E740481C1C}">
                          <a14:useLocalDpi xmlns:a14="http://schemas.microsoft.com/office/drawing/2010/main"/>
                        </a:ext>
                      </a:extLst>
                    </a:blip>
                    <a:stretch>
                      <a:fillRect/>
                    </a:stretch>
                  </pic:blipFill>
                  <pic:spPr>
                    <a:xfrm>
                      <a:off x="0" y="0"/>
                      <a:ext cx="2800350" cy="5724525"/>
                    </a:xfrm>
                    <a:prstGeom prst="rect">
                      <a:avLst/>
                    </a:prstGeom>
                  </pic:spPr>
                </pic:pic>
              </a:graphicData>
            </a:graphic>
          </wp:inline>
        </w:drawing>
      </w:r>
      <w:r>
        <w:rPr>
          <w:noProof/>
        </w:rPr>
        <w:lastRenderedPageBreak/>
        <w:drawing>
          <wp:inline distT="0" distB="0" distL="0" distR="0" wp14:anchorId="5146C8B0" wp14:editId="6327DBDC">
            <wp:extent cx="2781300" cy="5724525"/>
            <wp:effectExtent l="0" t="0" r="0" b="0"/>
            <wp:docPr id="11989889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988974" name="Picture 1198988974"/>
                    <pic:cNvPicPr/>
                  </pic:nvPicPr>
                  <pic:blipFill>
                    <a:blip r:embed="rId42">
                      <a:extLst>
                        <a:ext uri="{28A0092B-C50C-407E-A947-70E740481C1C}">
                          <a14:useLocalDpi xmlns:a14="http://schemas.microsoft.com/office/drawing/2010/main"/>
                        </a:ext>
                      </a:extLst>
                    </a:blip>
                    <a:stretch>
                      <a:fillRect/>
                    </a:stretch>
                  </pic:blipFill>
                  <pic:spPr>
                    <a:xfrm>
                      <a:off x="0" y="0"/>
                      <a:ext cx="2781300" cy="5724525"/>
                    </a:xfrm>
                    <a:prstGeom prst="rect">
                      <a:avLst/>
                    </a:prstGeom>
                  </pic:spPr>
                </pic:pic>
              </a:graphicData>
            </a:graphic>
          </wp:inline>
        </w:drawing>
      </w:r>
      <w:r>
        <w:rPr>
          <w:noProof/>
        </w:rPr>
        <w:drawing>
          <wp:inline distT="0" distB="0" distL="0" distR="0" wp14:anchorId="61D69BFD" wp14:editId="6DA35C83">
            <wp:extent cx="2790825" cy="5724525"/>
            <wp:effectExtent l="0" t="0" r="0" b="0"/>
            <wp:docPr id="7021349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134955" name="Picture 702134955"/>
                    <pic:cNvPicPr/>
                  </pic:nvPicPr>
                  <pic:blipFill>
                    <a:blip r:embed="rId43">
                      <a:extLst>
                        <a:ext uri="{28A0092B-C50C-407E-A947-70E740481C1C}">
                          <a14:useLocalDpi xmlns:a14="http://schemas.microsoft.com/office/drawing/2010/main"/>
                        </a:ext>
                      </a:extLst>
                    </a:blip>
                    <a:stretch>
                      <a:fillRect/>
                    </a:stretch>
                  </pic:blipFill>
                  <pic:spPr>
                    <a:xfrm>
                      <a:off x="0" y="0"/>
                      <a:ext cx="2790825" cy="5724525"/>
                    </a:xfrm>
                    <a:prstGeom prst="rect">
                      <a:avLst/>
                    </a:prstGeom>
                  </pic:spPr>
                </pic:pic>
              </a:graphicData>
            </a:graphic>
          </wp:inline>
        </w:drawing>
      </w:r>
      <w:r>
        <w:rPr>
          <w:noProof/>
        </w:rPr>
        <w:lastRenderedPageBreak/>
        <w:drawing>
          <wp:inline distT="0" distB="0" distL="0" distR="0" wp14:anchorId="425BEC10" wp14:editId="34E1D327">
            <wp:extent cx="2790825" cy="5724525"/>
            <wp:effectExtent l="0" t="0" r="0" b="0"/>
            <wp:docPr id="17296095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609570" name="Picture 1729609570"/>
                    <pic:cNvPicPr/>
                  </pic:nvPicPr>
                  <pic:blipFill>
                    <a:blip r:embed="rId44">
                      <a:extLst>
                        <a:ext uri="{28A0092B-C50C-407E-A947-70E740481C1C}">
                          <a14:useLocalDpi xmlns:a14="http://schemas.microsoft.com/office/drawing/2010/main"/>
                        </a:ext>
                      </a:extLst>
                    </a:blip>
                    <a:stretch>
                      <a:fillRect/>
                    </a:stretch>
                  </pic:blipFill>
                  <pic:spPr>
                    <a:xfrm>
                      <a:off x="0" y="0"/>
                      <a:ext cx="2790825" cy="5724525"/>
                    </a:xfrm>
                    <a:prstGeom prst="rect">
                      <a:avLst/>
                    </a:prstGeom>
                  </pic:spPr>
                </pic:pic>
              </a:graphicData>
            </a:graphic>
          </wp:inline>
        </w:drawing>
      </w:r>
      <w:r>
        <w:rPr>
          <w:noProof/>
        </w:rPr>
        <w:drawing>
          <wp:inline distT="0" distB="0" distL="0" distR="0" wp14:anchorId="115BD60A" wp14:editId="41D2EE83">
            <wp:extent cx="2781300" cy="5724525"/>
            <wp:effectExtent l="0" t="0" r="0" b="0"/>
            <wp:docPr id="6361278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127813" name="Picture 636127813"/>
                    <pic:cNvPicPr/>
                  </pic:nvPicPr>
                  <pic:blipFill>
                    <a:blip r:embed="rId45">
                      <a:extLst>
                        <a:ext uri="{28A0092B-C50C-407E-A947-70E740481C1C}">
                          <a14:useLocalDpi xmlns:a14="http://schemas.microsoft.com/office/drawing/2010/main"/>
                        </a:ext>
                      </a:extLst>
                    </a:blip>
                    <a:stretch>
                      <a:fillRect/>
                    </a:stretch>
                  </pic:blipFill>
                  <pic:spPr>
                    <a:xfrm>
                      <a:off x="0" y="0"/>
                      <a:ext cx="2781300" cy="5724525"/>
                    </a:xfrm>
                    <a:prstGeom prst="rect">
                      <a:avLst/>
                    </a:prstGeom>
                  </pic:spPr>
                </pic:pic>
              </a:graphicData>
            </a:graphic>
          </wp:inline>
        </w:drawing>
      </w:r>
      <w:r>
        <w:rPr>
          <w:noProof/>
        </w:rPr>
        <w:lastRenderedPageBreak/>
        <w:drawing>
          <wp:inline distT="0" distB="0" distL="0" distR="0" wp14:anchorId="30F44242" wp14:editId="36DC17EF">
            <wp:extent cx="2762250" cy="5724525"/>
            <wp:effectExtent l="0" t="0" r="0" b="0"/>
            <wp:docPr id="13208303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830311" name="Picture 1320830311"/>
                    <pic:cNvPicPr/>
                  </pic:nvPicPr>
                  <pic:blipFill>
                    <a:blip r:embed="rId46">
                      <a:extLst>
                        <a:ext uri="{28A0092B-C50C-407E-A947-70E740481C1C}">
                          <a14:useLocalDpi xmlns:a14="http://schemas.microsoft.com/office/drawing/2010/main"/>
                        </a:ext>
                      </a:extLst>
                    </a:blip>
                    <a:stretch>
                      <a:fillRect/>
                    </a:stretch>
                  </pic:blipFill>
                  <pic:spPr>
                    <a:xfrm>
                      <a:off x="0" y="0"/>
                      <a:ext cx="2762250" cy="5724525"/>
                    </a:xfrm>
                    <a:prstGeom prst="rect">
                      <a:avLst/>
                    </a:prstGeom>
                  </pic:spPr>
                </pic:pic>
              </a:graphicData>
            </a:graphic>
          </wp:inline>
        </w:drawing>
      </w:r>
      <w:r>
        <w:rPr>
          <w:noProof/>
        </w:rPr>
        <w:drawing>
          <wp:inline distT="0" distB="0" distL="0" distR="0" wp14:anchorId="0399EBB8" wp14:editId="66EFD240">
            <wp:extent cx="2638425" cy="5724525"/>
            <wp:effectExtent l="0" t="0" r="0" b="0"/>
            <wp:docPr id="1287231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23160" name="Picture 128723160"/>
                    <pic:cNvPicPr/>
                  </pic:nvPicPr>
                  <pic:blipFill>
                    <a:blip r:embed="rId47">
                      <a:extLst>
                        <a:ext uri="{28A0092B-C50C-407E-A947-70E740481C1C}">
                          <a14:useLocalDpi xmlns:a14="http://schemas.microsoft.com/office/drawing/2010/main"/>
                        </a:ext>
                      </a:extLst>
                    </a:blip>
                    <a:stretch>
                      <a:fillRect/>
                    </a:stretch>
                  </pic:blipFill>
                  <pic:spPr>
                    <a:xfrm>
                      <a:off x="0" y="0"/>
                      <a:ext cx="2638425" cy="5724525"/>
                    </a:xfrm>
                    <a:prstGeom prst="rect">
                      <a:avLst/>
                    </a:prstGeom>
                  </pic:spPr>
                </pic:pic>
              </a:graphicData>
            </a:graphic>
          </wp:inline>
        </w:drawing>
      </w:r>
      <w:r>
        <w:rPr>
          <w:noProof/>
        </w:rPr>
        <w:lastRenderedPageBreak/>
        <w:drawing>
          <wp:inline distT="0" distB="0" distL="0" distR="0" wp14:anchorId="402D6029" wp14:editId="53EC6A61">
            <wp:extent cx="2781300" cy="5724525"/>
            <wp:effectExtent l="0" t="0" r="0" b="0"/>
            <wp:docPr id="17938939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893909" name="Picture 1793893909"/>
                    <pic:cNvPicPr/>
                  </pic:nvPicPr>
                  <pic:blipFill>
                    <a:blip r:embed="rId48">
                      <a:extLst>
                        <a:ext uri="{28A0092B-C50C-407E-A947-70E740481C1C}">
                          <a14:useLocalDpi xmlns:a14="http://schemas.microsoft.com/office/drawing/2010/main"/>
                        </a:ext>
                      </a:extLst>
                    </a:blip>
                    <a:stretch>
                      <a:fillRect/>
                    </a:stretch>
                  </pic:blipFill>
                  <pic:spPr>
                    <a:xfrm>
                      <a:off x="0" y="0"/>
                      <a:ext cx="2781300" cy="5724525"/>
                    </a:xfrm>
                    <a:prstGeom prst="rect">
                      <a:avLst/>
                    </a:prstGeom>
                  </pic:spPr>
                </pic:pic>
              </a:graphicData>
            </a:graphic>
          </wp:inline>
        </w:drawing>
      </w:r>
      <w:r>
        <w:rPr>
          <w:noProof/>
        </w:rPr>
        <w:drawing>
          <wp:inline distT="0" distB="0" distL="0" distR="0" wp14:anchorId="53BC2020" wp14:editId="2CA13B9B">
            <wp:extent cx="2771775" cy="5724525"/>
            <wp:effectExtent l="0" t="0" r="0" b="0"/>
            <wp:docPr id="39928755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287552" name="Picture 399287552"/>
                    <pic:cNvPicPr/>
                  </pic:nvPicPr>
                  <pic:blipFill>
                    <a:blip r:embed="rId49">
                      <a:extLst>
                        <a:ext uri="{28A0092B-C50C-407E-A947-70E740481C1C}">
                          <a14:useLocalDpi xmlns:a14="http://schemas.microsoft.com/office/drawing/2010/main"/>
                        </a:ext>
                      </a:extLst>
                    </a:blip>
                    <a:stretch>
                      <a:fillRect/>
                    </a:stretch>
                  </pic:blipFill>
                  <pic:spPr>
                    <a:xfrm>
                      <a:off x="0" y="0"/>
                      <a:ext cx="2771775" cy="5724525"/>
                    </a:xfrm>
                    <a:prstGeom prst="rect">
                      <a:avLst/>
                    </a:prstGeom>
                  </pic:spPr>
                </pic:pic>
              </a:graphicData>
            </a:graphic>
          </wp:inline>
        </w:drawing>
      </w:r>
      <w:r>
        <w:rPr>
          <w:noProof/>
        </w:rPr>
        <w:lastRenderedPageBreak/>
        <w:drawing>
          <wp:inline distT="0" distB="0" distL="0" distR="0" wp14:anchorId="799ECCA4" wp14:editId="7548DFFA">
            <wp:extent cx="2781300" cy="5724525"/>
            <wp:effectExtent l="0" t="0" r="0" b="0"/>
            <wp:docPr id="9514168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416812" name="Picture 951416812"/>
                    <pic:cNvPicPr/>
                  </pic:nvPicPr>
                  <pic:blipFill>
                    <a:blip r:embed="rId50">
                      <a:extLst>
                        <a:ext uri="{28A0092B-C50C-407E-A947-70E740481C1C}">
                          <a14:useLocalDpi xmlns:a14="http://schemas.microsoft.com/office/drawing/2010/main"/>
                        </a:ext>
                      </a:extLst>
                    </a:blip>
                    <a:stretch>
                      <a:fillRect/>
                    </a:stretch>
                  </pic:blipFill>
                  <pic:spPr>
                    <a:xfrm>
                      <a:off x="0" y="0"/>
                      <a:ext cx="2781300" cy="5724525"/>
                    </a:xfrm>
                    <a:prstGeom prst="rect">
                      <a:avLst/>
                    </a:prstGeom>
                  </pic:spPr>
                </pic:pic>
              </a:graphicData>
            </a:graphic>
          </wp:inline>
        </w:drawing>
      </w:r>
      <w:r>
        <w:rPr>
          <w:noProof/>
        </w:rPr>
        <w:drawing>
          <wp:inline distT="0" distB="0" distL="0" distR="0" wp14:anchorId="334BC24A" wp14:editId="325F7FDE">
            <wp:extent cx="2771775" cy="5724525"/>
            <wp:effectExtent l="0" t="0" r="0" b="0"/>
            <wp:docPr id="143001269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012696" name="Picture 1430012696"/>
                    <pic:cNvPicPr/>
                  </pic:nvPicPr>
                  <pic:blipFill>
                    <a:blip r:embed="rId51">
                      <a:extLst>
                        <a:ext uri="{28A0092B-C50C-407E-A947-70E740481C1C}">
                          <a14:useLocalDpi xmlns:a14="http://schemas.microsoft.com/office/drawing/2010/main"/>
                        </a:ext>
                      </a:extLst>
                    </a:blip>
                    <a:stretch>
                      <a:fillRect/>
                    </a:stretch>
                  </pic:blipFill>
                  <pic:spPr>
                    <a:xfrm>
                      <a:off x="0" y="0"/>
                      <a:ext cx="2771775" cy="5724525"/>
                    </a:xfrm>
                    <a:prstGeom prst="rect">
                      <a:avLst/>
                    </a:prstGeom>
                  </pic:spPr>
                </pic:pic>
              </a:graphicData>
            </a:graphic>
          </wp:inline>
        </w:drawing>
      </w:r>
      <w:r>
        <w:rPr>
          <w:noProof/>
        </w:rPr>
        <w:lastRenderedPageBreak/>
        <w:drawing>
          <wp:inline distT="0" distB="0" distL="0" distR="0" wp14:anchorId="509E0005" wp14:editId="459A9D6A">
            <wp:extent cx="2781300" cy="5724525"/>
            <wp:effectExtent l="0" t="0" r="0" b="0"/>
            <wp:docPr id="56656912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569124" name="Picture 566569124"/>
                    <pic:cNvPicPr/>
                  </pic:nvPicPr>
                  <pic:blipFill>
                    <a:blip r:embed="rId52">
                      <a:extLst>
                        <a:ext uri="{28A0092B-C50C-407E-A947-70E740481C1C}">
                          <a14:useLocalDpi xmlns:a14="http://schemas.microsoft.com/office/drawing/2010/main"/>
                        </a:ext>
                      </a:extLst>
                    </a:blip>
                    <a:stretch>
                      <a:fillRect/>
                    </a:stretch>
                  </pic:blipFill>
                  <pic:spPr>
                    <a:xfrm>
                      <a:off x="0" y="0"/>
                      <a:ext cx="2781300" cy="5724525"/>
                    </a:xfrm>
                    <a:prstGeom prst="rect">
                      <a:avLst/>
                    </a:prstGeom>
                  </pic:spPr>
                </pic:pic>
              </a:graphicData>
            </a:graphic>
          </wp:inline>
        </w:drawing>
      </w:r>
      <w:r>
        <w:rPr>
          <w:noProof/>
        </w:rPr>
        <w:drawing>
          <wp:inline distT="0" distB="0" distL="0" distR="0" wp14:anchorId="115BF2A3" wp14:editId="228E866B">
            <wp:extent cx="2790825" cy="5724525"/>
            <wp:effectExtent l="0" t="0" r="0" b="0"/>
            <wp:docPr id="21183250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325017" name="Picture 2118325017"/>
                    <pic:cNvPicPr/>
                  </pic:nvPicPr>
                  <pic:blipFill>
                    <a:blip r:embed="rId53">
                      <a:extLst>
                        <a:ext uri="{28A0092B-C50C-407E-A947-70E740481C1C}">
                          <a14:useLocalDpi xmlns:a14="http://schemas.microsoft.com/office/drawing/2010/main"/>
                        </a:ext>
                      </a:extLst>
                    </a:blip>
                    <a:stretch>
                      <a:fillRect/>
                    </a:stretch>
                  </pic:blipFill>
                  <pic:spPr>
                    <a:xfrm>
                      <a:off x="0" y="0"/>
                      <a:ext cx="2790825" cy="5724525"/>
                    </a:xfrm>
                    <a:prstGeom prst="rect">
                      <a:avLst/>
                    </a:prstGeom>
                  </pic:spPr>
                </pic:pic>
              </a:graphicData>
            </a:graphic>
          </wp:inline>
        </w:drawing>
      </w:r>
      <w:r>
        <w:rPr>
          <w:noProof/>
        </w:rPr>
        <w:lastRenderedPageBreak/>
        <w:drawing>
          <wp:inline distT="0" distB="0" distL="0" distR="0" wp14:anchorId="69EB4757" wp14:editId="103F4E65">
            <wp:extent cx="2781300" cy="5724525"/>
            <wp:effectExtent l="0" t="0" r="0" b="0"/>
            <wp:docPr id="20916932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693299" name="Picture 2091693299"/>
                    <pic:cNvPicPr/>
                  </pic:nvPicPr>
                  <pic:blipFill>
                    <a:blip r:embed="rId54">
                      <a:extLst>
                        <a:ext uri="{28A0092B-C50C-407E-A947-70E740481C1C}">
                          <a14:useLocalDpi xmlns:a14="http://schemas.microsoft.com/office/drawing/2010/main"/>
                        </a:ext>
                      </a:extLst>
                    </a:blip>
                    <a:stretch>
                      <a:fillRect/>
                    </a:stretch>
                  </pic:blipFill>
                  <pic:spPr>
                    <a:xfrm>
                      <a:off x="0" y="0"/>
                      <a:ext cx="2781300" cy="5724525"/>
                    </a:xfrm>
                    <a:prstGeom prst="rect">
                      <a:avLst/>
                    </a:prstGeom>
                  </pic:spPr>
                </pic:pic>
              </a:graphicData>
            </a:graphic>
          </wp:inline>
        </w:drawing>
      </w:r>
      <w:r>
        <w:rPr>
          <w:noProof/>
        </w:rPr>
        <w:drawing>
          <wp:inline distT="0" distB="0" distL="0" distR="0" wp14:anchorId="53C62688" wp14:editId="16260322">
            <wp:extent cx="2781300" cy="5724525"/>
            <wp:effectExtent l="0" t="0" r="0" b="0"/>
            <wp:docPr id="208468368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683689" name="Picture 2084683689"/>
                    <pic:cNvPicPr/>
                  </pic:nvPicPr>
                  <pic:blipFill>
                    <a:blip r:embed="rId55">
                      <a:extLst>
                        <a:ext uri="{28A0092B-C50C-407E-A947-70E740481C1C}">
                          <a14:useLocalDpi xmlns:a14="http://schemas.microsoft.com/office/drawing/2010/main"/>
                        </a:ext>
                      </a:extLst>
                    </a:blip>
                    <a:stretch>
                      <a:fillRect/>
                    </a:stretch>
                  </pic:blipFill>
                  <pic:spPr>
                    <a:xfrm>
                      <a:off x="0" y="0"/>
                      <a:ext cx="2781300" cy="5724525"/>
                    </a:xfrm>
                    <a:prstGeom prst="rect">
                      <a:avLst/>
                    </a:prstGeom>
                  </pic:spPr>
                </pic:pic>
              </a:graphicData>
            </a:graphic>
          </wp:inline>
        </w:drawing>
      </w:r>
      <w:r>
        <w:rPr>
          <w:noProof/>
        </w:rPr>
        <w:lastRenderedPageBreak/>
        <w:drawing>
          <wp:inline distT="0" distB="0" distL="0" distR="0" wp14:anchorId="75F9F833" wp14:editId="7A752102">
            <wp:extent cx="2771775" cy="5724525"/>
            <wp:effectExtent l="0" t="0" r="0" b="0"/>
            <wp:docPr id="10655897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589760" name="Picture 1065589760"/>
                    <pic:cNvPicPr/>
                  </pic:nvPicPr>
                  <pic:blipFill>
                    <a:blip r:embed="rId56">
                      <a:extLst>
                        <a:ext uri="{28A0092B-C50C-407E-A947-70E740481C1C}">
                          <a14:useLocalDpi xmlns:a14="http://schemas.microsoft.com/office/drawing/2010/main"/>
                        </a:ext>
                      </a:extLst>
                    </a:blip>
                    <a:stretch>
                      <a:fillRect/>
                    </a:stretch>
                  </pic:blipFill>
                  <pic:spPr>
                    <a:xfrm>
                      <a:off x="0" y="0"/>
                      <a:ext cx="2771775" cy="5724525"/>
                    </a:xfrm>
                    <a:prstGeom prst="rect">
                      <a:avLst/>
                    </a:prstGeom>
                  </pic:spPr>
                </pic:pic>
              </a:graphicData>
            </a:graphic>
          </wp:inline>
        </w:drawing>
      </w:r>
      <w:r>
        <w:rPr>
          <w:noProof/>
        </w:rPr>
        <w:drawing>
          <wp:inline distT="0" distB="0" distL="0" distR="0" wp14:anchorId="3353A4A9" wp14:editId="3481FBE0">
            <wp:extent cx="2771775" cy="5724525"/>
            <wp:effectExtent l="0" t="0" r="0" b="0"/>
            <wp:docPr id="81619537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195372" name="Picture 816195372"/>
                    <pic:cNvPicPr/>
                  </pic:nvPicPr>
                  <pic:blipFill>
                    <a:blip r:embed="rId57">
                      <a:extLst>
                        <a:ext uri="{28A0092B-C50C-407E-A947-70E740481C1C}">
                          <a14:useLocalDpi xmlns:a14="http://schemas.microsoft.com/office/drawing/2010/main"/>
                        </a:ext>
                      </a:extLst>
                    </a:blip>
                    <a:stretch>
                      <a:fillRect/>
                    </a:stretch>
                  </pic:blipFill>
                  <pic:spPr>
                    <a:xfrm>
                      <a:off x="0" y="0"/>
                      <a:ext cx="2771775" cy="5724525"/>
                    </a:xfrm>
                    <a:prstGeom prst="rect">
                      <a:avLst/>
                    </a:prstGeom>
                  </pic:spPr>
                </pic:pic>
              </a:graphicData>
            </a:graphic>
          </wp:inline>
        </w:drawing>
      </w:r>
      <w:r>
        <w:rPr>
          <w:noProof/>
        </w:rPr>
        <w:lastRenderedPageBreak/>
        <w:drawing>
          <wp:inline distT="0" distB="0" distL="0" distR="0" wp14:anchorId="4E2529F5" wp14:editId="55CACA78">
            <wp:extent cx="2781300" cy="5724525"/>
            <wp:effectExtent l="0" t="0" r="0" b="0"/>
            <wp:docPr id="66411411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114117" name="Picture 664114117"/>
                    <pic:cNvPicPr/>
                  </pic:nvPicPr>
                  <pic:blipFill>
                    <a:blip r:embed="rId58">
                      <a:extLst>
                        <a:ext uri="{28A0092B-C50C-407E-A947-70E740481C1C}">
                          <a14:useLocalDpi xmlns:a14="http://schemas.microsoft.com/office/drawing/2010/main"/>
                        </a:ext>
                      </a:extLst>
                    </a:blip>
                    <a:stretch>
                      <a:fillRect/>
                    </a:stretch>
                  </pic:blipFill>
                  <pic:spPr>
                    <a:xfrm>
                      <a:off x="0" y="0"/>
                      <a:ext cx="2781300" cy="5724525"/>
                    </a:xfrm>
                    <a:prstGeom prst="rect">
                      <a:avLst/>
                    </a:prstGeom>
                  </pic:spPr>
                </pic:pic>
              </a:graphicData>
            </a:graphic>
          </wp:inline>
        </w:drawing>
      </w:r>
      <w:r>
        <w:rPr>
          <w:noProof/>
        </w:rPr>
        <w:drawing>
          <wp:inline distT="0" distB="0" distL="0" distR="0" wp14:anchorId="383FDB64" wp14:editId="473FF7DF">
            <wp:extent cx="2752725" cy="5724525"/>
            <wp:effectExtent l="0" t="0" r="0" b="0"/>
            <wp:docPr id="8092274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227434" name="Picture 809227434"/>
                    <pic:cNvPicPr/>
                  </pic:nvPicPr>
                  <pic:blipFill>
                    <a:blip r:embed="rId59">
                      <a:extLst>
                        <a:ext uri="{28A0092B-C50C-407E-A947-70E740481C1C}">
                          <a14:useLocalDpi xmlns:a14="http://schemas.microsoft.com/office/drawing/2010/main"/>
                        </a:ext>
                      </a:extLst>
                    </a:blip>
                    <a:stretch>
                      <a:fillRect/>
                    </a:stretch>
                  </pic:blipFill>
                  <pic:spPr>
                    <a:xfrm>
                      <a:off x="0" y="0"/>
                      <a:ext cx="2752725" cy="5724525"/>
                    </a:xfrm>
                    <a:prstGeom prst="rect">
                      <a:avLst/>
                    </a:prstGeom>
                  </pic:spPr>
                </pic:pic>
              </a:graphicData>
            </a:graphic>
          </wp:inline>
        </w:drawing>
      </w:r>
      <w:r>
        <w:rPr>
          <w:noProof/>
        </w:rPr>
        <w:lastRenderedPageBreak/>
        <w:drawing>
          <wp:inline distT="0" distB="0" distL="0" distR="0" wp14:anchorId="581A7028" wp14:editId="578AB0B7">
            <wp:extent cx="2819400" cy="5724525"/>
            <wp:effectExtent l="0" t="0" r="0" b="0"/>
            <wp:docPr id="143097470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974705" name="Picture 1430974705"/>
                    <pic:cNvPicPr/>
                  </pic:nvPicPr>
                  <pic:blipFill>
                    <a:blip r:embed="rId60">
                      <a:extLst>
                        <a:ext uri="{28A0092B-C50C-407E-A947-70E740481C1C}">
                          <a14:useLocalDpi xmlns:a14="http://schemas.microsoft.com/office/drawing/2010/main"/>
                        </a:ext>
                      </a:extLst>
                    </a:blip>
                    <a:stretch>
                      <a:fillRect/>
                    </a:stretch>
                  </pic:blipFill>
                  <pic:spPr>
                    <a:xfrm>
                      <a:off x="0" y="0"/>
                      <a:ext cx="2819400" cy="5724525"/>
                    </a:xfrm>
                    <a:prstGeom prst="rect">
                      <a:avLst/>
                    </a:prstGeom>
                  </pic:spPr>
                </pic:pic>
              </a:graphicData>
            </a:graphic>
          </wp:inline>
        </w:drawing>
      </w:r>
    </w:p>
    <w:p w14:paraId="20ECD902" w14:textId="43072C2A" w:rsidR="4FE1F094" w:rsidRDefault="4FE1F094" w:rsidP="4FE1F094">
      <w:pPr>
        <w:spacing w:before="120" w:line="360" w:lineRule="auto"/>
        <w:jc w:val="both"/>
        <w:rPr>
          <w:sz w:val="28"/>
          <w:szCs w:val="28"/>
        </w:rPr>
      </w:pPr>
    </w:p>
    <w:p w14:paraId="7487D749" w14:textId="5674C7C8" w:rsidR="4FE1F094" w:rsidRDefault="4FE1F094" w:rsidP="4FE1F094">
      <w:pPr>
        <w:spacing w:line="360" w:lineRule="auto"/>
        <w:jc w:val="both"/>
        <w:rPr>
          <w:rFonts w:ascii="Arial" w:eastAsia="Arial" w:hAnsi="Arial" w:cs="Arial"/>
          <w:sz w:val="28"/>
          <w:szCs w:val="28"/>
        </w:rPr>
      </w:pPr>
    </w:p>
    <w:p w14:paraId="07B99AFC" w14:textId="1A431356" w:rsidR="4FE1F094" w:rsidRDefault="4FE1F094" w:rsidP="4FE1F094"/>
    <w:p w14:paraId="723A9B2A" w14:textId="0D4D82B2" w:rsidR="4FE1F094" w:rsidRDefault="4FE1F094" w:rsidP="4FE1F094">
      <w:pPr>
        <w:spacing w:line="480" w:lineRule="auto"/>
        <w:jc w:val="both"/>
        <w:rPr>
          <w:sz w:val="28"/>
          <w:szCs w:val="28"/>
        </w:rPr>
      </w:pPr>
    </w:p>
    <w:p w14:paraId="5F8483BE" w14:textId="7FF9B267" w:rsidR="4FE1F094" w:rsidRDefault="4FE1F094" w:rsidP="4FE1F094">
      <w:pPr>
        <w:spacing w:line="480" w:lineRule="auto"/>
        <w:jc w:val="both"/>
        <w:rPr>
          <w:sz w:val="28"/>
          <w:szCs w:val="28"/>
        </w:rPr>
      </w:pPr>
    </w:p>
    <w:p w14:paraId="56A5EB5B" w14:textId="57E96481" w:rsidR="4FE1F094" w:rsidRDefault="4FE1F094" w:rsidP="4FE1F094">
      <w:pPr>
        <w:rPr>
          <w:sz w:val="28"/>
          <w:szCs w:val="28"/>
        </w:rPr>
      </w:pPr>
    </w:p>
    <w:sectPr w:rsidR="4FE1F094">
      <w:headerReference w:type="default" r:id="rId61"/>
      <w:footerReference w:type="default" r:id="rId6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DCD09" w14:textId="77777777" w:rsidR="005524BA" w:rsidRDefault="005524BA">
      <w:pPr>
        <w:spacing w:after="0" w:line="240" w:lineRule="auto"/>
      </w:pPr>
      <w:r>
        <w:separator/>
      </w:r>
    </w:p>
  </w:endnote>
  <w:endnote w:type="continuationSeparator" w:id="0">
    <w:p w14:paraId="5919004E" w14:textId="77777777" w:rsidR="005524BA" w:rsidRDefault="005524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FE1F094" w14:paraId="5D8EC825" w14:textId="77777777" w:rsidTr="4FE1F094">
      <w:trPr>
        <w:trHeight w:val="300"/>
      </w:trPr>
      <w:tc>
        <w:tcPr>
          <w:tcW w:w="3005" w:type="dxa"/>
        </w:tcPr>
        <w:p w14:paraId="65F60DC5" w14:textId="7EC9626B" w:rsidR="4FE1F094" w:rsidRDefault="4FE1F094" w:rsidP="4FE1F094">
          <w:pPr>
            <w:pStyle w:val="Header"/>
            <w:ind w:left="-115"/>
          </w:pPr>
        </w:p>
      </w:tc>
      <w:tc>
        <w:tcPr>
          <w:tcW w:w="3005" w:type="dxa"/>
        </w:tcPr>
        <w:p w14:paraId="614F5708" w14:textId="612732C8" w:rsidR="4FE1F094" w:rsidRDefault="4FE1F094" w:rsidP="4FE1F094">
          <w:pPr>
            <w:pStyle w:val="Header"/>
            <w:jc w:val="center"/>
          </w:pPr>
        </w:p>
      </w:tc>
      <w:tc>
        <w:tcPr>
          <w:tcW w:w="3005" w:type="dxa"/>
        </w:tcPr>
        <w:p w14:paraId="40CEDF15" w14:textId="721C0AF0" w:rsidR="4FE1F094" w:rsidRDefault="4FE1F094" w:rsidP="4FE1F094">
          <w:pPr>
            <w:pStyle w:val="Header"/>
            <w:ind w:right="-115"/>
            <w:jc w:val="right"/>
          </w:pPr>
        </w:p>
      </w:tc>
    </w:tr>
  </w:tbl>
  <w:p w14:paraId="28DB7FDA" w14:textId="7FC7DADE" w:rsidR="4FE1F094" w:rsidRDefault="4FE1F094" w:rsidP="4FE1F0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CAF6FF" w14:textId="77777777" w:rsidR="005524BA" w:rsidRDefault="005524BA">
      <w:pPr>
        <w:spacing w:after="0" w:line="240" w:lineRule="auto"/>
      </w:pPr>
      <w:r>
        <w:separator/>
      </w:r>
    </w:p>
  </w:footnote>
  <w:footnote w:type="continuationSeparator" w:id="0">
    <w:p w14:paraId="19FA130B" w14:textId="77777777" w:rsidR="005524BA" w:rsidRDefault="005524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FE1F094" w14:paraId="5CCE755B" w14:textId="77777777" w:rsidTr="4FE1F094">
      <w:trPr>
        <w:trHeight w:val="300"/>
      </w:trPr>
      <w:tc>
        <w:tcPr>
          <w:tcW w:w="3005" w:type="dxa"/>
        </w:tcPr>
        <w:p w14:paraId="3CB6CC73" w14:textId="5A9F2105" w:rsidR="4FE1F094" w:rsidRDefault="4FE1F094" w:rsidP="4FE1F094">
          <w:pPr>
            <w:pStyle w:val="Header"/>
            <w:ind w:left="-115"/>
          </w:pPr>
        </w:p>
      </w:tc>
      <w:tc>
        <w:tcPr>
          <w:tcW w:w="3005" w:type="dxa"/>
        </w:tcPr>
        <w:p w14:paraId="219D23D1" w14:textId="3D6A2681" w:rsidR="4FE1F094" w:rsidRDefault="4FE1F094" w:rsidP="4FE1F094">
          <w:pPr>
            <w:pStyle w:val="Header"/>
            <w:jc w:val="center"/>
          </w:pPr>
        </w:p>
      </w:tc>
      <w:tc>
        <w:tcPr>
          <w:tcW w:w="3005" w:type="dxa"/>
        </w:tcPr>
        <w:p w14:paraId="19D3DB3B" w14:textId="76A8599C" w:rsidR="4FE1F094" w:rsidRDefault="4FE1F094" w:rsidP="4FE1F094">
          <w:pPr>
            <w:pStyle w:val="Header"/>
            <w:ind w:right="-115"/>
            <w:jc w:val="right"/>
          </w:pPr>
        </w:p>
      </w:tc>
    </w:tr>
  </w:tbl>
  <w:p w14:paraId="0D614220" w14:textId="320696D0" w:rsidR="4FE1F094" w:rsidRDefault="4FE1F094" w:rsidP="4FE1F0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9CFADA"/>
    <w:rsid w:val="0009578B"/>
    <w:rsid w:val="002A27F8"/>
    <w:rsid w:val="005524BA"/>
    <w:rsid w:val="006C6AF3"/>
    <w:rsid w:val="007E6A76"/>
    <w:rsid w:val="00EF1C76"/>
    <w:rsid w:val="0100B02A"/>
    <w:rsid w:val="013B2DBD"/>
    <w:rsid w:val="018F2AF4"/>
    <w:rsid w:val="019DB4F8"/>
    <w:rsid w:val="01E384CC"/>
    <w:rsid w:val="023D2E36"/>
    <w:rsid w:val="028D8101"/>
    <w:rsid w:val="03348F81"/>
    <w:rsid w:val="03D6F927"/>
    <w:rsid w:val="03FAC983"/>
    <w:rsid w:val="0411E1D4"/>
    <w:rsid w:val="04787C00"/>
    <w:rsid w:val="049D1A93"/>
    <w:rsid w:val="04BCDD07"/>
    <w:rsid w:val="055AD8E8"/>
    <w:rsid w:val="05742EE8"/>
    <w:rsid w:val="0596A301"/>
    <w:rsid w:val="05F64026"/>
    <w:rsid w:val="0623A375"/>
    <w:rsid w:val="069AF476"/>
    <w:rsid w:val="069F7E10"/>
    <w:rsid w:val="070B2B0D"/>
    <w:rsid w:val="0711B333"/>
    <w:rsid w:val="0716B1C2"/>
    <w:rsid w:val="071FA396"/>
    <w:rsid w:val="075AD66C"/>
    <w:rsid w:val="082BD316"/>
    <w:rsid w:val="086D057D"/>
    <w:rsid w:val="090FCEB4"/>
    <w:rsid w:val="0912665C"/>
    <w:rsid w:val="0A296CCD"/>
    <w:rsid w:val="0A2E4CB7"/>
    <w:rsid w:val="0A4445C6"/>
    <w:rsid w:val="0A56372A"/>
    <w:rsid w:val="0B1C508B"/>
    <w:rsid w:val="0B1D94E3"/>
    <w:rsid w:val="0B2D53CE"/>
    <w:rsid w:val="0B9095B6"/>
    <w:rsid w:val="0C2021F2"/>
    <w:rsid w:val="0C373D94"/>
    <w:rsid w:val="0C6DBA92"/>
    <w:rsid w:val="0C8953AD"/>
    <w:rsid w:val="0CCDF359"/>
    <w:rsid w:val="0CFBB431"/>
    <w:rsid w:val="0D497ABE"/>
    <w:rsid w:val="0D53C709"/>
    <w:rsid w:val="0D6F7B26"/>
    <w:rsid w:val="0DB820B1"/>
    <w:rsid w:val="0E5A23DD"/>
    <w:rsid w:val="0E601F25"/>
    <w:rsid w:val="0F53B626"/>
    <w:rsid w:val="0F824A83"/>
    <w:rsid w:val="0FF7F62F"/>
    <w:rsid w:val="105D115C"/>
    <w:rsid w:val="10627EF9"/>
    <w:rsid w:val="10643F2A"/>
    <w:rsid w:val="107204C8"/>
    <w:rsid w:val="10853095"/>
    <w:rsid w:val="11092821"/>
    <w:rsid w:val="1142E3D6"/>
    <w:rsid w:val="11B02461"/>
    <w:rsid w:val="12BFBBAA"/>
    <w:rsid w:val="12CFF509"/>
    <w:rsid w:val="12D0730E"/>
    <w:rsid w:val="13101FD6"/>
    <w:rsid w:val="13420DDC"/>
    <w:rsid w:val="135183D0"/>
    <w:rsid w:val="1374A4A5"/>
    <w:rsid w:val="137A0903"/>
    <w:rsid w:val="14B5C02E"/>
    <w:rsid w:val="14C12C43"/>
    <w:rsid w:val="152254B3"/>
    <w:rsid w:val="161066C6"/>
    <w:rsid w:val="1643B8FB"/>
    <w:rsid w:val="1657496D"/>
    <w:rsid w:val="1685D98C"/>
    <w:rsid w:val="17345E9C"/>
    <w:rsid w:val="1771D109"/>
    <w:rsid w:val="19187AC7"/>
    <w:rsid w:val="1948A2C5"/>
    <w:rsid w:val="19C503DC"/>
    <w:rsid w:val="1A74E63C"/>
    <w:rsid w:val="1ACF3E14"/>
    <w:rsid w:val="1BB5FE7D"/>
    <w:rsid w:val="1BC25A40"/>
    <w:rsid w:val="1BD66015"/>
    <w:rsid w:val="1C37FA31"/>
    <w:rsid w:val="1C3E8301"/>
    <w:rsid w:val="1C48C334"/>
    <w:rsid w:val="1C546B16"/>
    <w:rsid w:val="1C8EB70A"/>
    <w:rsid w:val="1CA10BA4"/>
    <w:rsid w:val="1CD2111D"/>
    <w:rsid w:val="1CF03363"/>
    <w:rsid w:val="1CFAC4DD"/>
    <w:rsid w:val="1D457E4A"/>
    <w:rsid w:val="1D602149"/>
    <w:rsid w:val="1DB155D7"/>
    <w:rsid w:val="1DC0452F"/>
    <w:rsid w:val="1DE42C04"/>
    <w:rsid w:val="1DF6C3F3"/>
    <w:rsid w:val="1E158D9F"/>
    <w:rsid w:val="1ECB8A7E"/>
    <w:rsid w:val="1F690691"/>
    <w:rsid w:val="1F74008C"/>
    <w:rsid w:val="1F7D1A98"/>
    <w:rsid w:val="1F81452E"/>
    <w:rsid w:val="1FF796F1"/>
    <w:rsid w:val="20B43A1F"/>
    <w:rsid w:val="20C41B36"/>
    <w:rsid w:val="20F5F0C2"/>
    <w:rsid w:val="215FF59A"/>
    <w:rsid w:val="21D5C8DE"/>
    <w:rsid w:val="21EBEE0D"/>
    <w:rsid w:val="220C62DD"/>
    <w:rsid w:val="22DEB88E"/>
    <w:rsid w:val="22F23751"/>
    <w:rsid w:val="2359045B"/>
    <w:rsid w:val="237DD2A6"/>
    <w:rsid w:val="243D9E88"/>
    <w:rsid w:val="2453698E"/>
    <w:rsid w:val="24C54470"/>
    <w:rsid w:val="24D4BF7C"/>
    <w:rsid w:val="24F3BCBE"/>
    <w:rsid w:val="2518109A"/>
    <w:rsid w:val="2530C306"/>
    <w:rsid w:val="25640F8E"/>
    <w:rsid w:val="256B4FD8"/>
    <w:rsid w:val="258F751F"/>
    <w:rsid w:val="25AFAE5A"/>
    <w:rsid w:val="2645C41C"/>
    <w:rsid w:val="26642B26"/>
    <w:rsid w:val="26DDC0F2"/>
    <w:rsid w:val="26FD98FC"/>
    <w:rsid w:val="271AF983"/>
    <w:rsid w:val="27631310"/>
    <w:rsid w:val="278AFAA1"/>
    <w:rsid w:val="27B69917"/>
    <w:rsid w:val="27D741C0"/>
    <w:rsid w:val="28678090"/>
    <w:rsid w:val="28B3AF82"/>
    <w:rsid w:val="28F19F6F"/>
    <w:rsid w:val="293C8C3E"/>
    <w:rsid w:val="29B79AC3"/>
    <w:rsid w:val="29F07B73"/>
    <w:rsid w:val="29F3FB69"/>
    <w:rsid w:val="2A3D01CE"/>
    <w:rsid w:val="2A787598"/>
    <w:rsid w:val="2AA1CEB1"/>
    <w:rsid w:val="2AC58FF8"/>
    <w:rsid w:val="2AD495C8"/>
    <w:rsid w:val="2B0B67FD"/>
    <w:rsid w:val="2B29DE78"/>
    <w:rsid w:val="2B9A3558"/>
    <w:rsid w:val="2BA897B2"/>
    <w:rsid w:val="2BADDF9A"/>
    <w:rsid w:val="2C2DD6FB"/>
    <w:rsid w:val="2C7F16F4"/>
    <w:rsid w:val="2CD21208"/>
    <w:rsid w:val="2CD256B0"/>
    <w:rsid w:val="2CE0DF2A"/>
    <w:rsid w:val="2CF82208"/>
    <w:rsid w:val="2D058EC5"/>
    <w:rsid w:val="2D1C4C0B"/>
    <w:rsid w:val="2D473E12"/>
    <w:rsid w:val="2D4E8308"/>
    <w:rsid w:val="2D4E9DBB"/>
    <w:rsid w:val="2DB8149B"/>
    <w:rsid w:val="2DC3E6B1"/>
    <w:rsid w:val="2DCB838B"/>
    <w:rsid w:val="2DF3F3AB"/>
    <w:rsid w:val="2E3E028D"/>
    <w:rsid w:val="2E57AF84"/>
    <w:rsid w:val="2ECCD698"/>
    <w:rsid w:val="2F7623EF"/>
    <w:rsid w:val="2F7D3FAC"/>
    <w:rsid w:val="2F977E10"/>
    <w:rsid w:val="2FA412A4"/>
    <w:rsid w:val="2FAEC514"/>
    <w:rsid w:val="3046C7EB"/>
    <w:rsid w:val="311B5CBA"/>
    <w:rsid w:val="313F6AD0"/>
    <w:rsid w:val="31AE4766"/>
    <w:rsid w:val="31B31387"/>
    <w:rsid w:val="31B81819"/>
    <w:rsid w:val="32807BA5"/>
    <w:rsid w:val="3289B436"/>
    <w:rsid w:val="33104DC6"/>
    <w:rsid w:val="33DC8058"/>
    <w:rsid w:val="33EC1F07"/>
    <w:rsid w:val="33FB0E32"/>
    <w:rsid w:val="34203EC3"/>
    <w:rsid w:val="342F3C19"/>
    <w:rsid w:val="34977885"/>
    <w:rsid w:val="349CFADA"/>
    <w:rsid w:val="3529DF11"/>
    <w:rsid w:val="353C87A8"/>
    <w:rsid w:val="35474817"/>
    <w:rsid w:val="3549DBA0"/>
    <w:rsid w:val="357CB90E"/>
    <w:rsid w:val="357EE88D"/>
    <w:rsid w:val="358B1E90"/>
    <w:rsid w:val="35BEA47D"/>
    <w:rsid w:val="3606C621"/>
    <w:rsid w:val="3642C192"/>
    <w:rsid w:val="368D56A4"/>
    <w:rsid w:val="37014984"/>
    <w:rsid w:val="370193D7"/>
    <w:rsid w:val="375F506F"/>
    <w:rsid w:val="3861FFFD"/>
    <w:rsid w:val="3867A41C"/>
    <w:rsid w:val="389315D3"/>
    <w:rsid w:val="38B6D1F1"/>
    <w:rsid w:val="398380A0"/>
    <w:rsid w:val="3AECB2FF"/>
    <w:rsid w:val="3AFCAADF"/>
    <w:rsid w:val="3B2FB47D"/>
    <w:rsid w:val="3B421565"/>
    <w:rsid w:val="3B5C735C"/>
    <w:rsid w:val="3B73310B"/>
    <w:rsid w:val="3BD0E5D7"/>
    <w:rsid w:val="3BF5A5FB"/>
    <w:rsid w:val="3C8BCC92"/>
    <w:rsid w:val="3CB61B8E"/>
    <w:rsid w:val="3CE1281E"/>
    <w:rsid w:val="3D27F188"/>
    <w:rsid w:val="3DCB9C89"/>
    <w:rsid w:val="3E7CF3DB"/>
    <w:rsid w:val="3F3EFCF9"/>
    <w:rsid w:val="3F6862B2"/>
    <w:rsid w:val="3F6E5463"/>
    <w:rsid w:val="401B966B"/>
    <w:rsid w:val="4034144B"/>
    <w:rsid w:val="4077C2C3"/>
    <w:rsid w:val="40DF0D95"/>
    <w:rsid w:val="40FB0E0A"/>
    <w:rsid w:val="410E5721"/>
    <w:rsid w:val="415A9FF6"/>
    <w:rsid w:val="41B9ECA3"/>
    <w:rsid w:val="431268AD"/>
    <w:rsid w:val="4334CF88"/>
    <w:rsid w:val="4346AB68"/>
    <w:rsid w:val="437570D3"/>
    <w:rsid w:val="43CD5B70"/>
    <w:rsid w:val="43F96DA0"/>
    <w:rsid w:val="442EB6A9"/>
    <w:rsid w:val="4439CFEF"/>
    <w:rsid w:val="44581B8D"/>
    <w:rsid w:val="448E8E9F"/>
    <w:rsid w:val="44F160BF"/>
    <w:rsid w:val="452863EA"/>
    <w:rsid w:val="4536D9A7"/>
    <w:rsid w:val="45AB35B5"/>
    <w:rsid w:val="45EF62AD"/>
    <w:rsid w:val="4620AAC2"/>
    <w:rsid w:val="463E6E24"/>
    <w:rsid w:val="46516E4C"/>
    <w:rsid w:val="468FED67"/>
    <w:rsid w:val="46A65B51"/>
    <w:rsid w:val="46CA8B32"/>
    <w:rsid w:val="46D84DB2"/>
    <w:rsid w:val="47001282"/>
    <w:rsid w:val="477FB559"/>
    <w:rsid w:val="47800DDB"/>
    <w:rsid w:val="4781AB5E"/>
    <w:rsid w:val="478DED82"/>
    <w:rsid w:val="47B442DA"/>
    <w:rsid w:val="480F5F11"/>
    <w:rsid w:val="487C6C32"/>
    <w:rsid w:val="48855EAB"/>
    <w:rsid w:val="48A2B8BC"/>
    <w:rsid w:val="48C10CD1"/>
    <w:rsid w:val="4935BD70"/>
    <w:rsid w:val="4A27ABC3"/>
    <w:rsid w:val="4A92C732"/>
    <w:rsid w:val="4AACF7FC"/>
    <w:rsid w:val="4ACEF7C2"/>
    <w:rsid w:val="4AD987CF"/>
    <w:rsid w:val="4B144AFA"/>
    <w:rsid w:val="4B58D7B4"/>
    <w:rsid w:val="4B5D5444"/>
    <w:rsid w:val="4C25E891"/>
    <w:rsid w:val="4C29219A"/>
    <w:rsid w:val="4C379F9C"/>
    <w:rsid w:val="4C4F8A2E"/>
    <w:rsid w:val="4CACAF95"/>
    <w:rsid w:val="4CF92B85"/>
    <w:rsid w:val="4D2343A3"/>
    <w:rsid w:val="4D61BFB0"/>
    <w:rsid w:val="4D65BDB1"/>
    <w:rsid w:val="4D66DA18"/>
    <w:rsid w:val="4D809BC9"/>
    <w:rsid w:val="4DBCF884"/>
    <w:rsid w:val="4DBE7290"/>
    <w:rsid w:val="4DF2F27E"/>
    <w:rsid w:val="4DF500B6"/>
    <w:rsid w:val="4E37511B"/>
    <w:rsid w:val="4EEB479F"/>
    <w:rsid w:val="4F31207F"/>
    <w:rsid w:val="4F42CA74"/>
    <w:rsid w:val="4F949029"/>
    <w:rsid w:val="4F995634"/>
    <w:rsid w:val="4FA03B4B"/>
    <w:rsid w:val="4FE1F094"/>
    <w:rsid w:val="50465DC6"/>
    <w:rsid w:val="5084B60A"/>
    <w:rsid w:val="50F019F7"/>
    <w:rsid w:val="5147ECE6"/>
    <w:rsid w:val="51677ED4"/>
    <w:rsid w:val="5249A942"/>
    <w:rsid w:val="5281FEEC"/>
    <w:rsid w:val="5282B83B"/>
    <w:rsid w:val="539EEC2B"/>
    <w:rsid w:val="5462EBB0"/>
    <w:rsid w:val="54DD2006"/>
    <w:rsid w:val="54FD4B9A"/>
    <w:rsid w:val="55033100"/>
    <w:rsid w:val="55183C8B"/>
    <w:rsid w:val="555D732C"/>
    <w:rsid w:val="55947F32"/>
    <w:rsid w:val="55E5E00F"/>
    <w:rsid w:val="56104A17"/>
    <w:rsid w:val="5690DF94"/>
    <w:rsid w:val="56991A4B"/>
    <w:rsid w:val="57182B3E"/>
    <w:rsid w:val="571B8FD3"/>
    <w:rsid w:val="57C60DF1"/>
    <w:rsid w:val="57C8F288"/>
    <w:rsid w:val="5829ECB3"/>
    <w:rsid w:val="5839B2D5"/>
    <w:rsid w:val="588E9D6C"/>
    <w:rsid w:val="58D8B364"/>
    <w:rsid w:val="58DE6F3B"/>
    <w:rsid w:val="591B08C2"/>
    <w:rsid w:val="5939EE84"/>
    <w:rsid w:val="593C5698"/>
    <w:rsid w:val="596E7CBB"/>
    <w:rsid w:val="59704270"/>
    <w:rsid w:val="599359DF"/>
    <w:rsid w:val="5BB767CD"/>
    <w:rsid w:val="5BD2E819"/>
    <w:rsid w:val="5C300CEC"/>
    <w:rsid w:val="5C85A9C5"/>
    <w:rsid w:val="5C86B2F1"/>
    <w:rsid w:val="5CD17CBC"/>
    <w:rsid w:val="5CE5BC8D"/>
    <w:rsid w:val="5CEB4525"/>
    <w:rsid w:val="5CEE8985"/>
    <w:rsid w:val="5D43D701"/>
    <w:rsid w:val="5D9F590B"/>
    <w:rsid w:val="5DAB8589"/>
    <w:rsid w:val="5E47A5CE"/>
    <w:rsid w:val="5EF98BE2"/>
    <w:rsid w:val="5F363462"/>
    <w:rsid w:val="5F3D7DD0"/>
    <w:rsid w:val="5F4E320B"/>
    <w:rsid w:val="5F729352"/>
    <w:rsid w:val="5FF965B0"/>
    <w:rsid w:val="607B1F8E"/>
    <w:rsid w:val="6092A071"/>
    <w:rsid w:val="60B55D8D"/>
    <w:rsid w:val="616BB2DD"/>
    <w:rsid w:val="61A6EF8D"/>
    <w:rsid w:val="61D05FBF"/>
    <w:rsid w:val="626BC63B"/>
    <w:rsid w:val="62781458"/>
    <w:rsid w:val="62913684"/>
    <w:rsid w:val="62A0BF00"/>
    <w:rsid w:val="62AB7257"/>
    <w:rsid w:val="63231DA2"/>
    <w:rsid w:val="63B3329C"/>
    <w:rsid w:val="63B3EDE8"/>
    <w:rsid w:val="63B6753C"/>
    <w:rsid w:val="63D37AA4"/>
    <w:rsid w:val="63F20906"/>
    <w:rsid w:val="645BACF0"/>
    <w:rsid w:val="65214A5B"/>
    <w:rsid w:val="655B044D"/>
    <w:rsid w:val="65682A30"/>
    <w:rsid w:val="656A23ED"/>
    <w:rsid w:val="657C5F6A"/>
    <w:rsid w:val="65F9B3BB"/>
    <w:rsid w:val="661318DB"/>
    <w:rsid w:val="662AEBD4"/>
    <w:rsid w:val="66B905F5"/>
    <w:rsid w:val="67328FA9"/>
    <w:rsid w:val="67449A7C"/>
    <w:rsid w:val="6777C4C0"/>
    <w:rsid w:val="67EB9682"/>
    <w:rsid w:val="68721156"/>
    <w:rsid w:val="68A8A1CC"/>
    <w:rsid w:val="69122A49"/>
    <w:rsid w:val="69196C59"/>
    <w:rsid w:val="692384B5"/>
    <w:rsid w:val="698DBEBF"/>
    <w:rsid w:val="69A46C38"/>
    <w:rsid w:val="6AA1ED91"/>
    <w:rsid w:val="6B019404"/>
    <w:rsid w:val="6B621BC0"/>
    <w:rsid w:val="6B6A9CBD"/>
    <w:rsid w:val="6B78E042"/>
    <w:rsid w:val="6B845A55"/>
    <w:rsid w:val="6BC0B5A7"/>
    <w:rsid w:val="6C11D29B"/>
    <w:rsid w:val="6C316E94"/>
    <w:rsid w:val="6C45F2C5"/>
    <w:rsid w:val="6C55491C"/>
    <w:rsid w:val="6C728ED9"/>
    <w:rsid w:val="6CC4DFE6"/>
    <w:rsid w:val="6D2BB72E"/>
    <w:rsid w:val="6D68685D"/>
    <w:rsid w:val="6D8700EE"/>
    <w:rsid w:val="6DDCB082"/>
    <w:rsid w:val="6DE4DA3E"/>
    <w:rsid w:val="6E8077AA"/>
    <w:rsid w:val="6EA947BC"/>
    <w:rsid w:val="6EB24FB1"/>
    <w:rsid w:val="6EC3E4D2"/>
    <w:rsid w:val="6F27D324"/>
    <w:rsid w:val="6F52881D"/>
    <w:rsid w:val="6F531B41"/>
    <w:rsid w:val="6F6938CB"/>
    <w:rsid w:val="70075668"/>
    <w:rsid w:val="702CEB3B"/>
    <w:rsid w:val="7086DF9A"/>
    <w:rsid w:val="709D5B2D"/>
    <w:rsid w:val="70E89BA0"/>
    <w:rsid w:val="71DE6A56"/>
    <w:rsid w:val="725630EB"/>
    <w:rsid w:val="72C97C7A"/>
    <w:rsid w:val="736CEED2"/>
    <w:rsid w:val="73B664C1"/>
    <w:rsid w:val="74068E0C"/>
    <w:rsid w:val="74087A87"/>
    <w:rsid w:val="74DDC952"/>
    <w:rsid w:val="74F36AF6"/>
    <w:rsid w:val="74FFE66D"/>
    <w:rsid w:val="75260792"/>
    <w:rsid w:val="7530D272"/>
    <w:rsid w:val="757A2359"/>
    <w:rsid w:val="7580553C"/>
    <w:rsid w:val="7599FB22"/>
    <w:rsid w:val="762C5B2D"/>
    <w:rsid w:val="76823B33"/>
    <w:rsid w:val="7685EE9D"/>
    <w:rsid w:val="7731D836"/>
    <w:rsid w:val="773CFE25"/>
    <w:rsid w:val="77656C38"/>
    <w:rsid w:val="7770223B"/>
    <w:rsid w:val="77CC1774"/>
    <w:rsid w:val="781D9E14"/>
    <w:rsid w:val="78202DFF"/>
    <w:rsid w:val="7852C324"/>
    <w:rsid w:val="791CAFCA"/>
    <w:rsid w:val="7949A0B9"/>
    <w:rsid w:val="79DC8F9D"/>
    <w:rsid w:val="79E50886"/>
    <w:rsid w:val="7A0E87AE"/>
    <w:rsid w:val="7A59C6B6"/>
    <w:rsid w:val="7A6F410B"/>
    <w:rsid w:val="7A728ECE"/>
    <w:rsid w:val="7A73AE90"/>
    <w:rsid w:val="7AC77972"/>
    <w:rsid w:val="7B189199"/>
    <w:rsid w:val="7B1C2EDB"/>
    <w:rsid w:val="7B24C835"/>
    <w:rsid w:val="7BF5A263"/>
    <w:rsid w:val="7C1F830E"/>
    <w:rsid w:val="7C58F008"/>
    <w:rsid w:val="7C84E456"/>
    <w:rsid w:val="7CBCDC19"/>
    <w:rsid w:val="7CDD949C"/>
    <w:rsid w:val="7D477788"/>
    <w:rsid w:val="7D8E7E89"/>
    <w:rsid w:val="7E1D5FF7"/>
    <w:rsid w:val="7F11243F"/>
    <w:rsid w:val="7FA58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A584A"/>
  <w15:chartTrackingRefBased/>
  <w15:docId w15:val="{D1594131-B0FE-4B5E-A811-C4E3830E6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4FE1F0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FE1F0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4FE1F094"/>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4FE1F094"/>
    <w:rPr>
      <w:rFonts w:asciiTheme="majorHAnsi" w:eastAsiaTheme="majorEastAsia" w:hAnsiTheme="majorHAnsi" w:cstheme="majorBidi"/>
      <w:color w:val="0F4761" w:themeColor="accent1" w:themeShade="BF"/>
      <w:sz w:val="40"/>
      <w:szCs w:val="40"/>
    </w:rPr>
  </w:style>
  <w:style w:type="character" w:styleId="Hyperlink">
    <w:name w:val="Hyperlink"/>
    <w:basedOn w:val="DefaultParagraphFont"/>
    <w:uiPriority w:val="99"/>
    <w:unhideWhenUsed/>
    <w:rsid w:val="4FE1F094"/>
    <w:rPr>
      <w:color w:val="467886"/>
      <w:u w:val="single"/>
    </w:rPr>
  </w:style>
  <w:style w:type="paragraph" w:styleId="TOC1">
    <w:name w:val="toc 1"/>
    <w:basedOn w:val="Normal"/>
    <w:next w:val="Normal"/>
    <w:uiPriority w:val="39"/>
    <w:unhideWhenUsed/>
    <w:rsid w:val="4FE1F094"/>
    <w:pPr>
      <w:spacing w:after="100"/>
    </w:pPr>
  </w:style>
  <w:style w:type="paragraph" w:styleId="TOC2">
    <w:name w:val="toc 2"/>
    <w:basedOn w:val="Normal"/>
    <w:next w:val="Normal"/>
    <w:uiPriority w:val="39"/>
    <w:unhideWhenUsed/>
    <w:rsid w:val="4FE1F094"/>
    <w:pPr>
      <w:spacing w:after="100"/>
      <w:ind w:left="220"/>
    </w:pPr>
  </w:style>
  <w:style w:type="paragraph" w:styleId="ListParagraph">
    <w:name w:val="List Paragraph"/>
    <w:basedOn w:val="Normal"/>
    <w:uiPriority w:val="34"/>
    <w:qFormat/>
    <w:rsid w:val="4FE1F094"/>
    <w:pPr>
      <w:ind w:left="720"/>
      <w:contextualSpacing/>
    </w:pPr>
  </w:style>
  <w:style w:type="paragraph" w:styleId="TOC3">
    <w:name w:val="toc 3"/>
    <w:basedOn w:val="Normal"/>
    <w:next w:val="Normal"/>
    <w:uiPriority w:val="39"/>
    <w:unhideWhenUsed/>
    <w:rsid w:val="4FE1F094"/>
    <w:pPr>
      <w:spacing w:after="100"/>
      <w:ind w:left="440"/>
    </w:pPr>
  </w:style>
  <w:style w:type="paragraph" w:styleId="Header">
    <w:name w:val="header"/>
    <w:basedOn w:val="Normal"/>
    <w:uiPriority w:val="99"/>
    <w:unhideWhenUsed/>
    <w:rsid w:val="4FE1F094"/>
    <w:pPr>
      <w:tabs>
        <w:tab w:val="center" w:pos="4680"/>
        <w:tab w:val="right" w:pos="9360"/>
      </w:tabs>
      <w:spacing w:after="0" w:line="240" w:lineRule="auto"/>
    </w:pPr>
  </w:style>
  <w:style w:type="paragraph" w:styleId="Footer">
    <w:name w:val="footer"/>
    <w:basedOn w:val="Normal"/>
    <w:uiPriority w:val="99"/>
    <w:unhideWhenUsed/>
    <w:rsid w:val="4FE1F094"/>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695e3c022a4a53b73d51380f/our-plan-for-small-and-medium-sized-businesses.pdf" TargetMode="External"/><Relationship Id="rId18" Type="http://schemas.openxmlformats.org/officeDocument/2006/relationships/hyperlink" Target="https://www.mckinsey.com/capabilities/strategy-and-corporate-finance/our-insights/committed-innovators-how-masters-of-essentials-outperform" TargetMode="External"/><Relationship Id="rId26" Type="http://schemas.openxmlformats.org/officeDocument/2006/relationships/hyperlink" Target="https://www.sciencedirect.com/science/article/pii/S0148296322004192" TargetMode="External"/><Relationship Id="rId39" Type="http://schemas.openxmlformats.org/officeDocument/2006/relationships/hyperlink" Target="https://doi.org/10.1016/j.ijhm.2024.103954" TargetMode="External"/><Relationship Id="rId21" Type="http://schemas.openxmlformats.org/officeDocument/2006/relationships/hyperlink" Target="https://www.ibisworld.com/united-kingdom/industry/cafes-coffee-shops/6242/" TargetMode="External"/><Relationship Id="rId34" Type="http://schemas.openxmlformats.org/officeDocument/2006/relationships/hyperlink" Target="https://www.mdpi.com/2071-1050/16/17/7351" TargetMode="External"/><Relationship Id="rId42" Type="http://schemas.openxmlformats.org/officeDocument/2006/relationships/image" Target="media/image4.jpg"/><Relationship Id="rId47" Type="http://schemas.openxmlformats.org/officeDocument/2006/relationships/image" Target="media/image9.jpg"/><Relationship Id="rId50" Type="http://schemas.openxmlformats.org/officeDocument/2006/relationships/image" Target="media/image12.jpg"/><Relationship Id="rId55" Type="http://schemas.openxmlformats.org/officeDocument/2006/relationships/image" Target="media/image17.jpg"/><Relationship Id="rId63" Type="http://schemas.openxmlformats.org/officeDocument/2006/relationships/fontTable" Target="fontTable.xml"/><Relationship Id="rId7" Type="http://schemas.openxmlformats.org/officeDocument/2006/relationships/hyperlink" Target="https://doi.org/10.1080/23322373.2025.2500919" TargetMode="External"/><Relationship Id="rId2" Type="http://schemas.openxmlformats.org/officeDocument/2006/relationships/settings" Target="settings.xml"/><Relationship Id="rId16" Type="http://schemas.openxmlformats.org/officeDocument/2006/relationships/hyperlink" Target="https://www.mdpi.com/2673-8392/4/1/12" TargetMode="External"/><Relationship Id="rId29" Type="http://schemas.openxmlformats.org/officeDocument/2006/relationships/hyperlink" Target="https://doi.org/10.1016/j.heliyon.2023.e16384" TargetMode="External"/><Relationship Id="rId11" Type="http://schemas.openxmlformats.org/officeDocument/2006/relationships/hyperlink" Target="https://doi.org/10.1108/bfj-10-2022-0932" TargetMode="External"/><Relationship Id="rId24" Type="http://schemas.openxmlformats.org/officeDocument/2006/relationships/hyperlink" Target="https://doi.org/10.1016/j.respol.2024.104993" TargetMode="External"/><Relationship Id="rId32" Type="http://schemas.openxmlformats.org/officeDocument/2006/relationships/hyperlink" Target="https://doi.org/10.1016/j.joitmc.2023.100016" TargetMode="External"/><Relationship Id="rId37" Type="http://schemas.openxmlformats.org/officeDocument/2006/relationships/hyperlink" Target="https://www.sciencedirect.com/science/article/pii/S107542532400084X" TargetMode="External"/><Relationship Id="rId40" Type="http://schemas.openxmlformats.org/officeDocument/2006/relationships/image" Target="media/image2.jpg"/><Relationship Id="rId45" Type="http://schemas.openxmlformats.org/officeDocument/2006/relationships/image" Target="media/image7.jpg"/><Relationship Id="rId53" Type="http://schemas.openxmlformats.org/officeDocument/2006/relationships/image" Target="media/image15.jpg"/><Relationship Id="rId58" Type="http://schemas.openxmlformats.org/officeDocument/2006/relationships/image" Target="media/image20.jpg"/><Relationship Id="rId5" Type="http://schemas.openxmlformats.org/officeDocument/2006/relationships/endnotes" Target="endnotes.xml"/><Relationship Id="rId61" Type="http://schemas.openxmlformats.org/officeDocument/2006/relationships/header" Target="header1.xml"/><Relationship Id="rId19" Type="http://schemas.openxmlformats.org/officeDocument/2006/relationships/hyperlink" Target="https://onlinelibrary.wiley.com/doi/full/10.1111/caim.12580" TargetMode="External"/><Relationship Id="rId14" Type="http://schemas.openxmlformats.org/officeDocument/2006/relationships/hyperlink" Target="https://assets.publishing.service.gov.uk/media/65c3ba8ab17912000dba6873/non-domestic-building-stock-part-3-hospitality-sector.pdf" TargetMode="External"/><Relationship Id="rId22" Type="http://schemas.openxmlformats.org/officeDocument/2006/relationships/hyperlink" Target="https://doi.org/10.1016/j.ijhm.2024.103730" TargetMode="External"/><Relationship Id="rId27" Type="http://schemas.openxmlformats.org/officeDocument/2006/relationships/hyperlink" Target="https://www.mdpi.com/2071-1050/16/13/5274" TargetMode="External"/><Relationship Id="rId30" Type="http://schemas.openxmlformats.org/officeDocument/2006/relationships/hyperlink" Target="https://www.mdpi.com/2071-1050/17/8/3485" TargetMode="External"/><Relationship Id="rId35" Type="http://schemas.openxmlformats.org/officeDocument/2006/relationships/hyperlink" Target="https://teachers.institute/higher-%20education-the-psycho-social-context/blocks-creativity-overcoming-barriers/" TargetMode="External"/><Relationship Id="rId43" Type="http://schemas.openxmlformats.org/officeDocument/2006/relationships/image" Target="media/image5.jpg"/><Relationship Id="rId48" Type="http://schemas.openxmlformats.org/officeDocument/2006/relationships/image" Target="media/image10.jpg"/><Relationship Id="rId56" Type="http://schemas.openxmlformats.org/officeDocument/2006/relationships/image" Target="media/image18.jpg"/><Relationship Id="rId64" Type="http://schemas.openxmlformats.org/officeDocument/2006/relationships/theme" Target="theme/theme1.xml"/><Relationship Id="rId8" Type="http://schemas.openxmlformats.org/officeDocument/2006/relationships/hyperlink" Target="https://www.mdpi.com/2071-1050/16/10/4237" TargetMode="External"/><Relationship Id="rId51" Type="http://schemas.openxmlformats.org/officeDocument/2006/relationships/image" Target="media/image13.jpg"/><Relationship Id="rId3" Type="http://schemas.openxmlformats.org/officeDocument/2006/relationships/webSettings" Target="webSettings.xml"/><Relationship Id="rId12" Type="http://schemas.openxmlformats.org/officeDocument/2006/relationships/hyperlink" Target="https://pmc.ncbi.nlm.nih.gov/articles/PMC9088737/" TargetMode="External"/><Relationship Id="rId17" Type="http://schemas.openxmlformats.org/officeDocument/2006/relationships/hyperlink" Target="https://doi.org/10.1108/jsbed-10-2023-0505" TargetMode="External"/><Relationship Id="rId25" Type="http://schemas.openxmlformats.org/officeDocument/2006/relationships/hyperlink" Target="https://www.frontiersin.org/journals/psychology/articles/10.3389/fpsyg.2022.892716/full" TargetMode="External"/><Relationship Id="rId33" Type="http://schemas.openxmlformats.org/officeDocument/2006/relationships/hyperlink" Target="https://doi.org/10.1016/j.ijhm.2021.103077" TargetMode="External"/><Relationship Id="rId38" Type="http://schemas.openxmlformats.org/officeDocument/2006/relationships/hyperlink" Target="https://pmc.ncbi.nlm.nih.gov/articles/PMC9253878/" TargetMode="External"/><Relationship Id="rId46" Type="http://schemas.openxmlformats.org/officeDocument/2006/relationships/image" Target="media/image8.jpg"/><Relationship Id="rId59" Type="http://schemas.openxmlformats.org/officeDocument/2006/relationships/image" Target="media/image21.jpg"/><Relationship Id="rId20" Type="http://schemas.openxmlformats.org/officeDocument/2006/relationships/hyperlink" Target="https://www.sciencedirect.com/science/article/pii/S2405844023051034" TargetMode="External"/><Relationship Id="rId41" Type="http://schemas.openxmlformats.org/officeDocument/2006/relationships/image" Target="media/image3.jpg"/><Relationship Id="rId54" Type="http://schemas.openxmlformats.org/officeDocument/2006/relationships/image" Target="media/image16.jpg"/><Relationship Id="rId62"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www.gov.uk/government/news/britains-hospitality-sector-to-save-3-million-under-new-scheme" TargetMode="External"/><Relationship Id="rId23" Type="http://schemas.openxmlformats.org/officeDocument/2006/relationships/hyperlink" Target="https://doi.org/10.1108/ebr-09-2022-0191" TargetMode="External"/><Relationship Id="rId28" Type="http://schemas.openxmlformats.org/officeDocument/2006/relationships/hyperlink" Target="https://doi.org/10.1108/jsm-03-2023-0081" TargetMode="External"/><Relationship Id="rId36" Type="http://schemas.openxmlformats.org/officeDocument/2006/relationships/hyperlink" Target="https://doi.org/10.1002/joe.22200" TargetMode="External"/><Relationship Id="rId49" Type="http://schemas.openxmlformats.org/officeDocument/2006/relationships/image" Target="media/image11.jpg"/><Relationship Id="rId57" Type="http://schemas.openxmlformats.org/officeDocument/2006/relationships/image" Target="media/image19.jpg"/><Relationship Id="rId10" Type="http://schemas.openxmlformats.org/officeDocument/2006/relationships/hyperlink" Target="https://doi.org/10.1016/j.jclepro.2024.141253" TargetMode="External"/><Relationship Id="rId31" Type="http://schemas.openxmlformats.org/officeDocument/2006/relationships/hyperlink" Target="https://doi.org/10.1016/j.tmp.2021.100804" TargetMode="External"/><Relationship Id="rId44" Type="http://schemas.openxmlformats.org/officeDocument/2006/relationships/image" Target="media/image6.jpg"/><Relationship Id="rId52" Type="http://schemas.openxmlformats.org/officeDocument/2006/relationships/image" Target="media/image14.jpg"/><Relationship Id="rId60" Type="http://schemas.openxmlformats.org/officeDocument/2006/relationships/image" Target="media/image22.jpg"/><Relationship Id="rId4" Type="http://schemas.openxmlformats.org/officeDocument/2006/relationships/footnotes" Target="footnotes.xml"/><Relationship Id="rId9" Type="http://schemas.openxmlformats.org/officeDocument/2006/relationships/hyperlink" Target="https://www.mdpi.com/1911-8074/17/8/3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40</Pages>
  <Words>7027</Words>
  <Characters>40054</Characters>
  <Application>Microsoft Office Word</Application>
  <DocSecurity>0</DocSecurity>
  <Lines>333</Lines>
  <Paragraphs>93</Paragraphs>
  <ScaleCrop>false</ScaleCrop>
  <Company/>
  <LinksUpToDate>false</LinksUpToDate>
  <CharactersWithSpaces>46988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Karolina Kruczynska (2330380)</dc:creator>
  <cp:keywords/>
  <dc:description/>
  <cp:lastModifiedBy>Karolina Kruczynska</cp:lastModifiedBy>
  <cp:revision>6</cp:revision>
  <dcterms:created xsi:type="dcterms:W3CDTF">2026-06-05T17:32:00Z</dcterms:created>
  <dcterms:modified xsi:type="dcterms:W3CDTF">2026-06-19T22:45:00Z</dcterms:modified>
</cp:coreProperties>
</file>