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240D" w:rsidRPr="007945A4" w:rsidRDefault="005C240D" w:rsidP="007945A4">
      <w:pPr>
        <w:spacing w:line="360" w:lineRule="auto"/>
        <w:jc w:val="center"/>
        <w:rPr>
          <w:rFonts w:cs="Times New Roman"/>
          <w:b/>
          <w:bCs/>
          <w:color w:val="000000"/>
          <w:sz w:val="24"/>
          <w:szCs w:val="24"/>
        </w:rPr>
      </w:pPr>
      <w:bookmarkStart w:id="0" w:name="_GoBack"/>
      <w:bookmarkEnd w:id="0"/>
      <w:r w:rsidRPr="007945A4">
        <w:rPr>
          <w:rFonts w:cs="Times New Roman"/>
          <w:b/>
          <w:bCs/>
          <w:color w:val="000000"/>
          <w:sz w:val="24"/>
          <w:szCs w:val="24"/>
        </w:rPr>
        <w:t>BA International Hotel Management</w:t>
      </w:r>
    </w:p>
    <w:p w:rsidR="005C240D" w:rsidRPr="007945A4" w:rsidRDefault="005C240D" w:rsidP="007945A4">
      <w:pPr>
        <w:spacing w:line="360" w:lineRule="auto"/>
        <w:jc w:val="center"/>
        <w:rPr>
          <w:rFonts w:cs="Times New Roman"/>
          <w:b/>
          <w:bCs/>
          <w:color w:val="000000"/>
          <w:sz w:val="24"/>
          <w:szCs w:val="24"/>
        </w:rPr>
      </w:pPr>
      <w:r w:rsidRPr="007945A4">
        <w:rPr>
          <w:rFonts w:cs="Times New Roman"/>
          <w:b/>
          <w:bCs/>
          <w:color w:val="000000"/>
          <w:sz w:val="24"/>
          <w:szCs w:val="24"/>
        </w:rPr>
        <w:t>Financial Management for the Hotel Industry</w:t>
      </w:r>
    </w:p>
    <w:p w:rsidR="005C240D" w:rsidRPr="007945A4" w:rsidRDefault="005C240D" w:rsidP="007945A4">
      <w:pPr>
        <w:spacing w:line="360" w:lineRule="auto"/>
        <w:jc w:val="center"/>
        <w:rPr>
          <w:rFonts w:cs="Times New Roman"/>
          <w:b/>
          <w:bCs/>
          <w:color w:val="000000"/>
          <w:sz w:val="24"/>
          <w:szCs w:val="24"/>
        </w:rPr>
      </w:pPr>
      <w:r w:rsidRPr="007945A4">
        <w:rPr>
          <w:rFonts w:cs="Times New Roman"/>
          <w:b/>
          <w:bCs/>
          <w:color w:val="000000"/>
          <w:sz w:val="24"/>
          <w:szCs w:val="24"/>
        </w:rPr>
        <w:t>BMIH5007</w:t>
      </w:r>
    </w:p>
    <w:p w:rsidR="005C240D" w:rsidRPr="007945A4" w:rsidRDefault="005C240D" w:rsidP="007945A4">
      <w:pPr>
        <w:spacing w:line="360" w:lineRule="auto"/>
        <w:jc w:val="center"/>
        <w:rPr>
          <w:rFonts w:cs="Times New Roman"/>
          <w:b/>
          <w:bCs/>
          <w:color w:val="000000"/>
          <w:sz w:val="24"/>
          <w:szCs w:val="24"/>
        </w:rPr>
      </w:pPr>
      <w:r w:rsidRPr="007945A4">
        <w:rPr>
          <w:rFonts w:cs="Times New Roman"/>
          <w:b/>
          <w:bCs/>
          <w:color w:val="000000"/>
          <w:sz w:val="24"/>
          <w:szCs w:val="24"/>
        </w:rPr>
        <w:t xml:space="preserve">Assignment Title: </w:t>
      </w:r>
      <w:r w:rsidRPr="007945A4">
        <w:rPr>
          <w:sz w:val="24"/>
          <w:szCs w:val="24"/>
        </w:rPr>
        <w:t>Report Case Study: The Seaview Resort</w:t>
      </w:r>
    </w:p>
    <w:p w:rsidR="005C240D" w:rsidRPr="007945A4" w:rsidRDefault="005C240D" w:rsidP="007945A4">
      <w:pPr>
        <w:spacing w:line="360" w:lineRule="auto"/>
        <w:jc w:val="center"/>
        <w:rPr>
          <w:sz w:val="24"/>
          <w:szCs w:val="24"/>
        </w:rPr>
      </w:pPr>
      <w:r w:rsidRPr="007945A4">
        <w:rPr>
          <w:sz w:val="24"/>
          <w:szCs w:val="24"/>
        </w:rPr>
        <w:t>Lecturer Name: Tristan Hawkins</w:t>
      </w:r>
    </w:p>
    <w:p w:rsidR="005C240D" w:rsidRPr="007945A4" w:rsidRDefault="005C240D" w:rsidP="007945A4">
      <w:pPr>
        <w:spacing w:line="360" w:lineRule="auto"/>
        <w:jc w:val="center"/>
        <w:rPr>
          <w:sz w:val="24"/>
          <w:szCs w:val="24"/>
        </w:rPr>
      </w:pPr>
      <w:r w:rsidRPr="007945A4">
        <w:rPr>
          <w:sz w:val="24"/>
          <w:szCs w:val="24"/>
        </w:rPr>
        <w:t xml:space="preserve">Student Name: </w:t>
      </w:r>
      <w:proofErr w:type="spellStart"/>
      <w:r w:rsidRPr="007945A4">
        <w:rPr>
          <w:sz w:val="24"/>
          <w:szCs w:val="24"/>
        </w:rPr>
        <w:t>Saiyful</w:t>
      </w:r>
      <w:proofErr w:type="spellEnd"/>
      <w:r w:rsidRPr="007945A4">
        <w:rPr>
          <w:sz w:val="24"/>
          <w:szCs w:val="24"/>
        </w:rPr>
        <w:t xml:space="preserve"> </w:t>
      </w:r>
      <w:proofErr w:type="spellStart"/>
      <w:r w:rsidRPr="007945A4">
        <w:rPr>
          <w:sz w:val="24"/>
          <w:szCs w:val="24"/>
        </w:rPr>
        <w:t>Alam</w:t>
      </w:r>
      <w:proofErr w:type="spellEnd"/>
      <w:r w:rsidRPr="007945A4">
        <w:rPr>
          <w:sz w:val="24"/>
          <w:szCs w:val="24"/>
        </w:rPr>
        <w:t xml:space="preserve"> Chowdhury</w:t>
      </w:r>
    </w:p>
    <w:p w:rsidR="005C240D" w:rsidRPr="007945A4" w:rsidRDefault="005C240D" w:rsidP="007945A4">
      <w:pPr>
        <w:spacing w:line="360" w:lineRule="auto"/>
        <w:jc w:val="center"/>
        <w:rPr>
          <w:sz w:val="24"/>
          <w:szCs w:val="24"/>
        </w:rPr>
      </w:pPr>
      <w:r w:rsidRPr="007945A4">
        <w:rPr>
          <w:sz w:val="24"/>
          <w:szCs w:val="24"/>
        </w:rPr>
        <w:t>Student ID: 2132062</w:t>
      </w:r>
    </w:p>
    <w:p w:rsidR="005C240D" w:rsidRPr="007945A4" w:rsidRDefault="005C240D" w:rsidP="007945A4">
      <w:pPr>
        <w:spacing w:line="360" w:lineRule="auto"/>
        <w:jc w:val="center"/>
        <w:rPr>
          <w:sz w:val="24"/>
          <w:szCs w:val="24"/>
        </w:rPr>
      </w:pPr>
      <w:r w:rsidRPr="007945A4">
        <w:rPr>
          <w:sz w:val="24"/>
          <w:szCs w:val="24"/>
        </w:rPr>
        <w:t>Word Count: 2010</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r w:rsidRPr="007945A4">
        <w:rPr>
          <w:sz w:val="24"/>
          <w:szCs w:val="24"/>
        </w:rPr>
        <w:br w:type="page"/>
      </w:r>
    </w:p>
    <w:p w:rsidR="005C240D" w:rsidRPr="007945A4" w:rsidRDefault="005C240D" w:rsidP="007945A4">
      <w:pPr>
        <w:pStyle w:val="Heading1"/>
        <w:rPr>
          <w:sz w:val="24"/>
          <w:szCs w:val="24"/>
        </w:rPr>
      </w:pPr>
      <w:bookmarkStart w:id="1" w:name="_Toc150881570"/>
      <w:r w:rsidRPr="007945A4">
        <w:rPr>
          <w:sz w:val="24"/>
          <w:szCs w:val="24"/>
        </w:rPr>
        <w:lastRenderedPageBreak/>
        <w:t>Executive Summary</w:t>
      </w:r>
      <w:bookmarkEnd w:id="1"/>
      <w:r w:rsidRPr="007945A4">
        <w:rPr>
          <w:sz w:val="24"/>
          <w:szCs w:val="24"/>
        </w:rPr>
        <w:t xml:space="preserve"> </w:t>
      </w:r>
    </w:p>
    <w:p w:rsidR="005C240D" w:rsidRPr="007945A4" w:rsidRDefault="005C240D" w:rsidP="007945A4">
      <w:pPr>
        <w:spacing w:line="360" w:lineRule="auto"/>
        <w:rPr>
          <w:sz w:val="24"/>
          <w:szCs w:val="24"/>
        </w:rPr>
      </w:pPr>
      <w:r w:rsidRPr="007945A4">
        <w:rPr>
          <w:sz w:val="24"/>
          <w:szCs w:val="24"/>
        </w:rPr>
        <w:t>The need for a strategic turnaround at Seaview Resort is highlighted in the research, which was prompted by the resort's declining market competitiveness and financial performance. The current state of the market lends credence to the strategy that calls for revenue growth, operational improvements, and customer-centric activities. Even taking into account the potential downsides, the financial forecast calls for positive outcomes. It is recommended to have a specialised implementation team, as well as market monitoring and communication with stakeholders. The resort will be better able to grow and compete in the dynamic hotel market in the UK as a result of these activities.</w:t>
      </w:r>
    </w:p>
    <w:p w:rsidR="005C240D" w:rsidRPr="007945A4" w:rsidRDefault="005C240D" w:rsidP="007945A4">
      <w:pPr>
        <w:spacing w:line="360" w:lineRule="auto"/>
        <w:rPr>
          <w:sz w:val="24"/>
          <w:szCs w:val="24"/>
        </w:rPr>
      </w:pPr>
      <w:r w:rsidRPr="007945A4">
        <w:rPr>
          <w:sz w:val="24"/>
          <w:szCs w:val="24"/>
        </w:rPr>
        <w:br w:type="page"/>
      </w:r>
    </w:p>
    <w:sdt>
      <w:sdtPr>
        <w:rPr>
          <w:rFonts w:ascii="Times New Roman" w:eastAsiaTheme="minorHAnsi" w:hAnsi="Times New Roman" w:cstheme="minorBidi"/>
          <w:color w:val="auto"/>
          <w:sz w:val="24"/>
          <w:szCs w:val="24"/>
          <w:lang w:val="en-GB"/>
        </w:rPr>
        <w:id w:val="-2001647008"/>
        <w:docPartObj>
          <w:docPartGallery w:val="Table of Contents"/>
          <w:docPartUnique/>
        </w:docPartObj>
      </w:sdtPr>
      <w:sdtEndPr>
        <w:rPr>
          <w:rFonts w:asciiTheme="minorHAnsi" w:hAnsiTheme="minorHAnsi"/>
        </w:rPr>
      </w:sdtEndPr>
      <w:sdtContent>
        <w:p w:rsidR="005C240D" w:rsidRPr="007945A4" w:rsidRDefault="005C240D" w:rsidP="007945A4">
          <w:pPr>
            <w:pStyle w:val="TOCHeading"/>
            <w:spacing w:line="360" w:lineRule="auto"/>
            <w:rPr>
              <w:sz w:val="24"/>
              <w:szCs w:val="24"/>
            </w:rPr>
          </w:pPr>
          <w:r w:rsidRPr="007945A4">
            <w:rPr>
              <w:sz w:val="24"/>
              <w:szCs w:val="24"/>
            </w:rPr>
            <w:t>Table of Contents</w:t>
          </w:r>
        </w:p>
        <w:p w:rsidR="005C240D" w:rsidRPr="007945A4" w:rsidRDefault="005C240D" w:rsidP="007945A4">
          <w:pPr>
            <w:pStyle w:val="TOC1"/>
            <w:tabs>
              <w:tab w:val="right" w:leader="dot" w:pos="9016"/>
            </w:tabs>
            <w:rPr>
              <w:noProof/>
              <w:szCs w:val="24"/>
            </w:rPr>
          </w:pPr>
          <w:r w:rsidRPr="007945A4">
            <w:rPr>
              <w:szCs w:val="24"/>
            </w:rPr>
            <w:fldChar w:fldCharType="begin"/>
          </w:r>
          <w:r w:rsidRPr="007945A4">
            <w:rPr>
              <w:szCs w:val="24"/>
            </w:rPr>
            <w:instrText xml:space="preserve"> TOC \o "1-3" \h \z \u </w:instrText>
          </w:r>
          <w:r w:rsidRPr="007945A4">
            <w:rPr>
              <w:szCs w:val="24"/>
            </w:rPr>
            <w:fldChar w:fldCharType="separate"/>
          </w:r>
          <w:hyperlink r:id="rId5" w:anchor="_Toc150881570" w:history="1">
            <w:r w:rsidRPr="007945A4">
              <w:rPr>
                <w:rStyle w:val="Hyperlink"/>
                <w:noProof/>
                <w:szCs w:val="24"/>
              </w:rPr>
              <w:t>Executive Summary</w:t>
            </w:r>
            <w:r w:rsidRPr="007945A4">
              <w:rPr>
                <w:rStyle w:val="Hyperlink"/>
                <w:noProof/>
                <w:webHidden/>
                <w:szCs w:val="24"/>
              </w:rPr>
              <w:tab/>
            </w:r>
            <w:r w:rsidRPr="007945A4">
              <w:rPr>
                <w:rStyle w:val="Hyperlink"/>
                <w:noProof/>
                <w:webHidden/>
                <w:szCs w:val="24"/>
              </w:rPr>
              <w:fldChar w:fldCharType="begin"/>
            </w:r>
            <w:r w:rsidRPr="007945A4">
              <w:rPr>
                <w:rStyle w:val="Hyperlink"/>
                <w:noProof/>
                <w:webHidden/>
                <w:szCs w:val="24"/>
              </w:rPr>
              <w:instrText xml:space="preserve"> PAGEREF _Toc150881570 \h </w:instrText>
            </w:r>
            <w:r w:rsidRPr="007945A4">
              <w:rPr>
                <w:rStyle w:val="Hyperlink"/>
                <w:noProof/>
                <w:webHidden/>
                <w:szCs w:val="24"/>
              </w:rPr>
            </w:r>
            <w:r w:rsidRPr="007945A4">
              <w:rPr>
                <w:rStyle w:val="Hyperlink"/>
                <w:noProof/>
                <w:webHidden/>
                <w:szCs w:val="24"/>
              </w:rPr>
              <w:fldChar w:fldCharType="separate"/>
            </w:r>
            <w:r w:rsidRPr="007945A4">
              <w:rPr>
                <w:rStyle w:val="Hyperlink"/>
                <w:noProof/>
                <w:webHidden/>
                <w:szCs w:val="24"/>
              </w:rPr>
              <w:t>2</w:t>
            </w:r>
            <w:r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6" w:anchor="_Toc150881571" w:history="1">
            <w:r w:rsidR="005C240D" w:rsidRPr="007945A4">
              <w:rPr>
                <w:rStyle w:val="Hyperlink"/>
                <w:noProof/>
                <w:szCs w:val="24"/>
              </w:rPr>
              <w:t>Introduction</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_Toc150881571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4</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7" w:anchor="_Toc150881572" w:history="1">
            <w:r w:rsidR="005C240D" w:rsidRPr="007945A4">
              <w:rPr>
                <w:rStyle w:val="Hyperlink"/>
                <w:noProof/>
                <w:szCs w:val="24"/>
              </w:rPr>
              <w:t>The purpose</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_Toc150881572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5</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8" w:anchor="_Toc150881573" w:history="1">
            <w:r w:rsidR="005C240D" w:rsidRPr="007945A4">
              <w:rPr>
                <w:rStyle w:val="Hyperlink"/>
                <w:noProof/>
                <w:szCs w:val="24"/>
              </w:rPr>
              <w:t>Scope and Objectives</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_Toc150881573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6</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9" w:anchor="_Toc150881574" w:history="1">
            <w:r w:rsidR="005C240D" w:rsidRPr="007945A4">
              <w:rPr>
                <w:rStyle w:val="Hyperlink"/>
                <w:noProof/>
                <w:szCs w:val="24"/>
              </w:rPr>
              <w:t>Financial Analysis</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_Toc150881574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7</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0" w:anchor="_Toc150881575" w:history="1">
            <w:r w:rsidR="005C240D" w:rsidRPr="007945A4">
              <w:rPr>
                <w:rStyle w:val="Hyperlink"/>
                <w:noProof/>
                <w:szCs w:val="24"/>
              </w:rPr>
              <w:t>SWOT analysis</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_Toc150881575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9</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1" w:anchor="_Toc150881576" w:history="1">
            <w:r w:rsidR="005C240D" w:rsidRPr="007945A4">
              <w:rPr>
                <w:rStyle w:val="Hyperlink"/>
                <w:rFonts w:eastAsia="Times New Roman"/>
                <w:noProof/>
                <w:szCs w:val="24"/>
                <w:lang w:eastAsia="en-GB"/>
              </w:rPr>
              <w:t>Market Analysis</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_Toc150881576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10</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2" w:anchor="_Toc150881577" w:history="1">
            <w:r w:rsidR="005C240D" w:rsidRPr="007945A4">
              <w:rPr>
                <w:rStyle w:val="Hyperlink"/>
                <w:noProof/>
                <w:szCs w:val="24"/>
              </w:rPr>
              <w:t>Strategy for turnaround</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_Toc150881577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11</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3" w:anchor="_Toc150881578" w:history="1">
            <w:r w:rsidR="005C240D" w:rsidRPr="007945A4">
              <w:rPr>
                <w:rStyle w:val="Hyperlink"/>
                <w:noProof/>
                <w:szCs w:val="24"/>
                <w:lang w:eastAsia="en-GB"/>
              </w:rPr>
              <w:t>Financial Projections</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_Toc150881578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12</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4" w:anchor="_Toc150881579" w:history="1">
            <w:r w:rsidR="005C240D" w:rsidRPr="007945A4">
              <w:rPr>
                <w:rStyle w:val="Hyperlink"/>
                <w:noProof/>
                <w:szCs w:val="24"/>
              </w:rPr>
              <w:t>Risk Assessment</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_Toc150881579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14</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5" w:anchor="_Toc150881580" w:history="1">
            <w:r w:rsidR="005C240D" w:rsidRPr="007945A4">
              <w:rPr>
                <w:rStyle w:val="Hyperlink"/>
                <w:noProof/>
                <w:szCs w:val="24"/>
              </w:rPr>
              <w:t>Conclusion</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_Toc150881580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15</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6" w:anchor="_Toc150881581" w:history="1">
            <w:r w:rsidR="005C240D" w:rsidRPr="007945A4">
              <w:rPr>
                <w:rStyle w:val="Hyperlink"/>
                <w:noProof/>
                <w:szCs w:val="24"/>
              </w:rPr>
              <w:t>Recommendations</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_Toc150881581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16</w:t>
            </w:r>
            <w:r w:rsidR="005C240D" w:rsidRPr="007945A4">
              <w:rPr>
                <w:rStyle w:val="Hyperlink"/>
                <w:noProof/>
                <w:webHidden/>
                <w:szCs w:val="24"/>
              </w:rPr>
              <w:fldChar w:fldCharType="end"/>
            </w:r>
          </w:hyperlink>
        </w:p>
        <w:p w:rsidR="005C240D" w:rsidRPr="007945A4" w:rsidRDefault="007945A4" w:rsidP="007945A4">
          <w:pPr>
            <w:pStyle w:val="TOC1"/>
            <w:tabs>
              <w:tab w:val="right" w:leader="dot" w:pos="9016"/>
            </w:tabs>
            <w:rPr>
              <w:noProof/>
              <w:szCs w:val="24"/>
            </w:rPr>
          </w:pPr>
          <w:hyperlink r:id="rId17" w:anchor="_Toc150881582" w:history="1">
            <w:r w:rsidR="005C240D" w:rsidRPr="007945A4">
              <w:rPr>
                <w:rStyle w:val="Hyperlink"/>
                <w:noProof/>
                <w:szCs w:val="24"/>
              </w:rPr>
              <w:t>References</w:t>
            </w:r>
            <w:r w:rsidR="005C240D" w:rsidRPr="007945A4">
              <w:rPr>
                <w:rStyle w:val="Hyperlink"/>
                <w:noProof/>
                <w:webHidden/>
                <w:szCs w:val="24"/>
              </w:rPr>
              <w:tab/>
            </w:r>
            <w:r w:rsidR="005C240D" w:rsidRPr="007945A4">
              <w:rPr>
                <w:rStyle w:val="Hyperlink"/>
                <w:noProof/>
                <w:webHidden/>
                <w:szCs w:val="24"/>
              </w:rPr>
              <w:fldChar w:fldCharType="begin"/>
            </w:r>
            <w:r w:rsidR="005C240D" w:rsidRPr="007945A4">
              <w:rPr>
                <w:rStyle w:val="Hyperlink"/>
                <w:noProof/>
                <w:webHidden/>
                <w:szCs w:val="24"/>
              </w:rPr>
              <w:instrText xml:space="preserve"> PAGEREF _Toc150881582 \h </w:instrText>
            </w:r>
            <w:r w:rsidR="005C240D" w:rsidRPr="007945A4">
              <w:rPr>
                <w:rStyle w:val="Hyperlink"/>
                <w:noProof/>
                <w:webHidden/>
                <w:szCs w:val="24"/>
              </w:rPr>
            </w:r>
            <w:r w:rsidR="005C240D" w:rsidRPr="007945A4">
              <w:rPr>
                <w:rStyle w:val="Hyperlink"/>
                <w:noProof/>
                <w:webHidden/>
                <w:szCs w:val="24"/>
              </w:rPr>
              <w:fldChar w:fldCharType="separate"/>
            </w:r>
            <w:r w:rsidR="005C240D" w:rsidRPr="007945A4">
              <w:rPr>
                <w:rStyle w:val="Hyperlink"/>
                <w:noProof/>
                <w:webHidden/>
                <w:szCs w:val="24"/>
              </w:rPr>
              <w:t>17</w:t>
            </w:r>
            <w:r w:rsidR="005C240D" w:rsidRPr="007945A4">
              <w:rPr>
                <w:rStyle w:val="Hyperlink"/>
                <w:noProof/>
                <w:webHidden/>
                <w:szCs w:val="24"/>
              </w:rPr>
              <w:fldChar w:fldCharType="end"/>
            </w:r>
          </w:hyperlink>
        </w:p>
        <w:p w:rsidR="005C240D" w:rsidRPr="007945A4" w:rsidRDefault="005C240D" w:rsidP="007945A4">
          <w:pPr>
            <w:spacing w:line="360" w:lineRule="auto"/>
            <w:rPr>
              <w:sz w:val="24"/>
              <w:szCs w:val="24"/>
            </w:rPr>
          </w:pPr>
          <w:r w:rsidRPr="007945A4">
            <w:rPr>
              <w:b/>
              <w:bCs/>
              <w:noProof/>
              <w:sz w:val="24"/>
              <w:szCs w:val="24"/>
            </w:rPr>
            <w:fldChar w:fldCharType="end"/>
          </w:r>
        </w:p>
      </w:sdtContent>
    </w:sdt>
    <w:p w:rsidR="005C240D" w:rsidRPr="007945A4" w:rsidRDefault="005C240D" w:rsidP="007945A4">
      <w:pPr>
        <w:spacing w:line="360" w:lineRule="auto"/>
        <w:rPr>
          <w:sz w:val="24"/>
          <w:szCs w:val="24"/>
        </w:rPr>
      </w:pPr>
      <w:r w:rsidRPr="007945A4">
        <w:rPr>
          <w:sz w:val="24"/>
          <w:szCs w:val="24"/>
        </w:rPr>
        <w:br w:type="page"/>
      </w:r>
    </w:p>
    <w:p w:rsidR="005C240D" w:rsidRPr="007945A4" w:rsidRDefault="005C240D" w:rsidP="007945A4">
      <w:pPr>
        <w:pStyle w:val="Heading1"/>
        <w:rPr>
          <w:sz w:val="24"/>
          <w:szCs w:val="24"/>
        </w:rPr>
      </w:pPr>
      <w:bookmarkStart w:id="2" w:name="_Toc150881571"/>
      <w:r w:rsidRPr="007945A4">
        <w:rPr>
          <w:sz w:val="24"/>
          <w:szCs w:val="24"/>
        </w:rPr>
        <w:lastRenderedPageBreak/>
        <w:t>Introduction</w:t>
      </w:r>
      <w:bookmarkEnd w:id="2"/>
      <w:r w:rsidRPr="007945A4">
        <w:rPr>
          <w:sz w:val="24"/>
          <w:szCs w:val="24"/>
        </w:rPr>
        <w:t xml:space="preserve"> </w:t>
      </w:r>
    </w:p>
    <w:p w:rsidR="005C240D" w:rsidRPr="007945A4" w:rsidRDefault="005C240D" w:rsidP="007945A4">
      <w:pPr>
        <w:spacing w:line="360" w:lineRule="auto"/>
        <w:rPr>
          <w:sz w:val="24"/>
          <w:szCs w:val="24"/>
        </w:rPr>
      </w:pPr>
      <w:r w:rsidRPr="007945A4">
        <w:rPr>
          <w:sz w:val="24"/>
          <w:szCs w:val="24"/>
        </w:rPr>
        <w:t>The resort located on a beautiful beach features 25 guest rooms, a restaurant, a bar, and event facilities. Recently, the resort's income, occupancy rate, and customer happiness have all decreased. Mr. James Henderson has it in his sights to improve the resort's financial situation. In recent years, the once-bustling locale has been challenged by the emergence of newer, more cutting-edge beach resorts. The resort's offerings have evolved in response to the growing demand from guests for eco-friendly and immersive vacations. The resort's rating is lowered as a result of negative comments made by customers concerning the service and the resort's ageing amenities. This paper analyses the resort's financial situation, pinpoints the factors contributing to the downturn, and outlines an exhaustive strategy for reversing the trend.</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3" w:name="_Toc150881572"/>
      <w:r w:rsidRPr="007945A4">
        <w:rPr>
          <w:sz w:val="24"/>
          <w:szCs w:val="24"/>
        </w:rPr>
        <w:t>The purpose</w:t>
      </w:r>
      <w:bookmarkEnd w:id="3"/>
      <w:r w:rsidRPr="007945A4">
        <w:rPr>
          <w:sz w:val="24"/>
          <w:szCs w:val="24"/>
        </w:rPr>
        <w:t xml:space="preserve"> </w:t>
      </w:r>
    </w:p>
    <w:p w:rsidR="005C240D" w:rsidRPr="007945A4" w:rsidRDefault="005C240D" w:rsidP="007945A4">
      <w:pPr>
        <w:spacing w:line="360" w:lineRule="auto"/>
        <w:rPr>
          <w:sz w:val="24"/>
          <w:szCs w:val="24"/>
        </w:rPr>
      </w:pPr>
      <w:r w:rsidRPr="007945A4">
        <w:rPr>
          <w:sz w:val="24"/>
          <w:szCs w:val="24"/>
        </w:rPr>
        <w:t>This study assesses the financial sustainability of The Seaview Resort and suggests a recovery plan. The financial performance of the resort during the last three years will be evaluated by looking at cash flow, balance sheets, and income statements. Finding the primary reasons behind the reduction in profitability is another goal of the study. In the face of increasing competition and shifting consumer tastes in the coastal resort sector, the ultimate objective is to develop a strategic plan that revitalises the resort's financial standing and reputation as a premier vacation spot.</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4" w:name="_Toc150881573"/>
      <w:r w:rsidRPr="007945A4">
        <w:rPr>
          <w:sz w:val="24"/>
          <w:szCs w:val="24"/>
        </w:rPr>
        <w:t>Scope and Objectives</w:t>
      </w:r>
      <w:bookmarkEnd w:id="4"/>
      <w:r w:rsidRPr="007945A4">
        <w:rPr>
          <w:sz w:val="24"/>
          <w:szCs w:val="24"/>
        </w:rPr>
        <w:t xml:space="preserve"> </w:t>
      </w:r>
    </w:p>
    <w:p w:rsidR="005C240D" w:rsidRPr="007945A4" w:rsidRDefault="005C240D" w:rsidP="007945A4">
      <w:pPr>
        <w:spacing w:line="360" w:lineRule="auto"/>
        <w:rPr>
          <w:sz w:val="24"/>
          <w:szCs w:val="24"/>
        </w:rPr>
      </w:pPr>
      <w:r w:rsidRPr="007945A4">
        <w:rPr>
          <w:sz w:val="24"/>
          <w:szCs w:val="24"/>
        </w:rPr>
        <w:t xml:space="preserve">This review looks closely at the financial performance of the Seaview Resort over the last three years. The objectives are to ascertain the reason behind the resort's decline in profitability, analyse its cash flow, balance sheets, and income statements, and develop a turnaround plan (Braun and </w:t>
      </w:r>
      <w:proofErr w:type="spellStart"/>
      <w:r w:rsidRPr="007945A4">
        <w:rPr>
          <w:sz w:val="24"/>
          <w:szCs w:val="24"/>
        </w:rPr>
        <w:t>Tietz</w:t>
      </w:r>
      <w:proofErr w:type="spellEnd"/>
      <w:r w:rsidRPr="007945A4">
        <w:rPr>
          <w:sz w:val="24"/>
          <w:szCs w:val="24"/>
        </w:rPr>
        <w:t>, 2018). The study focuses on balance sheet components, net profit, operating expenses, and total revenue. The objective is to evaluate the resort's financial standing and develop a revitalization plan for the cutthroat beach resort sector.</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5" w:name="_Toc150881574"/>
      <w:r w:rsidRPr="007945A4">
        <w:rPr>
          <w:sz w:val="24"/>
          <w:szCs w:val="24"/>
        </w:rPr>
        <w:t>Financial Analysis</w:t>
      </w:r>
      <w:bookmarkEnd w:id="5"/>
    </w:p>
    <w:p w:rsidR="005C240D" w:rsidRPr="007945A4" w:rsidRDefault="005C240D" w:rsidP="007945A4">
      <w:pPr>
        <w:spacing w:line="360" w:lineRule="auto"/>
        <w:rPr>
          <w:b/>
          <w:sz w:val="24"/>
          <w:szCs w:val="24"/>
        </w:rPr>
      </w:pPr>
      <w:r w:rsidRPr="007945A4">
        <w:rPr>
          <w:b/>
          <w:sz w:val="24"/>
          <w:szCs w:val="24"/>
        </w:rPr>
        <w:t>Income Statement</w:t>
      </w:r>
    </w:p>
    <w:p w:rsidR="005C240D" w:rsidRPr="007945A4" w:rsidRDefault="005C240D" w:rsidP="007945A4">
      <w:pPr>
        <w:spacing w:line="360" w:lineRule="auto"/>
        <w:rPr>
          <w:sz w:val="24"/>
          <w:szCs w:val="24"/>
        </w:rPr>
      </w:pPr>
      <w:r w:rsidRPr="007945A4">
        <w:rPr>
          <w:sz w:val="24"/>
          <w:szCs w:val="24"/>
        </w:rPr>
        <w:t>According to the resort's financial statement, income is projected to drop from 520 thousand dollars in 2020 to 430 thousand dollars in 2022. Operating costs went up from 390 thousand dollars in 2020 to 450,000 dollars in 2022. Because of this, the gross profit in 2022 was just 20,000 instead of 130,000 in 2020. The percentage of revenue that was retained as net profit dropped from 15% in 2020 to -11% in 2022. These trends suggest that there may be issues in controlling income, costs, and profitability, which highlights the necessity of strategic interventions to reverse the negative trajectory and enhance the financial performance of Seaview Resort (Warren and Tayler, 2020).</w:t>
      </w:r>
    </w:p>
    <w:p w:rsidR="005C240D" w:rsidRPr="007945A4" w:rsidRDefault="005C240D" w:rsidP="007945A4">
      <w:pPr>
        <w:spacing w:line="360" w:lineRule="auto"/>
        <w:rPr>
          <w:b/>
          <w:sz w:val="24"/>
          <w:szCs w:val="24"/>
        </w:rPr>
      </w:pPr>
      <w:r w:rsidRPr="007945A4">
        <w:rPr>
          <w:b/>
          <w:sz w:val="24"/>
          <w:szCs w:val="24"/>
        </w:rPr>
        <w:t>Balance Sheet Analysis</w:t>
      </w:r>
    </w:p>
    <w:p w:rsidR="005C240D" w:rsidRPr="007945A4" w:rsidRDefault="005C240D" w:rsidP="007945A4">
      <w:pPr>
        <w:spacing w:line="360" w:lineRule="auto"/>
        <w:rPr>
          <w:sz w:val="24"/>
          <w:szCs w:val="24"/>
        </w:rPr>
      </w:pPr>
      <w:r w:rsidRPr="007945A4">
        <w:rPr>
          <w:sz w:val="24"/>
          <w:szCs w:val="24"/>
        </w:rPr>
        <w:t>The Balance Sheet Analysis for Seaview Resort (at the end of 2022) reveals a total of 1,030,000 assets. The total assets are as follows: 250,000 for current assets, 630,000 for property and equipment (minus 100,000 for inventory), and 150,000 for other assets. The 580,000 liabilities comprise current debt totalling 180,000 and long-term debt totalling 400,000. The equity amounts to 450,000. According to the findings of this research, the resort's asset portfolio places a significant focus on property and equipment (</w:t>
      </w:r>
      <w:proofErr w:type="spellStart"/>
      <w:r w:rsidRPr="007945A4">
        <w:rPr>
          <w:sz w:val="24"/>
          <w:szCs w:val="24"/>
        </w:rPr>
        <w:t>Jiambalvo</w:t>
      </w:r>
      <w:proofErr w:type="spellEnd"/>
      <w:r w:rsidRPr="007945A4">
        <w:rPr>
          <w:sz w:val="24"/>
          <w:szCs w:val="24"/>
        </w:rPr>
        <w:t>, 2016). The ratio of the resort's liabilities to its equity, which represents the owner's stake in the company, is an important indicator of the property's overall financial health.</w:t>
      </w:r>
    </w:p>
    <w:p w:rsidR="005C240D" w:rsidRPr="007945A4" w:rsidRDefault="005C240D" w:rsidP="007945A4">
      <w:pPr>
        <w:spacing w:line="360" w:lineRule="auto"/>
        <w:rPr>
          <w:b/>
          <w:sz w:val="24"/>
          <w:szCs w:val="24"/>
        </w:rPr>
      </w:pPr>
      <w:r w:rsidRPr="007945A4">
        <w:rPr>
          <w:b/>
          <w:sz w:val="24"/>
          <w:szCs w:val="24"/>
        </w:rPr>
        <w:t>Cash Flow Analysis</w:t>
      </w:r>
    </w:p>
    <w:p w:rsidR="005C240D" w:rsidRPr="007945A4" w:rsidRDefault="005C240D" w:rsidP="007945A4">
      <w:pPr>
        <w:spacing w:line="360" w:lineRule="auto"/>
        <w:rPr>
          <w:sz w:val="24"/>
          <w:szCs w:val="24"/>
        </w:rPr>
      </w:pPr>
      <w:r w:rsidRPr="007945A4">
        <w:rPr>
          <w:sz w:val="24"/>
          <w:szCs w:val="24"/>
        </w:rPr>
        <w:t xml:space="preserve">The Cash Flow Analysis for the year 2022 shows that Seaview Resort will generate a negative amount of net cash from operations. During the same period, total capital outlays came to 30,000 dollars, which led to a negative net cash flow of 110,000. According to this investigation, the resort has a cash flow problem with its operations. The cash balance was </w:t>
      </w:r>
      <w:r w:rsidRPr="007945A4">
        <w:rPr>
          <w:sz w:val="24"/>
          <w:szCs w:val="24"/>
        </w:rPr>
        <w:lastRenderedPageBreak/>
        <w:t>further lowered as a result of spending on capital (Drury, 2021). Negative cash flows are an indication that it may be difficult to meet financial obligations, highlighting the necessity of strategic actions to raise operational cash production and improve management of capital expenditures.</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b/>
          <w:sz w:val="24"/>
          <w:szCs w:val="24"/>
        </w:rPr>
      </w:pPr>
      <w:r w:rsidRPr="007945A4">
        <w:rPr>
          <w:b/>
          <w:sz w:val="24"/>
          <w:szCs w:val="24"/>
        </w:rPr>
        <w:t>Financial Ratios</w:t>
      </w:r>
    </w:p>
    <w:tbl>
      <w:tblPr>
        <w:tblStyle w:val="GridTable4-Accent5"/>
        <w:tblW w:w="0" w:type="auto"/>
        <w:tblInd w:w="0" w:type="dxa"/>
        <w:tblLook w:val="04A0" w:firstRow="1" w:lastRow="0" w:firstColumn="1" w:lastColumn="0" w:noHBand="0" w:noVBand="1"/>
      </w:tblPr>
      <w:tblGrid>
        <w:gridCol w:w="1065"/>
        <w:gridCol w:w="1430"/>
        <w:gridCol w:w="1428"/>
        <w:gridCol w:w="935"/>
        <w:gridCol w:w="4158"/>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5C240D" w:rsidRPr="007945A4" w:rsidRDefault="005C240D" w:rsidP="007945A4">
            <w:pPr>
              <w:spacing w:line="360" w:lineRule="auto"/>
              <w:rPr>
                <w:color w:val="auto"/>
                <w:sz w:val="24"/>
                <w:szCs w:val="24"/>
              </w:rPr>
            </w:pPr>
            <w:r w:rsidRPr="007945A4">
              <w:rPr>
                <w:color w:val="auto"/>
                <w:sz w:val="24"/>
                <w:szCs w:val="24"/>
              </w:rPr>
              <w:t>Ratio</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Formula</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Calculation</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Results</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Interpretation</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rPr>
                <w:sz w:val="24"/>
                <w:szCs w:val="24"/>
              </w:rPr>
            </w:pPr>
            <w:r w:rsidRPr="007945A4">
              <w:rPr>
                <w:sz w:val="24"/>
                <w:szCs w:val="24"/>
              </w:rPr>
              <w:t>Current Ratio</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Current Assets / Current Liabilities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250,000 / 180,000</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1.39</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The resort's Current Ratio is 1.39, which indicates that the resort has sufficient current assets to satisfy its current liabilities (Stuart-Hill and Parker, 2014).</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rPr>
                <w:sz w:val="24"/>
                <w:szCs w:val="24"/>
              </w:rPr>
            </w:pPr>
            <w:r w:rsidRPr="007945A4">
              <w:rPr>
                <w:sz w:val="24"/>
                <w:szCs w:val="24"/>
              </w:rPr>
              <w:t>Quick Ratio</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(Current Assets - Inventory) / Current Liabilities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(250,000 - 100,000) / 180,000</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0.83</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When inventory is removed from the definition of current assets, the Quick Ratio of 0.83 implies that there is slightly less liquidity (</w:t>
            </w:r>
            <w:proofErr w:type="spellStart"/>
            <w:r w:rsidRPr="007945A4">
              <w:rPr>
                <w:sz w:val="24"/>
                <w:szCs w:val="24"/>
              </w:rPr>
              <w:t>Adi</w:t>
            </w:r>
            <w:proofErr w:type="spellEnd"/>
            <w:r w:rsidRPr="007945A4">
              <w:rPr>
                <w:sz w:val="24"/>
                <w:szCs w:val="24"/>
              </w:rPr>
              <w:t xml:space="preserve"> </w:t>
            </w:r>
            <w:r w:rsidRPr="007945A4">
              <w:rPr>
                <w:i/>
                <w:iCs/>
                <w:sz w:val="24"/>
                <w:szCs w:val="24"/>
              </w:rPr>
              <w:t>et al</w:t>
            </w:r>
            <w:r w:rsidRPr="007945A4">
              <w:rPr>
                <w:sz w:val="24"/>
                <w:szCs w:val="24"/>
              </w:rPr>
              <w:t>., 2023).</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rPr>
                <w:sz w:val="24"/>
                <w:szCs w:val="24"/>
              </w:rPr>
            </w:pPr>
            <w:r w:rsidRPr="007945A4">
              <w:rPr>
                <w:sz w:val="24"/>
                <w:szCs w:val="24"/>
              </w:rPr>
              <w:t>Debt-to-Equity Ratio</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Total Debt / Total Equity</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400000 / 450,000</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0.89</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The debt-to-equity ratio is 0.89, which indicates that the company is using financial leverage.</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rPr>
                <w:sz w:val="24"/>
                <w:szCs w:val="24"/>
              </w:rPr>
            </w:pPr>
            <w:r w:rsidRPr="007945A4">
              <w:rPr>
                <w:sz w:val="24"/>
                <w:szCs w:val="24"/>
              </w:rPr>
              <w:t>Return on Assets (ROA)</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Net Profit / Total Assets</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(47,500) / 1,030,000</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-0.046</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A negative ROA are indicator that there are problems with the finances. In light of these facts, it is clear that purposeful actions are required to improve liquidity, debt management, and profitability https://repositorio.iscte-iul.pt/handle/10071/28066.</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rPr>
                <w:sz w:val="24"/>
                <w:szCs w:val="24"/>
              </w:rPr>
            </w:pPr>
            <w:r w:rsidRPr="007945A4">
              <w:rPr>
                <w:sz w:val="24"/>
                <w:szCs w:val="24"/>
              </w:rPr>
              <w:t xml:space="preserve">Return on </w:t>
            </w:r>
            <w:r w:rsidRPr="007945A4">
              <w:rPr>
                <w:sz w:val="24"/>
                <w:szCs w:val="24"/>
              </w:rPr>
              <w:lastRenderedPageBreak/>
              <w:t>Equity (ROE)</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lastRenderedPageBreak/>
              <w:t>Net Profit / Total Equity</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(47,500) / 450,000</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-0.105</w:t>
            </w:r>
          </w:p>
        </w:tc>
        <w:tc>
          <w:tcPr>
            <w:tcW w:w="0" w:type="auto"/>
            <w:tc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 xml:space="preserve">This negative ROE is a sign that there are financial difficulties. </w:t>
            </w:r>
          </w:p>
        </w:tc>
      </w:tr>
    </w:tbl>
    <w:p w:rsidR="005C240D" w:rsidRPr="007945A4" w:rsidRDefault="005C240D" w:rsidP="007945A4">
      <w:pPr>
        <w:spacing w:line="360" w:lineRule="auto"/>
        <w:rPr>
          <w:sz w:val="24"/>
          <w:szCs w:val="24"/>
        </w:rPr>
      </w:pPr>
      <w:r w:rsidRPr="007945A4">
        <w:rPr>
          <w:sz w:val="24"/>
          <w:szCs w:val="24"/>
        </w:rPr>
        <w:lastRenderedPageBreak/>
        <w:t xml:space="preserve">  </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6" w:name="_Toc150881575"/>
      <w:r w:rsidRPr="007945A4">
        <w:rPr>
          <w:sz w:val="24"/>
          <w:szCs w:val="24"/>
        </w:rPr>
        <w:t>SWOT analysis</w:t>
      </w:r>
      <w:bookmarkEnd w:id="6"/>
      <w:r w:rsidRPr="007945A4">
        <w:rPr>
          <w:sz w:val="24"/>
          <w:szCs w:val="24"/>
        </w:rPr>
        <w:t xml:space="preserve"> </w:t>
      </w:r>
    </w:p>
    <w:tbl>
      <w:tblPr>
        <w:tblStyle w:val="GridTable4-Accent6"/>
        <w:tblW w:w="0" w:type="auto"/>
        <w:tblInd w:w="0" w:type="dxa"/>
        <w:tblLook w:val="04A0" w:firstRow="1" w:lastRow="0" w:firstColumn="1" w:lastColumn="0" w:noHBand="0" w:noVBand="1"/>
      </w:tblPr>
      <w:tblGrid>
        <w:gridCol w:w="4491"/>
        <w:gridCol w:w="4525"/>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5C240D" w:rsidRPr="007945A4" w:rsidRDefault="005C240D" w:rsidP="007945A4">
            <w:pPr>
              <w:spacing w:line="360" w:lineRule="auto"/>
              <w:rPr>
                <w:color w:val="auto"/>
                <w:sz w:val="24"/>
                <w:szCs w:val="24"/>
              </w:rPr>
            </w:pPr>
            <w:r w:rsidRPr="007945A4">
              <w:rPr>
                <w:color w:val="auto"/>
                <w:sz w:val="24"/>
                <w:szCs w:val="24"/>
              </w:rPr>
              <w:t>Strengths</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Weaknesses</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Height w:val="1676"/>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rPr>
                <w:b w:val="0"/>
                <w:bCs w:val="0"/>
                <w:sz w:val="24"/>
                <w:szCs w:val="24"/>
              </w:rPr>
            </w:pPr>
            <w:r w:rsidRPr="007945A4">
              <w:rPr>
                <w:sz w:val="24"/>
                <w:szCs w:val="24"/>
              </w:rPr>
              <w:t>Established property with existing facilities</w:t>
            </w:r>
          </w:p>
          <w:p w:rsidR="005C240D" w:rsidRPr="007945A4" w:rsidRDefault="005C240D" w:rsidP="007945A4">
            <w:pPr>
              <w:spacing w:line="360" w:lineRule="auto"/>
              <w:rPr>
                <w:sz w:val="24"/>
                <w:szCs w:val="24"/>
              </w:rPr>
            </w:pPr>
            <w:r w:rsidRPr="007945A4">
              <w:rPr>
                <w:sz w:val="24"/>
                <w:szCs w:val="24"/>
              </w:rPr>
              <w:t>Prime location on a picturesque coastline (</w:t>
            </w:r>
            <w:proofErr w:type="spellStart"/>
            <w:r w:rsidRPr="007945A4">
              <w:rPr>
                <w:sz w:val="24"/>
                <w:szCs w:val="24"/>
              </w:rPr>
              <w:t>Jiambalvo</w:t>
            </w:r>
            <w:proofErr w:type="spellEnd"/>
            <w:r w:rsidRPr="007945A4">
              <w:rPr>
                <w:sz w:val="24"/>
                <w:szCs w:val="24"/>
              </w:rPr>
              <w:t>, 2016).</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Declining service quality</w:t>
            </w:r>
          </w:p>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Outdated amenities</w:t>
            </w:r>
          </w:p>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Decreasing customer satisfaction</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shd w:val="clear" w:color="auto" w:fill="2E74B5" w:themeFill="accent1" w:themeFillShade="BF"/>
            <w:hideMark/>
          </w:tcPr>
          <w:p w:rsidR="005C240D" w:rsidRPr="007945A4" w:rsidRDefault="005C240D" w:rsidP="007945A4">
            <w:pPr>
              <w:spacing w:line="360" w:lineRule="auto"/>
              <w:rPr>
                <w:sz w:val="24"/>
                <w:szCs w:val="24"/>
              </w:rPr>
            </w:pPr>
            <w:r w:rsidRPr="007945A4">
              <w:rPr>
                <w:sz w:val="24"/>
                <w:szCs w:val="24"/>
              </w:rPr>
              <w:t>Opportunities</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shd w:val="clear" w:color="auto" w:fill="2E74B5" w:themeFill="accent1" w:themeFillShade="BF"/>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b/>
                <w:bCs/>
                <w:sz w:val="24"/>
                <w:szCs w:val="24"/>
              </w:rPr>
            </w:pPr>
            <w:r w:rsidRPr="007945A4">
              <w:rPr>
                <w:b/>
                <w:bCs/>
                <w:sz w:val="24"/>
                <w:szCs w:val="24"/>
              </w:rPr>
              <w:t>Threats</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Height w:val="2504"/>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rPr>
                <w:b w:val="0"/>
                <w:bCs w:val="0"/>
                <w:sz w:val="24"/>
                <w:szCs w:val="24"/>
              </w:rPr>
            </w:pPr>
            <w:r w:rsidRPr="007945A4">
              <w:rPr>
                <w:sz w:val="24"/>
                <w:szCs w:val="24"/>
              </w:rPr>
              <w:t>Potential for eco-friendly and experiential offerings</w:t>
            </w:r>
          </w:p>
          <w:p w:rsidR="005C240D" w:rsidRPr="007945A4" w:rsidRDefault="005C240D" w:rsidP="007945A4">
            <w:pPr>
              <w:spacing w:line="360" w:lineRule="auto"/>
              <w:rPr>
                <w:sz w:val="24"/>
                <w:szCs w:val="24"/>
              </w:rPr>
            </w:pPr>
            <w:r w:rsidRPr="007945A4">
              <w:rPr>
                <w:sz w:val="24"/>
                <w:szCs w:val="24"/>
              </w:rPr>
              <w:t>Shifting customer preferences towards experiential tourism</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Intense competition from modern resorts</w:t>
            </w:r>
          </w:p>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Negative customer reviews impact reputation (</w:t>
            </w:r>
            <w:proofErr w:type="spellStart"/>
            <w:r w:rsidRPr="007945A4">
              <w:rPr>
                <w:sz w:val="24"/>
                <w:szCs w:val="24"/>
              </w:rPr>
              <w:t>Dashper</w:t>
            </w:r>
            <w:proofErr w:type="spellEnd"/>
            <w:r w:rsidRPr="007945A4">
              <w:rPr>
                <w:sz w:val="24"/>
                <w:szCs w:val="24"/>
              </w:rPr>
              <w:t>, 2019).</w:t>
            </w:r>
          </w:p>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Economic factors affecting travel and tourism</w:t>
            </w:r>
          </w:p>
        </w:tc>
      </w:tr>
    </w:tbl>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line="360" w:lineRule="auto"/>
        <w:rPr>
          <w:rFonts w:eastAsia="Times New Roman" w:cs="Times New Roman"/>
          <w:sz w:val="24"/>
          <w:szCs w:val="24"/>
          <w:lang w:eastAsia="en-GB"/>
        </w:rPr>
      </w:pPr>
      <w:r w:rsidRPr="007945A4">
        <w:rPr>
          <w:rFonts w:eastAsia="Times New Roman" w:cs="Times New Roman"/>
          <w:sz w:val="24"/>
          <w:szCs w:val="24"/>
          <w:lang w:eastAsia="en-GB"/>
        </w:rPr>
        <w:t xml:space="preserve">The Seaview Resort's great location and well-established property are highlighted in the resort's SWOT analysis. However, there are problems with shoddy service and antiquated amenities. Opportunities might be found in environmentally friendly products and changing preferences among customers </w:t>
      </w:r>
      <w:r w:rsidRPr="007945A4">
        <w:rPr>
          <w:sz w:val="24"/>
          <w:szCs w:val="24"/>
        </w:rPr>
        <w:t xml:space="preserve">(Liu </w:t>
      </w:r>
      <w:r w:rsidRPr="007945A4">
        <w:rPr>
          <w:i/>
          <w:iCs/>
          <w:sz w:val="24"/>
          <w:szCs w:val="24"/>
        </w:rPr>
        <w:t>et al</w:t>
      </w:r>
      <w:r w:rsidRPr="007945A4">
        <w:rPr>
          <w:sz w:val="24"/>
          <w:szCs w:val="24"/>
        </w:rPr>
        <w:t>., 2021)</w:t>
      </w:r>
      <w:r w:rsidRPr="007945A4">
        <w:rPr>
          <w:rFonts w:eastAsia="Times New Roman" w:cs="Times New Roman"/>
          <w:sz w:val="24"/>
          <w:szCs w:val="24"/>
          <w:lang w:eastAsia="en-GB"/>
        </w:rPr>
        <w:t>. Modern vacation destinations and a variety of economic variables pose a risk to tourism. The resort's market position needs to be revitalised, and this can only be accomplished by resolving the resort's deficiencies, capitalising on its strengths, and seizing opportunities.</w:t>
      </w: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spacing w:after="0" w:line="360" w:lineRule="auto"/>
        <w:rPr>
          <w:rFonts w:eastAsia="Times New Roman" w:cs="Times New Roman"/>
          <w:sz w:val="24"/>
          <w:szCs w:val="24"/>
          <w:lang w:eastAsia="en-GB"/>
        </w:rPr>
      </w:pPr>
    </w:p>
    <w:p w:rsidR="005C240D" w:rsidRPr="007945A4" w:rsidRDefault="005C240D" w:rsidP="007945A4">
      <w:pPr>
        <w:pStyle w:val="Heading1"/>
        <w:rPr>
          <w:rFonts w:eastAsia="Times New Roman"/>
          <w:sz w:val="24"/>
          <w:szCs w:val="24"/>
          <w:lang w:eastAsia="en-GB"/>
        </w:rPr>
      </w:pPr>
      <w:bookmarkStart w:id="7" w:name="_Toc150881576"/>
      <w:r w:rsidRPr="007945A4">
        <w:rPr>
          <w:rFonts w:eastAsia="Times New Roman"/>
          <w:sz w:val="24"/>
          <w:szCs w:val="24"/>
          <w:lang w:eastAsia="en-GB"/>
        </w:rPr>
        <w:t>Market Analysis</w:t>
      </w:r>
      <w:bookmarkEnd w:id="7"/>
      <w:r w:rsidRPr="007945A4">
        <w:rPr>
          <w:rFonts w:eastAsia="Times New Roman"/>
          <w:sz w:val="24"/>
          <w:szCs w:val="24"/>
          <w:lang w:eastAsia="en-GB"/>
        </w:rPr>
        <w:t xml:space="preserve"> </w:t>
      </w:r>
    </w:p>
    <w:p w:rsidR="005C240D" w:rsidRPr="007945A4" w:rsidRDefault="005C240D" w:rsidP="007945A4">
      <w:pPr>
        <w:spacing w:line="360" w:lineRule="auto"/>
        <w:rPr>
          <w:sz w:val="24"/>
          <w:szCs w:val="24"/>
          <w:lang w:eastAsia="en-GB"/>
        </w:rPr>
      </w:pPr>
      <w:r w:rsidRPr="007945A4">
        <w:rPr>
          <w:sz w:val="24"/>
          <w:szCs w:val="24"/>
          <w:lang w:eastAsia="en-GB"/>
        </w:rPr>
        <w:t xml:space="preserve">In the highly competitive hotel industry of the United Kingdom, Seaview Resort faces competition from surrounding contemporary properties. The trends that are currently prevalent in the industry encourage eco-friendly and experiential tourism, which is boosting demand for more updated hotels </w:t>
      </w:r>
      <w:r w:rsidRPr="007945A4">
        <w:rPr>
          <w:sz w:val="24"/>
          <w:szCs w:val="24"/>
        </w:rPr>
        <w:t xml:space="preserve">(Khan </w:t>
      </w:r>
      <w:r w:rsidRPr="007945A4">
        <w:rPr>
          <w:i/>
          <w:iCs/>
          <w:sz w:val="24"/>
          <w:szCs w:val="24"/>
        </w:rPr>
        <w:t>et al</w:t>
      </w:r>
      <w:r w:rsidRPr="007945A4">
        <w:rPr>
          <w:sz w:val="24"/>
          <w:szCs w:val="24"/>
        </w:rPr>
        <w:t>., 2020)</w:t>
      </w:r>
      <w:r w:rsidRPr="007945A4">
        <w:rPr>
          <w:sz w:val="24"/>
          <w:szCs w:val="24"/>
          <w:lang w:eastAsia="en-GB"/>
        </w:rPr>
        <w:t xml:space="preserve">. The Seaview Resort, which is located in the United Kingdom, needs to focus on catering to the consumer subgroups that are following these trends. The major indication of the industry, occupancy rates, dropped from 70% in 2020 to 60% in 2022, highlighting the necessity of tailoring products to the requirements of individual customers </w:t>
      </w:r>
      <w:r w:rsidRPr="007945A4">
        <w:rPr>
          <w:sz w:val="24"/>
          <w:szCs w:val="24"/>
        </w:rPr>
        <w:t>(Fu, 2020)</w:t>
      </w:r>
      <w:r w:rsidRPr="007945A4">
        <w:rPr>
          <w:sz w:val="24"/>
          <w:szCs w:val="24"/>
          <w:lang w:eastAsia="en-GB"/>
        </w:rPr>
        <w:t>.</w:t>
      </w:r>
    </w:p>
    <w:tbl>
      <w:tblPr>
        <w:tblStyle w:val="GridTable4-Accent2"/>
        <w:tblW w:w="0" w:type="auto"/>
        <w:tblInd w:w="0" w:type="dxa"/>
        <w:tblLook w:val="04A0" w:firstRow="1" w:lastRow="0" w:firstColumn="1" w:lastColumn="0" w:noHBand="0" w:noVBand="1"/>
      </w:tblPr>
      <w:tblGrid>
        <w:gridCol w:w="2235"/>
        <w:gridCol w:w="6781"/>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2"/>
            <w:hideMark/>
          </w:tcPr>
          <w:p w:rsidR="005C240D" w:rsidRPr="007945A4" w:rsidRDefault="005C240D" w:rsidP="007945A4">
            <w:pPr>
              <w:spacing w:line="360" w:lineRule="auto"/>
              <w:rPr>
                <w:color w:val="auto"/>
                <w:sz w:val="24"/>
                <w:szCs w:val="24"/>
              </w:rPr>
            </w:pPr>
            <w:r w:rsidRPr="007945A4">
              <w:rPr>
                <w:color w:val="auto"/>
                <w:sz w:val="24"/>
                <w:szCs w:val="24"/>
              </w:rPr>
              <w:t>Market Analysis of Seaview Resort</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Competition</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Severe competition from modern UK-based resorts.</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Trends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Shift towards eco-friendly and experiential tourism.</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lastRenderedPageBreak/>
              <w:t>Occupancy Rates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Dropped from 70% in 2020 to 60% in 2022 (</w:t>
            </w:r>
            <w:proofErr w:type="spellStart"/>
            <w:r w:rsidRPr="007945A4">
              <w:rPr>
                <w:sz w:val="24"/>
                <w:szCs w:val="24"/>
              </w:rPr>
              <w:t>Comunian</w:t>
            </w:r>
            <w:proofErr w:type="spellEnd"/>
            <w:r w:rsidRPr="007945A4">
              <w:rPr>
                <w:sz w:val="24"/>
                <w:szCs w:val="24"/>
              </w:rPr>
              <w:t xml:space="preserve"> and England, 2023).</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 xml:space="preserve">Growth Opportunities </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Differentiation, local partnerships, and adapting to evolving customer preferences.</w:t>
            </w:r>
          </w:p>
        </w:tc>
      </w:tr>
    </w:tbl>
    <w:p w:rsidR="005C240D" w:rsidRPr="007945A4" w:rsidRDefault="005C240D" w:rsidP="007945A4">
      <w:pPr>
        <w:spacing w:line="360" w:lineRule="auto"/>
        <w:rPr>
          <w:sz w:val="24"/>
          <w:szCs w:val="24"/>
          <w:lang w:eastAsia="en-GB"/>
        </w:rPr>
      </w:pPr>
    </w:p>
    <w:p w:rsidR="005C240D" w:rsidRPr="007945A4" w:rsidRDefault="005C240D" w:rsidP="007945A4">
      <w:pPr>
        <w:spacing w:line="360" w:lineRule="auto"/>
        <w:rPr>
          <w:sz w:val="24"/>
          <w:szCs w:val="24"/>
          <w:lang w:eastAsia="en-GB"/>
        </w:rPr>
      </w:pPr>
      <w:r w:rsidRPr="007945A4">
        <w:rPr>
          <w:sz w:val="24"/>
          <w:szCs w:val="24"/>
          <w:lang w:eastAsia="en-GB"/>
        </w:rPr>
        <w:t>Seaview Resort has the potential to thrive in the face of competitors in the UK if it strategically positions itself and improves its service. Working together with nearby companies to provide better service to customers is in line with current market trends and can provide you with an advantage. To thrive in the cutthroat hotel industry of the UK, Seaview Resort needs to keep track of shifting market conditions, evolving customer tastes, and potential partnerships.</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8" w:name="_Toc150881577"/>
      <w:r w:rsidRPr="007945A4">
        <w:rPr>
          <w:sz w:val="24"/>
          <w:szCs w:val="24"/>
        </w:rPr>
        <w:t>Strategy for turnaround</w:t>
      </w:r>
      <w:bookmarkEnd w:id="8"/>
    </w:p>
    <w:p w:rsidR="005C240D" w:rsidRPr="007945A4" w:rsidRDefault="005C240D" w:rsidP="007945A4">
      <w:pPr>
        <w:spacing w:line="360" w:lineRule="auto"/>
        <w:rPr>
          <w:sz w:val="24"/>
          <w:szCs w:val="24"/>
        </w:rPr>
      </w:pPr>
      <w:r w:rsidRPr="007945A4">
        <w:rPr>
          <w:sz w:val="24"/>
          <w:szCs w:val="24"/>
        </w:rPr>
        <w:t>A comprehensive study emphasizes strategic course correction. Principal areas of concentration:</w:t>
      </w:r>
    </w:p>
    <w:p w:rsidR="005C240D" w:rsidRPr="007945A4" w:rsidRDefault="005C240D" w:rsidP="007945A4">
      <w:pPr>
        <w:spacing w:line="360" w:lineRule="auto"/>
        <w:rPr>
          <w:sz w:val="24"/>
          <w:szCs w:val="24"/>
        </w:rPr>
      </w:pPr>
      <w:r w:rsidRPr="007945A4">
        <w:rPr>
          <w:b/>
          <w:sz w:val="24"/>
          <w:szCs w:val="24"/>
        </w:rPr>
        <w:t>Revenue Enhancement:</w:t>
      </w:r>
      <w:r w:rsidRPr="007945A4">
        <w:rPr>
          <w:sz w:val="24"/>
          <w:szCs w:val="24"/>
        </w:rPr>
        <w:t xml:space="preserve"> Price adjustments should be made to reflect the declining ARRs to improve revenue (</w:t>
      </w:r>
      <w:proofErr w:type="spellStart"/>
      <w:r w:rsidRPr="007945A4">
        <w:rPr>
          <w:sz w:val="24"/>
          <w:szCs w:val="24"/>
        </w:rPr>
        <w:t>Gurmani</w:t>
      </w:r>
      <w:proofErr w:type="spellEnd"/>
      <w:r w:rsidRPr="007945A4">
        <w:rPr>
          <w:sz w:val="24"/>
          <w:szCs w:val="24"/>
        </w:rPr>
        <w:t xml:space="preserve"> et al., 2021). Targeted marketing can be used to attract a more diverse customer base, which can help businesses battle falling occupancy rates.</w:t>
      </w:r>
    </w:p>
    <w:p w:rsidR="005C240D" w:rsidRPr="007945A4" w:rsidRDefault="005C240D" w:rsidP="007945A4">
      <w:pPr>
        <w:spacing w:line="360" w:lineRule="auto"/>
        <w:rPr>
          <w:sz w:val="24"/>
          <w:szCs w:val="24"/>
        </w:rPr>
      </w:pPr>
      <w:r w:rsidRPr="007945A4">
        <w:rPr>
          <w:b/>
          <w:sz w:val="24"/>
          <w:szCs w:val="24"/>
        </w:rPr>
        <w:t>Service and Amenity Upgrade:</w:t>
      </w:r>
      <w:r w:rsidRPr="007945A4">
        <w:rPr>
          <w:sz w:val="24"/>
          <w:szCs w:val="24"/>
        </w:rPr>
        <w:t xml:space="preserve"> Addressing unfavourable consumer feedback by modernising services and amenities to satisfy client preferences for experiential and </w:t>
      </w:r>
      <w:r w:rsidRPr="007945A4">
        <w:rPr>
          <w:sz w:val="24"/>
          <w:szCs w:val="24"/>
        </w:rPr>
        <w:lastRenderedPageBreak/>
        <w:t>environmentally responsible offerings is an important step in the Service and Amenity Upgrade process.</w:t>
      </w:r>
    </w:p>
    <w:p w:rsidR="005C240D" w:rsidRPr="007945A4" w:rsidRDefault="005C240D" w:rsidP="007945A4">
      <w:pPr>
        <w:spacing w:line="360" w:lineRule="auto"/>
        <w:rPr>
          <w:sz w:val="24"/>
          <w:szCs w:val="24"/>
        </w:rPr>
      </w:pPr>
      <w:r w:rsidRPr="007945A4">
        <w:rPr>
          <w:b/>
          <w:sz w:val="24"/>
          <w:szCs w:val="24"/>
        </w:rPr>
        <w:t>Management of Costs:</w:t>
      </w:r>
      <w:r w:rsidRPr="007945A4">
        <w:rPr>
          <w:sz w:val="24"/>
          <w:szCs w:val="24"/>
        </w:rPr>
        <w:t xml:space="preserve"> Keep rising operating costs under control by exercising stringent control over costs (Hayes and Miller, 2019). Examine how operations are inefficient and work to simplify processes to increase revenues.</w:t>
      </w:r>
    </w:p>
    <w:p w:rsidR="005C240D" w:rsidRPr="007945A4" w:rsidRDefault="005C240D" w:rsidP="007945A4">
      <w:pPr>
        <w:spacing w:line="360" w:lineRule="auto"/>
        <w:rPr>
          <w:sz w:val="24"/>
          <w:szCs w:val="24"/>
        </w:rPr>
      </w:pPr>
      <w:r w:rsidRPr="007945A4">
        <w:rPr>
          <w:b/>
          <w:sz w:val="24"/>
          <w:szCs w:val="24"/>
        </w:rPr>
        <w:t>Strategic Partnerships:</w:t>
      </w:r>
      <w:r w:rsidRPr="007945A4">
        <w:rPr>
          <w:sz w:val="24"/>
          <w:szCs w:val="24"/>
        </w:rPr>
        <w:t xml:space="preserve"> Collaborate with local companies to enhance the experiences of resort guests and differentiate the resort from its competitors.</w:t>
      </w:r>
    </w:p>
    <w:p w:rsidR="005C240D" w:rsidRPr="007945A4" w:rsidRDefault="005C240D" w:rsidP="007945A4">
      <w:pPr>
        <w:spacing w:line="360" w:lineRule="auto"/>
        <w:rPr>
          <w:sz w:val="24"/>
          <w:szCs w:val="24"/>
        </w:rPr>
      </w:pPr>
      <w:r w:rsidRPr="007945A4">
        <w:rPr>
          <w:b/>
          <w:sz w:val="24"/>
          <w:szCs w:val="24"/>
        </w:rPr>
        <w:t>Training of Employees:</w:t>
      </w:r>
      <w:r w:rsidRPr="007945A4">
        <w:rPr>
          <w:sz w:val="24"/>
          <w:szCs w:val="24"/>
        </w:rPr>
        <w:t xml:space="preserve"> Provide training to employees to improve customer service and satisfaction levels (Akron et al., 2020).</w:t>
      </w:r>
    </w:p>
    <w:p w:rsidR="005C240D" w:rsidRPr="007945A4" w:rsidRDefault="005C240D" w:rsidP="007945A4">
      <w:pPr>
        <w:spacing w:line="360" w:lineRule="auto"/>
        <w:rPr>
          <w:sz w:val="24"/>
          <w:szCs w:val="24"/>
        </w:rPr>
      </w:pPr>
      <w:r w:rsidRPr="007945A4">
        <w:rPr>
          <w:b/>
          <w:sz w:val="24"/>
          <w:szCs w:val="24"/>
        </w:rPr>
        <w:t xml:space="preserve">Targeted marketing: </w:t>
      </w:r>
      <w:r w:rsidRPr="007945A4">
        <w:rPr>
          <w:sz w:val="24"/>
          <w:szCs w:val="24"/>
        </w:rPr>
        <w:t>promote the resort's beachfront location and the unique features and amenities it offers to bring in new clients.</w:t>
      </w:r>
    </w:p>
    <w:p w:rsidR="005C240D" w:rsidRPr="007945A4" w:rsidRDefault="005C240D" w:rsidP="007945A4">
      <w:pPr>
        <w:spacing w:line="360" w:lineRule="auto"/>
        <w:rPr>
          <w:sz w:val="24"/>
          <w:szCs w:val="24"/>
        </w:rPr>
      </w:pPr>
      <w:r w:rsidRPr="007945A4">
        <w:rPr>
          <w:sz w:val="24"/>
          <w:szCs w:val="24"/>
        </w:rPr>
        <w:t>This plan to turn around the company includes reorganising the finances, making improvements to the operations, and putting the focus on the customers. To grow and compete in the challenging hotel industry in the UK, Seaview Resort must adapt to changing market trends, enhance the experiences of its customers, and maximise its financial resources.</w:t>
      </w:r>
    </w:p>
    <w:p w:rsidR="005C240D" w:rsidRPr="007945A4" w:rsidRDefault="005C240D" w:rsidP="007945A4">
      <w:pPr>
        <w:spacing w:line="360" w:lineRule="auto"/>
        <w:rPr>
          <w:sz w:val="24"/>
          <w:szCs w:val="24"/>
          <w:lang w:eastAsia="en-GB"/>
        </w:rPr>
      </w:pPr>
    </w:p>
    <w:p w:rsidR="005C240D" w:rsidRPr="007945A4" w:rsidRDefault="005C240D" w:rsidP="007945A4">
      <w:pPr>
        <w:spacing w:line="360" w:lineRule="auto"/>
        <w:rPr>
          <w:sz w:val="24"/>
          <w:szCs w:val="24"/>
          <w:lang w:eastAsia="en-GB"/>
        </w:rPr>
      </w:pPr>
    </w:p>
    <w:p w:rsidR="005C240D" w:rsidRPr="007945A4" w:rsidRDefault="005C240D" w:rsidP="007945A4">
      <w:pPr>
        <w:spacing w:line="360" w:lineRule="auto"/>
        <w:rPr>
          <w:sz w:val="24"/>
          <w:szCs w:val="24"/>
          <w:lang w:eastAsia="en-GB"/>
        </w:rPr>
      </w:pPr>
    </w:p>
    <w:p w:rsidR="005C240D" w:rsidRPr="007945A4" w:rsidRDefault="005C240D" w:rsidP="007945A4">
      <w:pPr>
        <w:spacing w:line="360" w:lineRule="auto"/>
        <w:rPr>
          <w:sz w:val="24"/>
          <w:szCs w:val="24"/>
          <w:lang w:eastAsia="en-GB"/>
        </w:rPr>
      </w:pPr>
    </w:p>
    <w:p w:rsidR="005C240D" w:rsidRPr="007945A4" w:rsidRDefault="005C240D" w:rsidP="007945A4">
      <w:pPr>
        <w:spacing w:line="360" w:lineRule="auto"/>
        <w:rPr>
          <w:sz w:val="24"/>
          <w:szCs w:val="24"/>
          <w:lang w:eastAsia="en-GB"/>
        </w:rPr>
      </w:pPr>
    </w:p>
    <w:p w:rsidR="005C240D" w:rsidRPr="007945A4" w:rsidRDefault="005C240D" w:rsidP="007945A4">
      <w:pPr>
        <w:spacing w:line="360" w:lineRule="auto"/>
        <w:rPr>
          <w:sz w:val="24"/>
          <w:szCs w:val="24"/>
          <w:lang w:eastAsia="en-GB"/>
        </w:rPr>
      </w:pPr>
    </w:p>
    <w:p w:rsidR="005C240D" w:rsidRPr="007945A4" w:rsidRDefault="005C240D" w:rsidP="007945A4">
      <w:pPr>
        <w:pStyle w:val="Heading1"/>
        <w:rPr>
          <w:rFonts w:cs="Times New Roman"/>
          <w:sz w:val="24"/>
          <w:szCs w:val="24"/>
        </w:rPr>
      </w:pPr>
      <w:bookmarkStart w:id="9" w:name="_Toc150881578"/>
      <w:r w:rsidRPr="007945A4">
        <w:rPr>
          <w:sz w:val="24"/>
          <w:szCs w:val="24"/>
          <w:lang w:eastAsia="en-GB"/>
        </w:rPr>
        <w:t>Financial Projections</w:t>
      </w:r>
      <w:bookmarkEnd w:id="9"/>
      <w:r w:rsidRPr="007945A4">
        <w:rPr>
          <w:sz w:val="24"/>
          <w:szCs w:val="24"/>
          <w:lang w:eastAsia="en-GB"/>
        </w:rPr>
        <w:t xml:space="preserve"> </w:t>
      </w:r>
    </w:p>
    <w:tbl>
      <w:tblPr>
        <w:tblStyle w:val="GridTable4-Accent3"/>
        <w:tblW w:w="7395" w:type="dxa"/>
        <w:tblInd w:w="0" w:type="dxa"/>
        <w:tblLook w:val="04A0" w:firstRow="1" w:lastRow="0" w:firstColumn="1" w:lastColumn="0" w:noHBand="0" w:noVBand="1"/>
      </w:tblPr>
      <w:tblGrid>
        <w:gridCol w:w="3236"/>
        <w:gridCol w:w="1039"/>
        <w:gridCol w:w="1040"/>
        <w:gridCol w:w="1040"/>
        <w:gridCol w:w="1040"/>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5"/>
            <w:hideMark/>
          </w:tcPr>
          <w:p w:rsidR="005C240D" w:rsidRPr="007945A4" w:rsidRDefault="005C240D" w:rsidP="007945A4">
            <w:pPr>
              <w:spacing w:line="360" w:lineRule="auto"/>
              <w:rPr>
                <w:color w:val="auto"/>
                <w:sz w:val="24"/>
                <w:szCs w:val="24"/>
              </w:rPr>
            </w:pPr>
            <w:r w:rsidRPr="007945A4">
              <w:rPr>
                <w:color w:val="auto"/>
                <w:sz w:val="24"/>
                <w:szCs w:val="24"/>
              </w:rPr>
              <w:t>Projected Income Statement (in 000)</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rPr>
                <w:sz w:val="24"/>
                <w:szCs w:val="24"/>
              </w:rPr>
            </w:pPr>
            <w:r w:rsidRPr="007945A4">
              <w:rPr>
                <w:sz w:val="24"/>
                <w:szCs w:val="24"/>
              </w:rPr>
              <w:t>Item</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2023</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2024</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2025</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2026</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rPr>
                <w:sz w:val="24"/>
                <w:szCs w:val="24"/>
              </w:rPr>
            </w:pPr>
            <w:r w:rsidRPr="007945A4">
              <w:rPr>
                <w:sz w:val="24"/>
                <w:szCs w:val="24"/>
              </w:rPr>
              <w:t>Total Revenue</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459</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505</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564</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609</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rPr>
                <w:sz w:val="24"/>
                <w:szCs w:val="24"/>
              </w:rPr>
            </w:pPr>
            <w:r w:rsidRPr="007945A4">
              <w:rPr>
                <w:sz w:val="24"/>
                <w:szCs w:val="24"/>
              </w:rPr>
              <w:t>Operating Expenses</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400</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420</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450</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480</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rPr>
                <w:sz w:val="24"/>
                <w:szCs w:val="24"/>
              </w:rPr>
            </w:pPr>
            <w:r w:rsidRPr="007945A4">
              <w:rPr>
                <w:sz w:val="24"/>
                <w:szCs w:val="24"/>
              </w:rPr>
              <w:lastRenderedPageBreak/>
              <w:t>Gross Profit</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59</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85</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114</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129</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rPr>
                <w:sz w:val="24"/>
                <w:szCs w:val="24"/>
              </w:rPr>
            </w:pPr>
            <w:r w:rsidRPr="007945A4">
              <w:rPr>
                <w:sz w:val="24"/>
                <w:szCs w:val="24"/>
              </w:rPr>
              <w:t>Net Profit (Loss)</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23</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40</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57</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43</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rPr>
                <w:sz w:val="24"/>
                <w:szCs w:val="24"/>
              </w:rPr>
            </w:pPr>
            <w:r w:rsidRPr="007945A4">
              <w:rPr>
                <w:sz w:val="24"/>
                <w:szCs w:val="24"/>
              </w:rPr>
              <w:t>Net Profit Margin</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5%</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8%</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10%</w:t>
            </w:r>
          </w:p>
        </w:tc>
        <w:tc>
          <w:tcPr>
            <w:tcW w:w="0" w:type="auto"/>
            <w:tc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7%</w:t>
            </w:r>
          </w:p>
        </w:tc>
      </w:tr>
    </w:tbl>
    <w:p w:rsidR="005C240D" w:rsidRPr="007945A4" w:rsidRDefault="005C240D" w:rsidP="007945A4">
      <w:pPr>
        <w:spacing w:line="360" w:lineRule="auto"/>
        <w:rPr>
          <w:sz w:val="24"/>
          <w:szCs w:val="24"/>
        </w:rPr>
      </w:pPr>
    </w:p>
    <w:tbl>
      <w:tblPr>
        <w:tblStyle w:val="GridTable4-Accent2"/>
        <w:tblW w:w="7395" w:type="dxa"/>
        <w:tblInd w:w="0" w:type="dxa"/>
        <w:tblLook w:val="04A0" w:firstRow="1" w:lastRow="0" w:firstColumn="1" w:lastColumn="0" w:noHBand="0" w:noVBand="1"/>
      </w:tblPr>
      <w:tblGrid>
        <w:gridCol w:w="2667"/>
        <w:gridCol w:w="1182"/>
        <w:gridCol w:w="1182"/>
        <w:gridCol w:w="1182"/>
        <w:gridCol w:w="1182"/>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5"/>
            <w:hideMark/>
          </w:tcPr>
          <w:p w:rsidR="005C240D" w:rsidRPr="007945A4" w:rsidRDefault="005C240D" w:rsidP="007945A4">
            <w:pPr>
              <w:spacing w:line="360" w:lineRule="auto"/>
              <w:rPr>
                <w:color w:val="auto"/>
                <w:sz w:val="24"/>
                <w:szCs w:val="24"/>
              </w:rPr>
            </w:pPr>
            <w:r w:rsidRPr="007945A4">
              <w:rPr>
                <w:color w:val="auto"/>
                <w:sz w:val="24"/>
                <w:szCs w:val="24"/>
              </w:rPr>
              <w:t>Projected Balance Sheet (in 000)</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Item</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2023</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2024</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2025</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2026</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Total Assets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1,140</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1,260</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1,377</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1,496</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Total Liabilities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600</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620</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640</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660</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Equity</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540</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640</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737</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836</w:t>
            </w:r>
          </w:p>
        </w:tc>
      </w:tr>
    </w:tbl>
    <w:p w:rsidR="005C240D" w:rsidRPr="007945A4" w:rsidRDefault="005C240D" w:rsidP="007945A4">
      <w:pPr>
        <w:spacing w:line="360" w:lineRule="auto"/>
        <w:rPr>
          <w:sz w:val="24"/>
          <w:szCs w:val="24"/>
        </w:rPr>
      </w:pPr>
    </w:p>
    <w:tbl>
      <w:tblPr>
        <w:tblStyle w:val="GridTable4-Accent1"/>
        <w:tblW w:w="7395" w:type="dxa"/>
        <w:tblInd w:w="0" w:type="dxa"/>
        <w:tblLook w:val="04A0" w:firstRow="1" w:lastRow="0" w:firstColumn="1" w:lastColumn="0" w:noHBand="0" w:noVBand="1"/>
      </w:tblPr>
      <w:tblGrid>
        <w:gridCol w:w="4419"/>
        <w:gridCol w:w="744"/>
        <w:gridCol w:w="744"/>
        <w:gridCol w:w="744"/>
        <w:gridCol w:w="744"/>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gridSpan w:val="5"/>
            <w:hideMark/>
          </w:tcPr>
          <w:p w:rsidR="005C240D" w:rsidRPr="007945A4" w:rsidRDefault="005C240D" w:rsidP="007945A4">
            <w:pPr>
              <w:spacing w:line="360" w:lineRule="auto"/>
              <w:rPr>
                <w:color w:val="auto"/>
                <w:sz w:val="24"/>
                <w:szCs w:val="24"/>
              </w:rPr>
            </w:pPr>
            <w:r w:rsidRPr="007945A4">
              <w:rPr>
                <w:color w:val="auto"/>
                <w:sz w:val="24"/>
                <w:szCs w:val="24"/>
              </w:rPr>
              <w:t>Projected Cash Flow Statement (in 000)</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rPr>
                <w:sz w:val="24"/>
                <w:szCs w:val="24"/>
              </w:rPr>
            </w:pPr>
            <w:r w:rsidRPr="007945A4">
              <w:rPr>
                <w:sz w:val="24"/>
                <w:szCs w:val="24"/>
              </w:rPr>
              <w:t>Item</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2023</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2024</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2025</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2026</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rPr>
                <w:sz w:val="24"/>
                <w:szCs w:val="24"/>
              </w:rPr>
            </w:pPr>
            <w:r w:rsidRPr="007945A4">
              <w:rPr>
                <w:sz w:val="24"/>
                <w:szCs w:val="24"/>
              </w:rPr>
              <w:t>Net Cash Flow from Operations</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45</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65</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90</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105</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rPr>
                <w:sz w:val="24"/>
                <w:szCs w:val="24"/>
              </w:rPr>
            </w:pPr>
            <w:r w:rsidRPr="007945A4">
              <w:rPr>
                <w:sz w:val="24"/>
                <w:szCs w:val="24"/>
              </w:rPr>
              <w:t>Capital Expenditures</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25</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20</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30</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25</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rPr>
                <w:sz w:val="24"/>
                <w:szCs w:val="24"/>
              </w:rPr>
            </w:pPr>
            <w:r w:rsidRPr="007945A4">
              <w:rPr>
                <w:sz w:val="24"/>
                <w:szCs w:val="24"/>
              </w:rPr>
              <w:t>Net Cash Flow (Change in Cash Balance)</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20</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45</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60</w:t>
            </w:r>
          </w:p>
        </w:tc>
        <w:tc>
          <w:tcPr>
            <w:tcW w:w="0" w:type="auto"/>
            <w:tc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80</w:t>
            </w:r>
          </w:p>
        </w:tc>
      </w:tr>
    </w:tbl>
    <w:p w:rsidR="005C240D" w:rsidRPr="007945A4" w:rsidRDefault="005C240D" w:rsidP="007945A4">
      <w:pPr>
        <w:spacing w:line="360" w:lineRule="auto"/>
        <w:rPr>
          <w:sz w:val="24"/>
          <w:szCs w:val="24"/>
          <w:lang w:eastAsia="en-GB"/>
        </w:rPr>
      </w:pPr>
    </w:p>
    <w:tbl>
      <w:tblPr>
        <w:tblStyle w:val="GridTable4-Accent6"/>
        <w:tblW w:w="0" w:type="auto"/>
        <w:tblInd w:w="0" w:type="dxa"/>
        <w:tblLook w:val="04A0" w:firstRow="1" w:lastRow="0" w:firstColumn="1" w:lastColumn="0" w:noHBand="0" w:noVBand="1"/>
      </w:tblPr>
      <w:tblGrid>
        <w:gridCol w:w="2657"/>
        <w:gridCol w:w="1040"/>
        <w:gridCol w:w="703"/>
        <w:gridCol w:w="703"/>
        <w:gridCol w:w="703"/>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5C240D" w:rsidRPr="007945A4" w:rsidRDefault="005C240D" w:rsidP="007945A4">
            <w:pPr>
              <w:spacing w:line="360" w:lineRule="auto"/>
              <w:rPr>
                <w:color w:val="auto"/>
                <w:sz w:val="24"/>
                <w:szCs w:val="24"/>
              </w:rPr>
            </w:pPr>
            <w:r w:rsidRPr="007945A4">
              <w:rPr>
                <w:color w:val="auto"/>
                <w:sz w:val="24"/>
                <w:szCs w:val="24"/>
              </w:rPr>
              <w:t>Year</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2023</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2024</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2025</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2026</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rPr>
                <w:sz w:val="24"/>
                <w:szCs w:val="24"/>
              </w:rPr>
            </w:pPr>
            <w:r w:rsidRPr="007945A4">
              <w:rPr>
                <w:sz w:val="24"/>
                <w:szCs w:val="24"/>
              </w:rPr>
              <w:t>Revenue Growth</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7%</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10%</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12%</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8%</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rPr>
                <w:sz w:val="24"/>
                <w:szCs w:val="24"/>
              </w:rPr>
            </w:pPr>
            <w:r w:rsidRPr="007945A4">
              <w:rPr>
                <w:sz w:val="24"/>
                <w:szCs w:val="24"/>
              </w:rPr>
              <w:t>Net Profit Margin Target</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5%</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8%</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10%</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7%</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rPr>
                <w:sz w:val="24"/>
                <w:szCs w:val="24"/>
              </w:rPr>
            </w:pPr>
            <w:r w:rsidRPr="007945A4">
              <w:rPr>
                <w:sz w:val="24"/>
                <w:szCs w:val="24"/>
              </w:rPr>
              <w:t>Cash Flow Break-even</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Q2 2023</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N/A</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N/A</w:t>
            </w:r>
          </w:p>
        </w:tc>
        <w:tc>
          <w:tcPr>
            <w:tcW w:w="0" w:type="auto"/>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N/A</w:t>
            </w:r>
          </w:p>
        </w:tc>
      </w:tr>
    </w:tbl>
    <w:p w:rsidR="005C240D" w:rsidRPr="007945A4" w:rsidRDefault="005C240D" w:rsidP="007945A4">
      <w:pPr>
        <w:spacing w:line="360" w:lineRule="auto"/>
        <w:rPr>
          <w:b/>
          <w:sz w:val="24"/>
          <w:szCs w:val="24"/>
        </w:rPr>
      </w:pPr>
      <w:r w:rsidRPr="007945A4">
        <w:rPr>
          <w:b/>
          <w:sz w:val="24"/>
          <w:szCs w:val="24"/>
        </w:rPr>
        <w:t xml:space="preserve"> </w:t>
      </w:r>
    </w:p>
    <w:p w:rsidR="005C240D" w:rsidRPr="007945A4" w:rsidRDefault="005C240D" w:rsidP="007945A4">
      <w:pPr>
        <w:spacing w:line="360" w:lineRule="auto"/>
        <w:rPr>
          <w:b/>
          <w:sz w:val="24"/>
          <w:szCs w:val="24"/>
        </w:rPr>
      </w:pPr>
      <w:r w:rsidRPr="007945A4">
        <w:rPr>
          <w:b/>
          <w:sz w:val="24"/>
          <w:szCs w:val="24"/>
        </w:rPr>
        <w:t xml:space="preserve">Working </w:t>
      </w:r>
    </w:p>
    <w:p w:rsidR="005C240D" w:rsidRPr="007945A4" w:rsidRDefault="005C240D" w:rsidP="007945A4">
      <w:pPr>
        <w:spacing w:line="360" w:lineRule="auto"/>
        <w:rPr>
          <w:sz w:val="24"/>
          <w:szCs w:val="24"/>
        </w:rPr>
      </w:pPr>
      <w:r w:rsidRPr="007945A4">
        <w:rPr>
          <w:sz w:val="24"/>
          <w:szCs w:val="24"/>
        </w:rPr>
        <w:t>Calculation of Cash Flow Break-even (Q2 2023):</w:t>
      </w:r>
    </w:p>
    <w:p w:rsidR="005C240D" w:rsidRPr="007945A4" w:rsidRDefault="005C240D" w:rsidP="007945A4">
      <w:pPr>
        <w:pStyle w:val="ListParagraph"/>
        <w:numPr>
          <w:ilvl w:val="0"/>
          <w:numId w:val="1"/>
        </w:numPr>
        <w:spacing w:line="360" w:lineRule="auto"/>
        <w:rPr>
          <w:rFonts w:ascii="Times New Roman" w:hAnsi="Times New Roman" w:cs="Times New Roman"/>
          <w:sz w:val="24"/>
          <w:szCs w:val="24"/>
        </w:rPr>
      </w:pPr>
      <w:r w:rsidRPr="007945A4">
        <w:rPr>
          <w:rFonts w:ascii="Times New Roman" w:hAnsi="Times New Roman" w:cs="Times New Roman"/>
          <w:sz w:val="24"/>
          <w:szCs w:val="24"/>
        </w:rPr>
        <w:t>Net Cash Flow from Operations (Q1 2023): -80,000</w:t>
      </w:r>
    </w:p>
    <w:p w:rsidR="005C240D" w:rsidRPr="007945A4" w:rsidRDefault="005C240D" w:rsidP="007945A4">
      <w:pPr>
        <w:pStyle w:val="ListParagraph"/>
        <w:numPr>
          <w:ilvl w:val="0"/>
          <w:numId w:val="1"/>
        </w:numPr>
        <w:spacing w:line="360" w:lineRule="auto"/>
        <w:rPr>
          <w:rFonts w:ascii="Times New Roman" w:hAnsi="Times New Roman" w:cs="Times New Roman"/>
          <w:sz w:val="24"/>
          <w:szCs w:val="24"/>
        </w:rPr>
      </w:pPr>
      <w:r w:rsidRPr="007945A4">
        <w:rPr>
          <w:rFonts w:ascii="Times New Roman" w:hAnsi="Times New Roman" w:cs="Times New Roman"/>
          <w:sz w:val="24"/>
          <w:szCs w:val="24"/>
        </w:rPr>
        <w:t>Cumulative Net Cash Flow from Operations (Q1 2023): -80,000</w:t>
      </w:r>
    </w:p>
    <w:p w:rsidR="005C240D" w:rsidRPr="007945A4" w:rsidRDefault="005C240D" w:rsidP="007945A4">
      <w:pPr>
        <w:pStyle w:val="ListParagraph"/>
        <w:numPr>
          <w:ilvl w:val="0"/>
          <w:numId w:val="1"/>
        </w:numPr>
        <w:spacing w:line="360" w:lineRule="auto"/>
        <w:rPr>
          <w:rFonts w:ascii="Times New Roman" w:hAnsi="Times New Roman" w:cs="Times New Roman"/>
          <w:sz w:val="24"/>
          <w:szCs w:val="24"/>
        </w:rPr>
      </w:pPr>
      <w:r w:rsidRPr="007945A4">
        <w:rPr>
          <w:rFonts w:ascii="Times New Roman" w:hAnsi="Times New Roman" w:cs="Times New Roman"/>
          <w:sz w:val="24"/>
          <w:szCs w:val="24"/>
        </w:rPr>
        <w:t>Cumulative Net Cash Flow (Change in Cash Balance) (Q1 2023): -110,000</w:t>
      </w:r>
    </w:p>
    <w:p w:rsidR="005C240D" w:rsidRPr="007945A4" w:rsidRDefault="005C240D" w:rsidP="007945A4">
      <w:pPr>
        <w:pStyle w:val="ListParagraph"/>
        <w:numPr>
          <w:ilvl w:val="0"/>
          <w:numId w:val="1"/>
        </w:numPr>
        <w:spacing w:line="360" w:lineRule="auto"/>
        <w:rPr>
          <w:rFonts w:ascii="Times New Roman" w:hAnsi="Times New Roman" w:cs="Times New Roman"/>
          <w:sz w:val="24"/>
          <w:szCs w:val="24"/>
        </w:rPr>
      </w:pPr>
      <w:r w:rsidRPr="007945A4">
        <w:rPr>
          <w:rFonts w:ascii="Times New Roman" w:hAnsi="Times New Roman" w:cs="Times New Roman"/>
          <w:sz w:val="24"/>
          <w:szCs w:val="24"/>
        </w:rPr>
        <w:t>Cumulative Net Cash Flow from Operations (Q2 2023): 45,000</w:t>
      </w:r>
    </w:p>
    <w:p w:rsidR="005C240D" w:rsidRPr="007945A4" w:rsidRDefault="005C240D" w:rsidP="007945A4">
      <w:pPr>
        <w:spacing w:line="360" w:lineRule="auto"/>
        <w:rPr>
          <w:rFonts w:ascii="Times New Roman" w:hAnsi="Times New Roman"/>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10" w:name="_Toc150881579"/>
      <w:r w:rsidRPr="007945A4">
        <w:rPr>
          <w:sz w:val="24"/>
          <w:szCs w:val="24"/>
        </w:rPr>
        <w:lastRenderedPageBreak/>
        <w:t>Risk Assessment</w:t>
      </w:r>
      <w:bookmarkEnd w:id="10"/>
      <w:r w:rsidRPr="007945A4">
        <w:rPr>
          <w:sz w:val="24"/>
          <w:szCs w:val="24"/>
        </w:rPr>
        <w:t xml:space="preserve"> </w:t>
      </w:r>
    </w:p>
    <w:tbl>
      <w:tblPr>
        <w:tblStyle w:val="GridTable4-Accent2"/>
        <w:tblW w:w="0" w:type="auto"/>
        <w:tblInd w:w="0" w:type="dxa"/>
        <w:tblLook w:val="04A0" w:firstRow="1" w:lastRow="0" w:firstColumn="1" w:lastColumn="0" w:noHBand="0" w:noVBand="1"/>
      </w:tblPr>
      <w:tblGrid>
        <w:gridCol w:w="2025"/>
        <w:gridCol w:w="2834"/>
        <w:gridCol w:w="4157"/>
      </w:tblGrid>
      <w:tr w:rsidR="005C240D" w:rsidRPr="007945A4" w:rsidTr="005C240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5C240D" w:rsidRPr="007945A4" w:rsidRDefault="005C240D" w:rsidP="007945A4">
            <w:pPr>
              <w:spacing w:line="360" w:lineRule="auto"/>
              <w:rPr>
                <w:color w:val="auto"/>
                <w:sz w:val="24"/>
                <w:szCs w:val="24"/>
              </w:rPr>
            </w:pPr>
            <w:r w:rsidRPr="007945A4">
              <w:rPr>
                <w:color w:val="auto"/>
                <w:sz w:val="24"/>
                <w:szCs w:val="24"/>
              </w:rPr>
              <w:t>Risk Category</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Potential Risks</w:t>
            </w:r>
          </w:p>
        </w:tc>
        <w:tc>
          <w:tcPr>
            <w:tcW w:w="0" w:type="auto"/>
            <w:hideMark/>
          </w:tcPr>
          <w:p w:rsidR="005C240D" w:rsidRPr="007945A4" w:rsidRDefault="005C240D" w:rsidP="007945A4">
            <w:pPr>
              <w:spacing w:line="360" w:lineRule="auto"/>
              <w:cnfStyle w:val="100000000000" w:firstRow="1" w:lastRow="0" w:firstColumn="0" w:lastColumn="0" w:oddVBand="0" w:evenVBand="0" w:oddHBand="0" w:evenHBand="0" w:firstRowFirstColumn="0" w:firstRowLastColumn="0" w:lastRowFirstColumn="0" w:lastRowLastColumn="0"/>
              <w:rPr>
                <w:color w:val="auto"/>
                <w:sz w:val="24"/>
                <w:szCs w:val="24"/>
              </w:rPr>
            </w:pPr>
            <w:r w:rsidRPr="007945A4">
              <w:rPr>
                <w:color w:val="auto"/>
                <w:sz w:val="24"/>
                <w:szCs w:val="24"/>
              </w:rPr>
              <w:t>Mitigation Plans</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Market and Competition</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Intense competition impacts revenue growth projections.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Diversify marketing channels, track competition, and adjust plans (</w:t>
            </w:r>
            <w:proofErr w:type="spellStart"/>
            <w:r w:rsidRPr="007945A4">
              <w:rPr>
                <w:sz w:val="24"/>
                <w:szCs w:val="24"/>
              </w:rPr>
              <w:t>Rhou</w:t>
            </w:r>
            <w:proofErr w:type="spellEnd"/>
            <w:r w:rsidRPr="007945A4">
              <w:rPr>
                <w:sz w:val="24"/>
                <w:szCs w:val="24"/>
              </w:rPr>
              <w:t xml:space="preserve"> and </w:t>
            </w:r>
            <w:proofErr w:type="spellStart"/>
            <w:r w:rsidRPr="007945A4">
              <w:rPr>
                <w:sz w:val="24"/>
                <w:szCs w:val="24"/>
              </w:rPr>
              <w:t>Singal</w:t>
            </w:r>
            <w:proofErr w:type="spellEnd"/>
            <w:r w:rsidRPr="007945A4">
              <w:rPr>
                <w:sz w:val="24"/>
                <w:szCs w:val="24"/>
              </w:rPr>
              <w:t>, 2020).</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Operational</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Inefficiencies in-service upgrades and amenity modernization.</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To minimise disruptions, train people, hire consultants, and phase upgrades.</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Financial</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Failure to achieve projected revenue growth.</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Review financial performance, alter strategy, and keep a fund for emergencies (Kim, Kim and Wang, 2021).</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Customer Satisfaction</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Slow response to negative reviews impacts reputation.</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Address complaints quickly, provide real-time feedback, and promote great guest experiences.</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Economic Factors</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External economic downturn affecting travel.</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Diversify client segments, partner with local businesses, and be financially flexible to weather economic changes (Kim et al., 2020).</w:t>
            </w:r>
          </w:p>
        </w:tc>
      </w:tr>
      <w:tr w:rsidR="005C240D" w:rsidRPr="007945A4" w:rsidTr="005C240D">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Debt Restructuring</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Challenges in negotiating favourable terms for debt restructuring.</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7945A4">
              <w:rPr>
                <w:sz w:val="24"/>
                <w:szCs w:val="24"/>
              </w:rPr>
              <w:t>Consult financial consultants, evaluate bargaining points, and consider alternate funding.</w:t>
            </w:r>
          </w:p>
        </w:tc>
      </w:tr>
      <w:tr w:rsidR="005C240D" w:rsidRPr="007945A4" w:rsidTr="005C240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rPr>
                <w:sz w:val="24"/>
                <w:szCs w:val="24"/>
              </w:rPr>
            </w:pPr>
            <w:r w:rsidRPr="007945A4">
              <w:rPr>
                <w:sz w:val="24"/>
                <w:szCs w:val="24"/>
              </w:rPr>
              <w:t>Implementation</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Difficulty in executing the turnaround strategy.</w:t>
            </w:r>
          </w:p>
        </w:tc>
        <w:tc>
          <w:tcPr>
            <w:tcW w:w="0" w:type="auto"/>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rsidR="005C240D" w:rsidRPr="007945A4" w:rsidRDefault="005C240D" w:rsidP="007945A4">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7945A4">
              <w:rPr>
                <w:sz w:val="24"/>
                <w:szCs w:val="24"/>
              </w:rPr>
              <w:t>With a dedicated project management team, precise schedules, and regular milestone assessments (Lee, 2020).</w:t>
            </w:r>
          </w:p>
        </w:tc>
      </w:tr>
    </w:tbl>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11" w:name="_Toc150881580"/>
      <w:r w:rsidRPr="007945A4">
        <w:rPr>
          <w:sz w:val="24"/>
          <w:szCs w:val="24"/>
        </w:rPr>
        <w:t>Conclusion</w:t>
      </w:r>
      <w:bookmarkEnd w:id="11"/>
      <w:r w:rsidRPr="007945A4">
        <w:rPr>
          <w:sz w:val="24"/>
          <w:szCs w:val="24"/>
        </w:rPr>
        <w:t xml:space="preserve"> </w:t>
      </w:r>
    </w:p>
    <w:p w:rsidR="005C240D" w:rsidRPr="007945A4" w:rsidRDefault="005C240D" w:rsidP="007945A4">
      <w:pPr>
        <w:spacing w:line="360" w:lineRule="auto"/>
        <w:rPr>
          <w:sz w:val="24"/>
          <w:szCs w:val="24"/>
        </w:rPr>
      </w:pPr>
      <w:r w:rsidRPr="007945A4">
        <w:rPr>
          <w:sz w:val="24"/>
          <w:szCs w:val="24"/>
        </w:rPr>
        <w:t>The analysis reveals that Seaview Resort's financial problems necessitate a quick fix to survive. Enhancement of revenue, optimisation of operations, and customer-focused initiatives are provided to address shortcomings and leverage opportunities. Positive financial projections highlight how crucial it is to carry out the suggested activities. To position the resort for growth and competitiveness, the strategy takes into account consumer preferences, market trends, and competitive dynamics. By reducing risks and concentrating on execution, Seaview Resort aims to achieve financial stability, customer satisfaction, and recognition as a premier hotel destination in the United Kingdom.</w:t>
      </w: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spacing w:line="360" w:lineRule="auto"/>
        <w:rPr>
          <w:sz w:val="24"/>
          <w:szCs w:val="24"/>
        </w:rPr>
      </w:pPr>
    </w:p>
    <w:p w:rsidR="005C240D" w:rsidRPr="007945A4" w:rsidRDefault="005C240D" w:rsidP="007945A4">
      <w:pPr>
        <w:pStyle w:val="Heading1"/>
        <w:rPr>
          <w:sz w:val="24"/>
          <w:szCs w:val="24"/>
        </w:rPr>
      </w:pPr>
      <w:bookmarkStart w:id="12" w:name="_Toc150881581"/>
      <w:r w:rsidRPr="007945A4">
        <w:rPr>
          <w:sz w:val="24"/>
          <w:szCs w:val="24"/>
        </w:rPr>
        <w:t>Recommendations</w:t>
      </w:r>
      <w:bookmarkEnd w:id="12"/>
    </w:p>
    <w:p w:rsidR="005C240D" w:rsidRPr="007945A4" w:rsidRDefault="005C240D" w:rsidP="007945A4">
      <w:pPr>
        <w:spacing w:line="360" w:lineRule="auto"/>
        <w:rPr>
          <w:rFonts w:cs="Times New Roman"/>
          <w:sz w:val="24"/>
          <w:szCs w:val="24"/>
        </w:rPr>
      </w:pPr>
      <w:r w:rsidRPr="007945A4">
        <w:rPr>
          <w:sz w:val="24"/>
          <w:szCs w:val="24"/>
        </w:rPr>
        <w:t xml:space="preserve">The successful execution of the recovery strategy for Seaview Resort is contingent on the </w:t>
      </w:r>
      <w:r w:rsidRPr="007945A4">
        <w:rPr>
          <w:rFonts w:cs="Times New Roman"/>
          <w:sz w:val="24"/>
          <w:szCs w:val="24"/>
        </w:rPr>
        <w:t>following significant recommendations:</w:t>
      </w:r>
    </w:p>
    <w:p w:rsidR="005C240D" w:rsidRPr="007945A4" w:rsidRDefault="005C240D" w:rsidP="007945A4">
      <w:pPr>
        <w:pStyle w:val="ListParagraph"/>
        <w:numPr>
          <w:ilvl w:val="0"/>
          <w:numId w:val="2"/>
        </w:numPr>
        <w:spacing w:line="360" w:lineRule="auto"/>
        <w:jc w:val="both"/>
        <w:rPr>
          <w:rFonts w:ascii="Times New Roman" w:hAnsi="Times New Roman" w:cs="Times New Roman"/>
          <w:sz w:val="24"/>
          <w:szCs w:val="24"/>
        </w:rPr>
      </w:pPr>
      <w:r w:rsidRPr="007945A4">
        <w:rPr>
          <w:rFonts w:ascii="Times New Roman" w:hAnsi="Times New Roman" w:cs="Times New Roman"/>
          <w:b/>
          <w:sz w:val="24"/>
          <w:szCs w:val="24"/>
        </w:rPr>
        <w:t>Strategic Execution Team:</w:t>
      </w:r>
      <w:r w:rsidRPr="007945A4">
        <w:rPr>
          <w:rFonts w:ascii="Times New Roman" w:hAnsi="Times New Roman" w:cs="Times New Roman"/>
          <w:sz w:val="24"/>
          <w:szCs w:val="24"/>
        </w:rPr>
        <w:t xml:space="preserve"> Establish a team to put the turnaround strategy into action. Experts are required for this team in the areas of finance, operations, marketing, and project management (Warren and Tayler, 2020). Keep an eye on your progress about the milestones, and adjust your strategy as necessary.</w:t>
      </w:r>
    </w:p>
    <w:p w:rsidR="005C240D" w:rsidRPr="007945A4" w:rsidRDefault="005C240D" w:rsidP="007945A4">
      <w:pPr>
        <w:pStyle w:val="ListParagraph"/>
        <w:numPr>
          <w:ilvl w:val="0"/>
          <w:numId w:val="2"/>
        </w:numPr>
        <w:spacing w:line="360" w:lineRule="auto"/>
        <w:jc w:val="both"/>
        <w:rPr>
          <w:rFonts w:ascii="Times New Roman" w:hAnsi="Times New Roman" w:cs="Times New Roman"/>
          <w:sz w:val="24"/>
          <w:szCs w:val="24"/>
        </w:rPr>
      </w:pPr>
      <w:r w:rsidRPr="007945A4">
        <w:rPr>
          <w:rFonts w:ascii="Times New Roman" w:hAnsi="Times New Roman" w:cs="Times New Roman"/>
          <w:b/>
          <w:sz w:val="24"/>
          <w:szCs w:val="24"/>
        </w:rPr>
        <w:t>Continuous Market Monitoring:</w:t>
      </w:r>
      <w:r w:rsidRPr="007945A4">
        <w:rPr>
          <w:rFonts w:ascii="Times New Roman" w:hAnsi="Times New Roman" w:cs="Times New Roman"/>
          <w:sz w:val="24"/>
          <w:szCs w:val="24"/>
        </w:rPr>
        <w:t xml:space="preserve"> Establish an all-encompassing system to monitor trends in the market, the activities of competitors, and the preferences of customers. By taking such a preventative strategy, fast plan adjustments can be made in response to shifting market conditions, thus boosting the resort's adaptability.</w:t>
      </w:r>
    </w:p>
    <w:p w:rsidR="005C240D" w:rsidRPr="007945A4" w:rsidRDefault="005C240D" w:rsidP="007945A4">
      <w:pPr>
        <w:pStyle w:val="ListParagraph"/>
        <w:numPr>
          <w:ilvl w:val="0"/>
          <w:numId w:val="2"/>
        </w:numPr>
        <w:spacing w:line="360" w:lineRule="auto"/>
        <w:jc w:val="both"/>
        <w:rPr>
          <w:rFonts w:ascii="Times New Roman" w:hAnsi="Times New Roman" w:cs="Times New Roman"/>
          <w:sz w:val="24"/>
          <w:szCs w:val="24"/>
        </w:rPr>
      </w:pPr>
      <w:r w:rsidRPr="007945A4">
        <w:rPr>
          <w:rFonts w:ascii="Times New Roman" w:hAnsi="Times New Roman" w:cs="Times New Roman"/>
          <w:b/>
          <w:sz w:val="24"/>
          <w:szCs w:val="24"/>
        </w:rPr>
        <w:t>Stakeholder Communication:</w:t>
      </w:r>
      <w:r w:rsidRPr="007945A4">
        <w:rPr>
          <w:rFonts w:ascii="Times New Roman" w:hAnsi="Times New Roman" w:cs="Times New Roman"/>
          <w:sz w:val="24"/>
          <w:szCs w:val="24"/>
        </w:rPr>
        <w:t xml:space="preserve"> Transparency is essential in all forms of communication, including those with people, customers, and investors. Maintain communication with them regarding the status of the turnaround strategy, address any problems that arise, and solicit their feedback to enhance the implementation (</w:t>
      </w:r>
      <w:proofErr w:type="spellStart"/>
      <w:r w:rsidRPr="007945A4">
        <w:rPr>
          <w:rFonts w:ascii="Times New Roman" w:hAnsi="Times New Roman" w:cs="Times New Roman"/>
          <w:sz w:val="24"/>
          <w:szCs w:val="24"/>
        </w:rPr>
        <w:t>Rhou</w:t>
      </w:r>
      <w:proofErr w:type="spellEnd"/>
      <w:r w:rsidRPr="007945A4">
        <w:rPr>
          <w:rFonts w:ascii="Times New Roman" w:hAnsi="Times New Roman" w:cs="Times New Roman"/>
          <w:sz w:val="24"/>
          <w:szCs w:val="24"/>
        </w:rPr>
        <w:t xml:space="preserve"> and </w:t>
      </w:r>
      <w:proofErr w:type="spellStart"/>
      <w:r w:rsidRPr="007945A4">
        <w:rPr>
          <w:rFonts w:ascii="Times New Roman" w:hAnsi="Times New Roman" w:cs="Times New Roman"/>
          <w:sz w:val="24"/>
          <w:szCs w:val="24"/>
        </w:rPr>
        <w:t>Singal</w:t>
      </w:r>
      <w:proofErr w:type="spellEnd"/>
      <w:r w:rsidRPr="007945A4">
        <w:rPr>
          <w:rFonts w:ascii="Times New Roman" w:hAnsi="Times New Roman" w:cs="Times New Roman"/>
          <w:sz w:val="24"/>
          <w:szCs w:val="24"/>
        </w:rPr>
        <w:t>, 2020). Open communication helps create trust and alignment, both of which are crucial for the successful execution of the plan.</w:t>
      </w:r>
    </w:p>
    <w:p w:rsidR="005C240D" w:rsidRPr="007945A4" w:rsidRDefault="005C240D" w:rsidP="007945A4">
      <w:pPr>
        <w:spacing w:line="360" w:lineRule="auto"/>
        <w:rPr>
          <w:rFonts w:ascii="Times New Roman" w:hAnsi="Times New Roman"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spacing w:line="360" w:lineRule="auto"/>
        <w:rPr>
          <w:rFonts w:cs="Times New Roman"/>
          <w:sz w:val="24"/>
          <w:szCs w:val="24"/>
        </w:rPr>
      </w:pPr>
    </w:p>
    <w:p w:rsidR="005C240D" w:rsidRPr="007945A4" w:rsidRDefault="005C240D" w:rsidP="007945A4">
      <w:pPr>
        <w:pStyle w:val="Heading1"/>
        <w:rPr>
          <w:sz w:val="24"/>
          <w:szCs w:val="24"/>
        </w:rPr>
      </w:pPr>
      <w:bookmarkStart w:id="13" w:name="_Toc150881582"/>
      <w:r w:rsidRPr="007945A4">
        <w:rPr>
          <w:sz w:val="24"/>
          <w:szCs w:val="24"/>
        </w:rPr>
        <w:t>References</w:t>
      </w:r>
      <w:bookmarkEnd w:id="13"/>
    </w:p>
    <w:p w:rsidR="005C240D" w:rsidRPr="007945A4" w:rsidRDefault="005C240D" w:rsidP="007945A4">
      <w:pPr>
        <w:pStyle w:val="NormalWeb"/>
        <w:spacing w:before="0" w:beforeAutospacing="0" w:after="240" w:afterAutospacing="0" w:line="360" w:lineRule="auto"/>
        <w:jc w:val="both"/>
      </w:pPr>
      <w:proofErr w:type="spellStart"/>
      <w:r w:rsidRPr="007945A4">
        <w:t>Adi</w:t>
      </w:r>
      <w:proofErr w:type="spellEnd"/>
      <w:r w:rsidRPr="007945A4">
        <w:t xml:space="preserve">, K., </w:t>
      </w:r>
      <w:proofErr w:type="spellStart"/>
      <w:r w:rsidRPr="007945A4">
        <w:t>Bambang</w:t>
      </w:r>
      <w:proofErr w:type="spellEnd"/>
      <w:r w:rsidRPr="007945A4">
        <w:t xml:space="preserve"> </w:t>
      </w:r>
      <w:proofErr w:type="spellStart"/>
      <w:r w:rsidRPr="007945A4">
        <w:t>Subroto</w:t>
      </w:r>
      <w:proofErr w:type="spellEnd"/>
      <w:r w:rsidRPr="007945A4">
        <w:t xml:space="preserve">, Rahman, A. and </w:t>
      </w:r>
      <w:proofErr w:type="spellStart"/>
      <w:r w:rsidRPr="007945A4">
        <w:t>Saraswati</w:t>
      </w:r>
      <w:proofErr w:type="spellEnd"/>
      <w:r w:rsidRPr="007945A4">
        <w:t xml:space="preserve">, E. (2023). Mediation role of environmental management accounting on the effect of green competitive advantage on sustainable performance. </w:t>
      </w:r>
      <w:r w:rsidRPr="007945A4">
        <w:rPr>
          <w:i/>
          <w:iCs/>
        </w:rPr>
        <w:t>Journal of sustainability science and management</w:t>
      </w:r>
      <w:r w:rsidRPr="007945A4">
        <w:t xml:space="preserve">, 18(2), pp.103–115. </w:t>
      </w:r>
      <w:proofErr w:type="spellStart"/>
      <w:r w:rsidRPr="007945A4">
        <w:t>doi:https</w:t>
      </w:r>
      <w:proofErr w:type="spellEnd"/>
      <w:r w:rsidRPr="007945A4">
        <w:t>://doi.org/10.46754/jssm.2023.02.008.</w:t>
      </w:r>
    </w:p>
    <w:p w:rsidR="005C240D" w:rsidRPr="007945A4" w:rsidRDefault="005C240D" w:rsidP="007945A4">
      <w:pPr>
        <w:pStyle w:val="NormalWeb"/>
        <w:spacing w:before="0" w:beforeAutospacing="0" w:after="240" w:afterAutospacing="0" w:line="360" w:lineRule="auto"/>
        <w:jc w:val="both"/>
      </w:pPr>
      <w:r w:rsidRPr="007945A4">
        <w:t xml:space="preserve">Akron, S., </w:t>
      </w:r>
      <w:proofErr w:type="spellStart"/>
      <w:r w:rsidRPr="007945A4">
        <w:t>Demir</w:t>
      </w:r>
      <w:proofErr w:type="spellEnd"/>
      <w:r w:rsidRPr="007945A4">
        <w:t xml:space="preserve">, E., </w:t>
      </w:r>
      <w:proofErr w:type="spellStart"/>
      <w:r w:rsidRPr="007945A4">
        <w:t>Díez</w:t>
      </w:r>
      <w:proofErr w:type="spellEnd"/>
      <w:r w:rsidRPr="007945A4">
        <w:t xml:space="preserve">-Esteban, J.M. and </w:t>
      </w:r>
      <w:proofErr w:type="spellStart"/>
      <w:r w:rsidRPr="007945A4">
        <w:t>García</w:t>
      </w:r>
      <w:proofErr w:type="spellEnd"/>
      <w:r w:rsidRPr="007945A4">
        <w:t xml:space="preserve">-Gómez, C.D. (2020). Economic policy uncertainty and corporate investment: Evidence from the U.S. hospitality industry. </w:t>
      </w:r>
      <w:r w:rsidRPr="007945A4">
        <w:rPr>
          <w:i/>
          <w:iCs/>
        </w:rPr>
        <w:t>Tourism Management</w:t>
      </w:r>
      <w:r w:rsidRPr="007945A4">
        <w:t xml:space="preserve">, 77, p.104019. </w:t>
      </w:r>
      <w:proofErr w:type="spellStart"/>
      <w:r w:rsidRPr="007945A4">
        <w:t>doi:https</w:t>
      </w:r>
      <w:proofErr w:type="spellEnd"/>
      <w:r w:rsidRPr="007945A4">
        <w:t>://doi.org/10.1016/j.tourman.2019.104019.</w:t>
      </w:r>
    </w:p>
    <w:p w:rsidR="005C240D" w:rsidRPr="007945A4" w:rsidRDefault="005C240D" w:rsidP="007945A4">
      <w:pPr>
        <w:pStyle w:val="NormalWeb"/>
        <w:spacing w:before="0" w:beforeAutospacing="0" w:after="240" w:afterAutospacing="0" w:line="360" w:lineRule="auto"/>
        <w:jc w:val="both"/>
      </w:pPr>
      <w:r w:rsidRPr="007945A4">
        <w:t xml:space="preserve">Braun and </w:t>
      </w:r>
      <w:proofErr w:type="spellStart"/>
      <w:r w:rsidRPr="007945A4">
        <w:t>Tietz</w:t>
      </w:r>
      <w:proofErr w:type="spellEnd"/>
      <w:r w:rsidRPr="007945A4">
        <w:t xml:space="preserve">, W.M. (2018). </w:t>
      </w:r>
      <w:r w:rsidRPr="007945A4">
        <w:rPr>
          <w:i/>
          <w:iCs/>
        </w:rPr>
        <w:t>Managerial accounting</w:t>
      </w:r>
      <w:r w:rsidRPr="007945A4">
        <w:t xml:space="preserve">. New York, </w:t>
      </w:r>
      <w:proofErr w:type="spellStart"/>
      <w:r w:rsidRPr="007945A4">
        <w:t>Ny</w:t>
      </w:r>
      <w:proofErr w:type="spellEnd"/>
      <w:r w:rsidRPr="007945A4">
        <w:t xml:space="preserve"> Pearson.</w:t>
      </w:r>
    </w:p>
    <w:p w:rsidR="005C240D" w:rsidRPr="007945A4" w:rsidRDefault="005C240D" w:rsidP="007945A4">
      <w:pPr>
        <w:pStyle w:val="NormalWeb"/>
        <w:spacing w:before="0" w:beforeAutospacing="0" w:after="240" w:afterAutospacing="0" w:line="360" w:lineRule="auto"/>
        <w:jc w:val="both"/>
      </w:pPr>
      <w:proofErr w:type="spellStart"/>
      <w:r w:rsidRPr="007945A4">
        <w:t>Comunian</w:t>
      </w:r>
      <w:proofErr w:type="spellEnd"/>
      <w:r w:rsidRPr="007945A4">
        <w:t xml:space="preserve">, R. and England, L. (2023). Creative and cultural work without filters: Covid-19 and exposed </w:t>
      </w:r>
      <w:proofErr w:type="spellStart"/>
      <w:r w:rsidRPr="007945A4">
        <w:t>precarity</w:t>
      </w:r>
      <w:proofErr w:type="spellEnd"/>
      <w:r w:rsidRPr="007945A4">
        <w:t xml:space="preserve"> in the creative economy. </w:t>
      </w:r>
      <w:r w:rsidRPr="007945A4">
        <w:rPr>
          <w:i/>
          <w:iCs/>
        </w:rPr>
        <w:t>Cultural Trends</w:t>
      </w:r>
      <w:r w:rsidRPr="007945A4">
        <w:t xml:space="preserve">, 29(2), pp.1–17. </w:t>
      </w:r>
      <w:proofErr w:type="spellStart"/>
      <w:r w:rsidRPr="007945A4">
        <w:t>doi:https</w:t>
      </w:r>
      <w:proofErr w:type="spellEnd"/>
      <w:r w:rsidRPr="007945A4">
        <w:t>://doi.org/10.1080/09548963.2020.1770577.</w:t>
      </w:r>
    </w:p>
    <w:p w:rsidR="005C240D" w:rsidRPr="007945A4" w:rsidRDefault="005C240D" w:rsidP="007945A4">
      <w:pPr>
        <w:pStyle w:val="NormalWeb"/>
        <w:spacing w:before="0" w:beforeAutospacing="0" w:after="240" w:afterAutospacing="0" w:line="360" w:lineRule="auto"/>
        <w:jc w:val="both"/>
      </w:pPr>
      <w:proofErr w:type="spellStart"/>
      <w:r w:rsidRPr="007945A4">
        <w:t>Dashper</w:t>
      </w:r>
      <w:proofErr w:type="spellEnd"/>
      <w:r w:rsidRPr="007945A4">
        <w:t xml:space="preserve">, K. (2019). Mentoring for gender equality: Supporting female leaders in the hospitality industry. </w:t>
      </w:r>
      <w:r w:rsidRPr="007945A4">
        <w:rPr>
          <w:i/>
          <w:iCs/>
        </w:rPr>
        <w:t>International Journal of Hospitality Management</w:t>
      </w:r>
      <w:r w:rsidRPr="007945A4">
        <w:t xml:space="preserve">, 88, p.102397. </w:t>
      </w:r>
      <w:proofErr w:type="spellStart"/>
      <w:r w:rsidRPr="007945A4">
        <w:t>doi:https</w:t>
      </w:r>
      <w:proofErr w:type="spellEnd"/>
      <w:r w:rsidRPr="007945A4">
        <w:t>://doi.org/10.1016/j.ijhm.2019.102397.</w:t>
      </w:r>
    </w:p>
    <w:p w:rsidR="005C240D" w:rsidRPr="007945A4" w:rsidRDefault="005C240D" w:rsidP="007945A4">
      <w:pPr>
        <w:pStyle w:val="NormalWeb"/>
        <w:spacing w:before="0" w:beforeAutospacing="0" w:after="240" w:afterAutospacing="0" w:line="360" w:lineRule="auto"/>
        <w:jc w:val="both"/>
      </w:pPr>
      <w:r w:rsidRPr="007945A4">
        <w:t xml:space="preserve">Drury, C. (2021). </w:t>
      </w:r>
      <w:r w:rsidRPr="007945A4">
        <w:rPr>
          <w:i/>
          <w:iCs/>
        </w:rPr>
        <w:t>Management and Cost Accounting</w:t>
      </w:r>
      <w:r w:rsidRPr="007945A4">
        <w:t>. 10th ed. Andover: Cengage Learning.</w:t>
      </w:r>
    </w:p>
    <w:p w:rsidR="005C240D" w:rsidRPr="007945A4" w:rsidRDefault="005C240D" w:rsidP="007945A4">
      <w:pPr>
        <w:pStyle w:val="NormalWeb"/>
        <w:spacing w:before="0" w:beforeAutospacing="0" w:after="240" w:afterAutospacing="0" w:line="360" w:lineRule="auto"/>
        <w:jc w:val="both"/>
      </w:pPr>
      <w:r w:rsidRPr="007945A4">
        <w:t xml:space="preserve">Fu, Y.-K. (2020). The impact and recovering strategies of the COVID-19 pandemic: Lessons from Taiwan’s hospitality industry. </w:t>
      </w:r>
      <w:r w:rsidRPr="007945A4">
        <w:rPr>
          <w:i/>
          <w:iCs/>
        </w:rPr>
        <w:t>Cogent Social Sciences</w:t>
      </w:r>
      <w:r w:rsidRPr="007945A4">
        <w:t xml:space="preserve">, 6(1). </w:t>
      </w:r>
      <w:proofErr w:type="spellStart"/>
      <w:r w:rsidRPr="007945A4">
        <w:t>doi:https</w:t>
      </w:r>
      <w:proofErr w:type="spellEnd"/>
      <w:r w:rsidRPr="007945A4">
        <w:t>://doi.org/10.1080/23311886.2020.1829806.</w:t>
      </w:r>
    </w:p>
    <w:p w:rsidR="005C240D" w:rsidRPr="007945A4" w:rsidRDefault="005C240D" w:rsidP="007945A4">
      <w:pPr>
        <w:pStyle w:val="NormalWeb"/>
        <w:spacing w:before="0" w:beforeAutospacing="0" w:after="240" w:afterAutospacing="0" w:line="360" w:lineRule="auto"/>
        <w:jc w:val="both"/>
      </w:pPr>
      <w:proofErr w:type="spellStart"/>
      <w:r w:rsidRPr="007945A4">
        <w:t>Gurmani</w:t>
      </w:r>
      <w:proofErr w:type="spellEnd"/>
      <w:r w:rsidRPr="007945A4">
        <w:t xml:space="preserve">, J.K., Khan, N.U., </w:t>
      </w:r>
      <w:proofErr w:type="spellStart"/>
      <w:r w:rsidRPr="007945A4">
        <w:t>Khalique</w:t>
      </w:r>
      <w:proofErr w:type="spellEnd"/>
      <w:r w:rsidRPr="007945A4">
        <w:t xml:space="preserve">, M., </w:t>
      </w:r>
      <w:proofErr w:type="spellStart"/>
      <w:r w:rsidRPr="007945A4">
        <w:t>Yasir</w:t>
      </w:r>
      <w:proofErr w:type="spellEnd"/>
      <w:r w:rsidRPr="007945A4">
        <w:t xml:space="preserve">, M., </w:t>
      </w:r>
      <w:proofErr w:type="spellStart"/>
      <w:r w:rsidRPr="007945A4">
        <w:t>Obaid</w:t>
      </w:r>
      <w:proofErr w:type="spellEnd"/>
      <w:r w:rsidRPr="007945A4">
        <w:t xml:space="preserve">, A. and </w:t>
      </w:r>
      <w:proofErr w:type="spellStart"/>
      <w:r w:rsidRPr="007945A4">
        <w:t>Sabri</w:t>
      </w:r>
      <w:proofErr w:type="spellEnd"/>
      <w:r w:rsidRPr="007945A4">
        <w:t xml:space="preserve">, N.A.A. (2021). Do Environmental Transformational Leadership Predicts Organizational Citizenship </w:t>
      </w:r>
      <w:proofErr w:type="spellStart"/>
      <w:r w:rsidRPr="007945A4">
        <w:t>Behavior</w:t>
      </w:r>
      <w:proofErr w:type="spellEnd"/>
      <w:r w:rsidRPr="007945A4">
        <w:t xml:space="preserve"> towards Environment in Hospitality Industry: Using Structural Equation Modelling Approach. </w:t>
      </w:r>
      <w:r w:rsidRPr="007945A4">
        <w:rPr>
          <w:i/>
          <w:iCs/>
        </w:rPr>
        <w:t>Sustainability</w:t>
      </w:r>
      <w:r w:rsidRPr="007945A4">
        <w:t xml:space="preserve">, 13(10), p.5594. </w:t>
      </w:r>
      <w:proofErr w:type="spellStart"/>
      <w:r w:rsidRPr="007945A4">
        <w:t>doi:https</w:t>
      </w:r>
      <w:proofErr w:type="spellEnd"/>
      <w:r w:rsidRPr="007945A4">
        <w:t>://doi.org/10.3390/su13105594.</w:t>
      </w:r>
    </w:p>
    <w:p w:rsidR="005C240D" w:rsidRPr="007945A4" w:rsidRDefault="005C240D" w:rsidP="007945A4">
      <w:pPr>
        <w:pStyle w:val="NormalWeb"/>
        <w:spacing w:before="0" w:beforeAutospacing="0" w:after="240" w:afterAutospacing="0" w:line="360" w:lineRule="auto"/>
        <w:jc w:val="both"/>
      </w:pPr>
      <w:proofErr w:type="spellStart"/>
      <w:r w:rsidRPr="007945A4">
        <w:lastRenderedPageBreak/>
        <w:t>Gursoy</w:t>
      </w:r>
      <w:proofErr w:type="spellEnd"/>
      <w:r w:rsidRPr="007945A4">
        <w:t xml:space="preserve">, D. and Chi, C.G. (2020). Effects of COVID-19 pandemic on hospitality industry: review of the current situations and a research agenda. </w:t>
      </w:r>
      <w:r w:rsidRPr="007945A4">
        <w:rPr>
          <w:i/>
          <w:iCs/>
        </w:rPr>
        <w:t>Journal of Hospitality Marketing &amp; Management</w:t>
      </w:r>
      <w:r w:rsidRPr="007945A4">
        <w:t xml:space="preserve">, [online] 29(5), pp.527–529. </w:t>
      </w:r>
      <w:proofErr w:type="spellStart"/>
      <w:r w:rsidRPr="007945A4">
        <w:t>doi:https</w:t>
      </w:r>
      <w:proofErr w:type="spellEnd"/>
      <w:r w:rsidRPr="007945A4">
        <w:t>://doi.org/10.1080/19368623.2020.1788231.</w:t>
      </w:r>
    </w:p>
    <w:p w:rsidR="005C240D" w:rsidRPr="007945A4" w:rsidRDefault="005C240D" w:rsidP="007945A4">
      <w:pPr>
        <w:pStyle w:val="NormalWeb"/>
        <w:spacing w:before="0" w:beforeAutospacing="0" w:after="240" w:afterAutospacing="0" w:line="360" w:lineRule="auto"/>
        <w:jc w:val="both"/>
      </w:pPr>
      <w:r w:rsidRPr="007945A4">
        <w:t xml:space="preserve">Hayes, D.K. and Miller, A.A. (2019). </w:t>
      </w:r>
      <w:r w:rsidRPr="007945A4">
        <w:rPr>
          <w:i/>
          <w:iCs/>
        </w:rPr>
        <w:t>Revenue management for the hospitality industry</w:t>
      </w:r>
      <w:r w:rsidRPr="007945A4">
        <w:t>. 3rd ed. Hoboken, N.J.: Wiley.</w:t>
      </w:r>
    </w:p>
    <w:p w:rsidR="005C240D" w:rsidRPr="007945A4" w:rsidRDefault="005C240D" w:rsidP="007945A4">
      <w:pPr>
        <w:pStyle w:val="NormalWeb"/>
        <w:spacing w:before="0" w:beforeAutospacing="0" w:after="240" w:afterAutospacing="0" w:line="360" w:lineRule="auto"/>
        <w:jc w:val="both"/>
      </w:pPr>
      <w:proofErr w:type="spellStart"/>
      <w:r w:rsidRPr="007945A4">
        <w:t>Jiambalvo</w:t>
      </w:r>
      <w:proofErr w:type="spellEnd"/>
      <w:r w:rsidRPr="007945A4">
        <w:t xml:space="preserve">, J. (2016). </w:t>
      </w:r>
      <w:r w:rsidRPr="007945A4">
        <w:rPr>
          <w:i/>
          <w:iCs/>
        </w:rPr>
        <w:t>Managerial accounting</w:t>
      </w:r>
      <w:r w:rsidRPr="007945A4">
        <w:t xml:space="preserve">. Hoboken, </w:t>
      </w:r>
      <w:proofErr w:type="spellStart"/>
      <w:r w:rsidRPr="007945A4">
        <w:t>Nj</w:t>
      </w:r>
      <w:proofErr w:type="spellEnd"/>
      <w:r w:rsidRPr="007945A4">
        <w:t>: Wiley.</w:t>
      </w:r>
    </w:p>
    <w:p w:rsidR="005C240D" w:rsidRPr="007945A4" w:rsidRDefault="005C240D" w:rsidP="007945A4">
      <w:pPr>
        <w:pStyle w:val="NormalWeb"/>
        <w:spacing w:before="0" w:beforeAutospacing="0" w:after="240" w:afterAutospacing="0" w:line="360" w:lineRule="auto"/>
        <w:jc w:val="both"/>
      </w:pPr>
      <w:r w:rsidRPr="007945A4">
        <w:t xml:space="preserve">Khan, A., Bibi, S., </w:t>
      </w:r>
      <w:proofErr w:type="spellStart"/>
      <w:r w:rsidRPr="007945A4">
        <w:t>Lyu</w:t>
      </w:r>
      <w:proofErr w:type="spellEnd"/>
      <w:r w:rsidRPr="007945A4">
        <w:t xml:space="preserve">, J., Latif, A. and Lorenzo, A. (2020). COVID-19 and sectoral employment trends: assessing resilience in the US leisure and hospitality industry. </w:t>
      </w:r>
      <w:r w:rsidRPr="007945A4">
        <w:rPr>
          <w:i/>
          <w:iCs/>
        </w:rPr>
        <w:t>Current Issues in Tourism</w:t>
      </w:r>
      <w:r w:rsidRPr="007945A4">
        <w:t xml:space="preserve">, pp.1–18. </w:t>
      </w:r>
      <w:proofErr w:type="spellStart"/>
      <w:r w:rsidRPr="007945A4">
        <w:t>doi:https</w:t>
      </w:r>
      <w:proofErr w:type="spellEnd"/>
      <w:r w:rsidRPr="007945A4">
        <w:t>://doi.org/10.1080/13683500.2020.1850653.</w:t>
      </w:r>
    </w:p>
    <w:p w:rsidR="005C240D" w:rsidRPr="007945A4" w:rsidRDefault="005C240D" w:rsidP="007945A4">
      <w:pPr>
        <w:pStyle w:val="NormalWeb"/>
        <w:spacing w:before="0" w:beforeAutospacing="0" w:after="240" w:afterAutospacing="0" w:line="360" w:lineRule="auto"/>
        <w:jc w:val="both"/>
      </w:pPr>
      <w:r w:rsidRPr="007945A4">
        <w:t xml:space="preserve">Kim, J., Kim, J. and Wang, Y. (2021). Uncertainty risks and strategic reaction of restaurant firms amid COVID-19: Evidence from China. </w:t>
      </w:r>
      <w:r w:rsidRPr="007945A4">
        <w:rPr>
          <w:i/>
          <w:iCs/>
        </w:rPr>
        <w:t>International Journal of Hospitality Management</w:t>
      </w:r>
      <w:r w:rsidRPr="007945A4">
        <w:t xml:space="preserve">, [online] 92, p.102752. </w:t>
      </w:r>
      <w:proofErr w:type="spellStart"/>
      <w:r w:rsidRPr="007945A4">
        <w:t>doi:https</w:t>
      </w:r>
      <w:proofErr w:type="spellEnd"/>
      <w:r w:rsidRPr="007945A4">
        <w:t>://doi.org/10.1016/j.ijhm.2020.102752.</w:t>
      </w:r>
    </w:p>
    <w:p w:rsidR="005C240D" w:rsidRPr="007945A4" w:rsidRDefault="005C240D" w:rsidP="007945A4">
      <w:pPr>
        <w:pStyle w:val="NormalWeb"/>
        <w:spacing w:before="0" w:beforeAutospacing="0" w:after="240" w:afterAutospacing="0" w:line="360" w:lineRule="auto"/>
        <w:jc w:val="both"/>
      </w:pPr>
      <w:r w:rsidRPr="007945A4">
        <w:t xml:space="preserve">Kim, J., Kim, J., Lee, S.K. and Tang, L. (Rebecca) (2020). Effects of epidemic disease outbreaks on financial performance of hotels: Event study method approach. </w:t>
      </w:r>
      <w:r w:rsidRPr="007945A4">
        <w:rPr>
          <w:i/>
          <w:iCs/>
        </w:rPr>
        <w:t>Journal of Hospitality and Tourism Management</w:t>
      </w:r>
      <w:r w:rsidRPr="007945A4">
        <w:t xml:space="preserve">, 43, pp.32–41. </w:t>
      </w:r>
      <w:proofErr w:type="spellStart"/>
      <w:r w:rsidRPr="007945A4">
        <w:t>doi:https</w:t>
      </w:r>
      <w:proofErr w:type="spellEnd"/>
      <w:r w:rsidRPr="007945A4">
        <w:t>://doi.org/10.1016/j.jhtm.2020.01.015.</w:t>
      </w:r>
    </w:p>
    <w:p w:rsidR="005C240D" w:rsidRPr="007945A4" w:rsidRDefault="005C240D" w:rsidP="007945A4">
      <w:pPr>
        <w:pStyle w:val="NormalWeb"/>
        <w:spacing w:before="0" w:beforeAutospacing="0" w:after="240" w:afterAutospacing="0" w:line="360" w:lineRule="auto"/>
        <w:jc w:val="both"/>
      </w:pPr>
      <w:r w:rsidRPr="007945A4">
        <w:t>Lee, I. (2020). Internet of Things (</w:t>
      </w:r>
      <w:proofErr w:type="spellStart"/>
      <w:r w:rsidRPr="007945A4">
        <w:t>IoT</w:t>
      </w:r>
      <w:proofErr w:type="spellEnd"/>
      <w:r w:rsidRPr="007945A4">
        <w:t xml:space="preserve">) Cybersecurity: Literature Review and </w:t>
      </w:r>
      <w:proofErr w:type="spellStart"/>
      <w:r w:rsidRPr="007945A4">
        <w:t>IoT</w:t>
      </w:r>
      <w:proofErr w:type="spellEnd"/>
      <w:r w:rsidRPr="007945A4">
        <w:t xml:space="preserve"> Cyber Risk Management. </w:t>
      </w:r>
      <w:r w:rsidRPr="007945A4">
        <w:rPr>
          <w:i/>
          <w:iCs/>
        </w:rPr>
        <w:t>Future Internet</w:t>
      </w:r>
      <w:r w:rsidRPr="007945A4">
        <w:t xml:space="preserve">, [online] 12(9), p.157. </w:t>
      </w:r>
      <w:proofErr w:type="spellStart"/>
      <w:r w:rsidRPr="007945A4">
        <w:t>doi:https</w:t>
      </w:r>
      <w:proofErr w:type="spellEnd"/>
      <w:r w:rsidRPr="007945A4">
        <w:t>://doi.org/10.3390/fi12090157.</w:t>
      </w:r>
    </w:p>
    <w:p w:rsidR="005C240D" w:rsidRPr="007945A4" w:rsidRDefault="005C240D" w:rsidP="007945A4">
      <w:pPr>
        <w:pStyle w:val="NormalWeb"/>
        <w:spacing w:before="0" w:beforeAutospacing="0" w:after="240" w:afterAutospacing="0" w:line="360" w:lineRule="auto"/>
        <w:jc w:val="both"/>
      </w:pPr>
      <w:r w:rsidRPr="007945A4">
        <w:t xml:space="preserve">Liu, M.T., Wang, S., McCartney, G. and Wong, I.A. (2021). Taking a break is for accomplishing a longer journey: hospitality industry in Macao under the COVID-19 pandemic. </w:t>
      </w:r>
      <w:r w:rsidRPr="007945A4">
        <w:rPr>
          <w:i/>
          <w:iCs/>
        </w:rPr>
        <w:t>International Journal of Contemporary Hospitality Management</w:t>
      </w:r>
      <w:r w:rsidRPr="007945A4">
        <w:t xml:space="preserve">, ahead-of-print(ahead-of-print). </w:t>
      </w:r>
      <w:proofErr w:type="spellStart"/>
      <w:r w:rsidRPr="007945A4">
        <w:t>doi:https</w:t>
      </w:r>
      <w:proofErr w:type="spellEnd"/>
      <w:r w:rsidRPr="007945A4">
        <w:t>://doi.org/10.1108/ijchm-07-2020-0678.</w:t>
      </w:r>
    </w:p>
    <w:p w:rsidR="005C240D" w:rsidRPr="007945A4" w:rsidRDefault="005C240D" w:rsidP="007945A4">
      <w:pPr>
        <w:pStyle w:val="NormalWeb"/>
        <w:spacing w:before="0" w:beforeAutospacing="0" w:after="240" w:afterAutospacing="0" w:line="360" w:lineRule="auto"/>
        <w:jc w:val="both"/>
      </w:pPr>
      <w:proofErr w:type="spellStart"/>
      <w:r w:rsidRPr="007945A4">
        <w:t>Paulino</w:t>
      </w:r>
      <w:proofErr w:type="spellEnd"/>
      <w:r w:rsidRPr="007945A4">
        <w:t xml:space="preserve">, G.A.L. (2023). </w:t>
      </w:r>
      <w:r w:rsidRPr="007945A4">
        <w:rPr>
          <w:i/>
          <w:iCs/>
        </w:rPr>
        <w:t>Management accounting in hospitality: Case study in a Lisbon 5-star hotel</w:t>
      </w:r>
      <w:r w:rsidRPr="007945A4">
        <w:t>. [online] repositorio.iscte-iul.pt. Available at: https://repositorio.iscte-iul.pt/handle/10071/28066 [Accessed 11 Nov. 2023].</w:t>
      </w:r>
    </w:p>
    <w:p w:rsidR="005C240D" w:rsidRPr="007945A4" w:rsidRDefault="005C240D" w:rsidP="007945A4">
      <w:pPr>
        <w:pStyle w:val="NormalWeb"/>
        <w:spacing w:before="0" w:beforeAutospacing="0" w:after="240" w:afterAutospacing="0" w:line="360" w:lineRule="auto"/>
        <w:jc w:val="both"/>
      </w:pPr>
      <w:proofErr w:type="spellStart"/>
      <w:r w:rsidRPr="007945A4">
        <w:t>Rhou</w:t>
      </w:r>
      <w:proofErr w:type="spellEnd"/>
      <w:r w:rsidRPr="007945A4">
        <w:t xml:space="preserve">, Y. and </w:t>
      </w:r>
      <w:proofErr w:type="spellStart"/>
      <w:r w:rsidRPr="007945A4">
        <w:t>Singal</w:t>
      </w:r>
      <w:proofErr w:type="spellEnd"/>
      <w:r w:rsidRPr="007945A4">
        <w:t xml:space="preserve">, M. (2020). A review of the business case for CSR in the hospitality industry. </w:t>
      </w:r>
      <w:r w:rsidRPr="007945A4">
        <w:rPr>
          <w:i/>
          <w:iCs/>
        </w:rPr>
        <w:t>International Journal of Hospitality Management</w:t>
      </w:r>
      <w:r w:rsidRPr="007945A4">
        <w:t>, 84, p.102330.</w:t>
      </w:r>
    </w:p>
    <w:p w:rsidR="005C240D" w:rsidRPr="007945A4" w:rsidRDefault="005C240D" w:rsidP="007945A4">
      <w:pPr>
        <w:pStyle w:val="NormalWeb"/>
        <w:spacing w:before="0" w:beforeAutospacing="0" w:after="240" w:afterAutospacing="0" w:line="360" w:lineRule="auto"/>
        <w:jc w:val="both"/>
      </w:pPr>
      <w:r w:rsidRPr="007945A4">
        <w:lastRenderedPageBreak/>
        <w:t xml:space="preserve">Stuart-Hill, T. and Parker, J. (2014). </w:t>
      </w:r>
      <w:r w:rsidRPr="007945A4">
        <w:rPr>
          <w:i/>
          <w:iCs/>
        </w:rPr>
        <w:t xml:space="preserve">An introduction to revenue management for the hospitality </w:t>
      </w:r>
      <w:proofErr w:type="gramStart"/>
      <w:r w:rsidRPr="007945A4">
        <w:rPr>
          <w:i/>
          <w:iCs/>
        </w:rPr>
        <w:t>industry :</w:t>
      </w:r>
      <w:proofErr w:type="gramEnd"/>
      <w:r w:rsidRPr="007945A4">
        <w:rPr>
          <w:i/>
          <w:iCs/>
        </w:rPr>
        <w:t xml:space="preserve"> principles and practices for the real world</w:t>
      </w:r>
      <w:r w:rsidRPr="007945A4">
        <w:t>. Harlow: Pearson Education.</w:t>
      </w:r>
    </w:p>
    <w:p w:rsidR="005C240D" w:rsidRPr="007945A4" w:rsidRDefault="005C240D" w:rsidP="007945A4">
      <w:pPr>
        <w:pStyle w:val="NormalWeb"/>
        <w:spacing w:before="0" w:beforeAutospacing="0" w:after="240" w:afterAutospacing="0" w:line="360" w:lineRule="auto"/>
        <w:jc w:val="both"/>
      </w:pPr>
      <w:r w:rsidRPr="007945A4">
        <w:t xml:space="preserve">Warren, C.S. and Tayler, W.B. (2020). </w:t>
      </w:r>
      <w:r w:rsidRPr="007945A4">
        <w:rPr>
          <w:i/>
          <w:iCs/>
        </w:rPr>
        <w:t>Managerial accounting</w:t>
      </w:r>
      <w:r w:rsidRPr="007945A4">
        <w:t xml:space="preserve">. 15th ed. Boston, Ma, </w:t>
      </w:r>
      <w:proofErr w:type="spellStart"/>
      <w:r w:rsidRPr="007945A4">
        <w:t>Usa</w:t>
      </w:r>
      <w:proofErr w:type="spellEnd"/>
      <w:r w:rsidRPr="007945A4">
        <w:t>: Cengage.</w:t>
      </w:r>
    </w:p>
    <w:p w:rsidR="00475620" w:rsidRPr="007945A4" w:rsidRDefault="00475620" w:rsidP="007945A4">
      <w:pPr>
        <w:spacing w:line="360" w:lineRule="auto"/>
        <w:rPr>
          <w:sz w:val="24"/>
          <w:szCs w:val="24"/>
        </w:rPr>
      </w:pPr>
    </w:p>
    <w:p w:rsidR="00ED4DAD" w:rsidRPr="007945A4" w:rsidRDefault="00ED4DAD" w:rsidP="007945A4">
      <w:pPr>
        <w:spacing w:line="360" w:lineRule="auto"/>
        <w:jc w:val="center"/>
        <w:rPr>
          <w:b/>
          <w:sz w:val="24"/>
          <w:szCs w:val="24"/>
        </w:rPr>
      </w:pPr>
    </w:p>
    <w:sectPr w:rsidR="00ED4DAD" w:rsidRPr="007945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FA75115"/>
    <w:multiLevelType w:val="hybridMultilevel"/>
    <w:tmpl w:val="B69AE3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7096E7C"/>
    <w:multiLevelType w:val="hybridMultilevel"/>
    <w:tmpl w:val="9C0036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5620"/>
    <w:rsid w:val="00475620"/>
    <w:rsid w:val="00486B0D"/>
    <w:rsid w:val="005C240D"/>
    <w:rsid w:val="006624F5"/>
    <w:rsid w:val="007945A4"/>
    <w:rsid w:val="009F5D85"/>
    <w:rsid w:val="00ED4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DD7D31-C542-46D0-89D3-F7BABF388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5620"/>
  </w:style>
  <w:style w:type="paragraph" w:styleId="Heading1">
    <w:name w:val="heading 1"/>
    <w:basedOn w:val="Normal"/>
    <w:next w:val="Normal"/>
    <w:link w:val="Heading1Char"/>
    <w:uiPriority w:val="1"/>
    <w:qFormat/>
    <w:rsid w:val="005C240D"/>
    <w:pPr>
      <w:keepNext/>
      <w:keepLines/>
      <w:spacing w:before="240" w:after="0" w:line="360" w:lineRule="auto"/>
      <w:jc w:val="both"/>
      <w:outlineLvl w:val="0"/>
    </w:pPr>
    <w:rPr>
      <w:rFonts w:ascii="Times New Roman" w:eastAsiaTheme="majorEastAsia" w:hAnsi="Times New Roman"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5C240D"/>
    <w:rPr>
      <w:rFonts w:ascii="Times New Roman" w:eastAsiaTheme="majorEastAsia" w:hAnsi="Times New Roman" w:cstheme="majorBidi"/>
      <w:b/>
      <w:sz w:val="32"/>
      <w:szCs w:val="32"/>
    </w:rPr>
  </w:style>
  <w:style w:type="character" w:styleId="Hyperlink">
    <w:name w:val="Hyperlink"/>
    <w:basedOn w:val="DefaultParagraphFont"/>
    <w:uiPriority w:val="99"/>
    <w:semiHidden/>
    <w:unhideWhenUsed/>
    <w:rsid w:val="005C240D"/>
    <w:rPr>
      <w:color w:val="0563C1" w:themeColor="hyperlink"/>
      <w:u w:val="single"/>
    </w:rPr>
  </w:style>
  <w:style w:type="paragraph" w:styleId="NormalWeb">
    <w:name w:val="Normal (Web)"/>
    <w:basedOn w:val="Normal"/>
    <w:uiPriority w:val="99"/>
    <w:semiHidden/>
    <w:unhideWhenUsed/>
    <w:rsid w:val="005C24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semiHidden/>
    <w:unhideWhenUsed/>
    <w:rsid w:val="005C240D"/>
    <w:pPr>
      <w:spacing w:after="100" w:line="360" w:lineRule="auto"/>
      <w:jc w:val="both"/>
    </w:pPr>
    <w:rPr>
      <w:rFonts w:ascii="Times New Roman" w:hAnsi="Times New Roman"/>
      <w:sz w:val="24"/>
    </w:rPr>
  </w:style>
  <w:style w:type="paragraph" w:styleId="ListParagraph">
    <w:name w:val="List Paragraph"/>
    <w:basedOn w:val="Normal"/>
    <w:uiPriority w:val="1"/>
    <w:qFormat/>
    <w:rsid w:val="005C240D"/>
    <w:pPr>
      <w:widowControl w:val="0"/>
      <w:autoSpaceDE w:val="0"/>
      <w:autoSpaceDN w:val="0"/>
      <w:spacing w:before="166" w:after="0" w:line="240" w:lineRule="auto"/>
      <w:ind w:left="1462" w:hanging="329"/>
    </w:pPr>
    <w:rPr>
      <w:rFonts w:ascii="Calibri" w:eastAsia="Calibri" w:hAnsi="Calibri" w:cs="Calibri"/>
      <w:lang w:val="en-US"/>
    </w:rPr>
  </w:style>
  <w:style w:type="paragraph" w:styleId="TOCHeading">
    <w:name w:val="TOC Heading"/>
    <w:basedOn w:val="Heading1"/>
    <w:next w:val="Normal"/>
    <w:uiPriority w:val="39"/>
    <w:semiHidden/>
    <w:unhideWhenUsed/>
    <w:qFormat/>
    <w:rsid w:val="005C240D"/>
    <w:pPr>
      <w:spacing w:line="256" w:lineRule="auto"/>
      <w:jc w:val="left"/>
      <w:outlineLvl w:val="9"/>
    </w:pPr>
    <w:rPr>
      <w:rFonts w:asciiTheme="majorHAnsi" w:hAnsiTheme="majorHAnsi"/>
      <w:b w:val="0"/>
      <w:color w:val="2E74B5" w:themeColor="accent1" w:themeShade="BF"/>
      <w:lang w:val="en-US"/>
    </w:rPr>
  </w:style>
  <w:style w:type="table" w:styleId="GridTable4-Accent1">
    <w:name w:val="Grid Table 4 Accent 1"/>
    <w:basedOn w:val="TableNormal"/>
    <w:uiPriority w:val="49"/>
    <w:rsid w:val="005C240D"/>
    <w:pPr>
      <w:spacing w:after="0" w:line="240" w:lineRule="auto"/>
    </w:pPr>
    <w:tblPr>
      <w:tblStyleRowBandSize w:val="1"/>
      <w:tblStyleColBandSize w:val="1"/>
      <w:tblInd w:w="0" w:type="nil"/>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5C240D"/>
    <w:pPr>
      <w:spacing w:after="0" w:line="240" w:lineRule="auto"/>
    </w:pPr>
    <w:tblPr>
      <w:tblStyleRowBandSize w:val="1"/>
      <w:tblStyleColBandSize w:val="1"/>
      <w:tblInd w:w="0" w:type="nil"/>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5C240D"/>
    <w:pPr>
      <w:spacing w:after="0" w:line="240" w:lineRule="auto"/>
    </w:pPr>
    <w:tblPr>
      <w:tblStyleRowBandSize w:val="1"/>
      <w:tblStyleColBandSize w:val="1"/>
      <w:tblInd w:w="0" w:type="nil"/>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5">
    <w:name w:val="Grid Table 4 Accent 5"/>
    <w:basedOn w:val="TableNormal"/>
    <w:uiPriority w:val="49"/>
    <w:rsid w:val="005C240D"/>
    <w:pPr>
      <w:spacing w:after="0" w:line="240" w:lineRule="auto"/>
    </w:pPr>
    <w:tblPr>
      <w:tblStyleRowBandSize w:val="1"/>
      <w:tblStyleColBandSize w:val="1"/>
      <w:tblInd w:w="0" w:type="nil"/>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5C240D"/>
    <w:pPr>
      <w:spacing w:after="0" w:line="240" w:lineRule="auto"/>
    </w:pPr>
    <w:tblPr>
      <w:tblStyleRowBandSize w:val="1"/>
      <w:tblStyleColBandSize w:val="1"/>
      <w:tblInd w:w="0" w:type="nil"/>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8858470">
      <w:bodyDiv w:val="1"/>
      <w:marLeft w:val="0"/>
      <w:marRight w:val="0"/>
      <w:marTop w:val="0"/>
      <w:marBottom w:val="0"/>
      <w:divBdr>
        <w:top w:val="none" w:sz="0" w:space="0" w:color="auto"/>
        <w:left w:val="none" w:sz="0" w:space="0" w:color="auto"/>
        <w:bottom w:val="none" w:sz="0" w:space="0" w:color="auto"/>
        <w:right w:val="none" w:sz="0" w:space="0" w:color="auto"/>
      </w:divBdr>
    </w:div>
    <w:div w:id="1241911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User\AppData\Local\Packages\microsoft.windowscommunicationsapps_8wekyb3d8bbwe\LocalState\Files\S0\3\Attachments\Saiyful%20Alam%20Chowdhury%20BMIH5007%20FM2%5b663%5d.docx" TargetMode="External"/><Relationship Id="rId13" Type="http://schemas.openxmlformats.org/officeDocument/2006/relationships/hyperlink" Target="file:///C:\Users\User\AppData\Local\Packages\microsoft.windowscommunicationsapps_8wekyb3d8bbwe\LocalState\Files\S0\3\Attachments\Saiyful%20Alam%20Chowdhury%20BMIH5007%20FM2%5b663%5d.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User\AppData\Local\Packages\microsoft.windowscommunicationsapps_8wekyb3d8bbwe\LocalState\Files\S0\3\Attachments\Saiyful%20Alam%20Chowdhury%20BMIH5007%20FM2%5b663%5d.docx" TargetMode="External"/><Relationship Id="rId12" Type="http://schemas.openxmlformats.org/officeDocument/2006/relationships/hyperlink" Target="file:///C:\Users\User\AppData\Local\Packages\microsoft.windowscommunicationsapps_8wekyb3d8bbwe\LocalState\Files\S0\3\Attachments\Saiyful%20Alam%20Chowdhury%20BMIH5007%20FM2%5b663%5d.docx" TargetMode="External"/><Relationship Id="rId17" Type="http://schemas.openxmlformats.org/officeDocument/2006/relationships/hyperlink" Target="file:///C:\Users\User\AppData\Local\Packages\microsoft.windowscommunicationsapps_8wekyb3d8bbwe\LocalState\Files\S0\3\Attachments\Saiyful%20Alam%20Chowdhury%20BMIH5007%20FM2%5b663%5d.docx" TargetMode="External"/><Relationship Id="rId2" Type="http://schemas.openxmlformats.org/officeDocument/2006/relationships/styles" Target="styles.xml"/><Relationship Id="rId16" Type="http://schemas.openxmlformats.org/officeDocument/2006/relationships/hyperlink" Target="file:///C:\Users\User\AppData\Local\Packages\microsoft.windowscommunicationsapps_8wekyb3d8bbwe\LocalState\Files\S0\3\Attachments\Saiyful%20Alam%20Chowdhury%20BMIH5007%20FM2%5b663%5d.docx" TargetMode="External"/><Relationship Id="rId1" Type="http://schemas.openxmlformats.org/officeDocument/2006/relationships/numbering" Target="numbering.xml"/><Relationship Id="rId6" Type="http://schemas.openxmlformats.org/officeDocument/2006/relationships/hyperlink" Target="file:///C:\Users\User\AppData\Local\Packages\microsoft.windowscommunicationsapps_8wekyb3d8bbwe\LocalState\Files\S0\3\Attachments\Saiyful%20Alam%20Chowdhury%20BMIH5007%20FM2%5b663%5d.docx" TargetMode="External"/><Relationship Id="rId11" Type="http://schemas.openxmlformats.org/officeDocument/2006/relationships/hyperlink" Target="file:///C:\Users\User\AppData\Local\Packages\microsoft.windowscommunicationsapps_8wekyb3d8bbwe\LocalState\Files\S0\3\Attachments\Saiyful%20Alam%20Chowdhury%20BMIH5007%20FM2%5b663%5d.docx" TargetMode="External"/><Relationship Id="rId5" Type="http://schemas.openxmlformats.org/officeDocument/2006/relationships/hyperlink" Target="file:///C:\Users\User\AppData\Local\Packages\microsoft.windowscommunicationsapps_8wekyb3d8bbwe\LocalState\Files\S0\3\Attachments\Saiyful%20Alam%20Chowdhury%20BMIH5007%20FM2%5b663%5d.docx" TargetMode="External"/><Relationship Id="rId15" Type="http://schemas.openxmlformats.org/officeDocument/2006/relationships/hyperlink" Target="file:///C:\Users\User\AppData\Local\Packages\microsoft.windowscommunicationsapps_8wekyb3d8bbwe\LocalState\Files\S0\3\Attachments\Saiyful%20Alam%20Chowdhury%20BMIH5007%20FM2%5b663%5d.docx" TargetMode="External"/><Relationship Id="rId10" Type="http://schemas.openxmlformats.org/officeDocument/2006/relationships/hyperlink" Target="file:///C:\Users\User\AppData\Local\Packages\microsoft.windowscommunicationsapps_8wekyb3d8bbwe\LocalState\Files\S0\3\Attachments\Saiyful%20Alam%20Chowdhury%20BMIH5007%20FM2%5b663%5d.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User\AppData\Local\Packages\microsoft.windowscommunicationsapps_8wekyb3d8bbwe\LocalState\Files\S0\3\Attachments\Saiyful%20Alam%20Chowdhury%20BMIH5007%20FM2%5b663%5d.docx" TargetMode="External"/><Relationship Id="rId14" Type="http://schemas.openxmlformats.org/officeDocument/2006/relationships/hyperlink" Target="file:///C:\Users\User\AppData\Local\Packages\microsoft.windowscommunicationsapps_8wekyb3d8bbwe\LocalState\Files\S0\3\Attachments\Saiyful%20Alam%20Chowdhury%20BMIH5007%20FM2%5b663%5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20</Pages>
  <Words>3397</Words>
  <Characters>19367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2023-10-16T06:04:00Z</dcterms:created>
  <dcterms:modified xsi:type="dcterms:W3CDTF">2023-11-15T12:55:00Z</dcterms:modified>
</cp:coreProperties>
</file>