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CCAD3" w14:textId="3AA034B6" w:rsidR="00934792" w:rsidRPr="00431DEA" w:rsidRDefault="00A251D6" w:rsidP="00431DEA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F12FD4A" wp14:editId="068BCB31">
            <wp:extent cx="3347049" cy="1339785"/>
            <wp:effectExtent l="0" t="0" r="0" b="0"/>
            <wp:docPr id="644124987" name="Picture 1" descr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590" cy="1412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8C763" w14:textId="77777777" w:rsidR="00934792" w:rsidRDefault="00934792" w:rsidP="00235175">
      <w:pPr>
        <w:rPr>
          <w:rFonts w:ascii="Arial" w:hAnsi="Arial" w:cs="Arial"/>
        </w:rPr>
      </w:pPr>
    </w:p>
    <w:p w14:paraId="65D23E28" w14:textId="77777777" w:rsidR="00D26183" w:rsidRDefault="00D26183" w:rsidP="00235175">
      <w:pPr>
        <w:rPr>
          <w:rFonts w:ascii="Arial" w:hAnsi="Arial" w:cs="Arial"/>
        </w:rPr>
      </w:pPr>
    </w:p>
    <w:p w14:paraId="2B5A577A" w14:textId="708B4814" w:rsidR="00D26183" w:rsidRDefault="00393E12" w:rsidP="00235175">
      <w:pPr>
        <w:rPr>
          <w:rFonts w:ascii="Arial" w:hAnsi="Arial" w:cs="Arial"/>
          <w:b/>
          <w:bCs/>
          <w:sz w:val="48"/>
          <w:szCs w:val="48"/>
        </w:rPr>
      </w:pPr>
      <w:r w:rsidRPr="00393E12">
        <w:rPr>
          <w:rFonts w:ascii="Arial" w:hAnsi="Arial" w:cs="Arial"/>
          <w:b/>
          <w:bCs/>
          <w:sz w:val="48"/>
          <w:szCs w:val="48"/>
        </w:rPr>
        <w:t>The Benefits of Telemedicine and Remote Healthcare for Older Adults</w:t>
      </w:r>
    </w:p>
    <w:p w14:paraId="576D979C" w14:textId="77777777" w:rsidR="00062199" w:rsidRDefault="00062199" w:rsidP="00235175">
      <w:pPr>
        <w:rPr>
          <w:rFonts w:ascii="Arial" w:hAnsi="Arial" w:cs="Arial"/>
          <w:b/>
          <w:bCs/>
          <w:sz w:val="48"/>
          <w:szCs w:val="48"/>
        </w:rPr>
      </w:pPr>
    </w:p>
    <w:p w14:paraId="110CB601" w14:textId="77777777" w:rsidR="00062199" w:rsidRPr="00393E12" w:rsidRDefault="00062199" w:rsidP="00235175">
      <w:pPr>
        <w:rPr>
          <w:rFonts w:ascii="Arial" w:hAnsi="Arial" w:cs="Arial"/>
          <w:b/>
          <w:bCs/>
          <w:sz w:val="48"/>
          <w:szCs w:val="48"/>
        </w:rPr>
      </w:pPr>
    </w:p>
    <w:p w14:paraId="79363D04" w14:textId="77777777" w:rsidR="00934792" w:rsidRDefault="00934792" w:rsidP="00235175">
      <w:pPr>
        <w:rPr>
          <w:rFonts w:ascii="Arial" w:hAnsi="Arial" w:cs="Arial"/>
        </w:rPr>
      </w:pPr>
    </w:p>
    <w:p w14:paraId="21150681" w14:textId="677801FA" w:rsidR="00856B1B" w:rsidRPr="00011E75" w:rsidRDefault="00856B1B" w:rsidP="00856B1B">
      <w:pPr>
        <w:rPr>
          <w:rStyle w:val="Strong"/>
          <w:rFonts w:ascii="Arial" w:hAnsi="Arial" w:cs="Arial"/>
          <w:b w:val="0"/>
          <w:bCs w:val="0"/>
          <w:color w:val="1D2125"/>
          <w:sz w:val="40"/>
          <w:szCs w:val="40"/>
        </w:rPr>
      </w:pPr>
      <w:r w:rsidRPr="00011E75">
        <w:rPr>
          <w:rFonts w:ascii="Arial" w:hAnsi="Arial" w:cs="Arial"/>
          <w:b/>
          <w:bCs/>
          <w:color w:val="000000"/>
          <w:sz w:val="40"/>
          <w:szCs w:val="40"/>
        </w:rPr>
        <w:t>Component 2:</w:t>
      </w:r>
      <w:r w:rsidR="00D26183" w:rsidRPr="00D26183">
        <w:t xml:space="preserve"> </w:t>
      </w:r>
      <w:r w:rsidR="00D26183" w:rsidRPr="00D26183">
        <w:rPr>
          <w:rFonts w:ascii="Arial" w:hAnsi="Arial" w:cs="Arial"/>
          <w:sz w:val="40"/>
          <w:szCs w:val="40"/>
        </w:rPr>
        <w:t>Debate/Discussion</w:t>
      </w:r>
    </w:p>
    <w:p w14:paraId="3EA7519D" w14:textId="77777777" w:rsidR="00856B1B" w:rsidRPr="00EA7B44" w:rsidRDefault="00856B1B" w:rsidP="00856B1B">
      <w:pPr>
        <w:rPr>
          <w:rStyle w:val="Strong"/>
          <w:rFonts w:ascii="Arial" w:hAnsi="Arial" w:cs="Arial"/>
          <w:b w:val="0"/>
          <w:bCs w:val="0"/>
          <w:sz w:val="40"/>
          <w:szCs w:val="40"/>
        </w:rPr>
      </w:pPr>
      <w:r w:rsidRPr="00EA7B44">
        <w:rPr>
          <w:rStyle w:val="Strong"/>
          <w:rFonts w:ascii="Arial" w:hAnsi="Arial" w:cs="Arial"/>
          <w:sz w:val="40"/>
          <w:szCs w:val="40"/>
        </w:rPr>
        <w:t>Student name</w:t>
      </w:r>
      <w:r w:rsidRPr="00011E75">
        <w:rPr>
          <w:rStyle w:val="Strong"/>
          <w:rFonts w:ascii="Arial" w:hAnsi="Arial" w:cs="Arial"/>
          <w:color w:val="1D2125"/>
          <w:sz w:val="40"/>
          <w:szCs w:val="40"/>
        </w:rPr>
        <w:t xml:space="preserve">: </w:t>
      </w:r>
      <w:r w:rsidRPr="00EA7B44">
        <w:rPr>
          <w:rStyle w:val="Strong"/>
          <w:rFonts w:ascii="Arial" w:hAnsi="Arial" w:cs="Arial"/>
          <w:b w:val="0"/>
          <w:bCs w:val="0"/>
          <w:sz w:val="40"/>
          <w:szCs w:val="40"/>
        </w:rPr>
        <w:t>Misjona Kovaci</w:t>
      </w:r>
    </w:p>
    <w:p w14:paraId="2D79D80F" w14:textId="33F2CA34" w:rsidR="00934792" w:rsidRPr="00011E75" w:rsidRDefault="00856B1B" w:rsidP="00856B1B">
      <w:pPr>
        <w:rPr>
          <w:rStyle w:val="Strong"/>
          <w:rFonts w:ascii="Arial" w:hAnsi="Arial" w:cs="Arial"/>
          <w:color w:val="1D2125"/>
          <w:sz w:val="40"/>
          <w:szCs w:val="40"/>
        </w:rPr>
      </w:pPr>
      <w:r w:rsidRPr="00EA7B44">
        <w:rPr>
          <w:rStyle w:val="Strong"/>
          <w:rFonts w:ascii="Arial" w:hAnsi="Arial" w:cs="Arial"/>
          <w:color w:val="000000" w:themeColor="text1"/>
          <w:sz w:val="40"/>
          <w:szCs w:val="40"/>
        </w:rPr>
        <w:t>Student number</w:t>
      </w:r>
      <w:r w:rsidRPr="00EA7B44">
        <w:rPr>
          <w:rStyle w:val="Strong"/>
          <w:rFonts w:ascii="Arial" w:hAnsi="Arial" w:cs="Arial"/>
          <w:color w:val="1D2125"/>
          <w:sz w:val="40"/>
          <w:szCs w:val="40"/>
        </w:rPr>
        <w:t>:</w:t>
      </w:r>
      <w:r w:rsidRPr="00011E75">
        <w:rPr>
          <w:rStyle w:val="Strong"/>
          <w:rFonts w:ascii="Arial" w:hAnsi="Arial" w:cs="Arial"/>
          <w:color w:val="1D2125"/>
          <w:sz w:val="40"/>
          <w:szCs w:val="40"/>
        </w:rPr>
        <w:t xml:space="preserve"> </w:t>
      </w:r>
      <w:r w:rsidRPr="00EA7B44">
        <w:rPr>
          <w:rStyle w:val="Strong"/>
          <w:rFonts w:ascii="Arial" w:hAnsi="Arial" w:cs="Arial"/>
          <w:b w:val="0"/>
          <w:bCs w:val="0"/>
          <w:sz w:val="40"/>
          <w:szCs w:val="40"/>
        </w:rPr>
        <w:t>2226356</w:t>
      </w:r>
    </w:p>
    <w:p w14:paraId="0B7AF59C" w14:textId="77777777" w:rsidR="00011E75" w:rsidRPr="00011E75" w:rsidRDefault="00011E75" w:rsidP="00011E75">
      <w:pPr>
        <w:rPr>
          <w:rFonts w:ascii="Arial" w:hAnsi="Arial" w:cs="Arial"/>
          <w:b/>
          <w:bCs/>
          <w:sz w:val="40"/>
          <w:szCs w:val="40"/>
        </w:rPr>
      </w:pPr>
      <w:r w:rsidRPr="00011E75">
        <w:rPr>
          <w:rFonts w:ascii="Arial" w:hAnsi="Arial" w:cs="Arial"/>
          <w:b/>
          <w:bCs/>
          <w:sz w:val="40"/>
          <w:szCs w:val="40"/>
          <w:lang w:val="nl-NL"/>
        </w:rPr>
        <w:t>Module name</w:t>
      </w:r>
      <w:r w:rsidRPr="00011E75">
        <w:rPr>
          <w:rFonts w:ascii="Arial" w:hAnsi="Arial" w:cs="Arial"/>
          <w:sz w:val="40"/>
          <w:szCs w:val="40"/>
          <w:lang w:val="nl-NL"/>
        </w:rPr>
        <w:t xml:space="preserve">: </w:t>
      </w:r>
      <w:r w:rsidRPr="00011E75">
        <w:rPr>
          <w:rFonts w:ascii="Arial" w:hAnsi="Arial" w:cs="Arial"/>
          <w:sz w:val="40"/>
          <w:szCs w:val="40"/>
          <w:lang w:val="en-US"/>
        </w:rPr>
        <w:t>Empowering the Older Person</w:t>
      </w:r>
    </w:p>
    <w:p w14:paraId="072D1D2B" w14:textId="77777777" w:rsidR="00011E75" w:rsidRPr="00011E75" w:rsidRDefault="00011E75" w:rsidP="00011E75">
      <w:pPr>
        <w:rPr>
          <w:rFonts w:ascii="Arial" w:hAnsi="Arial" w:cs="Arial"/>
          <w:sz w:val="40"/>
          <w:szCs w:val="40"/>
        </w:rPr>
      </w:pPr>
      <w:r w:rsidRPr="00011E75">
        <w:rPr>
          <w:rFonts w:ascii="Arial" w:hAnsi="Arial" w:cs="Arial"/>
          <w:b/>
          <w:bCs/>
          <w:sz w:val="40"/>
          <w:szCs w:val="40"/>
          <w:lang w:val="en-US"/>
        </w:rPr>
        <w:t>Module code</w:t>
      </w:r>
      <w:r w:rsidRPr="00011E75">
        <w:rPr>
          <w:rFonts w:ascii="Arial" w:hAnsi="Arial" w:cs="Arial"/>
          <w:sz w:val="40"/>
          <w:szCs w:val="40"/>
          <w:lang w:val="en-US"/>
        </w:rPr>
        <w:t>: BMHP6027-LONDON</w:t>
      </w:r>
    </w:p>
    <w:p w14:paraId="68C4B6A3" w14:textId="77777777" w:rsidR="00011E75" w:rsidRPr="00011E75" w:rsidRDefault="00011E75" w:rsidP="00011E75">
      <w:pPr>
        <w:rPr>
          <w:rFonts w:ascii="Arial" w:hAnsi="Arial" w:cs="Arial"/>
          <w:sz w:val="44"/>
          <w:szCs w:val="44"/>
        </w:rPr>
      </w:pPr>
      <w:r w:rsidRPr="00011E75">
        <w:rPr>
          <w:rFonts w:ascii="Arial" w:hAnsi="Arial" w:cs="Arial"/>
          <w:b/>
          <w:bCs/>
          <w:sz w:val="40"/>
          <w:szCs w:val="40"/>
          <w:lang w:val="en-US"/>
        </w:rPr>
        <w:t>Lecturer’s name</w:t>
      </w:r>
      <w:r w:rsidRPr="00011E75">
        <w:rPr>
          <w:rFonts w:ascii="Arial" w:hAnsi="Arial" w:cs="Arial"/>
          <w:sz w:val="40"/>
          <w:szCs w:val="40"/>
          <w:lang w:val="en-US"/>
        </w:rPr>
        <w:t xml:space="preserve">: Christopher </w:t>
      </w:r>
      <w:proofErr w:type="spellStart"/>
      <w:r w:rsidRPr="00011E75">
        <w:rPr>
          <w:rFonts w:ascii="Arial" w:hAnsi="Arial" w:cs="Arial"/>
          <w:sz w:val="40"/>
          <w:szCs w:val="40"/>
          <w:lang w:val="en-US"/>
        </w:rPr>
        <w:t>Mafuva</w:t>
      </w:r>
      <w:proofErr w:type="spellEnd"/>
    </w:p>
    <w:p w14:paraId="74D25897" w14:textId="77777777" w:rsidR="00011E75" w:rsidRDefault="00011E75" w:rsidP="00856B1B">
      <w:pPr>
        <w:rPr>
          <w:rFonts w:ascii="Arial" w:hAnsi="Arial" w:cs="Arial"/>
        </w:rPr>
      </w:pPr>
    </w:p>
    <w:p w14:paraId="7B44D9E4" w14:textId="77777777" w:rsidR="00934792" w:rsidRDefault="00934792" w:rsidP="00235175">
      <w:pPr>
        <w:rPr>
          <w:rFonts w:ascii="Arial" w:hAnsi="Arial" w:cs="Arial"/>
        </w:rPr>
      </w:pPr>
    </w:p>
    <w:p w14:paraId="00D5D913" w14:textId="77777777" w:rsidR="00934792" w:rsidRDefault="00934792" w:rsidP="00235175">
      <w:pPr>
        <w:rPr>
          <w:rFonts w:ascii="Arial" w:hAnsi="Arial" w:cs="Arial"/>
        </w:rPr>
      </w:pPr>
    </w:p>
    <w:p w14:paraId="2B5B5DCE" w14:textId="77777777" w:rsidR="00934792" w:rsidRDefault="00934792" w:rsidP="00235175">
      <w:pPr>
        <w:rPr>
          <w:rFonts w:ascii="Arial" w:hAnsi="Arial" w:cs="Arial"/>
        </w:rPr>
      </w:pPr>
    </w:p>
    <w:p w14:paraId="57605B3B" w14:textId="77777777" w:rsidR="00934792" w:rsidRDefault="00934792" w:rsidP="00235175">
      <w:pPr>
        <w:rPr>
          <w:rFonts w:ascii="Arial" w:hAnsi="Arial" w:cs="Arial"/>
        </w:rPr>
      </w:pPr>
    </w:p>
    <w:p w14:paraId="50342B26" w14:textId="77777777" w:rsidR="00934792" w:rsidRDefault="00934792" w:rsidP="00235175">
      <w:pPr>
        <w:rPr>
          <w:rFonts w:ascii="Arial" w:hAnsi="Arial" w:cs="Arial"/>
        </w:rPr>
      </w:pPr>
    </w:p>
    <w:p w14:paraId="43F0C556" w14:textId="77777777" w:rsidR="00934792" w:rsidRDefault="00934792" w:rsidP="00235175">
      <w:pPr>
        <w:rPr>
          <w:rFonts w:ascii="Arial" w:hAnsi="Arial" w:cs="Arial"/>
        </w:rPr>
      </w:pPr>
    </w:p>
    <w:p w14:paraId="5A9FC58A" w14:textId="77777777" w:rsidR="00934792" w:rsidRDefault="00934792" w:rsidP="00235175">
      <w:pPr>
        <w:rPr>
          <w:rFonts w:ascii="Arial" w:hAnsi="Arial" w:cs="Arial"/>
        </w:rPr>
      </w:pPr>
    </w:p>
    <w:p w14:paraId="0A6BF62E" w14:textId="77777777" w:rsidR="00934792" w:rsidRDefault="00934792" w:rsidP="00235175">
      <w:pPr>
        <w:rPr>
          <w:rFonts w:ascii="Arial" w:hAnsi="Arial" w:cs="Arial"/>
        </w:rPr>
      </w:pPr>
    </w:p>
    <w:p w14:paraId="54D25DAF" w14:textId="77777777" w:rsidR="00934792" w:rsidRDefault="00934792" w:rsidP="00235175">
      <w:pPr>
        <w:rPr>
          <w:rFonts w:ascii="Arial" w:hAnsi="Arial" w:cs="Arial"/>
        </w:rPr>
      </w:pPr>
    </w:p>
    <w:p w14:paraId="0FD391A2" w14:textId="77777777" w:rsidR="00934792" w:rsidRDefault="00934792" w:rsidP="00235175">
      <w:pPr>
        <w:rPr>
          <w:rFonts w:ascii="Arial" w:hAnsi="Arial" w:cs="Arial"/>
        </w:rPr>
      </w:pPr>
    </w:p>
    <w:p w14:paraId="43918A65" w14:textId="77777777" w:rsidR="00934792" w:rsidRDefault="00934792" w:rsidP="00235175">
      <w:pPr>
        <w:rPr>
          <w:rFonts w:ascii="Arial" w:hAnsi="Arial" w:cs="Arial"/>
        </w:rPr>
      </w:pPr>
    </w:p>
    <w:p w14:paraId="77D28077" w14:textId="60410190" w:rsidR="00B720CA" w:rsidRPr="002F270C" w:rsidRDefault="00913711" w:rsidP="002F270C">
      <w:pPr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 xml:space="preserve">                   </w:t>
      </w:r>
      <w:r w:rsidRPr="00913711">
        <w:rPr>
          <w:rFonts w:ascii="Arial" w:hAnsi="Arial" w:cs="Arial"/>
          <w:b/>
          <w:bCs/>
          <w:sz w:val="48"/>
          <w:szCs w:val="48"/>
        </w:rPr>
        <w:t>References</w:t>
      </w:r>
    </w:p>
    <w:p w14:paraId="61974DA3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Age UK (2025) </w:t>
      </w:r>
      <w:r w:rsidRPr="00B720CA">
        <w:rPr>
          <w:rFonts w:ascii="Arial" w:hAnsi="Arial" w:cs="Arial"/>
          <w:i/>
          <w:iCs/>
        </w:rPr>
        <w:t>What are telecare and telehealth services?</w:t>
      </w:r>
      <w:r w:rsidRPr="00B720CA">
        <w:rPr>
          <w:rFonts w:ascii="Arial" w:hAnsi="Arial" w:cs="Arial"/>
        </w:rPr>
        <w:t xml:space="preserve"> Available at: </w:t>
      </w:r>
      <w:hyperlink r:id="rId6" w:history="1">
        <w:r w:rsidRPr="00B720CA">
          <w:rPr>
            <w:rStyle w:val="Hyperlink"/>
            <w:rFonts w:ascii="Arial" w:hAnsi="Arial" w:cs="Arial"/>
          </w:rPr>
          <w:t>https://www.ageuk.org.uk/information-advice/care/housing-options/adapting-home/telecare/</w:t>
        </w:r>
      </w:hyperlink>
      <w:r w:rsidRPr="00B720CA">
        <w:rPr>
          <w:rFonts w:ascii="Arial" w:hAnsi="Arial" w:cs="Arial"/>
        </w:rPr>
        <w:t xml:space="preserve"> (Accessed: 28 July 2026).</w:t>
      </w:r>
    </w:p>
    <w:p w14:paraId="048A6286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Ahmed, S., Irfan, S., Kiran, N., Masood, N., Anjum, N. and Ramzan, N. (2023) ‘Remote health monitoring systems for elderly people: a survey’, </w:t>
      </w:r>
      <w:r w:rsidRPr="00B720CA">
        <w:rPr>
          <w:rFonts w:ascii="Arial" w:hAnsi="Arial" w:cs="Arial"/>
          <w:i/>
          <w:iCs/>
        </w:rPr>
        <w:t>Sensors</w:t>
      </w:r>
      <w:r w:rsidRPr="00B720CA">
        <w:rPr>
          <w:rFonts w:ascii="Arial" w:hAnsi="Arial" w:cs="Arial"/>
        </w:rPr>
        <w:t xml:space="preserve">, 23(16), 7095. </w:t>
      </w:r>
      <w:proofErr w:type="spellStart"/>
      <w:r w:rsidRPr="00B720CA">
        <w:rPr>
          <w:rFonts w:ascii="Arial" w:hAnsi="Arial" w:cs="Arial"/>
        </w:rPr>
        <w:t>doi</w:t>
      </w:r>
      <w:proofErr w:type="spellEnd"/>
      <w:r w:rsidRPr="00B720CA">
        <w:rPr>
          <w:rFonts w:ascii="Arial" w:hAnsi="Arial" w:cs="Arial"/>
        </w:rPr>
        <w:t xml:space="preserve">: </w:t>
      </w:r>
      <w:hyperlink r:id="rId7" w:history="1">
        <w:r w:rsidRPr="00B720CA">
          <w:rPr>
            <w:rStyle w:val="Hyperlink"/>
            <w:rFonts w:ascii="Arial" w:hAnsi="Arial" w:cs="Arial"/>
          </w:rPr>
          <w:t>https://doi.org/10.3390/s23167095</w:t>
        </w:r>
      </w:hyperlink>
      <w:r w:rsidRPr="00B720CA">
        <w:rPr>
          <w:rFonts w:ascii="Arial" w:hAnsi="Arial" w:cs="Arial"/>
        </w:rPr>
        <w:t>.</w:t>
      </w:r>
    </w:p>
    <w:p w14:paraId="6F123343" w14:textId="77777777" w:rsidR="00AD36BC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Andrès, E., Meyer, L., Zulfiqar, A-A., Hajjam, M., Talha, S., </w:t>
      </w:r>
      <w:proofErr w:type="spellStart"/>
      <w:r w:rsidRPr="00B720CA">
        <w:rPr>
          <w:rFonts w:ascii="Arial" w:hAnsi="Arial" w:cs="Arial"/>
        </w:rPr>
        <w:t>Bahougne</w:t>
      </w:r>
      <w:proofErr w:type="spellEnd"/>
      <w:r w:rsidRPr="00B720CA">
        <w:rPr>
          <w:rFonts w:ascii="Arial" w:hAnsi="Arial" w:cs="Arial"/>
        </w:rPr>
        <w:t xml:space="preserve">, T., </w:t>
      </w:r>
      <w:proofErr w:type="spellStart"/>
      <w:r w:rsidRPr="00B720CA">
        <w:rPr>
          <w:rFonts w:ascii="Arial" w:hAnsi="Arial" w:cs="Arial"/>
        </w:rPr>
        <w:t>Ervé</w:t>
      </w:r>
      <w:proofErr w:type="spellEnd"/>
      <w:r w:rsidRPr="00B720CA">
        <w:rPr>
          <w:rFonts w:ascii="Arial" w:hAnsi="Arial" w:cs="Arial"/>
        </w:rPr>
        <w:t xml:space="preserve">, S., Hajjam, J., Doucet, J., </w:t>
      </w:r>
      <w:proofErr w:type="spellStart"/>
      <w:r w:rsidRPr="00B720CA">
        <w:rPr>
          <w:rFonts w:ascii="Arial" w:hAnsi="Arial" w:cs="Arial"/>
        </w:rPr>
        <w:t>Jeandidier</w:t>
      </w:r>
      <w:proofErr w:type="spellEnd"/>
      <w:r w:rsidRPr="00B720CA">
        <w:rPr>
          <w:rFonts w:ascii="Arial" w:hAnsi="Arial" w:cs="Arial"/>
        </w:rPr>
        <w:t>, N. and Hajjam El Hassani, A. (2019)</w:t>
      </w:r>
      <w:r w:rsidR="00D7731A">
        <w:rPr>
          <w:rFonts w:ascii="Arial" w:hAnsi="Arial" w:cs="Arial"/>
        </w:rPr>
        <w:t>.</w:t>
      </w:r>
      <w:r w:rsidRPr="00B720CA">
        <w:rPr>
          <w:rFonts w:ascii="Arial" w:hAnsi="Arial" w:cs="Arial"/>
        </w:rPr>
        <w:t xml:space="preserve"> </w:t>
      </w:r>
    </w:p>
    <w:p w14:paraId="4BF26F44" w14:textId="1A19E92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‘Telemonitoring in diabetes: evolution of concepts and technologies, with a focus on results of the more recent studies’, </w:t>
      </w:r>
      <w:r w:rsidRPr="00B720CA">
        <w:rPr>
          <w:rFonts w:ascii="Arial" w:hAnsi="Arial" w:cs="Arial"/>
          <w:i/>
          <w:iCs/>
        </w:rPr>
        <w:t>Journal of Medicine and Life</w:t>
      </w:r>
      <w:r w:rsidRPr="00B720CA">
        <w:rPr>
          <w:rFonts w:ascii="Arial" w:hAnsi="Arial" w:cs="Arial"/>
        </w:rPr>
        <w:t xml:space="preserve">, 12(3), pp. 203–214. </w:t>
      </w:r>
      <w:proofErr w:type="spellStart"/>
      <w:r w:rsidRPr="00B720CA">
        <w:rPr>
          <w:rFonts w:ascii="Arial" w:hAnsi="Arial" w:cs="Arial"/>
        </w:rPr>
        <w:t>doi</w:t>
      </w:r>
      <w:proofErr w:type="spellEnd"/>
      <w:r w:rsidRPr="00B720CA">
        <w:rPr>
          <w:rFonts w:ascii="Arial" w:hAnsi="Arial" w:cs="Arial"/>
        </w:rPr>
        <w:t xml:space="preserve">: </w:t>
      </w:r>
      <w:hyperlink r:id="rId8" w:history="1">
        <w:r w:rsidRPr="00B720CA">
          <w:rPr>
            <w:rStyle w:val="Hyperlink"/>
            <w:rFonts w:ascii="Arial" w:hAnsi="Arial" w:cs="Arial"/>
          </w:rPr>
          <w:t>https://doi.org/10.25122/jml-2019-0006</w:t>
        </w:r>
      </w:hyperlink>
      <w:r w:rsidRPr="00B720CA">
        <w:rPr>
          <w:rFonts w:ascii="Arial" w:hAnsi="Arial" w:cs="Arial"/>
        </w:rPr>
        <w:t>.</w:t>
      </w:r>
    </w:p>
    <w:p w14:paraId="2EA37393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proofErr w:type="spellStart"/>
      <w:r w:rsidRPr="00B720CA">
        <w:rPr>
          <w:rFonts w:ascii="Arial" w:hAnsi="Arial" w:cs="Arial"/>
        </w:rPr>
        <w:t>Berauk</w:t>
      </w:r>
      <w:proofErr w:type="spellEnd"/>
      <w:r w:rsidRPr="00B720CA">
        <w:rPr>
          <w:rFonts w:ascii="Arial" w:hAnsi="Arial" w:cs="Arial"/>
        </w:rPr>
        <w:t xml:space="preserve">, V.L.A., Murugiah, M.K., Soh, Y.C., Sheng, Y.C., Wong, T.W. and Ming, L.C. (2018) ‘Mobile health applications for caring of older people: review and comparison’, </w:t>
      </w:r>
      <w:r w:rsidRPr="00B720CA">
        <w:rPr>
          <w:rFonts w:ascii="Arial" w:hAnsi="Arial" w:cs="Arial"/>
          <w:i/>
          <w:iCs/>
        </w:rPr>
        <w:t>Therapeutic Innovation &amp; Regulatory Science</w:t>
      </w:r>
      <w:r w:rsidRPr="00B720CA">
        <w:rPr>
          <w:rFonts w:ascii="Arial" w:hAnsi="Arial" w:cs="Arial"/>
        </w:rPr>
        <w:t xml:space="preserve">, 52(3), pp. 374–382. </w:t>
      </w:r>
      <w:proofErr w:type="spellStart"/>
      <w:r w:rsidRPr="00B720CA">
        <w:rPr>
          <w:rFonts w:ascii="Arial" w:hAnsi="Arial" w:cs="Arial"/>
        </w:rPr>
        <w:t>doi</w:t>
      </w:r>
      <w:proofErr w:type="spellEnd"/>
      <w:r w:rsidRPr="00B720CA">
        <w:rPr>
          <w:rFonts w:ascii="Arial" w:hAnsi="Arial" w:cs="Arial"/>
        </w:rPr>
        <w:t xml:space="preserve">: </w:t>
      </w:r>
      <w:hyperlink r:id="rId9" w:history="1">
        <w:r w:rsidRPr="00B720CA">
          <w:rPr>
            <w:rStyle w:val="Hyperlink"/>
            <w:rFonts w:ascii="Arial" w:hAnsi="Arial" w:cs="Arial"/>
          </w:rPr>
          <w:t>https://doi.org/10.1177/2168479017725556</w:t>
        </w:r>
      </w:hyperlink>
      <w:r w:rsidRPr="00B720CA">
        <w:rPr>
          <w:rFonts w:ascii="Arial" w:hAnsi="Arial" w:cs="Arial"/>
        </w:rPr>
        <w:t>.</w:t>
      </w:r>
    </w:p>
    <w:p w14:paraId="4F958925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Blissett, R., Blissett, D., </w:t>
      </w:r>
      <w:proofErr w:type="spellStart"/>
      <w:r w:rsidRPr="00B720CA">
        <w:rPr>
          <w:rFonts w:ascii="Arial" w:hAnsi="Arial" w:cs="Arial"/>
        </w:rPr>
        <w:t>Levrat</w:t>
      </w:r>
      <w:proofErr w:type="spellEnd"/>
      <w:r w:rsidRPr="00B720CA">
        <w:rPr>
          <w:rFonts w:ascii="Arial" w:hAnsi="Arial" w:cs="Arial"/>
        </w:rPr>
        <w:t xml:space="preserve">-Guillen, F., Deshmukh, H., Wilmot, E.G., Ryder, R.E.J., Walton, C. and </w:t>
      </w:r>
      <w:proofErr w:type="spellStart"/>
      <w:r w:rsidRPr="00B720CA">
        <w:rPr>
          <w:rFonts w:ascii="Arial" w:hAnsi="Arial" w:cs="Arial"/>
        </w:rPr>
        <w:t>Sathyapalan</w:t>
      </w:r>
      <w:proofErr w:type="spellEnd"/>
      <w:r w:rsidRPr="00B720CA">
        <w:rPr>
          <w:rFonts w:ascii="Arial" w:hAnsi="Arial" w:cs="Arial"/>
        </w:rPr>
        <w:t>, T. (2022) ‘</w:t>
      </w:r>
      <w:proofErr w:type="spellStart"/>
      <w:r w:rsidRPr="00B720CA">
        <w:rPr>
          <w:rFonts w:ascii="Arial" w:hAnsi="Arial" w:cs="Arial"/>
        </w:rPr>
        <w:t>FreeStyle</w:t>
      </w:r>
      <w:proofErr w:type="spellEnd"/>
      <w:r w:rsidRPr="00B720CA">
        <w:rPr>
          <w:rFonts w:ascii="Arial" w:hAnsi="Arial" w:cs="Arial"/>
        </w:rPr>
        <w:t xml:space="preserve"> Libre Flash Glucose Monitoring system for people with type 1 diabetes in the UK: a budget impact analysis’, </w:t>
      </w:r>
      <w:r w:rsidRPr="00B720CA">
        <w:rPr>
          <w:rFonts w:ascii="Arial" w:hAnsi="Arial" w:cs="Arial"/>
          <w:i/>
          <w:iCs/>
        </w:rPr>
        <w:t>BMJ Open Diabetes Research &amp; Care</w:t>
      </w:r>
      <w:r w:rsidRPr="00B720CA">
        <w:rPr>
          <w:rFonts w:ascii="Arial" w:hAnsi="Arial" w:cs="Arial"/>
        </w:rPr>
        <w:t xml:space="preserve">, 10(2), e002580. </w:t>
      </w:r>
      <w:proofErr w:type="spellStart"/>
      <w:r w:rsidRPr="00B720CA">
        <w:rPr>
          <w:rFonts w:ascii="Arial" w:hAnsi="Arial" w:cs="Arial"/>
        </w:rPr>
        <w:t>doi</w:t>
      </w:r>
      <w:proofErr w:type="spellEnd"/>
      <w:r w:rsidRPr="00B720CA">
        <w:rPr>
          <w:rFonts w:ascii="Arial" w:hAnsi="Arial" w:cs="Arial"/>
        </w:rPr>
        <w:t xml:space="preserve">: </w:t>
      </w:r>
      <w:hyperlink r:id="rId10" w:history="1">
        <w:r w:rsidRPr="00B720CA">
          <w:rPr>
            <w:rStyle w:val="Hyperlink"/>
            <w:rFonts w:ascii="Arial" w:hAnsi="Arial" w:cs="Arial"/>
          </w:rPr>
          <w:t>https://doi.org/10.1136/bmjdrc-2021-002580</w:t>
        </w:r>
      </w:hyperlink>
      <w:r w:rsidRPr="00B720CA">
        <w:rPr>
          <w:rFonts w:ascii="Arial" w:hAnsi="Arial" w:cs="Arial"/>
        </w:rPr>
        <w:t>.</w:t>
      </w:r>
    </w:p>
    <w:p w14:paraId="36BB39DE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lastRenderedPageBreak/>
        <w:t xml:space="preserve">Chandak, A., Gudapati, J. and Kulkarni, P.B. (2025) ‘The cost-effectiveness and patient satisfaction of telehealth in geriatric care: a systematic review’, </w:t>
      </w:r>
      <w:r w:rsidRPr="00B720CA">
        <w:rPr>
          <w:rFonts w:ascii="Arial" w:hAnsi="Arial" w:cs="Arial"/>
          <w:i/>
          <w:iCs/>
        </w:rPr>
        <w:t>BMC Geriatrics</w:t>
      </w:r>
      <w:r w:rsidRPr="00B720CA">
        <w:rPr>
          <w:rFonts w:ascii="Arial" w:hAnsi="Arial" w:cs="Arial"/>
        </w:rPr>
        <w:t xml:space="preserve">, 25, 968. </w:t>
      </w:r>
      <w:proofErr w:type="spellStart"/>
      <w:r w:rsidRPr="00B720CA">
        <w:rPr>
          <w:rFonts w:ascii="Arial" w:hAnsi="Arial" w:cs="Arial"/>
        </w:rPr>
        <w:t>doi</w:t>
      </w:r>
      <w:proofErr w:type="spellEnd"/>
      <w:r w:rsidRPr="00B720CA">
        <w:rPr>
          <w:rFonts w:ascii="Arial" w:hAnsi="Arial" w:cs="Arial"/>
        </w:rPr>
        <w:t xml:space="preserve">: </w:t>
      </w:r>
      <w:hyperlink r:id="rId11" w:history="1">
        <w:r w:rsidRPr="00B720CA">
          <w:rPr>
            <w:rStyle w:val="Hyperlink"/>
            <w:rFonts w:ascii="Arial" w:hAnsi="Arial" w:cs="Arial"/>
          </w:rPr>
          <w:t>https://doi.org/10.1186/s12877-025-06638-6</w:t>
        </w:r>
      </w:hyperlink>
      <w:r w:rsidRPr="00B720CA">
        <w:rPr>
          <w:rFonts w:ascii="Arial" w:hAnsi="Arial" w:cs="Arial"/>
        </w:rPr>
        <w:t>.</w:t>
      </w:r>
    </w:p>
    <w:p w14:paraId="47A7C2EE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Figueroa, C.A. and Aguilera, A. (2020) ‘The need for a mental health technology revolution in the COVID-19 pandemic’, </w:t>
      </w:r>
      <w:r w:rsidRPr="00B720CA">
        <w:rPr>
          <w:rFonts w:ascii="Arial" w:hAnsi="Arial" w:cs="Arial"/>
          <w:i/>
          <w:iCs/>
        </w:rPr>
        <w:t>Frontiers in Psychiatry</w:t>
      </w:r>
      <w:r w:rsidRPr="00B720CA">
        <w:rPr>
          <w:rFonts w:ascii="Arial" w:hAnsi="Arial" w:cs="Arial"/>
        </w:rPr>
        <w:t xml:space="preserve">, 11, 523. </w:t>
      </w:r>
      <w:proofErr w:type="spellStart"/>
      <w:r w:rsidRPr="00B720CA">
        <w:rPr>
          <w:rFonts w:ascii="Arial" w:hAnsi="Arial" w:cs="Arial"/>
        </w:rPr>
        <w:t>doi</w:t>
      </w:r>
      <w:proofErr w:type="spellEnd"/>
      <w:r w:rsidRPr="00B720CA">
        <w:rPr>
          <w:rFonts w:ascii="Arial" w:hAnsi="Arial" w:cs="Arial"/>
        </w:rPr>
        <w:t xml:space="preserve">: </w:t>
      </w:r>
      <w:hyperlink r:id="rId12" w:history="1">
        <w:r w:rsidRPr="00B720CA">
          <w:rPr>
            <w:rStyle w:val="Hyperlink"/>
            <w:rFonts w:ascii="Arial" w:hAnsi="Arial" w:cs="Arial"/>
          </w:rPr>
          <w:t>https://doi.org/10.3389/fpsyt.2020.00523</w:t>
        </w:r>
      </w:hyperlink>
      <w:r w:rsidRPr="00B720CA">
        <w:rPr>
          <w:rFonts w:ascii="Arial" w:hAnsi="Arial" w:cs="Arial"/>
        </w:rPr>
        <w:t>.</w:t>
      </w:r>
    </w:p>
    <w:p w14:paraId="09EDF0AB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Fokkert, M.J., van Dijk, P.R., Edens, M.A., Abbes, S., de Jong, D., Slingerland, R.J. and Bilo, H.J.G. (2017) ‘Performance of the </w:t>
      </w:r>
      <w:proofErr w:type="spellStart"/>
      <w:r w:rsidRPr="00B720CA">
        <w:rPr>
          <w:rFonts w:ascii="Arial" w:hAnsi="Arial" w:cs="Arial"/>
        </w:rPr>
        <w:t>FreeStyle</w:t>
      </w:r>
      <w:proofErr w:type="spellEnd"/>
      <w:r w:rsidRPr="00B720CA">
        <w:rPr>
          <w:rFonts w:ascii="Arial" w:hAnsi="Arial" w:cs="Arial"/>
        </w:rPr>
        <w:t xml:space="preserve"> Libre flash glucose monitoring system in patients with type 1 and 2 diabetes mellitus’, </w:t>
      </w:r>
      <w:r w:rsidRPr="00B720CA">
        <w:rPr>
          <w:rFonts w:ascii="Arial" w:hAnsi="Arial" w:cs="Arial"/>
          <w:i/>
          <w:iCs/>
        </w:rPr>
        <w:t>BMJ Open Diabetes Research &amp; Care</w:t>
      </w:r>
      <w:r w:rsidRPr="00B720CA">
        <w:rPr>
          <w:rFonts w:ascii="Arial" w:hAnsi="Arial" w:cs="Arial"/>
        </w:rPr>
        <w:t xml:space="preserve">, 5(1), e000320. </w:t>
      </w:r>
      <w:proofErr w:type="spellStart"/>
      <w:r w:rsidRPr="00B720CA">
        <w:rPr>
          <w:rFonts w:ascii="Arial" w:hAnsi="Arial" w:cs="Arial"/>
        </w:rPr>
        <w:t>doi</w:t>
      </w:r>
      <w:proofErr w:type="spellEnd"/>
      <w:r w:rsidRPr="00B720CA">
        <w:rPr>
          <w:rFonts w:ascii="Arial" w:hAnsi="Arial" w:cs="Arial"/>
        </w:rPr>
        <w:t xml:space="preserve">: </w:t>
      </w:r>
      <w:hyperlink r:id="rId13" w:history="1">
        <w:r w:rsidRPr="00B720CA">
          <w:rPr>
            <w:rStyle w:val="Hyperlink"/>
            <w:rFonts w:ascii="Arial" w:hAnsi="Arial" w:cs="Arial"/>
          </w:rPr>
          <w:t>https://doi.org/10.1136/bmjdrc-2016-000320</w:t>
        </w:r>
      </w:hyperlink>
      <w:r w:rsidRPr="00B720CA">
        <w:rPr>
          <w:rFonts w:ascii="Arial" w:hAnsi="Arial" w:cs="Arial"/>
        </w:rPr>
        <w:t>.</w:t>
      </w:r>
    </w:p>
    <w:p w14:paraId="0836792F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Fothergill, L., Hayes, N., Latham, Y., Holland, C., Hamilton, J. and Ahmed, S. (2025) ‘Understanding how, for whom and under what circumstances telecare can support independence in community-dwelling older adults: a realist review’, </w:t>
      </w:r>
      <w:r w:rsidRPr="00B720CA">
        <w:rPr>
          <w:rFonts w:ascii="Arial" w:hAnsi="Arial" w:cs="Arial"/>
          <w:i/>
          <w:iCs/>
        </w:rPr>
        <w:t>BMC Geriatrics</w:t>
      </w:r>
      <w:r w:rsidRPr="00B720CA">
        <w:rPr>
          <w:rFonts w:ascii="Arial" w:hAnsi="Arial" w:cs="Arial"/>
        </w:rPr>
        <w:t xml:space="preserve">, 25, 59. </w:t>
      </w:r>
      <w:proofErr w:type="spellStart"/>
      <w:r w:rsidRPr="00B720CA">
        <w:rPr>
          <w:rFonts w:ascii="Arial" w:hAnsi="Arial" w:cs="Arial"/>
        </w:rPr>
        <w:t>doi</w:t>
      </w:r>
      <w:proofErr w:type="spellEnd"/>
      <w:r w:rsidRPr="00B720CA">
        <w:rPr>
          <w:rFonts w:ascii="Arial" w:hAnsi="Arial" w:cs="Arial"/>
        </w:rPr>
        <w:t xml:space="preserve">: </w:t>
      </w:r>
      <w:hyperlink r:id="rId14" w:history="1">
        <w:r w:rsidRPr="00B720CA">
          <w:rPr>
            <w:rStyle w:val="Hyperlink"/>
            <w:rFonts w:ascii="Arial" w:hAnsi="Arial" w:cs="Arial"/>
          </w:rPr>
          <w:t>https://doi.org/10.1186/s12877-024-05650-6</w:t>
        </w:r>
      </w:hyperlink>
      <w:r w:rsidRPr="00B720CA">
        <w:rPr>
          <w:rFonts w:ascii="Arial" w:hAnsi="Arial" w:cs="Arial"/>
        </w:rPr>
        <w:t>.</w:t>
      </w:r>
    </w:p>
    <w:p w14:paraId="2CD3C83B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Grey, E. et al. (2024) ‘The use of technology to address loneliness and social isolation among older adults: the role of social care providers’, </w:t>
      </w:r>
      <w:r w:rsidRPr="00B720CA">
        <w:rPr>
          <w:rFonts w:ascii="Arial" w:hAnsi="Arial" w:cs="Arial"/>
          <w:i/>
          <w:iCs/>
        </w:rPr>
        <w:t>BMC Public Health</w:t>
      </w:r>
      <w:r w:rsidRPr="00B720CA">
        <w:rPr>
          <w:rFonts w:ascii="Arial" w:hAnsi="Arial" w:cs="Arial"/>
        </w:rPr>
        <w:t xml:space="preserve">, 24, 108. </w:t>
      </w:r>
      <w:proofErr w:type="spellStart"/>
      <w:r w:rsidRPr="00B720CA">
        <w:rPr>
          <w:rFonts w:ascii="Arial" w:hAnsi="Arial" w:cs="Arial"/>
        </w:rPr>
        <w:t>doi</w:t>
      </w:r>
      <w:proofErr w:type="spellEnd"/>
      <w:r w:rsidRPr="00B720CA">
        <w:rPr>
          <w:rFonts w:ascii="Arial" w:hAnsi="Arial" w:cs="Arial"/>
        </w:rPr>
        <w:t xml:space="preserve">: </w:t>
      </w:r>
      <w:hyperlink r:id="rId15" w:history="1">
        <w:r w:rsidRPr="00B720CA">
          <w:rPr>
            <w:rStyle w:val="Hyperlink"/>
            <w:rFonts w:ascii="Arial" w:hAnsi="Arial" w:cs="Arial"/>
          </w:rPr>
          <w:t>https://doi.org/10.1186/s12889-023-17386-w</w:t>
        </w:r>
      </w:hyperlink>
      <w:r w:rsidRPr="00B720CA">
        <w:rPr>
          <w:rFonts w:ascii="Arial" w:hAnsi="Arial" w:cs="Arial"/>
        </w:rPr>
        <w:t>.</w:t>
      </w:r>
    </w:p>
    <w:p w14:paraId="53B55633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Griffin, S., Davies, B., Feder, G. and Gold, N. (2022) ‘Uptake and adoption of the NHS App in England: an observational study’, </w:t>
      </w:r>
      <w:r w:rsidRPr="00B720CA">
        <w:rPr>
          <w:rFonts w:ascii="Arial" w:hAnsi="Arial" w:cs="Arial"/>
          <w:i/>
          <w:iCs/>
        </w:rPr>
        <w:t>British Journal of General Practice</w:t>
      </w:r>
      <w:r w:rsidRPr="00B720CA">
        <w:rPr>
          <w:rFonts w:ascii="Arial" w:hAnsi="Arial" w:cs="Arial"/>
        </w:rPr>
        <w:t>, 72(718), pp. e156–e165.</w:t>
      </w:r>
    </w:p>
    <w:p w14:paraId="6EB8C967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Health Technology Wales (2020) </w:t>
      </w:r>
      <w:proofErr w:type="spellStart"/>
      <w:r w:rsidRPr="00B720CA">
        <w:rPr>
          <w:rFonts w:ascii="Arial" w:hAnsi="Arial" w:cs="Arial"/>
          <w:i/>
          <w:iCs/>
        </w:rPr>
        <w:t>FreeStyle</w:t>
      </w:r>
      <w:proofErr w:type="spellEnd"/>
      <w:r w:rsidRPr="00B720CA">
        <w:rPr>
          <w:rFonts w:ascii="Arial" w:hAnsi="Arial" w:cs="Arial"/>
          <w:i/>
          <w:iCs/>
        </w:rPr>
        <w:t xml:space="preserve"> Libre flash glucose monitoring</w:t>
      </w:r>
      <w:r w:rsidRPr="00B720CA">
        <w:rPr>
          <w:rFonts w:ascii="Arial" w:hAnsi="Arial" w:cs="Arial"/>
        </w:rPr>
        <w:t xml:space="preserve">. Available at: </w:t>
      </w:r>
      <w:hyperlink r:id="rId16" w:history="1">
        <w:r w:rsidRPr="00B720CA">
          <w:rPr>
            <w:rStyle w:val="Hyperlink"/>
            <w:rFonts w:ascii="Arial" w:hAnsi="Arial" w:cs="Arial"/>
          </w:rPr>
          <w:t>https://healthtechnology.wales/reports-guidance/freestyle-libre-flash-glucose-monitoring/</w:t>
        </w:r>
      </w:hyperlink>
      <w:r w:rsidRPr="00B720CA">
        <w:rPr>
          <w:rFonts w:ascii="Arial" w:hAnsi="Arial" w:cs="Arial"/>
        </w:rPr>
        <w:t xml:space="preserve"> (Accessed: 28 July 2026).</w:t>
      </w:r>
    </w:p>
    <w:p w14:paraId="42135D51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Horton, T., Hardie, T., Mahadeva, S. and Warburton, W. (2021) ‘Digital-first primary care: the challenges of scaling Babylon GP at Hand’, </w:t>
      </w:r>
      <w:r w:rsidRPr="00B720CA">
        <w:rPr>
          <w:rFonts w:ascii="Arial" w:hAnsi="Arial" w:cs="Arial"/>
          <w:i/>
          <w:iCs/>
        </w:rPr>
        <w:t>Journal of Medical Internet Research</w:t>
      </w:r>
      <w:r w:rsidRPr="00B720CA">
        <w:rPr>
          <w:rFonts w:ascii="Arial" w:hAnsi="Arial" w:cs="Arial"/>
        </w:rPr>
        <w:t>, 23(3), e24620.</w:t>
      </w:r>
    </w:p>
    <w:p w14:paraId="7BEFD1A7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Join Dementia Research (JDR) (2024) </w:t>
      </w:r>
      <w:r w:rsidRPr="00B720CA">
        <w:rPr>
          <w:rFonts w:ascii="Arial" w:hAnsi="Arial" w:cs="Arial"/>
          <w:i/>
          <w:iCs/>
        </w:rPr>
        <w:t>Study explores views on new technology to locate missing people with dementia</w:t>
      </w:r>
      <w:r w:rsidRPr="00B720CA">
        <w:rPr>
          <w:rFonts w:ascii="Arial" w:hAnsi="Arial" w:cs="Arial"/>
        </w:rPr>
        <w:t xml:space="preserve">. Available at: </w:t>
      </w:r>
      <w:hyperlink r:id="rId17" w:history="1">
        <w:r w:rsidRPr="00B720CA">
          <w:rPr>
            <w:rStyle w:val="Hyperlink"/>
            <w:rFonts w:ascii="Arial" w:hAnsi="Arial" w:cs="Arial"/>
          </w:rPr>
          <w:t>https://news.joindementiaresearch.nihr.ac.uk/study-explores-value-new-technology-locate-missing-people-dementia/</w:t>
        </w:r>
      </w:hyperlink>
      <w:r w:rsidRPr="00B720CA">
        <w:rPr>
          <w:rFonts w:ascii="Arial" w:hAnsi="Arial" w:cs="Arial"/>
        </w:rPr>
        <w:t xml:space="preserve"> (Accessed: 28 July 2026).</w:t>
      </w:r>
    </w:p>
    <w:p w14:paraId="3A4ADCB8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lastRenderedPageBreak/>
        <w:t xml:space="preserve">Lloyds Bank (2020) </w:t>
      </w:r>
      <w:r w:rsidRPr="00B720CA">
        <w:rPr>
          <w:rFonts w:ascii="Arial" w:hAnsi="Arial" w:cs="Arial"/>
          <w:i/>
          <w:iCs/>
        </w:rPr>
        <w:t>UK Consumer Digital Index 2020</w:t>
      </w:r>
      <w:r w:rsidRPr="00B720CA">
        <w:rPr>
          <w:rFonts w:ascii="Arial" w:hAnsi="Arial" w:cs="Arial"/>
        </w:rPr>
        <w:t xml:space="preserve">. Available at: </w:t>
      </w:r>
      <w:hyperlink r:id="rId18" w:history="1">
        <w:r w:rsidRPr="00B720CA">
          <w:rPr>
            <w:rStyle w:val="Hyperlink"/>
            <w:rFonts w:ascii="Arial" w:hAnsi="Arial" w:cs="Arial"/>
          </w:rPr>
          <w:t>https://www.lloydsbank.com/</w:t>
        </w:r>
      </w:hyperlink>
      <w:r w:rsidRPr="00B720CA">
        <w:rPr>
          <w:rFonts w:ascii="Arial" w:hAnsi="Arial" w:cs="Arial"/>
        </w:rPr>
        <w:t xml:space="preserve"> (Accessed: 28 July 2026).</w:t>
      </w:r>
    </w:p>
    <w:p w14:paraId="65024BCB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NHS England (2024) </w:t>
      </w:r>
      <w:r w:rsidRPr="00B720CA">
        <w:rPr>
          <w:rFonts w:ascii="Arial" w:hAnsi="Arial" w:cs="Arial"/>
          <w:i/>
          <w:iCs/>
        </w:rPr>
        <w:t>Virtual wards operational framework</w:t>
      </w:r>
      <w:r w:rsidRPr="00B720CA">
        <w:rPr>
          <w:rFonts w:ascii="Arial" w:hAnsi="Arial" w:cs="Arial"/>
        </w:rPr>
        <w:t xml:space="preserve">. Available at: </w:t>
      </w:r>
      <w:hyperlink r:id="rId19" w:history="1">
        <w:r w:rsidRPr="00B720CA">
          <w:rPr>
            <w:rStyle w:val="Hyperlink"/>
            <w:rFonts w:ascii="Arial" w:hAnsi="Arial" w:cs="Arial"/>
          </w:rPr>
          <w:t>https://www.england.nhs.uk/publication/virtual-wards-operational-framework/</w:t>
        </w:r>
      </w:hyperlink>
      <w:r w:rsidRPr="00B720CA">
        <w:rPr>
          <w:rFonts w:ascii="Arial" w:hAnsi="Arial" w:cs="Arial"/>
        </w:rPr>
        <w:t xml:space="preserve"> (Accessed: 28 July 2026).</w:t>
      </w:r>
    </w:p>
    <w:p w14:paraId="2422997E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National Institute for Health and Care Excellence (NICE) (2017) </w:t>
      </w:r>
      <w:proofErr w:type="spellStart"/>
      <w:r w:rsidRPr="00B720CA">
        <w:rPr>
          <w:rFonts w:ascii="Arial" w:hAnsi="Arial" w:cs="Arial"/>
          <w:i/>
          <w:iCs/>
        </w:rPr>
        <w:t>FreeStyle</w:t>
      </w:r>
      <w:proofErr w:type="spellEnd"/>
      <w:r w:rsidRPr="00B720CA">
        <w:rPr>
          <w:rFonts w:ascii="Arial" w:hAnsi="Arial" w:cs="Arial"/>
          <w:i/>
          <w:iCs/>
        </w:rPr>
        <w:t xml:space="preserve"> Libre for glucose monitoring</w:t>
      </w:r>
      <w:r w:rsidRPr="00B720CA">
        <w:rPr>
          <w:rFonts w:ascii="Arial" w:hAnsi="Arial" w:cs="Arial"/>
        </w:rPr>
        <w:t xml:space="preserve">. Medtech innovation briefing (MIB110). Available at: </w:t>
      </w:r>
      <w:hyperlink r:id="rId20" w:history="1">
        <w:r w:rsidRPr="00B720CA">
          <w:rPr>
            <w:rStyle w:val="Hyperlink"/>
            <w:rFonts w:ascii="Arial" w:hAnsi="Arial" w:cs="Arial"/>
          </w:rPr>
          <w:t>https://www.nice.org.uk/advice/mib110</w:t>
        </w:r>
      </w:hyperlink>
      <w:r w:rsidRPr="00B720CA">
        <w:rPr>
          <w:rFonts w:ascii="Arial" w:hAnsi="Arial" w:cs="Arial"/>
        </w:rPr>
        <w:t xml:space="preserve"> (Accessed: 28 July 2026).</w:t>
      </w:r>
    </w:p>
    <w:p w14:paraId="5E673C15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Pangbourne, K., Aditjandra, P.T. and Nelson, J.D. (2010) ‘New technology and quality of life for older people: exploring health and transport dimensions in the UK context’, </w:t>
      </w:r>
      <w:r w:rsidRPr="00B720CA">
        <w:rPr>
          <w:rFonts w:ascii="Arial" w:hAnsi="Arial" w:cs="Arial"/>
          <w:i/>
          <w:iCs/>
        </w:rPr>
        <w:t>IET Intelligent Transport Systems</w:t>
      </w:r>
      <w:r w:rsidRPr="00B720CA">
        <w:rPr>
          <w:rFonts w:ascii="Arial" w:hAnsi="Arial" w:cs="Arial"/>
        </w:rPr>
        <w:t xml:space="preserve">, 4(4), pp. 318–327. </w:t>
      </w:r>
      <w:proofErr w:type="spellStart"/>
      <w:r w:rsidRPr="00B720CA">
        <w:rPr>
          <w:rFonts w:ascii="Arial" w:hAnsi="Arial" w:cs="Arial"/>
        </w:rPr>
        <w:t>doi</w:t>
      </w:r>
      <w:proofErr w:type="spellEnd"/>
      <w:r w:rsidRPr="00B720CA">
        <w:rPr>
          <w:rFonts w:ascii="Arial" w:hAnsi="Arial" w:cs="Arial"/>
        </w:rPr>
        <w:t xml:space="preserve">: </w:t>
      </w:r>
      <w:hyperlink r:id="rId21" w:history="1">
        <w:r w:rsidRPr="00B720CA">
          <w:rPr>
            <w:rStyle w:val="Hyperlink"/>
            <w:rFonts w:ascii="Arial" w:hAnsi="Arial" w:cs="Arial"/>
          </w:rPr>
          <w:t>https://doi.org/10.1049/iet-its.2009.0106</w:t>
        </w:r>
      </w:hyperlink>
      <w:r w:rsidRPr="00B720CA">
        <w:rPr>
          <w:rFonts w:ascii="Arial" w:hAnsi="Arial" w:cs="Arial"/>
        </w:rPr>
        <w:t>.</w:t>
      </w:r>
    </w:p>
    <w:p w14:paraId="3978CC25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Şahin, E., Yavuz Veizi, B.G. and </w:t>
      </w:r>
      <w:proofErr w:type="spellStart"/>
      <w:r w:rsidRPr="00B720CA">
        <w:rPr>
          <w:rFonts w:ascii="Arial" w:hAnsi="Arial" w:cs="Arial"/>
        </w:rPr>
        <w:t>Naharci</w:t>
      </w:r>
      <w:proofErr w:type="spellEnd"/>
      <w:r w:rsidRPr="00B720CA">
        <w:rPr>
          <w:rFonts w:ascii="Arial" w:hAnsi="Arial" w:cs="Arial"/>
        </w:rPr>
        <w:t xml:space="preserve">, M.I. (2024) ‘Telemedicine interventions for older adults: a systematic review’, </w:t>
      </w:r>
      <w:r w:rsidRPr="00B720CA">
        <w:rPr>
          <w:rFonts w:ascii="Arial" w:hAnsi="Arial" w:cs="Arial"/>
          <w:i/>
          <w:iCs/>
        </w:rPr>
        <w:t>Journal of Telemedicine and Telecare</w:t>
      </w:r>
      <w:r w:rsidRPr="00B720CA">
        <w:rPr>
          <w:rFonts w:ascii="Arial" w:hAnsi="Arial" w:cs="Arial"/>
        </w:rPr>
        <w:t xml:space="preserve">, 30(2), pp. 305–319. </w:t>
      </w:r>
      <w:proofErr w:type="spellStart"/>
      <w:r w:rsidRPr="00B720CA">
        <w:rPr>
          <w:rFonts w:ascii="Arial" w:hAnsi="Arial" w:cs="Arial"/>
        </w:rPr>
        <w:t>doi</w:t>
      </w:r>
      <w:proofErr w:type="spellEnd"/>
      <w:r w:rsidRPr="00B720CA">
        <w:rPr>
          <w:rFonts w:ascii="Arial" w:hAnsi="Arial" w:cs="Arial"/>
        </w:rPr>
        <w:t xml:space="preserve">: </w:t>
      </w:r>
      <w:hyperlink r:id="rId22" w:history="1">
        <w:r w:rsidRPr="00B720CA">
          <w:rPr>
            <w:rStyle w:val="Hyperlink"/>
            <w:rFonts w:ascii="Arial" w:hAnsi="Arial" w:cs="Arial"/>
          </w:rPr>
          <w:t>https://doi.org/10.1177/1357633X211058340</w:t>
        </w:r>
      </w:hyperlink>
      <w:r w:rsidRPr="00B720CA">
        <w:rPr>
          <w:rFonts w:ascii="Arial" w:hAnsi="Arial" w:cs="Arial"/>
        </w:rPr>
        <w:t>.</w:t>
      </w:r>
    </w:p>
    <w:p w14:paraId="6A3C6B19" w14:textId="77777777" w:rsidR="00B720CA" w:rsidRPr="00B720CA" w:rsidRDefault="00B720CA" w:rsidP="00B720CA">
      <w:pPr>
        <w:spacing w:line="360" w:lineRule="auto"/>
        <w:rPr>
          <w:rFonts w:ascii="Arial" w:hAnsi="Arial" w:cs="Arial"/>
        </w:rPr>
      </w:pPr>
      <w:r w:rsidRPr="00B720CA">
        <w:rPr>
          <w:rFonts w:ascii="Arial" w:hAnsi="Arial" w:cs="Arial"/>
        </w:rPr>
        <w:t xml:space="preserve">Wang, Q-P., Chang, W-Y., Han, M-M., Hu, Y-X., Lin, S-S. and Gu, Y-C. (2024) ‘Application of telemedicine system for older adults’ postoperative patients in community: a feasibility study’, </w:t>
      </w:r>
      <w:r w:rsidRPr="00B720CA">
        <w:rPr>
          <w:rFonts w:ascii="Arial" w:hAnsi="Arial" w:cs="Arial"/>
          <w:i/>
          <w:iCs/>
        </w:rPr>
        <w:t>Frontiers in Public Health</w:t>
      </w:r>
      <w:r w:rsidRPr="00B720CA">
        <w:rPr>
          <w:rFonts w:ascii="Arial" w:hAnsi="Arial" w:cs="Arial"/>
        </w:rPr>
        <w:t xml:space="preserve">, 12, 1291916. </w:t>
      </w:r>
      <w:proofErr w:type="spellStart"/>
      <w:r w:rsidRPr="00B720CA">
        <w:rPr>
          <w:rFonts w:ascii="Arial" w:hAnsi="Arial" w:cs="Arial"/>
        </w:rPr>
        <w:t>doi</w:t>
      </w:r>
      <w:proofErr w:type="spellEnd"/>
      <w:r w:rsidRPr="00B720CA">
        <w:rPr>
          <w:rFonts w:ascii="Arial" w:hAnsi="Arial" w:cs="Arial"/>
        </w:rPr>
        <w:t xml:space="preserve">: </w:t>
      </w:r>
      <w:hyperlink r:id="rId23" w:history="1">
        <w:r w:rsidRPr="00B720CA">
          <w:rPr>
            <w:rStyle w:val="Hyperlink"/>
            <w:rFonts w:ascii="Arial" w:hAnsi="Arial" w:cs="Arial"/>
          </w:rPr>
          <w:t>https://doi.org/10.3389/fpubh.2024.1291916</w:t>
        </w:r>
      </w:hyperlink>
      <w:r w:rsidRPr="00B720CA">
        <w:rPr>
          <w:rFonts w:ascii="Arial" w:hAnsi="Arial" w:cs="Arial"/>
        </w:rPr>
        <w:t>.</w:t>
      </w:r>
    </w:p>
    <w:p w14:paraId="6AC8C211" w14:textId="77777777" w:rsidR="00934792" w:rsidRDefault="00934792" w:rsidP="00913711">
      <w:pPr>
        <w:spacing w:line="360" w:lineRule="auto"/>
        <w:rPr>
          <w:rFonts w:ascii="Arial" w:hAnsi="Arial" w:cs="Arial"/>
        </w:rPr>
      </w:pPr>
    </w:p>
    <w:sectPr w:rsidR="009347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E30AA"/>
    <w:multiLevelType w:val="multilevel"/>
    <w:tmpl w:val="48F43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37988"/>
    <w:multiLevelType w:val="hybridMultilevel"/>
    <w:tmpl w:val="399A11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C3AF5"/>
    <w:multiLevelType w:val="hybridMultilevel"/>
    <w:tmpl w:val="37F06B58"/>
    <w:lvl w:ilvl="0" w:tplc="981AC8B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F0C7C2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32C3C2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EAC258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F13667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9CB39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564AE97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5DA293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64C8D1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 w15:restartNumberingAfterBreak="0">
    <w:nsid w:val="27563EB5"/>
    <w:multiLevelType w:val="hybridMultilevel"/>
    <w:tmpl w:val="D132EDD0"/>
    <w:lvl w:ilvl="0" w:tplc="40A4624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CE199C"/>
    <w:multiLevelType w:val="hybridMultilevel"/>
    <w:tmpl w:val="9410C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5D2CC4"/>
    <w:multiLevelType w:val="hybridMultilevel"/>
    <w:tmpl w:val="CD548A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347F8"/>
    <w:multiLevelType w:val="hybridMultilevel"/>
    <w:tmpl w:val="8A62455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3637D9"/>
    <w:multiLevelType w:val="multilevel"/>
    <w:tmpl w:val="940C0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014027"/>
    <w:multiLevelType w:val="hybridMultilevel"/>
    <w:tmpl w:val="D4CE5AB8"/>
    <w:lvl w:ilvl="0" w:tplc="C770C7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C623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CC44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5275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1096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3E4D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96AE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EC1A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488E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D075944"/>
    <w:multiLevelType w:val="hybridMultilevel"/>
    <w:tmpl w:val="B320775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573BD3"/>
    <w:multiLevelType w:val="hybridMultilevel"/>
    <w:tmpl w:val="904073DC"/>
    <w:lvl w:ilvl="0" w:tplc="38F43C8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5FC69C1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65A987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C2BC601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3F8B5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A8E0CC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2AF67DE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7EB211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AFE69D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1" w15:restartNumberingAfterBreak="0">
    <w:nsid w:val="6BDF297A"/>
    <w:multiLevelType w:val="hybridMultilevel"/>
    <w:tmpl w:val="AC0CC4CC"/>
    <w:lvl w:ilvl="0" w:tplc="5680CE6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F541E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3A1A0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B3E5B0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2F1E13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DA477E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48D6B02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FA87E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6BB7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2" w15:restartNumberingAfterBreak="0">
    <w:nsid w:val="7BFE0335"/>
    <w:multiLevelType w:val="hybridMultilevel"/>
    <w:tmpl w:val="72604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1160683">
    <w:abstractNumId w:val="2"/>
  </w:num>
  <w:num w:numId="2" w16cid:durableId="1664889797">
    <w:abstractNumId w:val="10"/>
  </w:num>
  <w:num w:numId="3" w16cid:durableId="1732340113">
    <w:abstractNumId w:val="11"/>
  </w:num>
  <w:num w:numId="4" w16cid:durableId="2111394632">
    <w:abstractNumId w:val="6"/>
  </w:num>
  <w:num w:numId="5" w16cid:durableId="1911773014">
    <w:abstractNumId w:val="9"/>
  </w:num>
  <w:num w:numId="6" w16cid:durableId="870456755">
    <w:abstractNumId w:val="1"/>
  </w:num>
  <w:num w:numId="7" w16cid:durableId="276985169">
    <w:abstractNumId w:val="5"/>
  </w:num>
  <w:num w:numId="8" w16cid:durableId="1560285950">
    <w:abstractNumId w:val="8"/>
  </w:num>
  <w:num w:numId="9" w16cid:durableId="203056498">
    <w:abstractNumId w:val="3"/>
  </w:num>
  <w:num w:numId="10" w16cid:durableId="734620387">
    <w:abstractNumId w:val="12"/>
  </w:num>
  <w:num w:numId="11" w16cid:durableId="1074932716">
    <w:abstractNumId w:val="4"/>
  </w:num>
  <w:num w:numId="12" w16cid:durableId="2119137741">
    <w:abstractNumId w:val="7"/>
  </w:num>
  <w:num w:numId="13" w16cid:durableId="2108236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13F"/>
    <w:rsid w:val="00011E75"/>
    <w:rsid w:val="00040A8C"/>
    <w:rsid w:val="00062199"/>
    <w:rsid w:val="0008613F"/>
    <w:rsid w:val="000B4E37"/>
    <w:rsid w:val="00172ABA"/>
    <w:rsid w:val="001963F9"/>
    <w:rsid w:val="001C4226"/>
    <w:rsid w:val="001C4B6B"/>
    <w:rsid w:val="00235175"/>
    <w:rsid w:val="00292BC3"/>
    <w:rsid w:val="002A60B9"/>
    <w:rsid w:val="002F270C"/>
    <w:rsid w:val="00393E12"/>
    <w:rsid w:val="004074A2"/>
    <w:rsid w:val="00431DEA"/>
    <w:rsid w:val="005078F7"/>
    <w:rsid w:val="005D1B53"/>
    <w:rsid w:val="006827A1"/>
    <w:rsid w:val="00694851"/>
    <w:rsid w:val="006A5BC9"/>
    <w:rsid w:val="00746F99"/>
    <w:rsid w:val="007A520D"/>
    <w:rsid w:val="007E58B5"/>
    <w:rsid w:val="00847E8D"/>
    <w:rsid w:val="00856B1B"/>
    <w:rsid w:val="00865987"/>
    <w:rsid w:val="00893A6B"/>
    <w:rsid w:val="008F5022"/>
    <w:rsid w:val="00913711"/>
    <w:rsid w:val="0091637E"/>
    <w:rsid w:val="00934792"/>
    <w:rsid w:val="00977373"/>
    <w:rsid w:val="00A251D6"/>
    <w:rsid w:val="00AA1576"/>
    <w:rsid w:val="00AA3421"/>
    <w:rsid w:val="00AB7C55"/>
    <w:rsid w:val="00AC5157"/>
    <w:rsid w:val="00AD36BC"/>
    <w:rsid w:val="00AD7E61"/>
    <w:rsid w:val="00B720CA"/>
    <w:rsid w:val="00C007BF"/>
    <w:rsid w:val="00C27FE0"/>
    <w:rsid w:val="00C81D99"/>
    <w:rsid w:val="00CB65EC"/>
    <w:rsid w:val="00D26183"/>
    <w:rsid w:val="00D33A02"/>
    <w:rsid w:val="00D66B4C"/>
    <w:rsid w:val="00D7731A"/>
    <w:rsid w:val="00DC2C87"/>
    <w:rsid w:val="00EA7727"/>
    <w:rsid w:val="00EA7B44"/>
    <w:rsid w:val="00F03464"/>
    <w:rsid w:val="00F562B4"/>
    <w:rsid w:val="00F83559"/>
    <w:rsid w:val="00FA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E66B5"/>
  <w15:chartTrackingRefBased/>
  <w15:docId w15:val="{7D83B374-6A1E-418B-8080-72A893F42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1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1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1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1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1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1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1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1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1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1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1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1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1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1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1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1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1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1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1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1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1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1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1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1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1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1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1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1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13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A7FB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7FB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856B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5122/jml-2019-0006" TargetMode="External"/><Relationship Id="rId13" Type="http://schemas.openxmlformats.org/officeDocument/2006/relationships/hyperlink" Target="https://doi.org/10.1136/bmjdrc-2016-000320" TargetMode="External"/><Relationship Id="rId18" Type="http://schemas.openxmlformats.org/officeDocument/2006/relationships/hyperlink" Target="https://www.lloydsbank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1049/iet-its.2009.0106" TargetMode="External"/><Relationship Id="rId7" Type="http://schemas.openxmlformats.org/officeDocument/2006/relationships/hyperlink" Target="https://doi.org/10.3390/s23167095" TargetMode="External"/><Relationship Id="rId12" Type="http://schemas.openxmlformats.org/officeDocument/2006/relationships/hyperlink" Target="https://doi.org/10.3389/fpsyt.2020.00523" TargetMode="External"/><Relationship Id="rId17" Type="http://schemas.openxmlformats.org/officeDocument/2006/relationships/hyperlink" Target="https://news.joindementiaresearch.nihr.ac.uk/study-explores-value-new-technology-locate-missing-people-dementia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healthtechnology.wales/reports-guidance/freestyle-libre-flash-glucose-monitoring/" TargetMode="External"/><Relationship Id="rId20" Type="http://schemas.openxmlformats.org/officeDocument/2006/relationships/hyperlink" Target="https://www.nice.org.uk/advice/mib11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geuk.org.uk/information-advice/care/housing-options/adapting-home/telecare/" TargetMode="External"/><Relationship Id="rId11" Type="http://schemas.openxmlformats.org/officeDocument/2006/relationships/hyperlink" Target="https://doi.org/10.1186/s12877-025-06638-6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doi.org/10.1186/s12889-023-17386-w" TargetMode="External"/><Relationship Id="rId23" Type="http://schemas.openxmlformats.org/officeDocument/2006/relationships/hyperlink" Target="https://doi.org/10.3389/fpubh.2024.1291916" TargetMode="External"/><Relationship Id="rId10" Type="http://schemas.openxmlformats.org/officeDocument/2006/relationships/hyperlink" Target="https://doi.org/10.1136/bmjdrc-2021-002580" TargetMode="External"/><Relationship Id="rId19" Type="http://schemas.openxmlformats.org/officeDocument/2006/relationships/hyperlink" Target="https://www.england.nhs.uk/publication/virtual-wards-operational-framewor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77/2168479017725556" TargetMode="External"/><Relationship Id="rId14" Type="http://schemas.openxmlformats.org/officeDocument/2006/relationships/hyperlink" Target="https://doi.org/10.1186/s12877-024-05650-6" TargetMode="External"/><Relationship Id="rId22" Type="http://schemas.openxmlformats.org/officeDocument/2006/relationships/hyperlink" Target="https://doi.org/10.1177/1357633X2110583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misjona kovaci</dc:creator>
  <cp:keywords/>
  <dc:description/>
  <cp:lastModifiedBy>misjona kovaci</cp:lastModifiedBy>
  <cp:revision>2</cp:revision>
  <dcterms:created xsi:type="dcterms:W3CDTF">2026-07-28T14:43:00Z</dcterms:created>
  <dcterms:modified xsi:type="dcterms:W3CDTF">2026-07-28T14:43:00Z</dcterms:modified>
</cp:coreProperties>
</file>