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602E5A" w14:textId="77777777" w:rsidR="000D2108" w:rsidRDefault="000D2108" w:rsidP="000D2108">
      <w:pPr>
        <w:spacing w:line="480" w:lineRule="auto"/>
        <w:jc w:val="center"/>
        <w:rPr>
          <w:rFonts w:ascii="Times New Roman" w:hAnsi="Times New Roman" w:cs="Times New Roman"/>
          <w:sz w:val="24"/>
          <w:szCs w:val="24"/>
        </w:rPr>
      </w:pPr>
    </w:p>
    <w:tbl>
      <w:tblPr>
        <w:tblW w:w="9915"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915"/>
      </w:tblGrid>
      <w:tr w:rsidR="000E7B7E" w14:paraId="4ABEA7AD" w14:textId="77777777" w:rsidTr="000E7B7E">
        <w:tc>
          <w:tcPr>
            <w:tcW w:w="9922" w:type="dxa"/>
            <w:tcBorders>
              <w:top w:val="single" w:sz="4" w:space="0" w:color="000000"/>
              <w:left w:val="single" w:sz="4" w:space="0" w:color="000000"/>
              <w:bottom w:val="single" w:sz="4" w:space="0" w:color="000000"/>
              <w:right w:val="single" w:sz="4" w:space="0" w:color="000000"/>
            </w:tcBorders>
            <w:shd w:val="clear" w:color="auto" w:fill="C0C0C0"/>
            <w:hideMark/>
          </w:tcPr>
          <w:p w14:paraId="2DDB2246" w14:textId="77777777" w:rsidR="000E7B7E" w:rsidRDefault="000E7B7E">
            <w:pPr>
              <w:pStyle w:val="Heading4"/>
              <w:rPr>
                <w:rFonts w:ascii="Arial" w:eastAsia="Arial" w:hAnsi="Arial" w:cs="Arial"/>
                <w:b/>
              </w:rPr>
            </w:pPr>
            <w:r>
              <w:rPr>
                <w:rFonts w:ascii="Arial" w:eastAsia="Arial" w:hAnsi="Arial" w:cs="Arial"/>
                <w:b/>
              </w:rPr>
              <w:t xml:space="preserve">LEVEL 4 ASSESSMENT SPECIFICATION </w:t>
            </w:r>
          </w:p>
        </w:tc>
      </w:tr>
    </w:tbl>
    <w:p w14:paraId="0F33864C" w14:textId="77777777" w:rsidR="000E7B7E" w:rsidRDefault="000E7B7E" w:rsidP="000E7B7E">
      <w:pPr>
        <w:jc w:val="center"/>
        <w:rPr>
          <w:rFonts w:ascii="Arial" w:eastAsia="Arial" w:hAnsi="Arial" w:cs="Arial"/>
          <w:b/>
          <w:i/>
          <w:sz w:val="32"/>
          <w:szCs w:val="32"/>
          <w:lang w:eastAsia="zh-CN"/>
        </w:rPr>
      </w:pPr>
    </w:p>
    <w:tbl>
      <w:tblPr>
        <w:tblW w:w="9915"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092"/>
        <w:gridCol w:w="3291"/>
        <w:gridCol w:w="2266"/>
        <w:gridCol w:w="2266"/>
      </w:tblGrid>
      <w:tr w:rsidR="000E7B7E" w14:paraId="72F63415" w14:textId="77777777" w:rsidTr="000E7B7E">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14:paraId="46B3BB0B" w14:textId="77777777" w:rsidR="000E7B7E" w:rsidRDefault="000E7B7E">
            <w:pPr>
              <w:spacing w:before="120" w:after="120"/>
              <w:jc w:val="both"/>
              <w:rPr>
                <w:rFonts w:ascii="Arial" w:eastAsia="Arial" w:hAnsi="Arial" w:cs="Arial"/>
                <w:b/>
              </w:rPr>
            </w:pPr>
            <w:r>
              <w:rPr>
                <w:rFonts w:ascii="Arial" w:eastAsia="Arial" w:hAnsi="Arial" w:cs="Arial"/>
                <w:b/>
              </w:rPr>
              <w:t>Student name:</w:t>
            </w:r>
          </w:p>
        </w:tc>
        <w:tc>
          <w:tcPr>
            <w:tcW w:w="3293" w:type="dxa"/>
            <w:tcBorders>
              <w:top w:val="single" w:sz="4" w:space="0" w:color="000000"/>
              <w:left w:val="single" w:sz="4" w:space="0" w:color="000000"/>
              <w:bottom w:val="single" w:sz="4" w:space="0" w:color="000000"/>
              <w:right w:val="single" w:sz="4" w:space="0" w:color="000000"/>
            </w:tcBorders>
            <w:hideMark/>
          </w:tcPr>
          <w:p w14:paraId="781B7FFE" w14:textId="7B54B3E6" w:rsidR="000E7B7E" w:rsidRDefault="000E7B7E">
            <w:pPr>
              <w:spacing w:before="120" w:after="120"/>
              <w:jc w:val="both"/>
              <w:rPr>
                <w:rFonts w:ascii="Arial" w:eastAsia="Arial" w:hAnsi="Arial" w:cs="Arial"/>
                <w:b/>
              </w:rPr>
            </w:pPr>
            <w:r>
              <w:rPr>
                <w:rFonts w:ascii="Arial" w:eastAsia="Arial" w:hAnsi="Arial" w:cs="Arial"/>
                <w:b/>
              </w:rPr>
              <w:t>Raqia Bibi</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14:paraId="520A1BCC" w14:textId="77777777" w:rsidR="000E7B7E" w:rsidRDefault="000E7B7E">
            <w:pPr>
              <w:spacing w:before="120" w:after="120"/>
              <w:jc w:val="both"/>
              <w:rPr>
                <w:rFonts w:ascii="Arial" w:eastAsia="Arial" w:hAnsi="Arial" w:cs="Arial"/>
                <w:b/>
              </w:rPr>
            </w:pPr>
            <w:r>
              <w:rPr>
                <w:rFonts w:ascii="Arial" w:eastAsia="Arial" w:hAnsi="Arial" w:cs="Arial"/>
                <w:b/>
              </w:rPr>
              <w:t>Student ID number:</w:t>
            </w:r>
          </w:p>
        </w:tc>
        <w:tc>
          <w:tcPr>
            <w:tcW w:w="2268" w:type="dxa"/>
            <w:tcBorders>
              <w:top w:val="single" w:sz="4" w:space="0" w:color="000000"/>
              <w:left w:val="single" w:sz="4" w:space="0" w:color="000000"/>
              <w:bottom w:val="single" w:sz="4" w:space="0" w:color="000000"/>
              <w:right w:val="single" w:sz="4" w:space="0" w:color="000000"/>
            </w:tcBorders>
          </w:tcPr>
          <w:p w14:paraId="68D949EF" w14:textId="5C0FFF19" w:rsidR="000E7B7E" w:rsidRDefault="000E7B7E">
            <w:pPr>
              <w:spacing w:before="120" w:after="120"/>
              <w:jc w:val="both"/>
              <w:rPr>
                <w:rFonts w:ascii="Arial" w:eastAsia="Arial" w:hAnsi="Arial" w:cs="Arial"/>
                <w:b/>
              </w:rPr>
            </w:pPr>
            <w:r>
              <w:rPr>
                <w:rFonts w:ascii="Arial" w:eastAsia="Arial" w:hAnsi="Arial" w:cs="Arial"/>
                <w:b/>
              </w:rPr>
              <w:t>2217112</w:t>
            </w:r>
          </w:p>
        </w:tc>
      </w:tr>
      <w:tr w:rsidR="000E7B7E" w14:paraId="6DF055C0" w14:textId="77777777" w:rsidTr="000E7B7E">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14:paraId="6A38F6CC" w14:textId="77777777" w:rsidR="000E7B7E" w:rsidRDefault="000E7B7E">
            <w:pPr>
              <w:spacing w:before="120" w:after="120"/>
              <w:jc w:val="both"/>
              <w:rPr>
                <w:rFonts w:ascii="Arial" w:eastAsia="Arial" w:hAnsi="Arial" w:cs="Arial"/>
                <w:b/>
              </w:rPr>
            </w:pPr>
            <w:proofErr w:type="spellStart"/>
            <w:r>
              <w:rPr>
                <w:rFonts w:ascii="Arial" w:eastAsia="Arial" w:hAnsi="Arial" w:cs="Arial"/>
                <w:b/>
              </w:rPr>
              <w:t>Programme</w:t>
            </w:r>
            <w:proofErr w:type="spellEnd"/>
            <w:r>
              <w:rPr>
                <w:rFonts w:ascii="Arial" w:eastAsia="Arial" w:hAnsi="Arial" w:cs="Arial"/>
                <w:b/>
              </w:rPr>
              <w:t>:</w:t>
            </w:r>
          </w:p>
        </w:tc>
        <w:tc>
          <w:tcPr>
            <w:tcW w:w="7829" w:type="dxa"/>
            <w:gridSpan w:val="3"/>
            <w:tcBorders>
              <w:top w:val="single" w:sz="4" w:space="0" w:color="000000"/>
              <w:left w:val="single" w:sz="4" w:space="0" w:color="000000"/>
              <w:bottom w:val="single" w:sz="4" w:space="0" w:color="000000"/>
              <w:right w:val="single" w:sz="4" w:space="0" w:color="000000"/>
            </w:tcBorders>
            <w:hideMark/>
          </w:tcPr>
          <w:p w14:paraId="2660E2FA" w14:textId="77777777" w:rsidR="000E7B7E" w:rsidRDefault="000E7B7E">
            <w:pPr>
              <w:spacing w:before="120" w:after="120"/>
              <w:jc w:val="both"/>
              <w:rPr>
                <w:rFonts w:ascii="Arial" w:eastAsia="Arial" w:hAnsi="Arial" w:cs="Arial"/>
                <w:b/>
              </w:rPr>
            </w:pPr>
            <w:r>
              <w:rPr>
                <w:rFonts w:ascii="Arial" w:eastAsia="Arial" w:hAnsi="Arial" w:cs="Arial"/>
                <w:b/>
              </w:rPr>
              <w:t>Law portfolio</w:t>
            </w:r>
          </w:p>
        </w:tc>
      </w:tr>
      <w:tr w:rsidR="000E7B7E" w14:paraId="0C55D034" w14:textId="77777777" w:rsidTr="000E7B7E">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14:paraId="3816AB26" w14:textId="77777777" w:rsidR="000E7B7E" w:rsidRDefault="000E7B7E">
            <w:pPr>
              <w:spacing w:before="120" w:after="120"/>
              <w:jc w:val="both"/>
              <w:rPr>
                <w:rFonts w:ascii="Arial" w:eastAsia="Arial" w:hAnsi="Arial" w:cs="Arial"/>
                <w:b/>
              </w:rPr>
            </w:pPr>
            <w:r>
              <w:rPr>
                <w:rFonts w:ascii="Arial" w:eastAsia="Arial" w:hAnsi="Arial" w:cs="Arial"/>
                <w:b/>
              </w:rPr>
              <w:t>Module:</w:t>
            </w:r>
          </w:p>
        </w:tc>
        <w:tc>
          <w:tcPr>
            <w:tcW w:w="7829" w:type="dxa"/>
            <w:gridSpan w:val="3"/>
            <w:tcBorders>
              <w:top w:val="single" w:sz="4" w:space="0" w:color="000000"/>
              <w:left w:val="single" w:sz="4" w:space="0" w:color="000000"/>
              <w:bottom w:val="single" w:sz="4" w:space="0" w:color="000000"/>
              <w:right w:val="single" w:sz="4" w:space="0" w:color="000000"/>
            </w:tcBorders>
            <w:hideMark/>
          </w:tcPr>
          <w:p w14:paraId="58B0A925" w14:textId="77777777" w:rsidR="000E7B7E" w:rsidRDefault="000E7B7E">
            <w:pPr>
              <w:spacing w:before="120" w:after="120"/>
              <w:jc w:val="both"/>
              <w:rPr>
                <w:rFonts w:ascii="Arial" w:eastAsia="Arial" w:hAnsi="Arial" w:cs="Arial"/>
                <w:b/>
              </w:rPr>
            </w:pPr>
            <w:r>
              <w:rPr>
                <w:rFonts w:ascii="Arial" w:eastAsia="Arial" w:hAnsi="Arial" w:cs="Arial"/>
                <w:b/>
              </w:rPr>
              <w:t>Criminal law – Assignment 1</w:t>
            </w:r>
          </w:p>
        </w:tc>
      </w:tr>
      <w:tr w:rsidR="000E7B7E" w14:paraId="65D3BF45" w14:textId="77777777" w:rsidTr="000E7B7E">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14:paraId="5321139C" w14:textId="77777777" w:rsidR="000E7B7E" w:rsidRDefault="000E7B7E">
            <w:pPr>
              <w:spacing w:before="120" w:after="120"/>
              <w:jc w:val="both"/>
              <w:rPr>
                <w:rFonts w:ascii="Arial" w:eastAsia="Arial" w:hAnsi="Arial" w:cs="Arial"/>
                <w:b/>
              </w:rPr>
            </w:pPr>
            <w:r>
              <w:rPr>
                <w:rFonts w:ascii="Arial" w:eastAsia="Arial" w:hAnsi="Arial" w:cs="Arial"/>
                <w:b/>
              </w:rPr>
              <w:t>Module code:</w:t>
            </w:r>
          </w:p>
        </w:tc>
        <w:tc>
          <w:tcPr>
            <w:tcW w:w="3293" w:type="dxa"/>
            <w:tcBorders>
              <w:top w:val="single" w:sz="4" w:space="0" w:color="000000"/>
              <w:left w:val="single" w:sz="4" w:space="0" w:color="000000"/>
              <w:bottom w:val="single" w:sz="4" w:space="0" w:color="000000"/>
              <w:right w:val="single" w:sz="4" w:space="0" w:color="000000"/>
            </w:tcBorders>
            <w:hideMark/>
          </w:tcPr>
          <w:p w14:paraId="36FA34C5" w14:textId="77777777" w:rsidR="000E7B7E" w:rsidRDefault="000E7B7E">
            <w:pPr>
              <w:spacing w:before="120" w:after="120"/>
              <w:jc w:val="both"/>
              <w:rPr>
                <w:rFonts w:ascii="Arial" w:eastAsia="Arial" w:hAnsi="Arial" w:cs="Arial"/>
                <w:b/>
              </w:rPr>
            </w:pPr>
            <w:r>
              <w:rPr>
                <w:rFonts w:ascii="Arial" w:eastAsia="Arial" w:hAnsi="Arial" w:cs="Arial"/>
                <w:b/>
              </w:rPr>
              <w:t>BMLW4005/BMPL4009</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14:paraId="37C72F07" w14:textId="77777777" w:rsidR="000E7B7E" w:rsidRDefault="000E7B7E">
            <w:pPr>
              <w:pStyle w:val="Heading2"/>
              <w:rPr>
                <w:rFonts w:ascii="Arial" w:eastAsia="Arial" w:hAnsi="Arial" w:cs="Arial"/>
                <w:sz w:val="22"/>
                <w:szCs w:val="22"/>
              </w:rPr>
            </w:pPr>
            <w:r>
              <w:rPr>
                <w:rFonts w:ascii="Arial" w:eastAsia="Arial" w:hAnsi="Arial" w:cs="Arial"/>
                <w:sz w:val="22"/>
                <w:szCs w:val="22"/>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hideMark/>
          </w:tcPr>
          <w:p w14:paraId="6F63E1A1" w14:textId="77777777" w:rsidR="000E7B7E" w:rsidRDefault="000E7B7E">
            <w:pPr>
              <w:spacing w:before="120" w:after="120"/>
              <w:jc w:val="both"/>
              <w:rPr>
                <w:rFonts w:ascii="Arial" w:eastAsia="Arial" w:hAnsi="Arial" w:cs="Arial"/>
                <w:b/>
              </w:rPr>
            </w:pPr>
            <w:r>
              <w:rPr>
                <w:rFonts w:ascii="Arial" w:eastAsia="Arial" w:hAnsi="Arial" w:cs="Arial"/>
                <w:b/>
              </w:rPr>
              <w:t>50%</w:t>
            </w:r>
          </w:p>
        </w:tc>
      </w:tr>
      <w:tr w:rsidR="000E7B7E" w14:paraId="0D0EE93A" w14:textId="77777777" w:rsidTr="000E7B7E">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14:paraId="075D958F" w14:textId="77777777" w:rsidR="000E7B7E" w:rsidRDefault="000E7B7E">
            <w:pPr>
              <w:spacing w:before="120" w:after="120"/>
              <w:jc w:val="both"/>
              <w:rPr>
                <w:rFonts w:ascii="Arial" w:eastAsia="Arial" w:hAnsi="Arial" w:cs="Arial"/>
                <w:b/>
              </w:rPr>
            </w:pPr>
            <w:r>
              <w:rPr>
                <w:rFonts w:ascii="Arial" w:eastAsia="Arial" w:hAnsi="Arial" w:cs="Arial"/>
                <w:b/>
              </w:rPr>
              <w:t>Lecturer:</w:t>
            </w:r>
          </w:p>
        </w:tc>
        <w:tc>
          <w:tcPr>
            <w:tcW w:w="3293" w:type="dxa"/>
            <w:tcBorders>
              <w:top w:val="single" w:sz="4" w:space="0" w:color="000000"/>
              <w:left w:val="single" w:sz="4" w:space="0" w:color="000000"/>
              <w:bottom w:val="single" w:sz="4" w:space="0" w:color="000000"/>
              <w:right w:val="single" w:sz="4" w:space="0" w:color="000000"/>
            </w:tcBorders>
            <w:hideMark/>
          </w:tcPr>
          <w:p w14:paraId="2C3F3A1C" w14:textId="77777777" w:rsidR="000E7B7E" w:rsidRDefault="000E7B7E">
            <w:pPr>
              <w:spacing w:before="120" w:after="120"/>
              <w:jc w:val="both"/>
              <w:rPr>
                <w:rFonts w:ascii="Arial" w:eastAsia="Arial" w:hAnsi="Arial" w:cs="Arial"/>
                <w:b/>
              </w:rPr>
            </w:pPr>
            <w:r>
              <w:rPr>
                <w:rFonts w:ascii="Arial" w:eastAsia="Arial" w:hAnsi="Arial" w:cs="Arial"/>
                <w:b/>
              </w:rPr>
              <w:t>Laura Knight</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14:paraId="10A50FA1" w14:textId="77777777" w:rsidR="000E7B7E" w:rsidRDefault="000E7B7E">
            <w:pPr>
              <w:spacing w:before="120" w:after="120"/>
              <w:jc w:val="both"/>
              <w:rPr>
                <w:rFonts w:ascii="Arial" w:eastAsia="Arial" w:hAnsi="Arial" w:cs="Arial"/>
                <w:b/>
              </w:rPr>
            </w:pPr>
            <w:r>
              <w:rPr>
                <w:rFonts w:ascii="Arial" w:eastAsia="Arial" w:hAnsi="Arial" w:cs="Arial"/>
                <w:b/>
              </w:rPr>
              <w:t>Internal Verifier:</w:t>
            </w:r>
          </w:p>
        </w:tc>
        <w:tc>
          <w:tcPr>
            <w:tcW w:w="2268" w:type="dxa"/>
            <w:tcBorders>
              <w:top w:val="single" w:sz="4" w:space="0" w:color="000000"/>
              <w:left w:val="single" w:sz="4" w:space="0" w:color="000000"/>
              <w:bottom w:val="single" w:sz="4" w:space="0" w:color="000000"/>
              <w:right w:val="single" w:sz="4" w:space="0" w:color="000000"/>
            </w:tcBorders>
            <w:hideMark/>
          </w:tcPr>
          <w:p w14:paraId="27554398" w14:textId="77777777" w:rsidR="000E7B7E" w:rsidRDefault="000E7B7E">
            <w:pPr>
              <w:spacing w:before="120" w:after="120"/>
              <w:jc w:val="both"/>
              <w:rPr>
                <w:rFonts w:ascii="Arial" w:eastAsia="Arial" w:hAnsi="Arial" w:cs="Arial"/>
                <w:b/>
              </w:rPr>
            </w:pPr>
            <w:r>
              <w:rPr>
                <w:rFonts w:ascii="Arial" w:eastAsia="Arial" w:hAnsi="Arial" w:cs="Arial"/>
                <w:b/>
              </w:rPr>
              <w:t>Sian Turvey</w:t>
            </w:r>
          </w:p>
        </w:tc>
      </w:tr>
      <w:tr w:rsidR="000E7B7E" w14:paraId="5C7CDF6A" w14:textId="77777777" w:rsidTr="000E7B7E">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14:paraId="101602BB" w14:textId="77777777" w:rsidR="000E7B7E" w:rsidRDefault="000E7B7E">
            <w:pPr>
              <w:spacing w:before="120" w:after="120"/>
              <w:jc w:val="both"/>
              <w:rPr>
                <w:rFonts w:ascii="Arial" w:eastAsia="Arial" w:hAnsi="Arial" w:cs="Arial"/>
                <w:b/>
              </w:rPr>
            </w:pPr>
            <w:r>
              <w:rPr>
                <w:rFonts w:ascii="Arial" w:eastAsia="Arial" w:hAnsi="Arial" w:cs="Arial"/>
                <w:b/>
              </w:rPr>
              <w:t>Assignment Title:</w:t>
            </w:r>
          </w:p>
        </w:tc>
        <w:tc>
          <w:tcPr>
            <w:tcW w:w="3293" w:type="dxa"/>
            <w:tcBorders>
              <w:top w:val="single" w:sz="4" w:space="0" w:color="000000"/>
              <w:left w:val="single" w:sz="4" w:space="0" w:color="000000"/>
              <w:bottom w:val="single" w:sz="4" w:space="0" w:color="000000"/>
              <w:right w:val="single" w:sz="4" w:space="0" w:color="000000"/>
            </w:tcBorders>
            <w:hideMark/>
          </w:tcPr>
          <w:p w14:paraId="37737D4D" w14:textId="77777777" w:rsidR="000E7B7E" w:rsidRDefault="000E7B7E">
            <w:pPr>
              <w:spacing w:before="120" w:after="120"/>
              <w:jc w:val="both"/>
              <w:rPr>
                <w:rFonts w:ascii="Arial" w:eastAsia="Arial" w:hAnsi="Arial" w:cs="Arial"/>
                <w:b/>
              </w:rPr>
            </w:pPr>
            <w:r>
              <w:rPr>
                <w:rFonts w:ascii="Arial" w:eastAsia="Arial" w:hAnsi="Arial" w:cs="Arial"/>
                <w:b/>
              </w:rPr>
              <w:t>Liability by Omission</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14:paraId="649AC3BE" w14:textId="77777777" w:rsidR="000E7B7E" w:rsidRDefault="000E7B7E">
            <w:pPr>
              <w:spacing w:before="120" w:after="120"/>
              <w:jc w:val="both"/>
              <w:rPr>
                <w:rFonts w:ascii="Arial" w:eastAsia="Arial" w:hAnsi="Arial" w:cs="Arial"/>
                <w:b/>
              </w:rPr>
            </w:pPr>
            <w:r>
              <w:rPr>
                <w:rFonts w:ascii="Arial" w:eastAsia="Arial" w:hAnsi="Arial" w:cs="Arial"/>
                <w:b/>
              </w:rPr>
              <w:t>Word count (or equivalent):</w:t>
            </w:r>
          </w:p>
        </w:tc>
        <w:tc>
          <w:tcPr>
            <w:tcW w:w="2268" w:type="dxa"/>
            <w:tcBorders>
              <w:top w:val="single" w:sz="4" w:space="0" w:color="000000"/>
              <w:left w:val="single" w:sz="4" w:space="0" w:color="000000"/>
              <w:bottom w:val="single" w:sz="4" w:space="0" w:color="000000"/>
              <w:right w:val="single" w:sz="4" w:space="0" w:color="000000"/>
            </w:tcBorders>
            <w:hideMark/>
          </w:tcPr>
          <w:p w14:paraId="205448E3" w14:textId="77777777" w:rsidR="000E7B7E" w:rsidRDefault="000E7B7E">
            <w:pPr>
              <w:spacing w:before="120" w:after="120"/>
              <w:jc w:val="both"/>
              <w:rPr>
                <w:rFonts w:ascii="Arial" w:eastAsia="Arial" w:hAnsi="Arial" w:cs="Arial"/>
                <w:b/>
              </w:rPr>
            </w:pPr>
            <w:r>
              <w:rPr>
                <w:rFonts w:ascii="Arial" w:eastAsia="Arial" w:hAnsi="Arial" w:cs="Arial"/>
                <w:b/>
              </w:rPr>
              <w:t>1500</w:t>
            </w:r>
          </w:p>
        </w:tc>
      </w:tr>
      <w:tr w:rsidR="000E7B7E" w14:paraId="1EE5BF77" w14:textId="77777777" w:rsidTr="000E7B7E">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14:paraId="3D93D321" w14:textId="77777777" w:rsidR="000E7B7E" w:rsidRDefault="000E7B7E">
            <w:pPr>
              <w:spacing w:before="120" w:after="120"/>
              <w:jc w:val="both"/>
              <w:rPr>
                <w:rFonts w:ascii="Arial" w:eastAsia="Arial" w:hAnsi="Arial" w:cs="Arial"/>
                <w:b/>
              </w:rPr>
            </w:pPr>
            <w:r>
              <w:rPr>
                <w:rFonts w:ascii="Arial" w:eastAsia="Arial" w:hAnsi="Arial" w:cs="Arial"/>
                <w:b/>
              </w:rPr>
              <w:t>Submission deadline:</w:t>
            </w:r>
          </w:p>
        </w:tc>
        <w:tc>
          <w:tcPr>
            <w:tcW w:w="3293" w:type="dxa"/>
            <w:tcBorders>
              <w:top w:val="single" w:sz="4" w:space="0" w:color="000000"/>
              <w:left w:val="single" w:sz="4" w:space="0" w:color="000000"/>
              <w:bottom w:val="single" w:sz="4" w:space="0" w:color="000000"/>
              <w:right w:val="single" w:sz="4" w:space="0" w:color="000000"/>
            </w:tcBorders>
            <w:hideMark/>
          </w:tcPr>
          <w:p w14:paraId="6B1768DC" w14:textId="77777777" w:rsidR="000E7B7E" w:rsidRDefault="000E7B7E">
            <w:pPr>
              <w:spacing w:before="120" w:after="120"/>
              <w:jc w:val="both"/>
              <w:rPr>
                <w:rFonts w:ascii="Arial" w:eastAsia="Arial" w:hAnsi="Arial" w:cs="Arial"/>
                <w:b/>
              </w:rPr>
            </w:pPr>
            <w:r>
              <w:rPr>
                <w:rFonts w:ascii="Arial" w:eastAsia="Arial" w:hAnsi="Arial" w:cs="Arial"/>
                <w:b/>
              </w:rPr>
              <w:t>Friday 11th November 2022</w:t>
            </w:r>
          </w:p>
          <w:p w14:paraId="7C1EB1E2" w14:textId="77777777" w:rsidR="000E7B7E" w:rsidRDefault="000E7B7E">
            <w:pPr>
              <w:spacing w:before="120" w:after="120"/>
              <w:jc w:val="both"/>
              <w:rPr>
                <w:rFonts w:ascii="Times New Roman" w:eastAsia="Times New Roman" w:hAnsi="Times New Roman" w:cs="Times New Roman"/>
                <w:sz w:val="20"/>
                <w:szCs w:val="20"/>
              </w:rPr>
            </w:pPr>
            <w:r>
              <w:rPr>
                <w:rFonts w:ascii="Arial" w:eastAsia="Arial" w:hAnsi="Arial" w:cs="Arial"/>
                <w:b/>
              </w:rPr>
              <w:t>23:59</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14:paraId="409B35F2" w14:textId="77777777" w:rsidR="000E7B7E" w:rsidRDefault="000E7B7E">
            <w:pPr>
              <w:spacing w:before="120" w:after="120"/>
              <w:jc w:val="both"/>
              <w:rPr>
                <w:rFonts w:ascii="Arial" w:eastAsia="Arial" w:hAnsi="Arial" w:cs="Arial"/>
                <w:b/>
              </w:rPr>
            </w:pPr>
            <w:r>
              <w:rPr>
                <w:rFonts w:ascii="Arial" w:eastAsia="Arial" w:hAnsi="Arial" w:cs="Arial"/>
                <w:b/>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hideMark/>
          </w:tcPr>
          <w:p w14:paraId="1D714EB9" w14:textId="77777777" w:rsidR="000E7B7E" w:rsidRDefault="000E7B7E">
            <w:pPr>
              <w:spacing w:before="120" w:after="120"/>
              <w:jc w:val="both"/>
              <w:rPr>
                <w:rFonts w:ascii="Times New Roman" w:eastAsia="Times New Roman" w:hAnsi="Times New Roman" w:cs="Times New Roman"/>
                <w:sz w:val="20"/>
                <w:szCs w:val="20"/>
              </w:rPr>
            </w:pPr>
            <w:r>
              <w:rPr>
                <w:rFonts w:ascii="Arial" w:eastAsia="Arial" w:hAnsi="Arial" w:cs="Arial"/>
                <w:b/>
              </w:rPr>
              <w:t>Monday 12</w:t>
            </w:r>
            <w:r>
              <w:rPr>
                <w:rFonts w:ascii="Arial" w:eastAsia="Arial" w:hAnsi="Arial" w:cs="Arial"/>
                <w:b/>
                <w:vertAlign w:val="superscript"/>
              </w:rPr>
              <w:t>th</w:t>
            </w:r>
            <w:r>
              <w:rPr>
                <w:rFonts w:ascii="Arial" w:eastAsia="Arial" w:hAnsi="Arial" w:cs="Arial"/>
                <w:b/>
              </w:rPr>
              <w:t xml:space="preserve"> December</w:t>
            </w:r>
          </w:p>
        </w:tc>
      </w:tr>
      <w:tr w:rsidR="000E7B7E" w14:paraId="285B4BD3" w14:textId="77777777" w:rsidTr="000E7B7E">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14:paraId="6EEEEACE" w14:textId="77777777" w:rsidR="000E7B7E" w:rsidRDefault="000E7B7E">
            <w:pPr>
              <w:spacing w:before="120" w:after="120"/>
              <w:jc w:val="both"/>
              <w:rPr>
                <w:rFonts w:ascii="Arial" w:eastAsia="Arial" w:hAnsi="Arial" w:cs="Arial"/>
                <w:b/>
              </w:rPr>
            </w:pPr>
            <w:r>
              <w:rPr>
                <w:rFonts w:ascii="Arial" w:eastAsia="Arial" w:hAnsi="Arial" w:cs="Arial"/>
                <w:b/>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hideMark/>
          </w:tcPr>
          <w:p w14:paraId="5EB2D1FA" w14:textId="77777777" w:rsidR="000E7B7E" w:rsidRDefault="000E7B7E">
            <w:pPr>
              <w:rPr>
                <w:rFonts w:ascii="Arial" w:eastAsia="Arial" w:hAnsi="Arial" w:cs="Arial"/>
              </w:rPr>
            </w:pPr>
            <w:r>
              <w:rPr>
                <w:rFonts w:ascii="Arial" w:eastAsia="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2E4874" w14:textId="77777777" w:rsidR="000E7B7E" w:rsidRDefault="000E7B7E">
            <w:pPr>
              <w:spacing w:before="120" w:after="120"/>
              <w:jc w:val="both"/>
              <w:rPr>
                <w:rFonts w:ascii="Arial" w:eastAsia="Arial" w:hAnsi="Arial" w:cs="Arial"/>
                <w:b/>
              </w:rPr>
            </w:pPr>
            <w:r>
              <w:rPr>
                <w:rFonts w:ascii="Arial" w:eastAsia="Arial" w:hAnsi="Arial" w:cs="Arial"/>
                <w:b/>
              </w:rPr>
              <w:t xml:space="preserve">Alternative submission method (if applicable): </w:t>
            </w:r>
          </w:p>
          <w:p w14:paraId="439E3B72" w14:textId="77777777" w:rsidR="000E7B7E" w:rsidRDefault="000E7B7E">
            <w:pPr>
              <w:spacing w:before="120" w:after="120"/>
              <w:jc w:val="both"/>
              <w:rPr>
                <w:rFonts w:ascii="Arial" w:eastAsia="Arial" w:hAnsi="Arial" w:cs="Arial"/>
                <w:b/>
              </w:rPr>
            </w:pPr>
            <w:r>
              <w:rPr>
                <w:rFonts w:ascii="Arial" w:eastAsia="Arial" w:hAnsi="Arial" w:cs="Arial"/>
                <w:b/>
              </w:rPr>
              <w:t xml:space="preserve">Late submission of the assessment will result in a late penalty mark.  </w:t>
            </w:r>
            <w:r>
              <w:rPr>
                <w:rFonts w:ascii="Arial" w:eastAsia="Arial" w:hAnsi="Arial" w:cs="Arial"/>
              </w:rPr>
              <w:t>Penalties for late submission: Up to one week late, maximum mark of 40%.  Over one week late, 0%.  Only the Extenuating Circumstances Panel may approve a change to submission dates.</w:t>
            </w:r>
          </w:p>
        </w:tc>
      </w:tr>
      <w:tr w:rsidR="000E7B7E" w14:paraId="11D6C8FE" w14:textId="77777777" w:rsidTr="000E7B7E">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14:paraId="51789519" w14:textId="77777777" w:rsidR="000E7B7E" w:rsidRDefault="000E7B7E">
            <w:pPr>
              <w:spacing w:before="120" w:after="120"/>
              <w:rPr>
                <w:rFonts w:ascii="Arial" w:eastAsia="Arial" w:hAnsi="Arial" w:cs="Arial"/>
                <w:b/>
              </w:rPr>
            </w:pPr>
            <w:r>
              <w:rPr>
                <w:rFonts w:ascii="Arial" w:eastAsia="Arial" w:hAnsi="Arial" w:cs="Arial"/>
                <w:b/>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hideMark/>
          </w:tcPr>
          <w:p w14:paraId="19FCC9CF" w14:textId="77777777" w:rsidR="000E7B7E" w:rsidRDefault="000E7B7E">
            <w:pPr>
              <w:spacing w:before="120" w:after="120"/>
              <w:jc w:val="both"/>
              <w:rPr>
                <w:rFonts w:ascii="Arial" w:eastAsia="Arial" w:hAnsi="Arial" w:cs="Arial"/>
              </w:rPr>
            </w:pPr>
            <w:r>
              <w:rPr>
                <w:rFonts w:ascii="Arial" w:eastAsia="Arial" w:hAnsi="Arial" w:cs="Arial"/>
              </w:rPr>
              <w:t xml:space="preserve">Academic honesty is required. In the main body of your </w:t>
            </w:r>
            <w:proofErr w:type="gramStart"/>
            <w:r>
              <w:rPr>
                <w:rFonts w:ascii="Arial" w:eastAsia="Arial" w:hAnsi="Arial" w:cs="Arial"/>
              </w:rPr>
              <w:t>submission</w:t>
            </w:r>
            <w:proofErr w:type="gramEnd"/>
            <w:r>
              <w:rPr>
                <w:rFonts w:ascii="Arial" w:eastAsia="Arial" w:hAnsi="Arial" w:cs="Arial"/>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74E815D4" w14:textId="77777777" w:rsidR="000D2108" w:rsidRDefault="000D2108" w:rsidP="000D2108">
      <w:pPr>
        <w:spacing w:line="480" w:lineRule="auto"/>
        <w:jc w:val="center"/>
        <w:rPr>
          <w:rFonts w:ascii="Times New Roman" w:hAnsi="Times New Roman" w:cs="Times New Roman"/>
          <w:sz w:val="24"/>
          <w:szCs w:val="24"/>
        </w:rPr>
      </w:pPr>
    </w:p>
    <w:p w14:paraId="685991D1" w14:textId="77777777" w:rsidR="000D2108" w:rsidRDefault="000D2108" w:rsidP="000D2108">
      <w:pPr>
        <w:spacing w:line="480" w:lineRule="auto"/>
        <w:jc w:val="center"/>
        <w:rPr>
          <w:rFonts w:ascii="Times New Roman" w:hAnsi="Times New Roman" w:cs="Times New Roman"/>
          <w:sz w:val="24"/>
          <w:szCs w:val="24"/>
        </w:rPr>
      </w:pPr>
    </w:p>
    <w:p w14:paraId="478736E6" w14:textId="77777777" w:rsidR="000D2108" w:rsidRDefault="000D2108" w:rsidP="000D2108">
      <w:pPr>
        <w:spacing w:line="480" w:lineRule="auto"/>
        <w:jc w:val="center"/>
        <w:rPr>
          <w:rFonts w:ascii="Times New Roman" w:hAnsi="Times New Roman" w:cs="Times New Roman"/>
          <w:sz w:val="24"/>
          <w:szCs w:val="24"/>
        </w:rPr>
      </w:pPr>
    </w:p>
    <w:p w14:paraId="3C095C68" w14:textId="4F3BE32E" w:rsidR="000D2108" w:rsidRPr="000E7B7E" w:rsidRDefault="000D2108" w:rsidP="000D2108">
      <w:pPr>
        <w:spacing w:line="480" w:lineRule="auto"/>
        <w:jc w:val="center"/>
        <w:rPr>
          <w:rFonts w:ascii="Times New Roman" w:hAnsi="Times New Roman" w:cs="Times New Roman"/>
          <w:sz w:val="24"/>
          <w:szCs w:val="24"/>
        </w:rPr>
      </w:pPr>
      <w:r w:rsidRPr="000E7B7E">
        <w:rPr>
          <w:rFonts w:ascii="Times New Roman" w:hAnsi="Times New Roman" w:cs="Times New Roman"/>
          <w:sz w:val="24"/>
          <w:szCs w:val="24"/>
        </w:rPr>
        <w:lastRenderedPageBreak/>
        <w:t>LIABILITY BY OMISSION</w:t>
      </w:r>
    </w:p>
    <w:p w14:paraId="5C173389" w14:textId="355BC8DE" w:rsidR="000D2108" w:rsidRPr="000E7B7E" w:rsidRDefault="000D2108" w:rsidP="000D2108">
      <w:pPr>
        <w:spacing w:line="480" w:lineRule="auto"/>
        <w:jc w:val="center"/>
        <w:rPr>
          <w:rFonts w:ascii="Times New Roman" w:hAnsi="Times New Roman" w:cs="Times New Roman"/>
          <w:sz w:val="24"/>
          <w:szCs w:val="24"/>
        </w:rPr>
      </w:pPr>
      <w:r w:rsidRPr="000E7B7E">
        <w:rPr>
          <w:rFonts w:ascii="Times New Roman" w:hAnsi="Times New Roman" w:cs="Times New Roman"/>
          <w:sz w:val="24"/>
          <w:szCs w:val="24"/>
        </w:rPr>
        <w:t>by</w:t>
      </w:r>
    </w:p>
    <w:p w14:paraId="2FE175CF" w14:textId="77716295" w:rsidR="00703669" w:rsidRPr="000E7B7E" w:rsidRDefault="00703669" w:rsidP="00703669">
      <w:pPr>
        <w:spacing w:line="480" w:lineRule="auto"/>
        <w:jc w:val="center"/>
        <w:rPr>
          <w:rFonts w:ascii="Times New Roman" w:hAnsi="Times New Roman" w:cs="Times New Roman"/>
          <w:sz w:val="24"/>
          <w:szCs w:val="24"/>
        </w:rPr>
      </w:pPr>
      <w:r w:rsidRPr="000E7B7E">
        <w:rPr>
          <w:rFonts w:ascii="Times New Roman" w:hAnsi="Times New Roman" w:cs="Times New Roman"/>
          <w:sz w:val="24"/>
          <w:szCs w:val="24"/>
        </w:rPr>
        <w:t>Raqia Bibi</w:t>
      </w:r>
    </w:p>
    <w:p w14:paraId="53DFECE8" w14:textId="77777777" w:rsidR="00703669" w:rsidRPr="000E7B7E" w:rsidRDefault="00703669" w:rsidP="00703669">
      <w:pPr>
        <w:spacing w:line="480" w:lineRule="auto"/>
        <w:jc w:val="center"/>
        <w:rPr>
          <w:rFonts w:ascii="Times New Roman" w:hAnsi="Times New Roman" w:cs="Times New Roman"/>
          <w:sz w:val="24"/>
          <w:szCs w:val="24"/>
        </w:rPr>
      </w:pPr>
    </w:p>
    <w:p w14:paraId="4B4B1066" w14:textId="69893CFA" w:rsidR="0060460A" w:rsidRPr="000E7B7E" w:rsidRDefault="0060460A" w:rsidP="00150FA2">
      <w:pPr>
        <w:spacing w:after="0" w:line="480" w:lineRule="auto"/>
        <w:ind w:firstLine="720"/>
        <w:jc w:val="both"/>
        <w:rPr>
          <w:rFonts w:ascii="Times New Roman" w:hAnsi="Times New Roman" w:cs="Times New Roman"/>
          <w:sz w:val="24"/>
          <w:szCs w:val="24"/>
        </w:rPr>
      </w:pPr>
      <w:r w:rsidRPr="000E7B7E">
        <w:rPr>
          <w:rFonts w:ascii="Times New Roman" w:hAnsi="Times New Roman" w:cs="Times New Roman"/>
          <w:sz w:val="24"/>
          <w:szCs w:val="24"/>
        </w:rPr>
        <w:t xml:space="preserve">In some cases, failing to act can result in criminal culpability. A person may be charged with a crime for failing to act when they should, such as the duty to protect another person from danger. People may also be held criminally accountable if they neglect to take legal action when required, such as reporting a crime. Criminal culpability results when an action results in a legal violation and the perpetrator was in a guilty state of mind at the time. </w:t>
      </w:r>
      <w:r w:rsidR="008242F6" w:rsidRPr="000E7B7E">
        <w:rPr>
          <w:rFonts w:ascii="Times New Roman" w:hAnsi="Times New Roman" w:cs="Times New Roman"/>
          <w:sz w:val="24"/>
          <w:szCs w:val="24"/>
        </w:rPr>
        <w:t>T</w:t>
      </w:r>
      <w:r w:rsidRPr="000E7B7E">
        <w:rPr>
          <w:rFonts w:ascii="Times New Roman" w:hAnsi="Times New Roman" w:cs="Times New Roman"/>
          <w:sz w:val="24"/>
          <w:szCs w:val="24"/>
        </w:rPr>
        <w:t>he actus reus and the men</w:t>
      </w:r>
      <w:r w:rsidR="008242F6" w:rsidRPr="000E7B7E">
        <w:rPr>
          <w:rFonts w:ascii="Times New Roman" w:hAnsi="Times New Roman" w:cs="Times New Roman"/>
          <w:sz w:val="24"/>
          <w:szCs w:val="24"/>
        </w:rPr>
        <w:t>'</w:t>
      </w:r>
      <w:r w:rsidRPr="000E7B7E">
        <w:rPr>
          <w:rFonts w:ascii="Times New Roman" w:hAnsi="Times New Roman" w:cs="Times New Roman"/>
          <w:sz w:val="24"/>
          <w:szCs w:val="24"/>
        </w:rPr>
        <w:t>s rea must be present for criminal responsibility. Strict Approach: rigidly upholds the fundamental idea that actus reus and men</w:t>
      </w:r>
      <w:r w:rsidR="008242F6" w:rsidRPr="000E7B7E">
        <w:rPr>
          <w:rFonts w:ascii="Times New Roman" w:hAnsi="Times New Roman" w:cs="Times New Roman"/>
          <w:sz w:val="24"/>
          <w:szCs w:val="24"/>
        </w:rPr>
        <w:t>'</w:t>
      </w:r>
      <w:r w:rsidRPr="000E7B7E">
        <w:rPr>
          <w:rFonts w:ascii="Times New Roman" w:hAnsi="Times New Roman" w:cs="Times New Roman"/>
          <w:sz w:val="24"/>
          <w:szCs w:val="24"/>
        </w:rPr>
        <w:t xml:space="preserve">s rea must </w:t>
      </w:r>
      <w:proofErr w:type="gramStart"/>
      <w:r w:rsidRPr="000E7B7E">
        <w:rPr>
          <w:rFonts w:ascii="Times New Roman" w:hAnsi="Times New Roman" w:cs="Times New Roman"/>
          <w:sz w:val="24"/>
          <w:szCs w:val="24"/>
        </w:rPr>
        <w:t>be in agreement</w:t>
      </w:r>
      <w:proofErr w:type="gramEnd"/>
      <w:r w:rsidRPr="000E7B7E">
        <w:rPr>
          <w:rFonts w:ascii="Times New Roman" w:hAnsi="Times New Roman" w:cs="Times New Roman"/>
          <w:sz w:val="24"/>
          <w:szCs w:val="24"/>
        </w:rPr>
        <w:t xml:space="preserve"> for culpability. The defendant was accused of killing a man who had been beaten to death in the case R v. </w:t>
      </w:r>
      <w:proofErr w:type="spellStart"/>
      <w:r w:rsidRPr="000E7B7E">
        <w:rPr>
          <w:rFonts w:ascii="Times New Roman" w:hAnsi="Times New Roman" w:cs="Times New Roman"/>
          <w:sz w:val="24"/>
          <w:szCs w:val="24"/>
        </w:rPr>
        <w:t>Dytham</w:t>
      </w:r>
      <w:proofErr w:type="spellEnd"/>
      <w:r w:rsidRPr="000E7B7E">
        <w:rPr>
          <w:rFonts w:ascii="Times New Roman" w:hAnsi="Times New Roman" w:cs="Times New Roman"/>
          <w:sz w:val="24"/>
          <w:szCs w:val="24"/>
        </w:rPr>
        <w:t>. The defendant was present at the site of the crime, yet he did nothing to halt the assault or assist the victim. Despite not being physically involved in the attack, the court determined that the defendant was criminally responsible for the victim's death. The court found that failure to take steps to stop a crime from occurring makes a person responsible for it.</w:t>
      </w:r>
    </w:p>
    <w:p w14:paraId="19C0FA3D" w14:textId="5DA4FC39" w:rsidR="0060460A" w:rsidRPr="000E7B7E" w:rsidRDefault="0060460A" w:rsidP="00150FA2">
      <w:pPr>
        <w:spacing w:after="0" w:line="480" w:lineRule="auto"/>
        <w:ind w:firstLine="720"/>
        <w:jc w:val="both"/>
        <w:rPr>
          <w:rFonts w:ascii="Times New Roman" w:hAnsi="Times New Roman" w:cs="Times New Roman"/>
          <w:sz w:val="24"/>
          <w:szCs w:val="24"/>
        </w:rPr>
      </w:pPr>
      <w:r w:rsidRPr="000E7B7E">
        <w:rPr>
          <w:rFonts w:ascii="Times New Roman" w:hAnsi="Times New Roman" w:cs="Times New Roman"/>
          <w:sz w:val="24"/>
          <w:szCs w:val="24"/>
        </w:rPr>
        <w:t>The key component of a crime is the actus reus. To be declared guilty, the accused must have done something wrong. The men's rea is a crime's mental component. A person is only guilty of a crime if they intend to do the actus reus. There are, however, some instances where actus reus and men</w:t>
      </w:r>
      <w:r w:rsidR="008242F6" w:rsidRPr="000E7B7E">
        <w:rPr>
          <w:rFonts w:ascii="Times New Roman" w:hAnsi="Times New Roman" w:cs="Times New Roman"/>
          <w:sz w:val="24"/>
          <w:szCs w:val="24"/>
        </w:rPr>
        <w:t>'</w:t>
      </w:r>
      <w:r w:rsidRPr="000E7B7E">
        <w:rPr>
          <w:rFonts w:ascii="Times New Roman" w:hAnsi="Times New Roman" w:cs="Times New Roman"/>
          <w:sz w:val="24"/>
          <w:szCs w:val="24"/>
        </w:rPr>
        <w:t xml:space="preserve">s rea do not have to coincide:  When the necessary </w:t>
      </w:r>
      <w:proofErr w:type="spellStart"/>
      <w:r w:rsidRPr="000E7B7E">
        <w:rPr>
          <w:rFonts w:ascii="Times New Roman" w:hAnsi="Times New Roman" w:cs="Times New Roman"/>
          <w:sz w:val="24"/>
          <w:szCs w:val="24"/>
        </w:rPr>
        <w:t>mens</w:t>
      </w:r>
      <w:proofErr w:type="spellEnd"/>
      <w:r w:rsidR="000E7B7E">
        <w:rPr>
          <w:rFonts w:ascii="Times New Roman" w:hAnsi="Times New Roman" w:cs="Times New Roman"/>
          <w:sz w:val="24"/>
          <w:szCs w:val="24"/>
        </w:rPr>
        <w:t xml:space="preserve"> </w:t>
      </w:r>
      <w:r w:rsidRPr="000E7B7E">
        <w:rPr>
          <w:rFonts w:ascii="Times New Roman" w:hAnsi="Times New Roman" w:cs="Times New Roman"/>
          <w:sz w:val="24"/>
          <w:szCs w:val="24"/>
        </w:rPr>
        <w:t xml:space="preserve">rea is present, the symbolic act treats the actus reus as a single, continuous transaction. The most crucial aspect of the crime in People v. </w:t>
      </w:r>
      <w:proofErr w:type="spellStart"/>
      <w:r w:rsidRPr="000E7B7E">
        <w:rPr>
          <w:rFonts w:ascii="Times New Roman" w:hAnsi="Times New Roman" w:cs="Times New Roman"/>
          <w:sz w:val="24"/>
          <w:szCs w:val="24"/>
        </w:rPr>
        <w:t>Decina</w:t>
      </w:r>
      <w:proofErr w:type="spellEnd"/>
      <w:r w:rsidRPr="000E7B7E">
        <w:rPr>
          <w:rFonts w:ascii="Times New Roman" w:hAnsi="Times New Roman" w:cs="Times New Roman"/>
          <w:sz w:val="24"/>
          <w:szCs w:val="24"/>
        </w:rPr>
        <w:t xml:space="preserve"> was the actus reus. After colliding with another vehicle and killing its driver, the </w:t>
      </w:r>
      <w:r w:rsidRPr="000E7B7E">
        <w:rPr>
          <w:rFonts w:ascii="Times New Roman" w:hAnsi="Times New Roman" w:cs="Times New Roman"/>
          <w:sz w:val="24"/>
          <w:szCs w:val="24"/>
        </w:rPr>
        <w:lastRenderedPageBreak/>
        <w:t>defendant was accused of drunk driving. According to the court, the defendant was determined to have caused the collision by operating his vehicle while drunk, which was the primary offen</w:t>
      </w:r>
      <w:r w:rsidR="008242F6" w:rsidRPr="000E7B7E">
        <w:rPr>
          <w:rFonts w:ascii="Times New Roman" w:hAnsi="Times New Roman" w:cs="Times New Roman"/>
          <w:sz w:val="24"/>
          <w:szCs w:val="24"/>
        </w:rPr>
        <w:t>c</w:t>
      </w:r>
      <w:r w:rsidRPr="000E7B7E">
        <w:rPr>
          <w:rFonts w:ascii="Times New Roman" w:hAnsi="Times New Roman" w:cs="Times New Roman"/>
          <w:sz w:val="24"/>
          <w:szCs w:val="24"/>
        </w:rPr>
        <w:t>e.</w:t>
      </w:r>
    </w:p>
    <w:p w14:paraId="1B4CC031" w14:textId="4ECC92B0" w:rsidR="0060460A" w:rsidRPr="000E7B7E" w:rsidRDefault="0060460A" w:rsidP="00150FA2">
      <w:pPr>
        <w:spacing w:after="0" w:line="480" w:lineRule="auto"/>
        <w:ind w:firstLine="720"/>
        <w:jc w:val="both"/>
        <w:rPr>
          <w:rFonts w:ascii="Times New Roman" w:hAnsi="Times New Roman" w:cs="Times New Roman"/>
          <w:sz w:val="24"/>
          <w:szCs w:val="24"/>
        </w:rPr>
      </w:pPr>
      <w:r w:rsidRPr="000E7B7E">
        <w:rPr>
          <w:rFonts w:ascii="Times New Roman" w:hAnsi="Times New Roman" w:cs="Times New Roman"/>
          <w:sz w:val="24"/>
          <w:szCs w:val="24"/>
        </w:rPr>
        <w:t xml:space="preserve">Series of </w:t>
      </w:r>
      <w:proofErr w:type="gramStart"/>
      <w:r w:rsidRPr="000E7B7E">
        <w:rPr>
          <w:rFonts w:ascii="Times New Roman" w:hAnsi="Times New Roman" w:cs="Times New Roman"/>
          <w:sz w:val="24"/>
          <w:szCs w:val="24"/>
        </w:rPr>
        <w:t>Acts:</w:t>
      </w:r>
      <w:proofErr w:type="gramEnd"/>
      <w:r w:rsidRPr="000E7B7E">
        <w:rPr>
          <w:rFonts w:ascii="Times New Roman" w:hAnsi="Times New Roman" w:cs="Times New Roman"/>
          <w:sz w:val="24"/>
          <w:szCs w:val="24"/>
        </w:rPr>
        <w:t xml:space="preserve"> handles several separate actions as if they were one </w:t>
      </w:r>
      <w:r w:rsidR="008242F6" w:rsidRPr="000E7B7E">
        <w:rPr>
          <w:rFonts w:ascii="Times New Roman" w:hAnsi="Times New Roman" w:cs="Times New Roman"/>
          <w:sz w:val="24"/>
          <w:szCs w:val="24"/>
        </w:rPr>
        <w:t>more significant</w:t>
      </w:r>
      <w:r w:rsidRPr="000E7B7E">
        <w:rPr>
          <w:rFonts w:ascii="Times New Roman" w:hAnsi="Times New Roman" w:cs="Times New Roman"/>
          <w:sz w:val="24"/>
          <w:szCs w:val="24"/>
        </w:rPr>
        <w:t xml:space="preserve"> transaction. Even if the accused did not have the essential men -rea at the exact moment the conduct that caused the death occurred, liability might nevertheless be attached if the accused did have it at some point in the series of acts. This strategy also applies in cases where there is a deliberate plan to kill but no </w:t>
      </w:r>
      <w:r w:rsidR="008242F6" w:rsidRPr="000E7B7E">
        <w:rPr>
          <w:rFonts w:ascii="Times New Roman" w:hAnsi="Times New Roman" w:cs="Times New Roman"/>
          <w:sz w:val="24"/>
          <w:szCs w:val="24"/>
        </w:rPr>
        <w:t>apparent</w:t>
      </w:r>
      <w:r w:rsidRPr="000E7B7E">
        <w:rPr>
          <w:rFonts w:ascii="Times New Roman" w:hAnsi="Times New Roman" w:cs="Times New Roman"/>
          <w:sz w:val="24"/>
          <w:szCs w:val="24"/>
        </w:rPr>
        <w:t xml:space="preserve"> intention to do so, where there is a plan to kill, but the choice to dispose of the body in a certain way is made later. In line with a predetermined strategy, the appellants led the victim to a hut where they offered him a beer and then struck him on the head while he was drunk, claims </w:t>
      </w:r>
      <w:r w:rsidR="00703669" w:rsidRPr="000E7B7E">
        <w:rPr>
          <w:rFonts w:ascii="Times New Roman" w:hAnsi="Times New Roman" w:cs="Times New Roman"/>
          <w:sz w:val="24"/>
          <w:szCs w:val="24"/>
        </w:rPr>
        <w:t>Miller</w:t>
      </w:r>
      <w:r w:rsidRPr="000E7B7E">
        <w:rPr>
          <w:rFonts w:ascii="Times New Roman" w:hAnsi="Times New Roman" w:cs="Times New Roman"/>
          <w:sz w:val="24"/>
          <w:szCs w:val="24"/>
        </w:rPr>
        <w:t xml:space="preserve"> from 1983. They rolled his body down a cliff after they thought he had passed away to make his demise appear accidental. The victim perished from exposure when lying unconscious at the base of the cliff. When there were two acts—the first to kill and the second to dispose of the body—those acts are viewed as a sequence of activities carried out in support of a single transaction. There is no question that the accused intended to carry out </w:t>
      </w:r>
      <w:proofErr w:type="gramStart"/>
      <w:r w:rsidRPr="000E7B7E">
        <w:rPr>
          <w:rFonts w:ascii="Times New Roman" w:hAnsi="Times New Roman" w:cs="Times New Roman"/>
          <w:sz w:val="24"/>
          <w:szCs w:val="24"/>
        </w:rPr>
        <w:t>all of</w:t>
      </w:r>
      <w:proofErr w:type="gramEnd"/>
      <w:r w:rsidRPr="000E7B7E">
        <w:rPr>
          <w:rFonts w:ascii="Times New Roman" w:hAnsi="Times New Roman" w:cs="Times New Roman"/>
          <w:sz w:val="24"/>
          <w:szCs w:val="24"/>
        </w:rPr>
        <w:t xml:space="preserve"> these actions to carry out their plan, but just because they believed their guilty intent had been fulfilled at one point before it was realized does not exempt them from the consequences of the law. Just because the accused were briefly mistaken for someone else while carrying out their criminal plan does not make their crime any less of a crime than murder.</w:t>
      </w:r>
    </w:p>
    <w:p w14:paraId="6A75DCF5" w14:textId="77777777" w:rsidR="0060460A" w:rsidRPr="000E7B7E" w:rsidRDefault="0060460A" w:rsidP="00150FA2">
      <w:pPr>
        <w:spacing w:after="0" w:line="480" w:lineRule="auto"/>
        <w:ind w:firstLine="720"/>
        <w:jc w:val="both"/>
        <w:rPr>
          <w:rFonts w:ascii="Times New Roman" w:hAnsi="Times New Roman" w:cs="Times New Roman"/>
          <w:sz w:val="24"/>
          <w:szCs w:val="24"/>
        </w:rPr>
      </w:pPr>
      <w:r w:rsidRPr="000E7B7E">
        <w:rPr>
          <w:rFonts w:ascii="Times New Roman" w:hAnsi="Times New Roman" w:cs="Times New Roman"/>
          <w:sz w:val="24"/>
          <w:szCs w:val="24"/>
        </w:rPr>
        <w:t xml:space="preserve">Criminal responsibility for an act is only established when there is an unbroken chain of cause and effect, meaning the harm can be directly linked to the accused's act. The accused is only released from responsibility if another unrelated factor disrupts the chain of events that his act started. Proctor and Gibbins: The deceased's intestines had ruptured, so he was sent to the hospital. He was not operated upon when he left the hospital on his own. He passed away due to an untreated </w:t>
      </w:r>
      <w:r w:rsidRPr="000E7B7E">
        <w:rPr>
          <w:rFonts w:ascii="Times New Roman" w:hAnsi="Times New Roman" w:cs="Times New Roman"/>
          <w:sz w:val="24"/>
          <w:szCs w:val="24"/>
        </w:rPr>
        <w:lastRenderedPageBreak/>
        <w:t>intestinal rupture infection and inflammation not addressed by surgery. Although it was claimed that the deceased was at fault, the court rejected the appeal because it was unable to establish either that the rupture was not the operating and substantial cause of the death or that the failure to operate was the reason for the decedent's passing.</w:t>
      </w:r>
    </w:p>
    <w:p w14:paraId="46AA95F2" w14:textId="01348373" w:rsidR="0060460A" w:rsidRPr="000E7B7E" w:rsidRDefault="0060460A" w:rsidP="00150FA2">
      <w:pPr>
        <w:spacing w:after="0" w:line="480" w:lineRule="auto"/>
        <w:ind w:firstLine="720"/>
        <w:jc w:val="both"/>
        <w:rPr>
          <w:rFonts w:ascii="Times New Roman" w:hAnsi="Times New Roman" w:cs="Times New Roman"/>
          <w:sz w:val="24"/>
          <w:szCs w:val="24"/>
        </w:rPr>
      </w:pPr>
      <w:r w:rsidRPr="000E7B7E">
        <w:rPr>
          <w:rFonts w:ascii="Times New Roman" w:hAnsi="Times New Roman" w:cs="Times New Roman"/>
          <w:sz w:val="24"/>
          <w:szCs w:val="24"/>
        </w:rPr>
        <w:t xml:space="preserve">There may be a fixed duty to act when there is a reasonable anticipation that someone will suffer harm if the obligation is not fulfilled. In </w:t>
      </w:r>
      <w:r w:rsidR="000E7B7E" w:rsidRPr="000E7B7E">
        <w:rPr>
          <w:rFonts w:ascii="Times New Roman" w:hAnsi="Times New Roman" w:cs="Times New Roman"/>
          <w:sz w:val="24"/>
          <w:szCs w:val="24"/>
        </w:rPr>
        <w:t>Airedale</w:t>
      </w:r>
      <w:r w:rsidRPr="000E7B7E">
        <w:rPr>
          <w:rFonts w:ascii="Times New Roman" w:hAnsi="Times New Roman" w:cs="Times New Roman"/>
          <w:sz w:val="24"/>
          <w:szCs w:val="24"/>
        </w:rPr>
        <w:t xml:space="preserve"> N</w:t>
      </w:r>
      <w:r w:rsidR="008242F6" w:rsidRPr="000E7B7E">
        <w:rPr>
          <w:rFonts w:ascii="Times New Roman" w:hAnsi="Times New Roman" w:cs="Times New Roman"/>
          <w:sz w:val="24"/>
          <w:szCs w:val="24"/>
        </w:rPr>
        <w:t>.H.S.</w:t>
      </w:r>
      <w:r w:rsidRPr="000E7B7E">
        <w:rPr>
          <w:rFonts w:ascii="Times New Roman" w:hAnsi="Times New Roman" w:cs="Times New Roman"/>
          <w:sz w:val="24"/>
          <w:szCs w:val="24"/>
        </w:rPr>
        <w:t xml:space="preserve"> Trust v. Bland, a 14-year-old child who sustained a brain injury spent several years in a vegetative state. The hospital staff was responsible for catering to his basic needs, but they were not obligated to actively treat him because doing so would not have been in his best interests. The hospital staff did not have a duty to try to keep him alive actively, the court ruled, but they did have a duty to take reasonable precautions to preserve him from injury.</w:t>
      </w:r>
    </w:p>
    <w:p w14:paraId="194730D2" w14:textId="55BA3FAA" w:rsidR="0060460A" w:rsidRPr="000E7B7E" w:rsidRDefault="0060460A" w:rsidP="00150FA2">
      <w:pPr>
        <w:spacing w:after="0" w:line="480" w:lineRule="auto"/>
        <w:ind w:firstLine="720"/>
        <w:jc w:val="both"/>
        <w:rPr>
          <w:rFonts w:ascii="Times New Roman" w:hAnsi="Times New Roman" w:cs="Times New Roman"/>
          <w:sz w:val="24"/>
          <w:szCs w:val="24"/>
        </w:rPr>
      </w:pPr>
      <w:r w:rsidRPr="000E7B7E">
        <w:rPr>
          <w:rFonts w:ascii="Times New Roman" w:hAnsi="Times New Roman" w:cs="Times New Roman"/>
          <w:sz w:val="24"/>
          <w:szCs w:val="24"/>
        </w:rPr>
        <w:t xml:space="preserve">Even if it isn't specifically specified in their job description, someone in a position of responsibility may be obliged to act to stop or lessen harm. For instance, even if their </w:t>
      </w:r>
      <w:r w:rsidR="008242F6" w:rsidRPr="000E7B7E">
        <w:rPr>
          <w:rFonts w:ascii="Times New Roman" w:hAnsi="Times New Roman" w:cs="Times New Roman"/>
          <w:sz w:val="24"/>
          <w:szCs w:val="24"/>
        </w:rPr>
        <w:t>primary</w:t>
      </w:r>
      <w:r w:rsidRPr="000E7B7E">
        <w:rPr>
          <w:rFonts w:ascii="Times New Roman" w:hAnsi="Times New Roman" w:cs="Times New Roman"/>
          <w:sz w:val="24"/>
          <w:szCs w:val="24"/>
        </w:rPr>
        <w:t xml:space="preserve"> responsibility is to patrol the area, a police officer may be required to interfere if they see a crime being committed. Even though it wasn't explicitly specified in their job description, the court concluded that the employer in the </w:t>
      </w:r>
      <w:proofErr w:type="spellStart"/>
      <w:r w:rsidRPr="000E7B7E">
        <w:rPr>
          <w:rFonts w:ascii="Times New Roman" w:hAnsi="Times New Roman" w:cs="Times New Roman"/>
          <w:sz w:val="24"/>
          <w:szCs w:val="24"/>
        </w:rPr>
        <w:t>Pittwood</w:t>
      </w:r>
      <w:proofErr w:type="spellEnd"/>
      <w:r w:rsidRPr="000E7B7E">
        <w:rPr>
          <w:rFonts w:ascii="Times New Roman" w:hAnsi="Times New Roman" w:cs="Times New Roman"/>
          <w:sz w:val="24"/>
          <w:szCs w:val="24"/>
        </w:rPr>
        <w:t xml:space="preserve"> case had a duty to act to stop or lessen harm. The employer </w:t>
      </w:r>
      <w:r w:rsidR="008242F6" w:rsidRPr="000E7B7E">
        <w:rPr>
          <w:rFonts w:ascii="Times New Roman" w:hAnsi="Times New Roman" w:cs="Times New Roman"/>
          <w:sz w:val="24"/>
          <w:szCs w:val="24"/>
        </w:rPr>
        <w:t>was obliged</w:t>
      </w:r>
      <w:r w:rsidRPr="000E7B7E">
        <w:rPr>
          <w:rFonts w:ascii="Times New Roman" w:hAnsi="Times New Roman" w:cs="Times New Roman"/>
          <w:sz w:val="24"/>
          <w:szCs w:val="24"/>
        </w:rPr>
        <w:t xml:space="preserve"> to take steps to prevent or </w:t>
      </w:r>
      <w:r w:rsidR="008242F6" w:rsidRPr="000E7B7E">
        <w:rPr>
          <w:rFonts w:ascii="Times New Roman" w:hAnsi="Times New Roman" w:cs="Times New Roman"/>
          <w:sz w:val="24"/>
          <w:szCs w:val="24"/>
        </w:rPr>
        <w:t>reduce</w:t>
      </w:r>
      <w:r w:rsidRPr="000E7B7E">
        <w:rPr>
          <w:rFonts w:ascii="Times New Roman" w:hAnsi="Times New Roman" w:cs="Times New Roman"/>
          <w:sz w:val="24"/>
          <w:szCs w:val="24"/>
        </w:rPr>
        <w:t xml:space="preserve"> the harm, so the court determined that the employer was responsible for the damages brought on by the employee's negligence.</w:t>
      </w:r>
    </w:p>
    <w:p w14:paraId="5B289BD7" w14:textId="77777777" w:rsidR="0060460A" w:rsidRPr="000E7B7E" w:rsidRDefault="0060460A" w:rsidP="00150FA2">
      <w:pPr>
        <w:spacing w:after="0" w:line="480" w:lineRule="auto"/>
        <w:ind w:firstLine="720"/>
        <w:jc w:val="both"/>
        <w:rPr>
          <w:rFonts w:ascii="Times New Roman" w:hAnsi="Times New Roman" w:cs="Times New Roman"/>
          <w:sz w:val="24"/>
          <w:szCs w:val="24"/>
        </w:rPr>
      </w:pPr>
      <w:r w:rsidRPr="000E7B7E">
        <w:rPr>
          <w:rFonts w:ascii="Times New Roman" w:hAnsi="Times New Roman" w:cs="Times New Roman"/>
          <w:sz w:val="24"/>
          <w:szCs w:val="24"/>
        </w:rPr>
        <w:t xml:space="preserve">When one person has a relationship with another person that gives rise to a reasonable expectation that the other person will act to prevent reasonably foreseeable harm, there is a common law obligation to act. Wacker (2009) describes two people strolling along a sidewalk next to a busy street. When one person notices a car speeding in their direction, they yell at the other person to move out of the path. The person who received a warning can move out of the way and </w:t>
      </w:r>
      <w:r w:rsidRPr="000E7B7E">
        <w:rPr>
          <w:rFonts w:ascii="Times New Roman" w:hAnsi="Times New Roman" w:cs="Times New Roman"/>
          <w:sz w:val="24"/>
          <w:szCs w:val="24"/>
        </w:rPr>
        <w:lastRenderedPageBreak/>
        <w:t>prevent being struck by the car. In this instance, the person who alerted the other party to the speeding car performed their common law obligation to take appropriate action.</w:t>
      </w:r>
    </w:p>
    <w:p w14:paraId="3FEF5FBF" w14:textId="77777777" w:rsidR="0060460A" w:rsidRPr="000E7B7E" w:rsidRDefault="0060460A" w:rsidP="00150FA2">
      <w:pPr>
        <w:spacing w:after="0" w:line="480" w:lineRule="auto"/>
        <w:ind w:firstLine="720"/>
        <w:jc w:val="both"/>
        <w:rPr>
          <w:rFonts w:ascii="Times New Roman" w:hAnsi="Times New Roman" w:cs="Times New Roman"/>
          <w:sz w:val="24"/>
          <w:szCs w:val="24"/>
        </w:rPr>
      </w:pPr>
    </w:p>
    <w:p w14:paraId="5D38F7A7" w14:textId="3BC163B1" w:rsidR="0060460A" w:rsidRPr="000E7B7E" w:rsidRDefault="0060460A" w:rsidP="00150FA2">
      <w:pPr>
        <w:spacing w:after="0" w:line="480" w:lineRule="auto"/>
        <w:ind w:firstLine="720"/>
        <w:jc w:val="both"/>
        <w:rPr>
          <w:rFonts w:ascii="Times New Roman" w:hAnsi="Times New Roman" w:cs="Times New Roman"/>
          <w:sz w:val="24"/>
          <w:szCs w:val="24"/>
        </w:rPr>
      </w:pPr>
      <w:r w:rsidRPr="000E7B7E">
        <w:rPr>
          <w:rFonts w:ascii="Times New Roman" w:hAnsi="Times New Roman" w:cs="Times New Roman"/>
          <w:sz w:val="24"/>
          <w:szCs w:val="24"/>
        </w:rPr>
        <w:t xml:space="preserve">An obligation to act may become necessary in a variety of circumstances. For instance, you are responsible for attempting to save the </w:t>
      </w:r>
      <w:r w:rsidR="008242F6" w:rsidRPr="000E7B7E">
        <w:rPr>
          <w:rFonts w:ascii="Times New Roman" w:hAnsi="Times New Roman" w:cs="Times New Roman"/>
          <w:sz w:val="24"/>
          <w:szCs w:val="24"/>
        </w:rPr>
        <w:t>drowning person</w:t>
      </w:r>
      <w:r w:rsidRPr="000E7B7E">
        <w:rPr>
          <w:rFonts w:ascii="Times New Roman" w:hAnsi="Times New Roman" w:cs="Times New Roman"/>
          <w:sz w:val="24"/>
          <w:szCs w:val="24"/>
        </w:rPr>
        <w:t xml:space="preserve"> if you are the only person close and you observe them. There are three basic categories in which a responsibility to intervene can arise, according to the Stone and Dobinson case law: 1) When the parties have an established relationship, 2) when one party </w:t>
      </w:r>
      <w:proofErr w:type="gramStart"/>
      <w:r w:rsidRPr="000E7B7E">
        <w:rPr>
          <w:rFonts w:ascii="Times New Roman" w:hAnsi="Times New Roman" w:cs="Times New Roman"/>
          <w:sz w:val="24"/>
          <w:szCs w:val="24"/>
        </w:rPr>
        <w:t>is in charge of</w:t>
      </w:r>
      <w:proofErr w:type="gramEnd"/>
      <w:r w:rsidRPr="000E7B7E">
        <w:rPr>
          <w:rFonts w:ascii="Times New Roman" w:hAnsi="Times New Roman" w:cs="Times New Roman"/>
          <w:sz w:val="24"/>
          <w:szCs w:val="24"/>
        </w:rPr>
        <w:t xml:space="preserve"> another's safety, and 3) when one party has brought about a hazardous scenario. An obligation to act may result from an earlier connection between the parties in the first group. This might be the situation, for instance, where a parent is responsible for taking care of their child or a doctor is responsible for taking care of their patient. When one person assumes liability for the safety of another, a duty to act may result in the second category. This might apply, for instance, when a lifeguard </w:t>
      </w:r>
      <w:proofErr w:type="gramStart"/>
      <w:r w:rsidRPr="000E7B7E">
        <w:rPr>
          <w:rFonts w:ascii="Times New Roman" w:hAnsi="Times New Roman" w:cs="Times New Roman"/>
          <w:sz w:val="24"/>
          <w:szCs w:val="24"/>
        </w:rPr>
        <w:t>is in charge of</w:t>
      </w:r>
      <w:proofErr w:type="gramEnd"/>
      <w:r w:rsidRPr="000E7B7E">
        <w:rPr>
          <w:rFonts w:ascii="Times New Roman" w:hAnsi="Times New Roman" w:cs="Times New Roman"/>
          <w:sz w:val="24"/>
          <w:szCs w:val="24"/>
        </w:rPr>
        <w:t xml:space="preserve"> ensuring the safety of swimmers in a pool or when a teacher is in charge of ensuring the safety of children in a classroom. A duty to act may occur in the third category when one party has brought about a hazardous situation. This can be the case, for instance, when a motorist causes a </w:t>
      </w:r>
      <w:r w:rsidR="000E7B7E" w:rsidRPr="000E7B7E">
        <w:rPr>
          <w:rFonts w:ascii="Times New Roman" w:hAnsi="Times New Roman" w:cs="Times New Roman"/>
          <w:sz w:val="24"/>
          <w:szCs w:val="24"/>
        </w:rPr>
        <w:t>collision,</w:t>
      </w:r>
      <w:r w:rsidRPr="000E7B7E">
        <w:rPr>
          <w:rFonts w:ascii="Times New Roman" w:hAnsi="Times New Roman" w:cs="Times New Roman"/>
          <w:sz w:val="24"/>
          <w:szCs w:val="24"/>
        </w:rPr>
        <w:t xml:space="preserve"> or a property owner neglects to fix a hazardous situation on their land.</w:t>
      </w:r>
    </w:p>
    <w:p w14:paraId="6D81B6A1" w14:textId="68AFCFD5" w:rsidR="00E2252C" w:rsidRPr="000E7B7E" w:rsidRDefault="0060460A" w:rsidP="00150FA2">
      <w:pPr>
        <w:spacing w:after="0" w:line="480" w:lineRule="auto"/>
        <w:ind w:firstLine="720"/>
        <w:jc w:val="both"/>
        <w:rPr>
          <w:rFonts w:ascii="Times New Roman" w:hAnsi="Times New Roman" w:cs="Times New Roman"/>
          <w:sz w:val="24"/>
          <w:szCs w:val="24"/>
        </w:rPr>
      </w:pPr>
      <w:r w:rsidRPr="000E7B7E">
        <w:rPr>
          <w:rFonts w:ascii="Times New Roman" w:hAnsi="Times New Roman" w:cs="Times New Roman"/>
          <w:sz w:val="24"/>
          <w:szCs w:val="24"/>
        </w:rPr>
        <w:t>A universal obligation act has benefits and drawbacks. A general obligation law would establish a precedent that businesses are responsible for safeguarding their workers. This might result in lawsuits against companies for workplace accidents or fatalities, regardless of whether they were preventable. Employers might incur higher costs</w:t>
      </w:r>
      <w:r w:rsidR="008242F6" w:rsidRPr="000E7B7E">
        <w:rPr>
          <w:rFonts w:ascii="Times New Roman" w:hAnsi="Times New Roman" w:cs="Times New Roman"/>
          <w:sz w:val="24"/>
          <w:szCs w:val="24"/>
        </w:rPr>
        <w:t>;</w:t>
      </w:r>
      <w:r w:rsidRPr="000E7B7E">
        <w:rPr>
          <w:rFonts w:ascii="Times New Roman" w:hAnsi="Times New Roman" w:cs="Times New Roman"/>
          <w:sz w:val="24"/>
          <w:szCs w:val="24"/>
        </w:rPr>
        <w:t xml:space="preserve"> as a result, making it harder for them to remain in operation. A general duty law, on the other hand, would hold businesses more responsible for the safety of their workers, which would increase workplace safety.</w:t>
      </w:r>
    </w:p>
    <w:p w14:paraId="3F898B2C" w14:textId="77777777" w:rsidR="00150FA2" w:rsidRPr="000E7B7E" w:rsidRDefault="00150FA2">
      <w:pPr>
        <w:rPr>
          <w:rFonts w:ascii="Times New Roman" w:hAnsi="Times New Roman" w:cs="Times New Roman"/>
          <w:sz w:val="24"/>
          <w:szCs w:val="24"/>
        </w:rPr>
      </w:pPr>
      <w:r w:rsidRPr="000E7B7E">
        <w:rPr>
          <w:rFonts w:ascii="Times New Roman" w:hAnsi="Times New Roman" w:cs="Times New Roman"/>
          <w:sz w:val="24"/>
          <w:szCs w:val="24"/>
        </w:rPr>
        <w:lastRenderedPageBreak/>
        <w:br w:type="page"/>
      </w:r>
    </w:p>
    <w:p w14:paraId="24482D16" w14:textId="1A22AE68" w:rsidR="0060460A" w:rsidRPr="00150FA2" w:rsidRDefault="0060460A" w:rsidP="00150FA2">
      <w:pPr>
        <w:spacing w:after="0" w:line="480" w:lineRule="auto"/>
        <w:ind w:firstLine="720"/>
        <w:jc w:val="center"/>
        <w:rPr>
          <w:rFonts w:ascii="Times New Roman" w:hAnsi="Times New Roman" w:cs="Times New Roman"/>
          <w:b/>
          <w:bCs/>
          <w:sz w:val="24"/>
          <w:szCs w:val="24"/>
        </w:rPr>
      </w:pPr>
      <w:r w:rsidRPr="00150FA2">
        <w:rPr>
          <w:rFonts w:ascii="Times New Roman" w:hAnsi="Times New Roman" w:cs="Times New Roman"/>
          <w:b/>
          <w:bCs/>
          <w:sz w:val="24"/>
          <w:szCs w:val="24"/>
        </w:rPr>
        <w:lastRenderedPageBreak/>
        <w:t>References</w:t>
      </w:r>
    </w:p>
    <w:p w14:paraId="2AF6EAA5" w14:textId="77777777" w:rsidR="00703669" w:rsidRPr="00DC0069" w:rsidRDefault="00703669" w:rsidP="00150FA2">
      <w:pPr>
        <w:spacing w:after="0" w:line="480" w:lineRule="auto"/>
        <w:jc w:val="both"/>
        <w:rPr>
          <w:rFonts w:ascii="Times New Roman" w:hAnsi="Times New Roman" w:cs="Times New Roman"/>
          <w:i/>
          <w:iCs/>
          <w:color w:val="222222"/>
          <w:sz w:val="24"/>
          <w:szCs w:val="24"/>
          <w:shd w:val="clear" w:color="auto" w:fill="FFFFFF"/>
        </w:rPr>
      </w:pPr>
      <w:sdt>
        <w:sdtPr>
          <w:rPr>
            <w:rFonts w:ascii="Times New Roman" w:hAnsi="Times New Roman" w:cs="Times New Roman"/>
            <w:i/>
            <w:iCs/>
            <w:color w:val="222222"/>
            <w:sz w:val="24"/>
            <w:szCs w:val="24"/>
            <w:shd w:val="clear" w:color="auto" w:fill="FFFFFF"/>
          </w:rPr>
          <w:id w:val="1944655458"/>
          <w:citation/>
        </w:sdtPr>
        <w:sdtContent>
          <w:r w:rsidRPr="00DC0069">
            <w:rPr>
              <w:rFonts w:ascii="Times New Roman" w:hAnsi="Times New Roman" w:cs="Times New Roman"/>
              <w:i/>
              <w:iCs/>
              <w:color w:val="222222"/>
              <w:sz w:val="24"/>
              <w:szCs w:val="24"/>
              <w:shd w:val="clear" w:color="auto" w:fill="FFFFFF"/>
            </w:rPr>
            <w:fldChar w:fldCharType="begin"/>
          </w:r>
          <w:r w:rsidRPr="00DC0069">
            <w:rPr>
              <w:rFonts w:ascii="Times New Roman" w:hAnsi="Times New Roman" w:cs="Times New Roman"/>
              <w:i/>
              <w:iCs/>
              <w:color w:val="222222"/>
              <w:sz w:val="24"/>
              <w:szCs w:val="24"/>
              <w:shd w:val="clear" w:color="auto" w:fill="FFFFFF"/>
              <w:lang w:val="en-GB"/>
            </w:rPr>
            <w:instrText xml:space="preserve"> CITATION Air93 \l 2057 </w:instrText>
          </w:r>
          <w:r w:rsidRPr="00DC0069">
            <w:rPr>
              <w:rFonts w:ascii="Times New Roman" w:hAnsi="Times New Roman" w:cs="Times New Roman"/>
              <w:i/>
              <w:iCs/>
              <w:color w:val="222222"/>
              <w:sz w:val="24"/>
              <w:szCs w:val="24"/>
              <w:shd w:val="clear" w:color="auto" w:fill="FFFFFF"/>
            </w:rPr>
            <w:fldChar w:fldCharType="separate"/>
          </w:r>
          <w:r w:rsidRPr="00DC0069">
            <w:rPr>
              <w:rFonts w:ascii="Times New Roman" w:hAnsi="Times New Roman" w:cs="Times New Roman"/>
              <w:i/>
              <w:iCs/>
              <w:noProof/>
              <w:color w:val="222222"/>
              <w:sz w:val="24"/>
              <w:szCs w:val="24"/>
              <w:shd w:val="clear" w:color="auto" w:fill="FFFFFF"/>
              <w:lang w:val="en-GB"/>
            </w:rPr>
            <w:t>(Airedale National Health Service Trust v. Bland, 2 W.L.R. 316 (1993)., 1993)</w:t>
          </w:r>
          <w:r w:rsidRPr="00DC0069">
            <w:rPr>
              <w:rFonts w:ascii="Times New Roman" w:hAnsi="Times New Roman" w:cs="Times New Roman"/>
              <w:i/>
              <w:iCs/>
              <w:color w:val="222222"/>
              <w:sz w:val="24"/>
              <w:szCs w:val="24"/>
              <w:shd w:val="clear" w:color="auto" w:fill="FFFFFF"/>
            </w:rPr>
            <w:fldChar w:fldCharType="end"/>
          </w:r>
        </w:sdtContent>
      </w:sdt>
    </w:p>
    <w:p w14:paraId="328D56C8" w14:textId="77777777" w:rsidR="00703669" w:rsidRPr="00DC0069" w:rsidRDefault="00703669" w:rsidP="00150FA2">
      <w:pPr>
        <w:spacing w:after="0" w:line="480" w:lineRule="auto"/>
        <w:jc w:val="both"/>
        <w:rPr>
          <w:rFonts w:ascii="Times New Roman" w:hAnsi="Times New Roman" w:cs="Times New Roman"/>
          <w:i/>
          <w:iCs/>
          <w:color w:val="222222"/>
          <w:sz w:val="24"/>
          <w:szCs w:val="24"/>
          <w:shd w:val="clear" w:color="auto" w:fill="FFFFFF"/>
        </w:rPr>
      </w:pPr>
      <w:sdt>
        <w:sdtPr>
          <w:rPr>
            <w:rFonts w:ascii="Times New Roman" w:hAnsi="Times New Roman" w:cs="Times New Roman"/>
            <w:i/>
            <w:iCs/>
            <w:color w:val="222222"/>
            <w:sz w:val="24"/>
            <w:szCs w:val="24"/>
            <w:shd w:val="clear" w:color="auto" w:fill="FFFFFF"/>
          </w:rPr>
          <w:id w:val="1394779087"/>
          <w:citation/>
        </w:sdtPr>
        <w:sdtContent>
          <w:r w:rsidRPr="00DC0069">
            <w:rPr>
              <w:rFonts w:ascii="Times New Roman" w:hAnsi="Times New Roman" w:cs="Times New Roman"/>
              <w:i/>
              <w:iCs/>
              <w:color w:val="222222"/>
              <w:sz w:val="24"/>
              <w:szCs w:val="24"/>
              <w:shd w:val="clear" w:color="auto" w:fill="FFFFFF"/>
            </w:rPr>
            <w:fldChar w:fldCharType="begin"/>
          </w:r>
          <w:r w:rsidRPr="00DC0069">
            <w:rPr>
              <w:rFonts w:ascii="Times New Roman" w:hAnsi="Times New Roman" w:cs="Times New Roman"/>
              <w:i/>
              <w:iCs/>
              <w:color w:val="222222"/>
              <w:sz w:val="24"/>
              <w:szCs w:val="24"/>
              <w:shd w:val="clear" w:color="auto" w:fill="FFFFFF"/>
              <w:lang w:val="en-GB"/>
            </w:rPr>
            <w:instrText xml:space="preserve"> CITATION Mil83 \l 2057 </w:instrText>
          </w:r>
          <w:r w:rsidRPr="00DC0069">
            <w:rPr>
              <w:rFonts w:ascii="Times New Roman" w:hAnsi="Times New Roman" w:cs="Times New Roman"/>
              <w:i/>
              <w:iCs/>
              <w:color w:val="222222"/>
              <w:sz w:val="24"/>
              <w:szCs w:val="24"/>
              <w:shd w:val="clear" w:color="auto" w:fill="FFFFFF"/>
            </w:rPr>
            <w:fldChar w:fldCharType="separate"/>
          </w:r>
          <w:r w:rsidRPr="00DC0069">
            <w:rPr>
              <w:rFonts w:ascii="Times New Roman" w:hAnsi="Times New Roman" w:cs="Times New Roman"/>
              <w:i/>
              <w:iCs/>
              <w:noProof/>
              <w:color w:val="222222"/>
              <w:sz w:val="24"/>
              <w:szCs w:val="24"/>
              <w:shd w:val="clear" w:color="auto" w:fill="FFFFFF"/>
              <w:lang w:val="en-GB"/>
            </w:rPr>
            <w:t>(Miller v. United States, 710 F.2d 656 (10th Cir. 1983)., 1983)</w:t>
          </w:r>
          <w:r w:rsidRPr="00DC0069">
            <w:rPr>
              <w:rFonts w:ascii="Times New Roman" w:hAnsi="Times New Roman" w:cs="Times New Roman"/>
              <w:i/>
              <w:iCs/>
              <w:color w:val="222222"/>
              <w:sz w:val="24"/>
              <w:szCs w:val="24"/>
              <w:shd w:val="clear" w:color="auto" w:fill="FFFFFF"/>
            </w:rPr>
            <w:fldChar w:fldCharType="end"/>
          </w:r>
        </w:sdtContent>
      </w:sdt>
    </w:p>
    <w:p w14:paraId="04DC730D" w14:textId="77777777" w:rsidR="00703669" w:rsidRPr="00DC0069" w:rsidRDefault="00703669" w:rsidP="00150FA2">
      <w:pPr>
        <w:spacing w:after="0" w:line="480" w:lineRule="auto"/>
        <w:jc w:val="both"/>
        <w:rPr>
          <w:rFonts w:ascii="Times New Roman" w:hAnsi="Times New Roman" w:cs="Times New Roman"/>
          <w:i/>
          <w:iCs/>
          <w:color w:val="222222"/>
          <w:sz w:val="24"/>
          <w:szCs w:val="24"/>
          <w:shd w:val="clear" w:color="auto" w:fill="FFFFFF"/>
        </w:rPr>
      </w:pPr>
      <w:sdt>
        <w:sdtPr>
          <w:rPr>
            <w:rFonts w:ascii="Times New Roman" w:hAnsi="Times New Roman" w:cs="Times New Roman"/>
            <w:i/>
            <w:iCs/>
            <w:color w:val="222222"/>
            <w:sz w:val="24"/>
            <w:szCs w:val="24"/>
            <w:shd w:val="clear" w:color="auto" w:fill="FFFFFF"/>
          </w:rPr>
          <w:id w:val="-264302477"/>
          <w:citation/>
        </w:sdtPr>
        <w:sdtContent>
          <w:r w:rsidRPr="00DC0069">
            <w:rPr>
              <w:rFonts w:ascii="Times New Roman" w:hAnsi="Times New Roman" w:cs="Times New Roman"/>
              <w:i/>
              <w:iCs/>
              <w:color w:val="222222"/>
              <w:sz w:val="24"/>
              <w:szCs w:val="24"/>
              <w:shd w:val="clear" w:color="auto" w:fill="FFFFFF"/>
            </w:rPr>
            <w:fldChar w:fldCharType="begin"/>
          </w:r>
          <w:r w:rsidRPr="00DC0069">
            <w:rPr>
              <w:rFonts w:ascii="Times New Roman" w:hAnsi="Times New Roman" w:cs="Times New Roman"/>
              <w:i/>
              <w:iCs/>
              <w:color w:val="222222"/>
              <w:sz w:val="24"/>
              <w:szCs w:val="24"/>
              <w:shd w:val="clear" w:color="auto" w:fill="FFFFFF"/>
              <w:lang w:val="en-GB"/>
            </w:rPr>
            <w:instrText xml:space="preserve"> CITATION RvD79 \l 2057 </w:instrText>
          </w:r>
          <w:r w:rsidRPr="00DC0069">
            <w:rPr>
              <w:rFonts w:ascii="Times New Roman" w:hAnsi="Times New Roman" w:cs="Times New Roman"/>
              <w:i/>
              <w:iCs/>
              <w:color w:val="222222"/>
              <w:sz w:val="24"/>
              <w:szCs w:val="24"/>
              <w:shd w:val="clear" w:color="auto" w:fill="FFFFFF"/>
            </w:rPr>
            <w:fldChar w:fldCharType="separate"/>
          </w:r>
          <w:r w:rsidRPr="00DC0069">
            <w:rPr>
              <w:rFonts w:ascii="Times New Roman" w:hAnsi="Times New Roman" w:cs="Times New Roman"/>
              <w:i/>
              <w:iCs/>
              <w:noProof/>
              <w:color w:val="222222"/>
              <w:sz w:val="24"/>
              <w:szCs w:val="24"/>
              <w:shd w:val="clear" w:color="auto" w:fill="FFFFFF"/>
              <w:lang w:val="en-GB"/>
            </w:rPr>
            <w:t>(R v. Dytham, 1979 Q.B. 722 (1979)., 1979)</w:t>
          </w:r>
          <w:r w:rsidRPr="00DC0069">
            <w:rPr>
              <w:rFonts w:ascii="Times New Roman" w:hAnsi="Times New Roman" w:cs="Times New Roman"/>
              <w:i/>
              <w:iCs/>
              <w:color w:val="222222"/>
              <w:sz w:val="24"/>
              <w:szCs w:val="24"/>
              <w:shd w:val="clear" w:color="auto" w:fill="FFFFFF"/>
            </w:rPr>
            <w:fldChar w:fldCharType="end"/>
          </w:r>
        </w:sdtContent>
      </w:sdt>
    </w:p>
    <w:p w14:paraId="7FF65C5C" w14:textId="722352C4" w:rsidR="0060460A" w:rsidRPr="00DC0069" w:rsidRDefault="00703669" w:rsidP="0060460A">
      <w:pPr>
        <w:rPr>
          <w:rFonts w:ascii="Times New Roman" w:hAnsi="Times New Roman" w:cs="Times New Roman"/>
          <w:i/>
          <w:iCs/>
          <w:sz w:val="24"/>
          <w:szCs w:val="24"/>
        </w:rPr>
      </w:pPr>
      <w:sdt>
        <w:sdtPr>
          <w:rPr>
            <w:rFonts w:ascii="Times New Roman" w:hAnsi="Times New Roman" w:cs="Times New Roman"/>
            <w:i/>
            <w:iCs/>
            <w:sz w:val="24"/>
            <w:szCs w:val="24"/>
          </w:rPr>
          <w:id w:val="-1842303564"/>
          <w:citation/>
        </w:sdtPr>
        <w:sdtContent>
          <w:r w:rsidRPr="00DC0069">
            <w:rPr>
              <w:rFonts w:ascii="Times New Roman" w:hAnsi="Times New Roman" w:cs="Times New Roman"/>
              <w:i/>
              <w:iCs/>
              <w:sz w:val="24"/>
              <w:szCs w:val="24"/>
            </w:rPr>
            <w:fldChar w:fldCharType="begin"/>
          </w:r>
          <w:r w:rsidRPr="00DC0069">
            <w:rPr>
              <w:rFonts w:ascii="Times New Roman" w:hAnsi="Times New Roman" w:cs="Times New Roman"/>
              <w:i/>
              <w:iCs/>
              <w:color w:val="222222"/>
              <w:sz w:val="24"/>
              <w:szCs w:val="24"/>
              <w:shd w:val="clear" w:color="auto" w:fill="FFFFFF"/>
              <w:lang w:val="en-GB"/>
            </w:rPr>
            <w:instrText xml:space="preserve"> CITATION USv95 \l 2057 </w:instrText>
          </w:r>
          <w:r w:rsidRPr="00DC0069">
            <w:rPr>
              <w:rFonts w:ascii="Times New Roman" w:hAnsi="Times New Roman" w:cs="Times New Roman"/>
              <w:i/>
              <w:iCs/>
              <w:sz w:val="24"/>
              <w:szCs w:val="24"/>
            </w:rPr>
            <w:fldChar w:fldCharType="separate"/>
          </w:r>
          <w:r w:rsidRPr="00DC0069">
            <w:rPr>
              <w:rFonts w:ascii="Times New Roman" w:hAnsi="Times New Roman" w:cs="Times New Roman"/>
              <w:i/>
              <w:iCs/>
              <w:noProof/>
              <w:color w:val="222222"/>
              <w:sz w:val="24"/>
              <w:szCs w:val="24"/>
              <w:shd w:val="clear" w:color="auto" w:fill="FFFFFF"/>
              <w:lang w:val="en-GB"/>
            </w:rPr>
            <w:t>(US v. Wacker, 72 F.3d 1453 (10th Cir. 1995)., 1995)</w:t>
          </w:r>
          <w:r w:rsidRPr="00DC0069">
            <w:rPr>
              <w:rFonts w:ascii="Times New Roman" w:hAnsi="Times New Roman" w:cs="Times New Roman"/>
              <w:i/>
              <w:iCs/>
              <w:sz w:val="24"/>
              <w:szCs w:val="24"/>
            </w:rPr>
            <w:fldChar w:fldCharType="end"/>
          </w:r>
        </w:sdtContent>
      </w:sdt>
    </w:p>
    <w:sectPr w:rsidR="0060460A" w:rsidRPr="00DC006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6C8F8C" w14:textId="77777777" w:rsidR="000308FB" w:rsidRDefault="000308FB" w:rsidP="000D2108">
      <w:pPr>
        <w:spacing w:after="0" w:line="240" w:lineRule="auto"/>
      </w:pPr>
      <w:r>
        <w:separator/>
      </w:r>
    </w:p>
  </w:endnote>
  <w:endnote w:type="continuationSeparator" w:id="0">
    <w:p w14:paraId="32827DAB" w14:textId="77777777" w:rsidR="000308FB" w:rsidRDefault="000308FB" w:rsidP="000D21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B123F" w14:textId="77777777" w:rsidR="000308FB" w:rsidRDefault="000308FB" w:rsidP="000D2108">
      <w:pPr>
        <w:spacing w:after="0" w:line="240" w:lineRule="auto"/>
      </w:pPr>
      <w:r>
        <w:separator/>
      </w:r>
    </w:p>
  </w:footnote>
  <w:footnote w:type="continuationSeparator" w:id="0">
    <w:p w14:paraId="040ECC02" w14:textId="77777777" w:rsidR="000308FB" w:rsidRDefault="000308FB" w:rsidP="000D21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I1N7c0NTM1sDQ3NTRT0lEKTi0uzszPAykwqgUAF6e3bywAAAA="/>
  </w:docVars>
  <w:rsids>
    <w:rsidRoot w:val="009F33DB"/>
    <w:rsid w:val="000308FB"/>
    <w:rsid w:val="00071A6C"/>
    <w:rsid w:val="000C086A"/>
    <w:rsid w:val="000D2108"/>
    <w:rsid w:val="000E7B7E"/>
    <w:rsid w:val="000E7C4F"/>
    <w:rsid w:val="00150FA2"/>
    <w:rsid w:val="00253F63"/>
    <w:rsid w:val="002921DA"/>
    <w:rsid w:val="00345398"/>
    <w:rsid w:val="004172E8"/>
    <w:rsid w:val="00476274"/>
    <w:rsid w:val="004E041F"/>
    <w:rsid w:val="004E1918"/>
    <w:rsid w:val="005152F9"/>
    <w:rsid w:val="005763EA"/>
    <w:rsid w:val="0060460A"/>
    <w:rsid w:val="006867CA"/>
    <w:rsid w:val="006C7E14"/>
    <w:rsid w:val="00703669"/>
    <w:rsid w:val="00727A7E"/>
    <w:rsid w:val="008242F6"/>
    <w:rsid w:val="00893290"/>
    <w:rsid w:val="009B03EA"/>
    <w:rsid w:val="009F33DB"/>
    <w:rsid w:val="00B00505"/>
    <w:rsid w:val="00DC0069"/>
    <w:rsid w:val="00DF306C"/>
    <w:rsid w:val="00E2252C"/>
    <w:rsid w:val="00E8408D"/>
    <w:rsid w:val="00F110D0"/>
    <w:rsid w:val="00F343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661D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0E7B7E"/>
    <w:pPr>
      <w:keepNext/>
      <w:spacing w:after="0" w:line="240" w:lineRule="auto"/>
      <w:jc w:val="both"/>
      <w:outlineLvl w:val="1"/>
    </w:pPr>
    <w:rPr>
      <w:rFonts w:ascii="Times New Roman" w:eastAsia="Times New Roman" w:hAnsi="Times New Roman" w:cs="Times New Roman"/>
      <w:b/>
      <w:sz w:val="24"/>
      <w:szCs w:val="24"/>
      <w:lang w:val="en-GB" w:eastAsia="zh-CN"/>
    </w:rPr>
  </w:style>
  <w:style w:type="paragraph" w:styleId="Heading4">
    <w:name w:val="heading 4"/>
    <w:basedOn w:val="Normal"/>
    <w:next w:val="Normal"/>
    <w:link w:val="Heading4Char"/>
    <w:uiPriority w:val="9"/>
    <w:semiHidden/>
    <w:unhideWhenUsed/>
    <w:qFormat/>
    <w:rsid w:val="000E7B7E"/>
    <w:pPr>
      <w:keepNext/>
      <w:spacing w:before="120" w:after="120" w:line="240" w:lineRule="auto"/>
      <w:jc w:val="center"/>
      <w:outlineLvl w:val="3"/>
    </w:pPr>
    <w:rPr>
      <w:rFonts w:ascii="Times New Roman" w:eastAsia="Times New Roman" w:hAnsi="Times New Roman" w:cs="Times New Roman"/>
      <w:sz w:val="40"/>
      <w:szCs w:val="4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
    <w:name w:val="t"/>
    <w:basedOn w:val="DefaultParagraphFont"/>
    <w:rsid w:val="00476274"/>
  </w:style>
  <w:style w:type="paragraph" w:styleId="Header">
    <w:name w:val="header"/>
    <w:basedOn w:val="Normal"/>
    <w:link w:val="HeaderChar"/>
    <w:uiPriority w:val="99"/>
    <w:unhideWhenUsed/>
    <w:rsid w:val="000D21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2108"/>
  </w:style>
  <w:style w:type="paragraph" w:styleId="Footer">
    <w:name w:val="footer"/>
    <w:basedOn w:val="Normal"/>
    <w:link w:val="FooterChar"/>
    <w:uiPriority w:val="99"/>
    <w:unhideWhenUsed/>
    <w:rsid w:val="000D21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2108"/>
  </w:style>
  <w:style w:type="character" w:customStyle="1" w:styleId="Heading2Char">
    <w:name w:val="Heading 2 Char"/>
    <w:basedOn w:val="DefaultParagraphFont"/>
    <w:link w:val="Heading2"/>
    <w:uiPriority w:val="9"/>
    <w:semiHidden/>
    <w:rsid w:val="000E7B7E"/>
    <w:rPr>
      <w:rFonts w:ascii="Times New Roman" w:eastAsia="Times New Roman" w:hAnsi="Times New Roman" w:cs="Times New Roman"/>
      <w:b/>
      <w:sz w:val="24"/>
      <w:szCs w:val="24"/>
      <w:lang w:val="en-GB" w:eastAsia="zh-CN"/>
    </w:rPr>
  </w:style>
  <w:style w:type="character" w:customStyle="1" w:styleId="Heading4Char">
    <w:name w:val="Heading 4 Char"/>
    <w:basedOn w:val="DefaultParagraphFont"/>
    <w:link w:val="Heading4"/>
    <w:uiPriority w:val="9"/>
    <w:semiHidden/>
    <w:rsid w:val="000E7B7E"/>
    <w:rPr>
      <w:rFonts w:ascii="Times New Roman" w:eastAsia="Times New Roman" w:hAnsi="Times New Roman" w:cs="Times New Roman"/>
      <w:sz w:val="40"/>
      <w:szCs w:val="40"/>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96452">
      <w:bodyDiv w:val="1"/>
      <w:marLeft w:val="0"/>
      <w:marRight w:val="0"/>
      <w:marTop w:val="0"/>
      <w:marBottom w:val="0"/>
      <w:divBdr>
        <w:top w:val="none" w:sz="0" w:space="0" w:color="auto"/>
        <w:left w:val="none" w:sz="0" w:space="0" w:color="auto"/>
        <w:bottom w:val="none" w:sz="0" w:space="0" w:color="auto"/>
        <w:right w:val="none" w:sz="0" w:space="0" w:color="auto"/>
      </w:divBdr>
    </w:div>
    <w:div w:id="489368060">
      <w:bodyDiv w:val="1"/>
      <w:marLeft w:val="0"/>
      <w:marRight w:val="0"/>
      <w:marTop w:val="0"/>
      <w:marBottom w:val="0"/>
      <w:divBdr>
        <w:top w:val="none" w:sz="0" w:space="0" w:color="auto"/>
        <w:left w:val="none" w:sz="0" w:space="0" w:color="auto"/>
        <w:bottom w:val="none" w:sz="0" w:space="0" w:color="auto"/>
        <w:right w:val="none" w:sz="0" w:space="0" w:color="auto"/>
      </w:divBdr>
    </w:div>
    <w:div w:id="565453534">
      <w:bodyDiv w:val="1"/>
      <w:marLeft w:val="0"/>
      <w:marRight w:val="0"/>
      <w:marTop w:val="0"/>
      <w:marBottom w:val="0"/>
      <w:divBdr>
        <w:top w:val="none" w:sz="0" w:space="0" w:color="auto"/>
        <w:left w:val="none" w:sz="0" w:space="0" w:color="auto"/>
        <w:bottom w:val="none" w:sz="0" w:space="0" w:color="auto"/>
        <w:right w:val="none" w:sz="0" w:space="0" w:color="auto"/>
      </w:divBdr>
    </w:div>
    <w:div w:id="1371765407">
      <w:bodyDiv w:val="1"/>
      <w:marLeft w:val="0"/>
      <w:marRight w:val="0"/>
      <w:marTop w:val="0"/>
      <w:marBottom w:val="0"/>
      <w:divBdr>
        <w:top w:val="none" w:sz="0" w:space="0" w:color="auto"/>
        <w:left w:val="none" w:sz="0" w:space="0" w:color="auto"/>
        <w:bottom w:val="none" w:sz="0" w:space="0" w:color="auto"/>
        <w:right w:val="none" w:sz="0" w:space="0" w:color="auto"/>
      </w:divBdr>
    </w:div>
    <w:div w:id="1427923938">
      <w:bodyDiv w:val="1"/>
      <w:marLeft w:val="0"/>
      <w:marRight w:val="0"/>
      <w:marTop w:val="0"/>
      <w:marBottom w:val="0"/>
      <w:divBdr>
        <w:top w:val="none" w:sz="0" w:space="0" w:color="auto"/>
        <w:left w:val="none" w:sz="0" w:space="0" w:color="auto"/>
        <w:bottom w:val="none" w:sz="0" w:space="0" w:color="auto"/>
        <w:right w:val="none" w:sz="0" w:space="0" w:color="auto"/>
      </w:divBdr>
    </w:div>
    <w:div w:id="1572038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Air93</b:Tag>
    <b:SourceType>Book</b:SourceType>
    <b:Guid>{C362F14C-7D98-4DD5-9060-8C5CEBF739DF}</b:Guid>
    <b:Title>Airedale National Health Service Trust v. Bland, 2 W.L.R. 316 (1993).</b:Title>
    <b:Year>1993</b:Year>
    <b:Author>
      <b:Author>
        <b:Corporate>Airedale National Health Service Trust v. Bland, 2 W.L.R. 316 (1993).</b:Corporate>
      </b:Author>
    </b:Author>
    <b:RefOrder>1</b:RefOrder>
  </b:Source>
  <b:Source>
    <b:Tag>Mil83</b:Tag>
    <b:SourceType>Book</b:SourceType>
    <b:Guid>{980EB11D-20E2-4CA6-9FFA-C0C275B9852B}</b:Guid>
    <b:Author>
      <b:Author>
        <b:Corporate>Miller v. United States, 710 F.2d 656 (10th Cir. 1983).</b:Corporate>
      </b:Author>
    </b:Author>
    <b:Title>Miller v. United States, 710 F.2d 656 (10th Cir. 1983).</b:Title>
    <b:Year>1983</b:Year>
    <b:City>united states</b:City>
    <b:RefOrder>2</b:RefOrder>
  </b:Source>
  <b:Source>
    <b:Tag>RvD79</b:Tag>
    <b:SourceType>Book</b:SourceType>
    <b:Guid>{EA8E3844-4519-4A65-BD35-A47F768D02AE}</b:Guid>
    <b:Author>
      <b:Author>
        <b:Corporate>R v. Dytham, 1979 Q.B. 722 (1979).</b:Corporate>
      </b:Author>
    </b:Author>
    <b:Title>R v. Dytham, 1979 Q.B. 722 (1979).</b:Title>
    <b:Year>1979</b:Year>
    <b:RefOrder>3</b:RefOrder>
  </b:Source>
  <b:Source>
    <b:Tag>RvD791</b:Tag>
    <b:SourceType>Book</b:SourceType>
    <b:Guid>{0BBB0E3B-74E2-41E3-9395-B4573AB70F5D}</b:Guid>
    <b:Author>
      <b:Author>
        <b:Corporate>R v. Dytham, 1979 Q.B. 722 (1979).</b:Corporate>
      </b:Author>
    </b:Author>
    <b:Title>R v. Dytham, 1979 Q.B. 722 (1979).</b:Title>
    <b:Year>1979</b:Year>
    <b:RefOrder>5</b:RefOrder>
  </b:Source>
  <b:Source>
    <b:Tag>USv95</b:Tag>
    <b:SourceType>Book</b:SourceType>
    <b:Guid>{0C71AE4D-9C6A-43EC-8A78-CA9FFEFD7B98}</b:Guid>
    <b:Author>
      <b:Author>
        <b:Corporate>US v. Wacker, 72 F.3d 1453 (10th Cir. 1995).</b:Corporate>
      </b:Author>
    </b:Author>
    <b:Title>US v. Wacker, 72 F.3d 1453 (10th Cir. 1995).</b:Title>
    <b:Year>1995</b:Year>
    <b:RefOrder>4</b:RefOrder>
  </b:Source>
</b:Sources>
</file>

<file path=customXml/itemProps1.xml><?xml version="1.0" encoding="utf-8"?>
<ds:datastoreItem xmlns:ds="http://schemas.openxmlformats.org/officeDocument/2006/customXml" ds:itemID="{EDA1EF8F-6FB5-4235-B2B9-EA5DE57E75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1474</Words>
  <Characters>8403</Characters>
  <Application>Microsoft Office Word</Application>
  <DocSecurity>0</DocSecurity>
  <Lines>70</Lines>
  <Paragraphs>19</Paragraphs>
  <ScaleCrop>false</ScaleCrop>
  <Company/>
  <LinksUpToDate>false</LinksUpToDate>
  <CharactersWithSpaces>9858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2022-11-10T18:25:00Z</dcterms:created>
  <dcterms:modified xsi:type="dcterms:W3CDTF">2022-11-11T21:04:00Z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ec8c3ac3dc86051a50159519bd33b08dd608511a4bbd74fdd746ef93bf8f9aa8</vt:lpwstr>
  </property>
</Properties>
</file>