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D46DFC" w14:textId="458726D8" w:rsidR="00A85ABE" w:rsidRPr="00A85ABE" w:rsidRDefault="00A85ABE" w:rsidP="00A85ABE">
      <w:pPr>
        <w:rPr>
          <w:rFonts w:eastAsia="Times New Roman"/>
          <w:b/>
          <w:bCs/>
          <w:sz w:val="28"/>
          <w:szCs w:val="28"/>
        </w:rPr>
      </w:pPr>
      <w:r w:rsidRPr="00A85ABE">
        <w:rPr>
          <w:rFonts w:eastAsia="Times New Roman"/>
          <w:b/>
          <w:noProof/>
          <w:sz w:val="28"/>
          <w:szCs w:val="28"/>
          <w:lang w:val="en-US"/>
        </w:rPr>
        <w:drawing>
          <wp:inline distT="0" distB="0" distL="0" distR="0" wp14:anchorId="6787C66F" wp14:editId="4EC06247">
            <wp:extent cx="1943100" cy="552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43100" cy="552450"/>
                    </a:xfrm>
                    <a:prstGeom prst="rect">
                      <a:avLst/>
                    </a:prstGeom>
                    <a:noFill/>
                    <a:ln>
                      <a:noFill/>
                    </a:ln>
                  </pic:spPr>
                </pic:pic>
              </a:graphicData>
            </a:graphic>
          </wp:inline>
        </w:drawing>
      </w:r>
    </w:p>
    <w:p w14:paraId="168C3856" w14:textId="77777777" w:rsidR="00A85ABE" w:rsidRPr="00A85ABE" w:rsidRDefault="00A85ABE" w:rsidP="40842C48">
      <w:pPr>
        <w:jc w:val="both"/>
        <w:rPr>
          <w:rFonts w:ascii="Arial" w:eastAsia="Arial" w:hAnsi="Arial" w:cs="Arial"/>
          <w:b/>
          <w:bCs/>
          <w:sz w:val="22"/>
          <w:szCs w:val="22"/>
        </w:rPr>
      </w:pPr>
      <w:r w:rsidRPr="40842C48">
        <w:rPr>
          <w:rFonts w:ascii="Arial" w:eastAsia="Arial" w:hAnsi="Arial" w:cs="Arial"/>
          <w:b/>
          <w:bCs/>
          <w:sz w:val="22"/>
          <w:szCs w:val="22"/>
        </w:rPr>
        <w:t>Student Assessment Submission and Declaration</w:t>
      </w:r>
    </w:p>
    <w:p w14:paraId="441618C3" w14:textId="0B778714" w:rsidR="00A85ABE" w:rsidRPr="00A85ABE" w:rsidRDefault="00A85ABE" w:rsidP="40842C48">
      <w:pPr>
        <w:jc w:val="both"/>
        <w:rPr>
          <w:rFonts w:ascii="Arial" w:eastAsia="Arial" w:hAnsi="Arial" w:cs="Arial"/>
          <w:b/>
          <w:bCs/>
          <w:sz w:val="22"/>
          <w:szCs w:val="22"/>
        </w:rPr>
      </w:pPr>
      <w:r w:rsidRPr="40842C48">
        <w:rPr>
          <w:rFonts w:ascii="Arial" w:eastAsia="Arial" w:hAnsi="Arial" w:cs="Arial"/>
          <w:b/>
          <w:bCs/>
          <w:sz w:val="22"/>
          <w:szCs w:val="22"/>
        </w:rPr>
        <w:t>When submitting evidence for assessment, you must sign a declaration confirming that the work is your own.</w:t>
      </w:r>
    </w:p>
    <w:tbl>
      <w:tblPr>
        <w:tblStyle w:val="TableGrid"/>
        <w:tblW w:w="9135" w:type="dxa"/>
        <w:tblLayout w:type="fixed"/>
        <w:tblLook w:val="06A0" w:firstRow="1" w:lastRow="0" w:firstColumn="1" w:lastColumn="0" w:noHBand="1" w:noVBand="1"/>
      </w:tblPr>
      <w:tblGrid>
        <w:gridCol w:w="2730"/>
        <w:gridCol w:w="6405"/>
      </w:tblGrid>
      <w:tr w:rsidR="00A85ABE" w:rsidRPr="00A85ABE" w14:paraId="713F4BED" w14:textId="77777777" w:rsidTr="40842C48">
        <w:trPr>
          <w:trHeight w:val="761"/>
        </w:trPr>
        <w:tc>
          <w:tcPr>
            <w:tcW w:w="27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5C9EB" w:themeFill="text2" w:themeFillTint="40"/>
          </w:tcPr>
          <w:p w14:paraId="64E46A1D" w14:textId="3DE1573F" w:rsidR="00A85ABE" w:rsidRPr="00A85ABE" w:rsidRDefault="00A85ABE" w:rsidP="40842C48">
            <w:pPr>
              <w:spacing w:after="160" w:line="278" w:lineRule="auto"/>
              <w:jc w:val="both"/>
              <w:rPr>
                <w:rFonts w:ascii="Arial" w:eastAsia="Arial" w:hAnsi="Arial" w:cs="Arial"/>
                <w:b/>
                <w:bCs/>
                <w:sz w:val="22"/>
                <w:szCs w:val="22"/>
              </w:rPr>
            </w:pPr>
            <w:r w:rsidRPr="40842C48">
              <w:rPr>
                <w:rFonts w:ascii="Arial" w:eastAsia="Arial" w:hAnsi="Arial" w:cs="Arial"/>
                <w:b/>
                <w:bCs/>
                <w:sz w:val="22"/>
                <w:szCs w:val="22"/>
              </w:rPr>
              <w:t>Student name:</w:t>
            </w:r>
          </w:p>
        </w:tc>
        <w:tc>
          <w:tcPr>
            <w:tcW w:w="64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C7CE3A" w14:textId="3C05BACD" w:rsidR="00A85ABE" w:rsidRPr="00A85ABE" w:rsidRDefault="001453E9" w:rsidP="40842C48">
            <w:pPr>
              <w:spacing w:after="160" w:line="278" w:lineRule="auto"/>
              <w:jc w:val="both"/>
              <w:rPr>
                <w:rFonts w:ascii="Arial" w:eastAsia="Arial" w:hAnsi="Arial" w:cs="Arial"/>
                <w:b/>
                <w:bCs/>
                <w:sz w:val="22"/>
                <w:szCs w:val="22"/>
              </w:rPr>
            </w:pPr>
            <w:r>
              <w:rPr>
                <w:rFonts w:ascii="Arial" w:eastAsia="Arial" w:hAnsi="Arial" w:cs="Arial"/>
                <w:b/>
                <w:bCs/>
                <w:sz w:val="22"/>
                <w:szCs w:val="22"/>
              </w:rPr>
              <w:t>Eric Lerouge Angwe-Nze</w:t>
            </w:r>
          </w:p>
        </w:tc>
      </w:tr>
      <w:tr w:rsidR="00A85ABE" w:rsidRPr="00A85ABE" w14:paraId="1B517063" w14:textId="77777777" w:rsidTr="40842C48">
        <w:trPr>
          <w:trHeight w:val="300"/>
        </w:trPr>
        <w:tc>
          <w:tcPr>
            <w:tcW w:w="27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5C9EB" w:themeFill="text2" w:themeFillTint="40"/>
          </w:tcPr>
          <w:p w14:paraId="48F6D794" w14:textId="61AAA76D" w:rsidR="00A85ABE" w:rsidRPr="00A85ABE" w:rsidRDefault="00A85ABE" w:rsidP="40842C48">
            <w:pPr>
              <w:spacing w:after="160" w:line="278" w:lineRule="auto"/>
              <w:jc w:val="both"/>
              <w:rPr>
                <w:rFonts w:ascii="Arial" w:eastAsia="Arial" w:hAnsi="Arial" w:cs="Arial"/>
                <w:b/>
                <w:bCs/>
                <w:sz w:val="22"/>
                <w:szCs w:val="22"/>
              </w:rPr>
            </w:pPr>
            <w:r w:rsidRPr="40842C48">
              <w:rPr>
                <w:rFonts w:ascii="Arial" w:eastAsia="Arial" w:hAnsi="Arial" w:cs="Arial"/>
                <w:b/>
                <w:bCs/>
                <w:sz w:val="22"/>
                <w:szCs w:val="22"/>
              </w:rPr>
              <w:t xml:space="preserve">Student ID: </w:t>
            </w:r>
          </w:p>
        </w:tc>
        <w:tc>
          <w:tcPr>
            <w:tcW w:w="64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B92F1E" w14:textId="2B999B70" w:rsidR="00A85ABE" w:rsidRPr="00A85ABE" w:rsidRDefault="001453E9" w:rsidP="40842C48">
            <w:pPr>
              <w:spacing w:after="160" w:line="278" w:lineRule="auto"/>
              <w:jc w:val="both"/>
              <w:rPr>
                <w:rFonts w:ascii="Arial" w:eastAsia="Arial" w:hAnsi="Arial" w:cs="Arial"/>
                <w:b/>
                <w:bCs/>
                <w:sz w:val="22"/>
                <w:szCs w:val="22"/>
              </w:rPr>
            </w:pPr>
            <w:r>
              <w:rPr>
                <w:rFonts w:ascii="Arial" w:eastAsia="Arial" w:hAnsi="Arial" w:cs="Arial"/>
                <w:b/>
                <w:bCs/>
                <w:sz w:val="22"/>
                <w:szCs w:val="22"/>
              </w:rPr>
              <w:t>2417255</w:t>
            </w:r>
          </w:p>
        </w:tc>
      </w:tr>
      <w:tr w:rsidR="00A85ABE" w:rsidRPr="00A85ABE" w14:paraId="593A77E0" w14:textId="77777777" w:rsidTr="40842C48">
        <w:trPr>
          <w:trHeight w:val="300"/>
        </w:trPr>
        <w:tc>
          <w:tcPr>
            <w:tcW w:w="27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5C9EB" w:themeFill="text2" w:themeFillTint="40"/>
          </w:tcPr>
          <w:p w14:paraId="2D5D527E" w14:textId="69788013" w:rsidR="00A85ABE" w:rsidRPr="00A85ABE" w:rsidRDefault="00A85ABE" w:rsidP="40842C48">
            <w:pPr>
              <w:spacing w:after="160" w:line="278" w:lineRule="auto"/>
              <w:jc w:val="both"/>
              <w:rPr>
                <w:rFonts w:ascii="Arial" w:eastAsia="Arial" w:hAnsi="Arial" w:cs="Arial"/>
                <w:b/>
                <w:bCs/>
                <w:sz w:val="22"/>
                <w:szCs w:val="22"/>
              </w:rPr>
            </w:pPr>
            <w:r w:rsidRPr="40842C48">
              <w:rPr>
                <w:rFonts w:ascii="Arial" w:eastAsia="Arial" w:hAnsi="Arial" w:cs="Arial"/>
                <w:b/>
                <w:bCs/>
                <w:sz w:val="22"/>
                <w:szCs w:val="22"/>
              </w:rPr>
              <w:t>Programme:</w:t>
            </w:r>
          </w:p>
        </w:tc>
        <w:tc>
          <w:tcPr>
            <w:tcW w:w="64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26ADC" w14:textId="3BC8D8B1" w:rsidR="00A85ABE" w:rsidRPr="00A85ABE" w:rsidRDefault="001453E9" w:rsidP="40842C48">
            <w:pPr>
              <w:spacing w:after="160" w:line="278" w:lineRule="auto"/>
              <w:jc w:val="both"/>
              <w:rPr>
                <w:rFonts w:ascii="Arial" w:eastAsia="Arial" w:hAnsi="Arial" w:cs="Arial"/>
                <w:b/>
                <w:bCs/>
                <w:sz w:val="22"/>
                <w:szCs w:val="22"/>
              </w:rPr>
            </w:pPr>
            <w:r>
              <w:rPr>
                <w:rFonts w:ascii="Arial" w:eastAsia="Arial" w:hAnsi="Arial" w:cs="Arial"/>
                <w:b/>
                <w:bCs/>
                <w:sz w:val="22"/>
                <w:szCs w:val="22"/>
              </w:rPr>
              <w:t>Certificate of Higher Education in Health and Social Care</w:t>
            </w:r>
          </w:p>
        </w:tc>
      </w:tr>
      <w:tr w:rsidR="00A85ABE" w:rsidRPr="00A85ABE" w14:paraId="10A7F5F5" w14:textId="77777777" w:rsidTr="40842C48">
        <w:trPr>
          <w:trHeight w:val="330"/>
        </w:trPr>
        <w:tc>
          <w:tcPr>
            <w:tcW w:w="27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5C9EB" w:themeFill="text2" w:themeFillTint="40"/>
          </w:tcPr>
          <w:p w14:paraId="628A8726" w14:textId="6D3AEFE8" w:rsidR="00A85ABE" w:rsidRPr="00A85ABE" w:rsidRDefault="00A85ABE" w:rsidP="40842C48">
            <w:pPr>
              <w:spacing w:after="160" w:line="278" w:lineRule="auto"/>
              <w:jc w:val="both"/>
              <w:rPr>
                <w:rFonts w:ascii="Arial" w:eastAsia="Arial" w:hAnsi="Arial" w:cs="Arial"/>
                <w:b/>
                <w:bCs/>
                <w:sz w:val="22"/>
                <w:szCs w:val="22"/>
              </w:rPr>
            </w:pPr>
            <w:r w:rsidRPr="40842C48">
              <w:rPr>
                <w:rFonts w:ascii="Arial" w:eastAsia="Arial" w:hAnsi="Arial" w:cs="Arial"/>
                <w:b/>
                <w:bCs/>
                <w:sz w:val="22"/>
                <w:szCs w:val="22"/>
              </w:rPr>
              <w:t>Module name and code:</w:t>
            </w:r>
          </w:p>
        </w:tc>
        <w:tc>
          <w:tcPr>
            <w:tcW w:w="64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6FA208" w14:textId="124E6C04" w:rsidR="00A85ABE" w:rsidRPr="00A85ABE" w:rsidRDefault="001453E9" w:rsidP="40842C48">
            <w:pPr>
              <w:spacing w:after="160" w:line="278" w:lineRule="auto"/>
              <w:jc w:val="both"/>
              <w:rPr>
                <w:rFonts w:ascii="Arial" w:eastAsia="Arial" w:hAnsi="Arial" w:cs="Arial"/>
                <w:b/>
                <w:bCs/>
                <w:sz w:val="22"/>
                <w:szCs w:val="22"/>
              </w:rPr>
            </w:pPr>
            <w:r>
              <w:rPr>
                <w:rFonts w:ascii="Arial" w:eastAsia="Arial" w:hAnsi="Arial" w:cs="Arial"/>
                <w:b/>
                <w:bCs/>
                <w:sz w:val="22"/>
                <w:szCs w:val="22"/>
              </w:rPr>
              <w:t>Psychology in Health and Social Care LCHS4010</w:t>
            </w:r>
          </w:p>
        </w:tc>
      </w:tr>
      <w:tr w:rsidR="00A85ABE" w:rsidRPr="00A85ABE" w14:paraId="2EC1F1F2" w14:textId="77777777" w:rsidTr="40842C48">
        <w:trPr>
          <w:trHeight w:val="330"/>
        </w:trPr>
        <w:tc>
          <w:tcPr>
            <w:tcW w:w="27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5C9EB" w:themeFill="text2" w:themeFillTint="40"/>
          </w:tcPr>
          <w:p w14:paraId="34607363" w14:textId="2165AE54" w:rsidR="00A85ABE" w:rsidRPr="00A85ABE" w:rsidRDefault="00A85ABE" w:rsidP="40842C48">
            <w:pPr>
              <w:spacing w:after="160" w:line="278" w:lineRule="auto"/>
              <w:jc w:val="both"/>
              <w:rPr>
                <w:rFonts w:ascii="Arial" w:eastAsia="Arial" w:hAnsi="Arial" w:cs="Arial"/>
                <w:b/>
                <w:bCs/>
                <w:sz w:val="22"/>
                <w:szCs w:val="22"/>
              </w:rPr>
            </w:pPr>
            <w:r w:rsidRPr="40842C48">
              <w:rPr>
                <w:rFonts w:ascii="Arial" w:eastAsia="Arial" w:hAnsi="Arial" w:cs="Arial"/>
                <w:b/>
                <w:bCs/>
                <w:sz w:val="22"/>
                <w:szCs w:val="22"/>
              </w:rPr>
              <w:t xml:space="preserve">Lecture's name: </w:t>
            </w:r>
          </w:p>
        </w:tc>
        <w:tc>
          <w:tcPr>
            <w:tcW w:w="64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376245" w14:textId="21603471" w:rsidR="00A85ABE" w:rsidRPr="00A85ABE" w:rsidRDefault="001453E9" w:rsidP="40842C48">
            <w:pPr>
              <w:spacing w:after="160" w:line="278" w:lineRule="auto"/>
              <w:jc w:val="both"/>
              <w:rPr>
                <w:rFonts w:ascii="Arial" w:eastAsia="Arial" w:hAnsi="Arial" w:cs="Arial"/>
                <w:b/>
                <w:bCs/>
                <w:sz w:val="22"/>
                <w:szCs w:val="22"/>
              </w:rPr>
            </w:pPr>
            <w:r>
              <w:rPr>
                <w:rFonts w:ascii="Arial" w:eastAsia="Arial" w:hAnsi="Arial" w:cs="Arial"/>
                <w:b/>
                <w:bCs/>
                <w:sz w:val="22"/>
                <w:szCs w:val="22"/>
              </w:rPr>
              <w:t>Muhammad Aliyu</w:t>
            </w:r>
          </w:p>
        </w:tc>
      </w:tr>
    </w:tbl>
    <w:p w14:paraId="772FA610" w14:textId="65FFEB20" w:rsidR="00A85ABE" w:rsidRPr="00A85ABE" w:rsidRDefault="00A85ABE" w:rsidP="40842C48">
      <w:pPr>
        <w:jc w:val="both"/>
        <w:rPr>
          <w:rFonts w:ascii="Arial" w:eastAsia="Arial" w:hAnsi="Arial" w:cs="Arial"/>
          <w:b/>
          <w:bCs/>
          <w:sz w:val="22"/>
          <w:szCs w:val="22"/>
        </w:rPr>
      </w:pPr>
      <w:r w:rsidRPr="40842C48">
        <w:rPr>
          <w:rFonts w:ascii="Arial" w:eastAsia="Arial" w:hAnsi="Arial" w:cs="Arial"/>
          <w:b/>
          <w:bCs/>
          <w:sz w:val="22"/>
          <w:szCs w:val="22"/>
        </w:rPr>
        <w:t>Plagiarism</w:t>
      </w:r>
    </w:p>
    <w:p w14:paraId="53849D6D" w14:textId="01D0D7B2" w:rsidR="00A85ABE" w:rsidRPr="00A85ABE" w:rsidRDefault="00A85ABE" w:rsidP="40842C48">
      <w:pPr>
        <w:jc w:val="both"/>
        <w:rPr>
          <w:rFonts w:ascii="Arial" w:eastAsia="Arial" w:hAnsi="Arial" w:cs="Arial"/>
          <w:sz w:val="22"/>
          <w:szCs w:val="22"/>
        </w:rPr>
      </w:pPr>
      <w:r w:rsidRPr="40842C48">
        <w:rPr>
          <w:rFonts w:ascii="Arial" w:eastAsia="Arial" w:hAnsi="Arial" w:cs="Arial"/>
          <w:sz w:val="22"/>
          <w:szCs w:val="22"/>
        </w:rPr>
        <w:t>Plagiarism is a form of cheating. Plagiarism must be avoided at all costs and students who break the rules, however innocently, may be penalised.  It is your responsibility to ensure that you understand correct referencing practices.  As a university level student, you are expected to use appropriate references throughout and keep carefully detailed notes of all your sources of materials for material you have used in your work, including any material downloaded from the Internet. Please consult the relevant unit lecturer or your course tutor if you need any further advice.</w:t>
      </w:r>
    </w:p>
    <w:tbl>
      <w:tblPr>
        <w:tblStyle w:val="TableGrid"/>
        <w:tblW w:w="9438" w:type="dxa"/>
        <w:tblLook w:val="04A0" w:firstRow="1" w:lastRow="0" w:firstColumn="1" w:lastColumn="0" w:noHBand="0" w:noVBand="1"/>
      </w:tblPr>
      <w:tblGrid>
        <w:gridCol w:w="4158"/>
        <w:gridCol w:w="5280"/>
      </w:tblGrid>
      <w:tr w:rsidR="00A85ABE" w:rsidRPr="00A85ABE" w14:paraId="6A8A65EB" w14:textId="77777777" w:rsidTr="40842C48">
        <w:trPr>
          <w:trHeight w:val="1412"/>
        </w:trPr>
        <w:tc>
          <w:tcPr>
            <w:tcW w:w="943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5C9EB" w:themeFill="text2" w:themeFillTint="40"/>
          </w:tcPr>
          <w:p w14:paraId="67A8B322" w14:textId="179A8C22" w:rsidR="00A85ABE" w:rsidRPr="00A85ABE" w:rsidRDefault="00A85ABE" w:rsidP="40842C48">
            <w:pPr>
              <w:spacing w:after="160" w:line="278" w:lineRule="auto"/>
              <w:jc w:val="both"/>
              <w:rPr>
                <w:rFonts w:ascii="Arial" w:eastAsia="Arial" w:hAnsi="Arial" w:cs="Arial"/>
                <w:b/>
                <w:bCs/>
                <w:sz w:val="22"/>
                <w:szCs w:val="22"/>
              </w:rPr>
            </w:pPr>
            <w:r w:rsidRPr="40842C48">
              <w:rPr>
                <w:rFonts w:ascii="Arial" w:eastAsia="Arial" w:hAnsi="Arial" w:cs="Arial"/>
                <w:b/>
                <w:bCs/>
                <w:sz w:val="22"/>
                <w:szCs w:val="22"/>
              </w:rPr>
              <w:t>Student declaration</w:t>
            </w:r>
          </w:p>
          <w:p w14:paraId="1AC3F493" w14:textId="34676050" w:rsidR="00A85ABE" w:rsidRPr="00A85ABE" w:rsidRDefault="00A85ABE" w:rsidP="40842C48">
            <w:pPr>
              <w:spacing w:after="160" w:line="278" w:lineRule="auto"/>
              <w:jc w:val="both"/>
              <w:rPr>
                <w:rFonts w:ascii="Arial" w:eastAsia="Arial" w:hAnsi="Arial" w:cs="Arial"/>
                <w:b/>
                <w:bCs/>
                <w:sz w:val="22"/>
                <w:szCs w:val="22"/>
              </w:rPr>
            </w:pPr>
            <w:r w:rsidRPr="40842C48">
              <w:rPr>
                <w:rFonts w:ascii="Arial" w:eastAsia="Arial" w:hAnsi="Arial" w:cs="Arial"/>
                <w:b/>
                <w:bCs/>
                <w:sz w:val="22"/>
                <w:szCs w:val="22"/>
              </w:rPr>
              <w:t>I certify that the assignment submission is entirely my own work. I fully understand the consequences of plagiarism. I understand that making a false declaration is a form of malpractice.</w:t>
            </w:r>
          </w:p>
        </w:tc>
      </w:tr>
      <w:tr w:rsidR="00A85ABE" w:rsidRPr="00A85ABE" w14:paraId="7A79510D" w14:textId="77777777" w:rsidTr="40842C48">
        <w:trPr>
          <w:trHeight w:val="480"/>
        </w:trPr>
        <w:tc>
          <w:tcPr>
            <w:tcW w:w="41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5C9EB" w:themeFill="text2" w:themeFillTint="40"/>
            <w:hideMark/>
          </w:tcPr>
          <w:p w14:paraId="5A74E341" w14:textId="77777777" w:rsidR="00A85ABE" w:rsidRPr="00A85ABE" w:rsidRDefault="00A85ABE" w:rsidP="40842C48">
            <w:pPr>
              <w:spacing w:after="160" w:line="278" w:lineRule="auto"/>
              <w:jc w:val="both"/>
              <w:rPr>
                <w:rFonts w:ascii="Arial" w:eastAsia="Arial" w:hAnsi="Arial" w:cs="Arial"/>
                <w:b/>
                <w:bCs/>
                <w:sz w:val="22"/>
                <w:szCs w:val="22"/>
              </w:rPr>
            </w:pPr>
            <w:r w:rsidRPr="40842C48">
              <w:rPr>
                <w:rFonts w:ascii="Arial" w:eastAsia="Arial" w:hAnsi="Arial" w:cs="Arial"/>
                <w:b/>
                <w:bCs/>
                <w:sz w:val="22"/>
                <w:szCs w:val="22"/>
              </w:rPr>
              <w:t>Student signature:</w:t>
            </w:r>
          </w:p>
        </w:tc>
        <w:tc>
          <w:tcPr>
            <w:tcW w:w="52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3F0A41" w14:textId="3F597244" w:rsidR="00A85ABE" w:rsidRPr="00A85ABE" w:rsidRDefault="001453E9" w:rsidP="40842C48">
            <w:pPr>
              <w:spacing w:after="160" w:line="278" w:lineRule="auto"/>
              <w:jc w:val="both"/>
              <w:rPr>
                <w:rFonts w:ascii="Arial" w:eastAsia="Arial" w:hAnsi="Arial" w:cs="Arial"/>
                <w:b/>
                <w:bCs/>
                <w:sz w:val="22"/>
                <w:szCs w:val="22"/>
              </w:rPr>
            </w:pPr>
            <w:r>
              <w:rPr>
                <w:rFonts w:ascii="Arial" w:eastAsia="Arial" w:hAnsi="Arial" w:cs="Arial"/>
                <w:b/>
                <w:bCs/>
                <w:sz w:val="22"/>
                <w:szCs w:val="22"/>
              </w:rPr>
              <w:t>Eric Lerouge Angwe-Nze</w:t>
            </w:r>
          </w:p>
        </w:tc>
      </w:tr>
      <w:tr w:rsidR="00A85ABE" w:rsidRPr="00A85ABE" w14:paraId="48F38A9C" w14:textId="77777777" w:rsidTr="40842C48">
        <w:trPr>
          <w:trHeight w:val="480"/>
        </w:trPr>
        <w:tc>
          <w:tcPr>
            <w:tcW w:w="41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5C9EB" w:themeFill="text2" w:themeFillTint="40"/>
            <w:hideMark/>
          </w:tcPr>
          <w:p w14:paraId="1B276014" w14:textId="77777777" w:rsidR="00A85ABE" w:rsidRPr="00A85ABE" w:rsidRDefault="00A85ABE" w:rsidP="40842C48">
            <w:pPr>
              <w:spacing w:after="160" w:line="278" w:lineRule="auto"/>
              <w:jc w:val="both"/>
              <w:rPr>
                <w:rFonts w:ascii="Arial" w:eastAsia="Arial" w:hAnsi="Arial" w:cs="Arial"/>
                <w:b/>
                <w:bCs/>
                <w:sz w:val="22"/>
                <w:szCs w:val="22"/>
              </w:rPr>
            </w:pPr>
            <w:proofErr w:type="gramStart"/>
            <w:r w:rsidRPr="40842C48">
              <w:rPr>
                <w:rFonts w:ascii="Arial" w:eastAsia="Arial" w:hAnsi="Arial" w:cs="Arial"/>
                <w:b/>
                <w:bCs/>
                <w:sz w:val="22"/>
                <w:szCs w:val="22"/>
              </w:rPr>
              <w:t>Date :</w:t>
            </w:r>
            <w:proofErr w:type="gramEnd"/>
            <w:r w:rsidRPr="40842C48">
              <w:rPr>
                <w:rFonts w:ascii="Arial" w:eastAsia="Arial" w:hAnsi="Arial" w:cs="Arial"/>
                <w:b/>
                <w:bCs/>
                <w:sz w:val="22"/>
                <w:szCs w:val="22"/>
              </w:rPr>
              <w:t xml:space="preserve"> </w:t>
            </w:r>
          </w:p>
        </w:tc>
        <w:tc>
          <w:tcPr>
            <w:tcW w:w="52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D9896" w14:textId="4CFDCD00" w:rsidR="00A85ABE" w:rsidRPr="00A85ABE" w:rsidRDefault="001453E9" w:rsidP="40842C48">
            <w:pPr>
              <w:spacing w:after="160" w:line="278" w:lineRule="auto"/>
              <w:jc w:val="both"/>
              <w:rPr>
                <w:rFonts w:ascii="Arial" w:eastAsia="Arial" w:hAnsi="Arial" w:cs="Arial"/>
                <w:b/>
                <w:bCs/>
                <w:sz w:val="22"/>
                <w:szCs w:val="22"/>
              </w:rPr>
            </w:pPr>
            <w:r>
              <w:rPr>
                <w:rFonts w:ascii="Arial" w:eastAsia="Arial" w:hAnsi="Arial" w:cs="Arial"/>
                <w:b/>
                <w:bCs/>
                <w:sz w:val="22"/>
                <w:szCs w:val="22"/>
              </w:rPr>
              <w:t>19/12/2025</w:t>
            </w:r>
          </w:p>
        </w:tc>
      </w:tr>
    </w:tbl>
    <w:p w14:paraId="52AB8131" w14:textId="24EE18DF" w:rsidR="65285CB6" w:rsidRDefault="65285CB6" w:rsidP="40842C48">
      <w:pPr>
        <w:jc w:val="both"/>
        <w:rPr>
          <w:rFonts w:ascii="Arial" w:eastAsia="Arial" w:hAnsi="Arial" w:cs="Arial"/>
          <w:b/>
          <w:bCs/>
          <w:sz w:val="22"/>
          <w:szCs w:val="22"/>
          <w:u w:val="single"/>
        </w:rPr>
      </w:pPr>
    </w:p>
    <w:p w14:paraId="59DA2B43" w14:textId="3F81ACF8" w:rsidR="65285CB6" w:rsidRDefault="65285CB6" w:rsidP="40842C48">
      <w:pPr>
        <w:jc w:val="both"/>
        <w:rPr>
          <w:rFonts w:ascii="Arial" w:eastAsia="Arial" w:hAnsi="Arial" w:cs="Arial"/>
          <w:b/>
          <w:bCs/>
          <w:sz w:val="22"/>
          <w:szCs w:val="22"/>
          <w:u w:val="single"/>
        </w:rPr>
      </w:pPr>
    </w:p>
    <w:p w14:paraId="540CDAA9" w14:textId="22478698" w:rsidR="40842C48" w:rsidRDefault="40842C48" w:rsidP="40842C48">
      <w:pPr>
        <w:jc w:val="both"/>
        <w:rPr>
          <w:rFonts w:ascii="Arial" w:eastAsia="Arial" w:hAnsi="Arial" w:cs="Arial"/>
          <w:b/>
          <w:bCs/>
          <w:sz w:val="22"/>
          <w:szCs w:val="22"/>
          <w:u w:val="single"/>
        </w:rPr>
      </w:pPr>
    </w:p>
    <w:p w14:paraId="0E30519D" w14:textId="09390D98" w:rsidR="40842C48" w:rsidRDefault="40842C48" w:rsidP="40842C48">
      <w:pPr>
        <w:jc w:val="both"/>
        <w:rPr>
          <w:rFonts w:ascii="Arial" w:eastAsia="Arial" w:hAnsi="Arial" w:cs="Arial"/>
          <w:b/>
          <w:bCs/>
          <w:sz w:val="22"/>
          <w:szCs w:val="22"/>
          <w:u w:val="single"/>
        </w:rPr>
      </w:pPr>
    </w:p>
    <w:p w14:paraId="687DE633" w14:textId="7AAF2711" w:rsidR="40842C48" w:rsidRDefault="40842C48" w:rsidP="40842C48">
      <w:pPr>
        <w:jc w:val="both"/>
        <w:rPr>
          <w:rFonts w:ascii="Arial" w:eastAsia="Arial" w:hAnsi="Arial" w:cs="Arial"/>
          <w:b/>
          <w:bCs/>
          <w:sz w:val="22"/>
          <w:szCs w:val="22"/>
          <w:u w:val="single"/>
        </w:rPr>
      </w:pPr>
    </w:p>
    <w:p w14:paraId="6148EEC0" w14:textId="13D96509" w:rsidR="40842C48" w:rsidRDefault="40842C48" w:rsidP="40842C48">
      <w:pPr>
        <w:jc w:val="both"/>
        <w:rPr>
          <w:rFonts w:ascii="Arial" w:eastAsia="Arial" w:hAnsi="Arial" w:cs="Arial"/>
          <w:b/>
          <w:bCs/>
          <w:sz w:val="22"/>
          <w:szCs w:val="22"/>
          <w:u w:val="single"/>
        </w:rPr>
      </w:pPr>
    </w:p>
    <w:p w14:paraId="16A49950" w14:textId="5783F4D9" w:rsidR="40842C48" w:rsidRDefault="40842C48" w:rsidP="40842C48">
      <w:pPr>
        <w:jc w:val="both"/>
        <w:rPr>
          <w:rFonts w:ascii="Arial" w:eastAsia="Arial" w:hAnsi="Arial" w:cs="Arial"/>
          <w:b/>
          <w:bCs/>
          <w:sz w:val="22"/>
          <w:szCs w:val="22"/>
          <w:u w:val="single"/>
        </w:rPr>
      </w:pPr>
    </w:p>
    <w:p w14:paraId="422CE799" w14:textId="547D4739" w:rsidR="40842C48" w:rsidRDefault="40842C48" w:rsidP="40842C48">
      <w:pPr>
        <w:jc w:val="both"/>
        <w:rPr>
          <w:rFonts w:ascii="Arial" w:eastAsia="Arial" w:hAnsi="Arial" w:cs="Arial"/>
          <w:b/>
          <w:bCs/>
          <w:sz w:val="22"/>
          <w:szCs w:val="22"/>
          <w:u w:val="single"/>
        </w:rPr>
      </w:pPr>
    </w:p>
    <w:p w14:paraId="39D379CE" w14:textId="24D18445" w:rsidR="40842C48" w:rsidRDefault="40842C48" w:rsidP="40842C48">
      <w:pPr>
        <w:jc w:val="both"/>
        <w:rPr>
          <w:rFonts w:ascii="Arial" w:eastAsia="Arial" w:hAnsi="Arial" w:cs="Arial"/>
          <w:b/>
          <w:bCs/>
          <w:sz w:val="22"/>
          <w:szCs w:val="22"/>
          <w:u w:val="single"/>
        </w:rPr>
      </w:pPr>
    </w:p>
    <w:p w14:paraId="19854253" w14:textId="4FC6C914" w:rsidR="40842C48" w:rsidRDefault="40842C48" w:rsidP="40842C48">
      <w:pPr>
        <w:jc w:val="both"/>
        <w:rPr>
          <w:rFonts w:ascii="Arial" w:eastAsia="Arial" w:hAnsi="Arial" w:cs="Arial"/>
          <w:b/>
          <w:bCs/>
          <w:sz w:val="22"/>
          <w:szCs w:val="22"/>
          <w:u w:val="single"/>
        </w:rPr>
      </w:pPr>
    </w:p>
    <w:p w14:paraId="0B904EBB" w14:textId="3E6D55EA" w:rsidR="40842C48" w:rsidRDefault="40842C48" w:rsidP="40842C48">
      <w:pPr>
        <w:jc w:val="both"/>
        <w:rPr>
          <w:rFonts w:ascii="Arial" w:eastAsia="Arial" w:hAnsi="Arial" w:cs="Arial"/>
          <w:b/>
          <w:bCs/>
          <w:sz w:val="22"/>
          <w:szCs w:val="22"/>
          <w:u w:val="single"/>
        </w:rPr>
      </w:pPr>
    </w:p>
    <w:p w14:paraId="31D21888" w14:textId="77777777" w:rsidR="00A85ABE" w:rsidRPr="00A85ABE" w:rsidRDefault="00A85ABE" w:rsidP="40842C48">
      <w:pPr>
        <w:jc w:val="center"/>
        <w:rPr>
          <w:rFonts w:ascii="Arial" w:eastAsia="Arial" w:hAnsi="Arial" w:cs="Arial"/>
          <w:b/>
          <w:bCs/>
          <w:sz w:val="22"/>
          <w:szCs w:val="22"/>
          <w:u w:val="single"/>
        </w:rPr>
      </w:pPr>
      <w:r w:rsidRPr="40842C48">
        <w:rPr>
          <w:rFonts w:ascii="Arial" w:eastAsia="Arial" w:hAnsi="Arial" w:cs="Arial"/>
          <w:b/>
          <w:bCs/>
          <w:sz w:val="22"/>
          <w:szCs w:val="22"/>
          <w:u w:val="single"/>
        </w:rPr>
        <w:t xml:space="preserve">Table of content </w:t>
      </w:r>
    </w:p>
    <w:tbl>
      <w:tblPr>
        <w:tblStyle w:val="TableGrid"/>
        <w:tblW w:w="9300" w:type="dxa"/>
        <w:tblLayout w:type="fixed"/>
        <w:tblLook w:val="06A0" w:firstRow="1" w:lastRow="0" w:firstColumn="1" w:lastColumn="0" w:noHBand="1" w:noVBand="1"/>
      </w:tblPr>
      <w:tblGrid>
        <w:gridCol w:w="1065"/>
        <w:gridCol w:w="6920"/>
        <w:gridCol w:w="1315"/>
      </w:tblGrid>
      <w:tr w:rsidR="00A85ABE" w:rsidRPr="00A85ABE" w14:paraId="513733D4" w14:textId="77777777" w:rsidTr="00A51A5A">
        <w:trPr>
          <w:trHeight w:val="920"/>
        </w:trPr>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1E4F5" w:themeFill="accent1" w:themeFillTint="33"/>
            <w:hideMark/>
          </w:tcPr>
          <w:p w14:paraId="6403F33E" w14:textId="77777777" w:rsidR="00A85ABE" w:rsidRPr="00A85ABE" w:rsidRDefault="00A85ABE" w:rsidP="40842C48">
            <w:pPr>
              <w:spacing w:after="160" w:line="278" w:lineRule="auto"/>
              <w:jc w:val="both"/>
              <w:rPr>
                <w:rFonts w:ascii="Arial" w:eastAsia="Arial" w:hAnsi="Arial" w:cs="Arial"/>
                <w:b/>
                <w:bCs/>
                <w:sz w:val="22"/>
                <w:szCs w:val="22"/>
              </w:rPr>
            </w:pPr>
            <w:r w:rsidRPr="40842C48">
              <w:rPr>
                <w:rFonts w:ascii="Arial" w:eastAsia="Arial" w:hAnsi="Arial" w:cs="Arial"/>
                <w:b/>
                <w:bCs/>
                <w:sz w:val="22"/>
                <w:szCs w:val="22"/>
              </w:rPr>
              <w:t xml:space="preserve">Sl no. </w:t>
            </w:r>
          </w:p>
        </w:tc>
        <w:tc>
          <w:tcPr>
            <w:tcW w:w="69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1E4F5" w:themeFill="accent1" w:themeFillTint="33"/>
            <w:hideMark/>
          </w:tcPr>
          <w:p w14:paraId="06978990" w14:textId="77777777" w:rsidR="00A85ABE" w:rsidRPr="00A85ABE" w:rsidRDefault="00A85ABE" w:rsidP="40842C48">
            <w:pPr>
              <w:spacing w:after="160" w:line="278" w:lineRule="auto"/>
              <w:jc w:val="both"/>
              <w:rPr>
                <w:rFonts w:ascii="Arial" w:eastAsia="Arial" w:hAnsi="Arial" w:cs="Arial"/>
                <w:b/>
                <w:bCs/>
                <w:sz w:val="22"/>
                <w:szCs w:val="22"/>
              </w:rPr>
            </w:pPr>
            <w:r w:rsidRPr="40842C48">
              <w:rPr>
                <w:rFonts w:ascii="Arial" w:eastAsia="Arial" w:hAnsi="Arial" w:cs="Arial"/>
                <w:b/>
                <w:bCs/>
                <w:sz w:val="22"/>
                <w:szCs w:val="22"/>
              </w:rPr>
              <w:t xml:space="preserve">Name of the section </w:t>
            </w:r>
          </w:p>
        </w:tc>
        <w:tc>
          <w:tcPr>
            <w:tcW w:w="13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1E4F5" w:themeFill="accent1" w:themeFillTint="33"/>
            <w:hideMark/>
          </w:tcPr>
          <w:p w14:paraId="7E850C56" w14:textId="77777777" w:rsidR="00A85ABE" w:rsidRPr="00A85ABE" w:rsidRDefault="00A85ABE" w:rsidP="40842C48">
            <w:pPr>
              <w:spacing w:after="160" w:line="278" w:lineRule="auto"/>
              <w:jc w:val="both"/>
              <w:rPr>
                <w:rFonts w:ascii="Arial" w:eastAsia="Arial" w:hAnsi="Arial" w:cs="Arial"/>
                <w:b/>
                <w:bCs/>
                <w:sz w:val="22"/>
                <w:szCs w:val="22"/>
              </w:rPr>
            </w:pPr>
            <w:r w:rsidRPr="40842C48">
              <w:rPr>
                <w:rFonts w:ascii="Arial" w:eastAsia="Arial" w:hAnsi="Arial" w:cs="Arial"/>
                <w:b/>
                <w:bCs/>
                <w:sz w:val="22"/>
                <w:szCs w:val="22"/>
              </w:rPr>
              <w:t xml:space="preserve">Page no. </w:t>
            </w:r>
          </w:p>
        </w:tc>
      </w:tr>
      <w:tr w:rsidR="00A85ABE" w:rsidRPr="00A85ABE" w14:paraId="7CD39292" w14:textId="77777777" w:rsidTr="00F17275">
        <w:trPr>
          <w:trHeight w:val="125"/>
        </w:trPr>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DCC3E22" w14:textId="2A90E863" w:rsidR="00A85ABE" w:rsidRPr="00A85ABE" w:rsidRDefault="00A85ABE" w:rsidP="40842C48">
            <w:pPr>
              <w:pStyle w:val="ListParagraph"/>
              <w:numPr>
                <w:ilvl w:val="0"/>
                <w:numId w:val="2"/>
              </w:numPr>
              <w:spacing w:after="160" w:line="278" w:lineRule="auto"/>
              <w:jc w:val="both"/>
              <w:rPr>
                <w:rFonts w:ascii="Arial" w:eastAsia="Arial" w:hAnsi="Arial" w:cs="Arial"/>
                <w:b/>
                <w:bCs/>
                <w:sz w:val="22"/>
                <w:szCs w:val="22"/>
              </w:rPr>
            </w:pPr>
          </w:p>
        </w:tc>
        <w:tc>
          <w:tcPr>
            <w:tcW w:w="6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786A55" w14:textId="6AB0C462" w:rsidR="00A85ABE" w:rsidRPr="00F17275" w:rsidRDefault="009F1B75" w:rsidP="40842C48">
            <w:pPr>
              <w:spacing w:after="160" w:line="278" w:lineRule="auto"/>
              <w:jc w:val="both"/>
              <w:rPr>
                <w:rFonts w:ascii="Arial" w:eastAsia="Arial" w:hAnsi="Arial" w:cs="Arial"/>
                <w:b/>
                <w:bCs/>
                <w:sz w:val="22"/>
                <w:szCs w:val="22"/>
              </w:rPr>
            </w:pPr>
            <w:r>
              <w:rPr>
                <w:rFonts w:ascii="Arial" w:eastAsia="Arial" w:hAnsi="Arial" w:cs="Arial"/>
                <w:b/>
                <w:bCs/>
                <w:sz w:val="22"/>
                <w:szCs w:val="22"/>
              </w:rPr>
              <w:t>Introduction</w:t>
            </w:r>
          </w:p>
        </w:tc>
        <w:tc>
          <w:tcPr>
            <w:tcW w:w="13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993F966" w14:textId="66493603" w:rsidR="00A85ABE" w:rsidRPr="00A85ABE" w:rsidRDefault="000C70F9" w:rsidP="40842C48">
            <w:pPr>
              <w:spacing w:after="160" w:line="278" w:lineRule="auto"/>
              <w:jc w:val="both"/>
              <w:rPr>
                <w:rFonts w:ascii="Arial" w:eastAsia="Arial" w:hAnsi="Arial" w:cs="Arial"/>
                <w:b/>
                <w:bCs/>
                <w:sz w:val="22"/>
                <w:szCs w:val="22"/>
              </w:rPr>
            </w:pPr>
            <w:r>
              <w:rPr>
                <w:rFonts w:ascii="Arial" w:eastAsia="Arial" w:hAnsi="Arial" w:cs="Arial"/>
                <w:b/>
                <w:bCs/>
                <w:sz w:val="22"/>
                <w:szCs w:val="22"/>
              </w:rPr>
              <w:t>2</w:t>
            </w:r>
          </w:p>
        </w:tc>
      </w:tr>
      <w:tr w:rsidR="00A85ABE" w:rsidRPr="00A85ABE" w14:paraId="5F146CC0" w14:textId="77777777" w:rsidTr="40842C48">
        <w:trPr>
          <w:trHeight w:val="608"/>
        </w:trPr>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C506EBD" w14:textId="252C8D6D" w:rsidR="00A85ABE" w:rsidRPr="00A85ABE" w:rsidRDefault="00A85ABE" w:rsidP="40842C48">
            <w:pPr>
              <w:pStyle w:val="ListParagraph"/>
              <w:numPr>
                <w:ilvl w:val="0"/>
                <w:numId w:val="2"/>
              </w:numPr>
              <w:spacing w:after="160" w:line="278" w:lineRule="auto"/>
              <w:jc w:val="both"/>
              <w:rPr>
                <w:rFonts w:ascii="Arial" w:eastAsia="Arial" w:hAnsi="Arial" w:cs="Arial"/>
                <w:b/>
                <w:bCs/>
                <w:sz w:val="22"/>
                <w:szCs w:val="22"/>
              </w:rPr>
            </w:pPr>
          </w:p>
        </w:tc>
        <w:tc>
          <w:tcPr>
            <w:tcW w:w="6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B50D00" w14:textId="13BD126E" w:rsidR="00A85ABE" w:rsidRPr="007D2F27" w:rsidRDefault="000C70F9" w:rsidP="40842C48">
            <w:pPr>
              <w:spacing w:after="160" w:line="278" w:lineRule="auto"/>
              <w:jc w:val="both"/>
              <w:rPr>
                <w:rFonts w:ascii="Arial" w:eastAsia="Arial" w:hAnsi="Arial" w:cs="Arial"/>
                <w:b/>
                <w:bCs/>
                <w:sz w:val="22"/>
                <w:szCs w:val="22"/>
              </w:rPr>
            </w:pPr>
            <w:r>
              <w:rPr>
                <w:rFonts w:ascii="Arial" w:eastAsia="Arial" w:hAnsi="Arial" w:cs="Arial"/>
                <w:b/>
                <w:bCs/>
                <w:sz w:val="22"/>
                <w:szCs w:val="22"/>
              </w:rPr>
              <w:t>Psychological Theory One: Peck’s Theory of Psychological Development in Later Life</w:t>
            </w:r>
          </w:p>
        </w:tc>
        <w:tc>
          <w:tcPr>
            <w:tcW w:w="13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0C05F4A" w14:textId="21A9F6D8" w:rsidR="00A85ABE" w:rsidRPr="00A85ABE" w:rsidRDefault="000C70F9" w:rsidP="40842C48">
            <w:pPr>
              <w:spacing w:after="160" w:line="278" w:lineRule="auto"/>
              <w:jc w:val="both"/>
              <w:rPr>
                <w:rFonts w:ascii="Arial" w:eastAsia="Arial" w:hAnsi="Arial" w:cs="Arial"/>
                <w:b/>
                <w:bCs/>
                <w:sz w:val="22"/>
                <w:szCs w:val="22"/>
              </w:rPr>
            </w:pPr>
            <w:r>
              <w:rPr>
                <w:rFonts w:ascii="Arial" w:eastAsia="Arial" w:hAnsi="Arial" w:cs="Arial"/>
                <w:b/>
                <w:bCs/>
                <w:sz w:val="22"/>
                <w:szCs w:val="22"/>
              </w:rPr>
              <w:t>2</w:t>
            </w:r>
          </w:p>
        </w:tc>
      </w:tr>
      <w:tr w:rsidR="000C70F9" w:rsidRPr="00A85ABE" w14:paraId="1F4EC238" w14:textId="77777777" w:rsidTr="40842C48">
        <w:trPr>
          <w:trHeight w:val="608"/>
        </w:trPr>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6737931" w14:textId="77777777" w:rsidR="000C70F9" w:rsidRPr="00A85ABE" w:rsidRDefault="000C70F9" w:rsidP="40842C48">
            <w:pPr>
              <w:pStyle w:val="ListParagraph"/>
              <w:numPr>
                <w:ilvl w:val="0"/>
                <w:numId w:val="2"/>
              </w:numPr>
              <w:jc w:val="both"/>
              <w:rPr>
                <w:rFonts w:ascii="Arial" w:eastAsia="Arial" w:hAnsi="Arial" w:cs="Arial"/>
                <w:b/>
                <w:bCs/>
                <w:sz w:val="22"/>
                <w:szCs w:val="22"/>
              </w:rPr>
            </w:pPr>
          </w:p>
        </w:tc>
        <w:tc>
          <w:tcPr>
            <w:tcW w:w="6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FD06B8" w14:textId="32EA6C4B" w:rsidR="000C70F9" w:rsidRPr="007D2F27" w:rsidRDefault="000C70F9" w:rsidP="40842C48">
            <w:pPr>
              <w:jc w:val="both"/>
              <w:rPr>
                <w:rFonts w:ascii="Arial" w:eastAsia="Arial" w:hAnsi="Arial" w:cs="Arial"/>
                <w:b/>
                <w:bCs/>
                <w:sz w:val="22"/>
                <w:szCs w:val="22"/>
              </w:rPr>
            </w:pPr>
            <w:r>
              <w:rPr>
                <w:rFonts w:ascii="Arial" w:eastAsia="Arial" w:hAnsi="Arial" w:cs="Arial"/>
                <w:b/>
                <w:bCs/>
                <w:sz w:val="22"/>
                <w:szCs w:val="22"/>
              </w:rPr>
              <w:t>Application of Peck’s Theory in a Dementia Care Home</w:t>
            </w:r>
          </w:p>
        </w:tc>
        <w:tc>
          <w:tcPr>
            <w:tcW w:w="13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3F7AA59" w14:textId="106F8993" w:rsidR="000C70F9" w:rsidRDefault="000C70F9" w:rsidP="40842C48">
            <w:pPr>
              <w:jc w:val="both"/>
              <w:rPr>
                <w:rFonts w:ascii="Arial" w:eastAsia="Arial" w:hAnsi="Arial" w:cs="Arial"/>
                <w:b/>
                <w:bCs/>
                <w:sz w:val="22"/>
                <w:szCs w:val="22"/>
              </w:rPr>
            </w:pPr>
            <w:r>
              <w:rPr>
                <w:rFonts w:ascii="Arial" w:eastAsia="Arial" w:hAnsi="Arial" w:cs="Arial"/>
                <w:b/>
                <w:bCs/>
                <w:sz w:val="22"/>
                <w:szCs w:val="22"/>
              </w:rPr>
              <w:t>3</w:t>
            </w:r>
          </w:p>
        </w:tc>
      </w:tr>
      <w:tr w:rsidR="000C70F9" w:rsidRPr="00A85ABE" w14:paraId="42F5503B" w14:textId="77777777" w:rsidTr="40842C48">
        <w:trPr>
          <w:trHeight w:val="608"/>
        </w:trPr>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C9D4C76" w14:textId="77777777" w:rsidR="000C70F9" w:rsidRPr="00A85ABE" w:rsidRDefault="000C70F9" w:rsidP="40842C48">
            <w:pPr>
              <w:pStyle w:val="ListParagraph"/>
              <w:numPr>
                <w:ilvl w:val="0"/>
                <w:numId w:val="2"/>
              </w:numPr>
              <w:jc w:val="both"/>
              <w:rPr>
                <w:rFonts w:ascii="Arial" w:eastAsia="Arial" w:hAnsi="Arial" w:cs="Arial"/>
                <w:b/>
                <w:bCs/>
                <w:sz w:val="22"/>
                <w:szCs w:val="22"/>
              </w:rPr>
            </w:pPr>
          </w:p>
        </w:tc>
        <w:tc>
          <w:tcPr>
            <w:tcW w:w="6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B339F" w14:textId="79B97134" w:rsidR="000C70F9" w:rsidRPr="007D2F27" w:rsidRDefault="008F05C3" w:rsidP="40842C48">
            <w:pPr>
              <w:jc w:val="both"/>
              <w:rPr>
                <w:rFonts w:ascii="Arial" w:eastAsia="Arial" w:hAnsi="Arial" w:cs="Arial"/>
                <w:b/>
                <w:bCs/>
                <w:sz w:val="22"/>
                <w:szCs w:val="22"/>
              </w:rPr>
            </w:pPr>
            <w:r>
              <w:rPr>
                <w:rFonts w:ascii="Arial" w:eastAsia="Arial" w:hAnsi="Arial" w:cs="Arial"/>
                <w:b/>
                <w:bCs/>
                <w:sz w:val="22"/>
                <w:szCs w:val="22"/>
              </w:rPr>
              <w:t>Psychological Theory Two: Cognitive Behavioural Theory (CBT)</w:t>
            </w:r>
          </w:p>
        </w:tc>
        <w:tc>
          <w:tcPr>
            <w:tcW w:w="13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C480BB2" w14:textId="79DC86E1" w:rsidR="000C70F9" w:rsidRDefault="008F05C3" w:rsidP="40842C48">
            <w:pPr>
              <w:jc w:val="both"/>
              <w:rPr>
                <w:rFonts w:ascii="Arial" w:eastAsia="Arial" w:hAnsi="Arial" w:cs="Arial"/>
                <w:b/>
                <w:bCs/>
                <w:sz w:val="22"/>
                <w:szCs w:val="22"/>
              </w:rPr>
            </w:pPr>
            <w:r>
              <w:rPr>
                <w:rFonts w:ascii="Arial" w:eastAsia="Arial" w:hAnsi="Arial" w:cs="Arial"/>
                <w:b/>
                <w:bCs/>
                <w:sz w:val="22"/>
                <w:szCs w:val="22"/>
              </w:rPr>
              <w:t>4</w:t>
            </w:r>
          </w:p>
        </w:tc>
      </w:tr>
      <w:tr w:rsidR="008F05C3" w:rsidRPr="00A85ABE" w14:paraId="31059BCD" w14:textId="77777777" w:rsidTr="40842C48">
        <w:trPr>
          <w:trHeight w:val="608"/>
        </w:trPr>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E99FA3C" w14:textId="77777777" w:rsidR="008F05C3" w:rsidRPr="00A85ABE" w:rsidRDefault="008F05C3" w:rsidP="40842C48">
            <w:pPr>
              <w:pStyle w:val="ListParagraph"/>
              <w:numPr>
                <w:ilvl w:val="0"/>
                <w:numId w:val="2"/>
              </w:numPr>
              <w:jc w:val="both"/>
              <w:rPr>
                <w:rFonts w:ascii="Arial" w:eastAsia="Arial" w:hAnsi="Arial" w:cs="Arial"/>
                <w:b/>
                <w:bCs/>
                <w:sz w:val="22"/>
                <w:szCs w:val="22"/>
              </w:rPr>
            </w:pPr>
          </w:p>
        </w:tc>
        <w:tc>
          <w:tcPr>
            <w:tcW w:w="6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21B553" w14:textId="35AAF096" w:rsidR="008F05C3" w:rsidRDefault="008F05C3" w:rsidP="40842C48">
            <w:pPr>
              <w:jc w:val="both"/>
              <w:rPr>
                <w:rFonts w:ascii="Arial" w:eastAsia="Arial" w:hAnsi="Arial" w:cs="Arial"/>
                <w:b/>
                <w:bCs/>
                <w:sz w:val="22"/>
                <w:szCs w:val="22"/>
              </w:rPr>
            </w:pPr>
            <w:r>
              <w:rPr>
                <w:rFonts w:ascii="Arial" w:eastAsia="Arial" w:hAnsi="Arial" w:cs="Arial"/>
                <w:b/>
                <w:bCs/>
                <w:sz w:val="22"/>
                <w:szCs w:val="22"/>
              </w:rPr>
              <w:t>Application of CBT in a Dementia Care Home</w:t>
            </w:r>
          </w:p>
        </w:tc>
        <w:tc>
          <w:tcPr>
            <w:tcW w:w="13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2C360FB7" w14:textId="1C2F5529" w:rsidR="008F05C3" w:rsidRDefault="008F05C3" w:rsidP="40842C48">
            <w:pPr>
              <w:jc w:val="both"/>
              <w:rPr>
                <w:rFonts w:ascii="Arial" w:eastAsia="Arial" w:hAnsi="Arial" w:cs="Arial"/>
                <w:b/>
                <w:bCs/>
                <w:sz w:val="22"/>
                <w:szCs w:val="22"/>
              </w:rPr>
            </w:pPr>
            <w:r>
              <w:rPr>
                <w:rFonts w:ascii="Arial" w:eastAsia="Arial" w:hAnsi="Arial" w:cs="Arial"/>
                <w:b/>
                <w:bCs/>
                <w:sz w:val="22"/>
                <w:szCs w:val="22"/>
              </w:rPr>
              <w:t>5</w:t>
            </w:r>
          </w:p>
        </w:tc>
      </w:tr>
      <w:tr w:rsidR="008F05C3" w:rsidRPr="00A85ABE" w14:paraId="68788B6D" w14:textId="77777777" w:rsidTr="40842C48">
        <w:trPr>
          <w:trHeight w:val="608"/>
        </w:trPr>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3452142" w14:textId="77777777" w:rsidR="008F05C3" w:rsidRPr="00A85ABE" w:rsidRDefault="008F05C3" w:rsidP="40842C48">
            <w:pPr>
              <w:pStyle w:val="ListParagraph"/>
              <w:numPr>
                <w:ilvl w:val="0"/>
                <w:numId w:val="2"/>
              </w:numPr>
              <w:jc w:val="both"/>
              <w:rPr>
                <w:rFonts w:ascii="Arial" w:eastAsia="Arial" w:hAnsi="Arial" w:cs="Arial"/>
                <w:b/>
                <w:bCs/>
                <w:sz w:val="22"/>
                <w:szCs w:val="22"/>
              </w:rPr>
            </w:pPr>
          </w:p>
        </w:tc>
        <w:tc>
          <w:tcPr>
            <w:tcW w:w="6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19C4C8" w14:textId="517C31FC" w:rsidR="008F05C3" w:rsidRDefault="00916CD0" w:rsidP="40842C48">
            <w:pPr>
              <w:jc w:val="both"/>
              <w:rPr>
                <w:rFonts w:ascii="Arial" w:eastAsia="Arial" w:hAnsi="Arial" w:cs="Arial"/>
                <w:b/>
                <w:bCs/>
                <w:sz w:val="22"/>
                <w:szCs w:val="22"/>
              </w:rPr>
            </w:pPr>
            <w:r>
              <w:rPr>
                <w:rFonts w:ascii="Arial" w:eastAsia="Arial" w:hAnsi="Arial" w:cs="Arial"/>
                <w:b/>
                <w:bCs/>
                <w:sz w:val="22"/>
                <w:szCs w:val="22"/>
              </w:rPr>
              <w:t>Comparison and Critical Evaluation of Peck’s Theory and CBT</w:t>
            </w:r>
          </w:p>
        </w:tc>
        <w:tc>
          <w:tcPr>
            <w:tcW w:w="13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D9F0466" w14:textId="04003A2F" w:rsidR="008F05C3" w:rsidRDefault="00916CD0" w:rsidP="40842C48">
            <w:pPr>
              <w:jc w:val="both"/>
              <w:rPr>
                <w:rFonts w:ascii="Arial" w:eastAsia="Arial" w:hAnsi="Arial" w:cs="Arial"/>
                <w:b/>
                <w:bCs/>
                <w:sz w:val="22"/>
                <w:szCs w:val="22"/>
              </w:rPr>
            </w:pPr>
            <w:r>
              <w:rPr>
                <w:rFonts w:ascii="Arial" w:eastAsia="Arial" w:hAnsi="Arial" w:cs="Arial"/>
                <w:b/>
                <w:bCs/>
                <w:sz w:val="22"/>
                <w:szCs w:val="22"/>
              </w:rPr>
              <w:t>5</w:t>
            </w:r>
          </w:p>
        </w:tc>
      </w:tr>
      <w:tr w:rsidR="00916CD0" w:rsidRPr="00A85ABE" w14:paraId="549A1E3B" w14:textId="77777777" w:rsidTr="40842C48">
        <w:trPr>
          <w:trHeight w:val="608"/>
        </w:trPr>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54C5A94" w14:textId="77777777" w:rsidR="00916CD0" w:rsidRPr="00A85ABE" w:rsidRDefault="00916CD0" w:rsidP="40842C48">
            <w:pPr>
              <w:pStyle w:val="ListParagraph"/>
              <w:numPr>
                <w:ilvl w:val="0"/>
                <w:numId w:val="2"/>
              </w:numPr>
              <w:jc w:val="both"/>
              <w:rPr>
                <w:rFonts w:ascii="Arial" w:eastAsia="Arial" w:hAnsi="Arial" w:cs="Arial"/>
                <w:b/>
                <w:bCs/>
                <w:sz w:val="22"/>
                <w:szCs w:val="22"/>
              </w:rPr>
            </w:pPr>
          </w:p>
        </w:tc>
        <w:tc>
          <w:tcPr>
            <w:tcW w:w="6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FDB2A9" w14:textId="77777777" w:rsidR="00916CD0" w:rsidRDefault="00916CD0" w:rsidP="40842C48">
            <w:pPr>
              <w:jc w:val="both"/>
              <w:rPr>
                <w:rFonts w:ascii="Arial" w:eastAsia="Arial" w:hAnsi="Arial" w:cs="Arial"/>
                <w:b/>
                <w:bCs/>
                <w:sz w:val="22"/>
                <w:szCs w:val="22"/>
              </w:rPr>
            </w:pPr>
            <w:r>
              <w:rPr>
                <w:rFonts w:ascii="Arial" w:eastAsia="Arial" w:hAnsi="Arial" w:cs="Arial"/>
                <w:b/>
                <w:bCs/>
                <w:sz w:val="22"/>
                <w:szCs w:val="22"/>
              </w:rPr>
              <w:t>Conclusion</w:t>
            </w:r>
          </w:p>
          <w:p w14:paraId="2D3B9D0F" w14:textId="0CBBDC08" w:rsidR="00916CD0" w:rsidRDefault="00916CD0" w:rsidP="40842C48">
            <w:pPr>
              <w:jc w:val="both"/>
              <w:rPr>
                <w:rFonts w:ascii="Arial" w:eastAsia="Arial" w:hAnsi="Arial" w:cs="Arial"/>
                <w:b/>
                <w:bCs/>
                <w:sz w:val="22"/>
                <w:szCs w:val="22"/>
              </w:rPr>
            </w:pPr>
          </w:p>
        </w:tc>
        <w:tc>
          <w:tcPr>
            <w:tcW w:w="13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3051240" w14:textId="7710E568" w:rsidR="00916CD0" w:rsidRDefault="00916CD0" w:rsidP="40842C48">
            <w:pPr>
              <w:jc w:val="both"/>
              <w:rPr>
                <w:rFonts w:ascii="Arial" w:eastAsia="Arial" w:hAnsi="Arial" w:cs="Arial"/>
                <w:b/>
                <w:bCs/>
                <w:sz w:val="22"/>
                <w:szCs w:val="22"/>
              </w:rPr>
            </w:pPr>
            <w:r>
              <w:rPr>
                <w:rFonts w:ascii="Arial" w:eastAsia="Arial" w:hAnsi="Arial" w:cs="Arial"/>
                <w:b/>
                <w:bCs/>
                <w:sz w:val="22"/>
                <w:szCs w:val="22"/>
              </w:rPr>
              <w:t>6</w:t>
            </w:r>
          </w:p>
        </w:tc>
      </w:tr>
      <w:tr w:rsidR="00916CD0" w:rsidRPr="00A85ABE" w14:paraId="1CDD3439" w14:textId="77777777" w:rsidTr="40842C48">
        <w:trPr>
          <w:trHeight w:val="608"/>
        </w:trPr>
        <w:tc>
          <w:tcPr>
            <w:tcW w:w="10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9AB0190" w14:textId="77777777" w:rsidR="00916CD0" w:rsidRPr="00A85ABE" w:rsidRDefault="00916CD0" w:rsidP="40842C48">
            <w:pPr>
              <w:pStyle w:val="ListParagraph"/>
              <w:numPr>
                <w:ilvl w:val="0"/>
                <w:numId w:val="2"/>
              </w:numPr>
              <w:jc w:val="both"/>
              <w:rPr>
                <w:rFonts w:ascii="Arial" w:eastAsia="Arial" w:hAnsi="Arial" w:cs="Arial"/>
                <w:b/>
                <w:bCs/>
                <w:sz w:val="22"/>
                <w:szCs w:val="22"/>
              </w:rPr>
            </w:pPr>
          </w:p>
        </w:tc>
        <w:tc>
          <w:tcPr>
            <w:tcW w:w="6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67D6FD" w14:textId="706F96FC" w:rsidR="00916CD0" w:rsidRDefault="00916CD0" w:rsidP="40842C48">
            <w:pPr>
              <w:jc w:val="both"/>
              <w:rPr>
                <w:rFonts w:ascii="Arial" w:eastAsia="Arial" w:hAnsi="Arial" w:cs="Arial"/>
                <w:b/>
                <w:bCs/>
                <w:sz w:val="22"/>
                <w:szCs w:val="22"/>
              </w:rPr>
            </w:pPr>
            <w:r>
              <w:rPr>
                <w:rFonts w:ascii="Arial" w:eastAsia="Arial" w:hAnsi="Arial" w:cs="Arial"/>
                <w:b/>
                <w:bCs/>
                <w:sz w:val="22"/>
                <w:szCs w:val="22"/>
              </w:rPr>
              <w:t>Reference List</w:t>
            </w:r>
          </w:p>
        </w:tc>
        <w:tc>
          <w:tcPr>
            <w:tcW w:w="13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AAF9468" w14:textId="17C4E1A3" w:rsidR="00916CD0" w:rsidRDefault="00916CD0" w:rsidP="40842C48">
            <w:pPr>
              <w:jc w:val="both"/>
              <w:rPr>
                <w:rFonts w:ascii="Arial" w:eastAsia="Arial" w:hAnsi="Arial" w:cs="Arial"/>
                <w:b/>
                <w:bCs/>
                <w:sz w:val="22"/>
                <w:szCs w:val="22"/>
              </w:rPr>
            </w:pPr>
            <w:r>
              <w:rPr>
                <w:rFonts w:ascii="Arial" w:eastAsia="Arial" w:hAnsi="Arial" w:cs="Arial"/>
                <w:b/>
                <w:bCs/>
                <w:sz w:val="22"/>
                <w:szCs w:val="22"/>
              </w:rPr>
              <w:t>6</w:t>
            </w:r>
          </w:p>
        </w:tc>
      </w:tr>
    </w:tbl>
    <w:p w14:paraId="2B2E766A" w14:textId="177E8117" w:rsidR="00481D14" w:rsidRDefault="00481D14" w:rsidP="40842C48">
      <w:pPr>
        <w:jc w:val="both"/>
        <w:rPr>
          <w:rFonts w:ascii="Arial" w:eastAsia="Arial" w:hAnsi="Arial" w:cs="Arial"/>
          <w:b/>
          <w:bCs/>
          <w:sz w:val="22"/>
          <w:szCs w:val="22"/>
        </w:rPr>
      </w:pPr>
    </w:p>
    <w:p w14:paraId="6B2B18EF" w14:textId="6F6870E6" w:rsidR="00FA7D4A" w:rsidRDefault="00FA7D4A" w:rsidP="40842C48">
      <w:pPr>
        <w:jc w:val="both"/>
        <w:rPr>
          <w:rFonts w:ascii="Arial" w:eastAsia="Arial" w:hAnsi="Arial" w:cs="Arial"/>
          <w:b/>
          <w:bCs/>
          <w:sz w:val="22"/>
          <w:szCs w:val="22"/>
        </w:rPr>
      </w:pPr>
    </w:p>
    <w:p w14:paraId="14C00CF0" w14:textId="26BCFD86" w:rsidR="00FA7D4A" w:rsidRDefault="00FA7D4A" w:rsidP="40842C48">
      <w:pPr>
        <w:jc w:val="both"/>
        <w:rPr>
          <w:rFonts w:ascii="Arial" w:eastAsia="Arial" w:hAnsi="Arial" w:cs="Arial"/>
          <w:b/>
          <w:bCs/>
          <w:sz w:val="22"/>
          <w:szCs w:val="22"/>
        </w:rPr>
      </w:pPr>
    </w:p>
    <w:p w14:paraId="3B56C935" w14:textId="0B71D3B1" w:rsidR="00FA7D4A" w:rsidRDefault="00FA7D4A" w:rsidP="40842C48">
      <w:pPr>
        <w:jc w:val="both"/>
        <w:rPr>
          <w:rFonts w:ascii="Arial" w:eastAsia="Arial" w:hAnsi="Arial" w:cs="Arial"/>
          <w:b/>
          <w:bCs/>
          <w:sz w:val="22"/>
          <w:szCs w:val="22"/>
        </w:rPr>
      </w:pPr>
    </w:p>
    <w:p w14:paraId="28D2F42F" w14:textId="3FEE8278" w:rsidR="00FA7D4A" w:rsidRDefault="00FA7D4A" w:rsidP="40842C48">
      <w:pPr>
        <w:jc w:val="both"/>
        <w:rPr>
          <w:rFonts w:ascii="Arial" w:eastAsia="Arial" w:hAnsi="Arial" w:cs="Arial"/>
          <w:b/>
          <w:bCs/>
          <w:sz w:val="22"/>
          <w:szCs w:val="22"/>
        </w:rPr>
      </w:pPr>
    </w:p>
    <w:p w14:paraId="3C1015CD" w14:textId="50213C01" w:rsidR="00FA7D4A" w:rsidRDefault="00FA7D4A" w:rsidP="40842C48">
      <w:pPr>
        <w:jc w:val="both"/>
        <w:rPr>
          <w:rFonts w:ascii="Arial" w:eastAsia="Arial" w:hAnsi="Arial" w:cs="Arial"/>
          <w:b/>
          <w:bCs/>
          <w:sz w:val="22"/>
          <w:szCs w:val="22"/>
        </w:rPr>
      </w:pPr>
    </w:p>
    <w:p w14:paraId="2607C6BC" w14:textId="16584EC9" w:rsidR="00FA7D4A" w:rsidRDefault="00FA7D4A">
      <w:pPr>
        <w:rPr>
          <w:rFonts w:ascii="Arial" w:eastAsia="Arial" w:hAnsi="Arial" w:cs="Arial"/>
          <w:b/>
          <w:bCs/>
          <w:sz w:val="22"/>
          <w:szCs w:val="22"/>
        </w:rPr>
      </w:pPr>
      <w:r>
        <w:rPr>
          <w:rFonts w:ascii="Arial" w:eastAsia="Arial" w:hAnsi="Arial" w:cs="Arial"/>
          <w:b/>
          <w:bCs/>
          <w:sz w:val="22"/>
          <w:szCs w:val="22"/>
        </w:rPr>
        <w:br w:type="page"/>
      </w:r>
    </w:p>
    <w:p w14:paraId="68E159F4" w14:textId="17DAE49D" w:rsidR="00242798" w:rsidRDefault="00E62425" w:rsidP="40842C48">
      <w:pPr>
        <w:jc w:val="both"/>
        <w:rPr>
          <w:rFonts w:ascii="Arial" w:eastAsia="Arial" w:hAnsi="Arial" w:cs="Arial"/>
          <w:b/>
          <w:bCs/>
          <w:sz w:val="22"/>
          <w:szCs w:val="22"/>
        </w:rPr>
      </w:pPr>
      <w:r>
        <w:rPr>
          <w:rFonts w:ascii="Arial" w:eastAsia="Arial" w:hAnsi="Arial" w:cs="Arial"/>
          <w:b/>
          <w:bCs/>
          <w:sz w:val="22"/>
          <w:szCs w:val="22"/>
        </w:rPr>
        <w:lastRenderedPageBreak/>
        <w:t>Introduction</w:t>
      </w:r>
    </w:p>
    <w:p w14:paraId="43811927" w14:textId="38A1EC9E" w:rsidR="00E62425" w:rsidRDefault="00E62425" w:rsidP="40842C48">
      <w:pPr>
        <w:jc w:val="both"/>
        <w:rPr>
          <w:rFonts w:ascii="Arial" w:eastAsia="Arial" w:hAnsi="Arial" w:cs="Arial"/>
          <w:sz w:val="22"/>
          <w:szCs w:val="22"/>
        </w:rPr>
      </w:pPr>
      <w:r>
        <w:rPr>
          <w:rFonts w:ascii="Arial" w:eastAsia="Arial" w:hAnsi="Arial" w:cs="Arial"/>
          <w:sz w:val="22"/>
          <w:szCs w:val="22"/>
        </w:rPr>
        <w:t xml:space="preserve">Psychological health conditions are increasingly common among adults aged 65 and over, particularly those living with dementia in residential care settings. Dementia not only affects memory and cognition but is also closely linked to psychological difficulties such as depression, anxiety, agitation and loss of identity. These challenges can significantly impact an individual’s quality of life and place additional demands on health and social care professionals working in dementia care homes. </w:t>
      </w:r>
    </w:p>
    <w:p w14:paraId="36FF41F7" w14:textId="656F06B3" w:rsidR="00E62425" w:rsidRDefault="00E62425" w:rsidP="40842C48">
      <w:pPr>
        <w:jc w:val="both"/>
        <w:rPr>
          <w:rFonts w:ascii="Arial" w:eastAsia="Arial" w:hAnsi="Arial" w:cs="Arial"/>
          <w:sz w:val="22"/>
          <w:szCs w:val="22"/>
        </w:rPr>
      </w:pPr>
      <w:r>
        <w:rPr>
          <w:rFonts w:ascii="Arial" w:eastAsia="Arial" w:hAnsi="Arial" w:cs="Arial"/>
          <w:sz w:val="22"/>
          <w:szCs w:val="22"/>
        </w:rPr>
        <w:t>Understanding psychological theories is essential for professionals to effectively support older adults experiencing psychological distress. Psychological theories help explain why emotional and behavioural changes occur in later life and provide frameworks that can be used to guide appropriate care and interventions. When applied correctly, theory-informed practice can promote wellbeing, dignity and person-centred care, even as cognitive abilities decline. This report focuses on older adults aged 65 and over living in a dementia care home. It will explore two psychological theories relevant to adult development and mental health: Peck’s Theory of Psychological Development in Later Life and Cognitive Behavioural Theory (CBT). The report will explain how these theories apply to older adults and critically evaluate how they can be used by health and social care professionals to support psychological wellbeing in dementia care settings.</w:t>
      </w:r>
    </w:p>
    <w:p w14:paraId="6F60EB93" w14:textId="743A4B7A" w:rsidR="00014EA3" w:rsidRDefault="00014EA3" w:rsidP="40842C48">
      <w:pPr>
        <w:jc w:val="both"/>
        <w:rPr>
          <w:rFonts w:ascii="Arial" w:eastAsia="Arial" w:hAnsi="Arial" w:cs="Arial"/>
          <w:sz w:val="22"/>
          <w:szCs w:val="22"/>
        </w:rPr>
      </w:pPr>
    </w:p>
    <w:p w14:paraId="7B6E88DE" w14:textId="5A85AF19" w:rsidR="00014EA3" w:rsidRDefault="00014EA3" w:rsidP="40842C48">
      <w:pPr>
        <w:jc w:val="both"/>
        <w:rPr>
          <w:rFonts w:ascii="Arial" w:eastAsia="Arial" w:hAnsi="Arial" w:cs="Arial"/>
          <w:sz w:val="22"/>
          <w:szCs w:val="22"/>
        </w:rPr>
      </w:pPr>
    </w:p>
    <w:p w14:paraId="559B3510" w14:textId="409C04AA" w:rsidR="00014EA3" w:rsidRDefault="00014EA3" w:rsidP="40842C48">
      <w:pPr>
        <w:jc w:val="both"/>
        <w:rPr>
          <w:rFonts w:ascii="Arial" w:eastAsia="Arial" w:hAnsi="Arial" w:cs="Arial"/>
          <w:b/>
          <w:bCs/>
          <w:sz w:val="22"/>
          <w:szCs w:val="22"/>
        </w:rPr>
      </w:pPr>
      <w:r>
        <w:rPr>
          <w:rFonts w:ascii="Arial" w:eastAsia="Arial" w:hAnsi="Arial" w:cs="Arial"/>
          <w:b/>
          <w:bCs/>
          <w:sz w:val="22"/>
          <w:szCs w:val="22"/>
        </w:rPr>
        <w:t>Psychological Theory One: Peck’s Theory of Psychological Development in Later Life</w:t>
      </w:r>
    </w:p>
    <w:p w14:paraId="0301BEB3" w14:textId="3C6BBEE8" w:rsidR="00014EA3" w:rsidRDefault="00014EA3" w:rsidP="40842C48">
      <w:pPr>
        <w:jc w:val="both"/>
        <w:rPr>
          <w:rFonts w:ascii="Arial" w:eastAsia="Arial" w:hAnsi="Arial" w:cs="Arial"/>
          <w:sz w:val="22"/>
          <w:szCs w:val="22"/>
        </w:rPr>
      </w:pPr>
    </w:p>
    <w:p w14:paraId="0C879942" w14:textId="2A7E1E17" w:rsidR="00014EA3" w:rsidRDefault="00014EA3" w:rsidP="40842C48">
      <w:pPr>
        <w:jc w:val="both"/>
        <w:rPr>
          <w:rFonts w:ascii="Arial" w:eastAsia="Arial" w:hAnsi="Arial" w:cs="Arial"/>
          <w:sz w:val="22"/>
          <w:szCs w:val="22"/>
        </w:rPr>
      </w:pPr>
      <w:r>
        <w:rPr>
          <w:rFonts w:ascii="Arial" w:eastAsia="Arial" w:hAnsi="Arial" w:cs="Arial"/>
          <w:sz w:val="22"/>
          <w:szCs w:val="22"/>
        </w:rPr>
        <w:t>Peck’s Theory of Psychological Development in Later Life builds on Erikson’s theory but focuses specifically on the challenges faced during older adulthood (Peck, 1968). Peck suggested that psychological wellbeing in later life depends on how successfully older adults adjust to changes such as retirement, physical decline and increase dependency. The theory is especially relevant for adults aged 65 and over, including those living with dementia. Peck identified three main psychological challenges that older adults must manage. The first is ego differentiation versus work-role preoccupation. This refers to whether an individual can maintain a sense of self-worth after retirement or loss of previous roles. Older adults who base their identity only on work or productivity may struggle with low mood and feelings of uselessness, particularly in care home settings.</w:t>
      </w:r>
    </w:p>
    <w:p w14:paraId="67AADA67" w14:textId="5CC3AE8C" w:rsidR="00014EA3" w:rsidRDefault="00014EA3" w:rsidP="40842C48">
      <w:pPr>
        <w:jc w:val="both"/>
        <w:rPr>
          <w:rFonts w:ascii="Arial" w:eastAsia="Arial" w:hAnsi="Arial" w:cs="Arial"/>
          <w:sz w:val="22"/>
          <w:szCs w:val="22"/>
        </w:rPr>
      </w:pPr>
      <w:r>
        <w:rPr>
          <w:rFonts w:ascii="Arial" w:eastAsia="Arial" w:hAnsi="Arial" w:cs="Arial"/>
          <w:sz w:val="22"/>
          <w:szCs w:val="22"/>
        </w:rPr>
        <w:t>The second challenge is body transcendence versus body preoccupation. This focuses on how individuals respond to physical ageing and illness. Older adults who can focus on relationships, enjoyment and emotional wellbeing rather than physical decline are more likely to maintain positive mental health. For people with dementia, increased focus on physical or cognitive losses may lead to anxiety and frustration.</w:t>
      </w:r>
    </w:p>
    <w:p w14:paraId="5A0C11E4" w14:textId="109D7E32" w:rsidR="00240444" w:rsidRDefault="00240444" w:rsidP="40842C48">
      <w:pPr>
        <w:jc w:val="both"/>
        <w:rPr>
          <w:rFonts w:ascii="Arial" w:eastAsia="Arial" w:hAnsi="Arial" w:cs="Arial"/>
          <w:sz w:val="22"/>
          <w:szCs w:val="22"/>
        </w:rPr>
      </w:pPr>
      <w:r>
        <w:rPr>
          <w:rFonts w:ascii="Arial" w:eastAsia="Arial" w:hAnsi="Arial" w:cs="Arial"/>
          <w:sz w:val="22"/>
          <w:szCs w:val="22"/>
        </w:rPr>
        <w:t xml:space="preserve">The final challenge is ego transcendence versus ego preoccupation. This involves accepting ageing and mortality while finding meaning in life experiences and relationships. Successful adjustment can result in emotional acceptance, while failure may lead to fear, despair or </w:t>
      </w:r>
      <w:r>
        <w:rPr>
          <w:rFonts w:ascii="Arial" w:eastAsia="Arial" w:hAnsi="Arial" w:cs="Arial"/>
          <w:sz w:val="22"/>
          <w:szCs w:val="22"/>
        </w:rPr>
        <w:lastRenderedPageBreak/>
        <w:t>depression. Overall, Peck’s Theory helps explain why older adults, especially those with dementia, may experience psychological distress. It highlights the importance of supporting identity, dignity and emotional wellbeing in later life.</w:t>
      </w:r>
    </w:p>
    <w:p w14:paraId="04FEFC84" w14:textId="4529F7D8" w:rsidR="00605755" w:rsidRDefault="00605755" w:rsidP="40842C48">
      <w:pPr>
        <w:jc w:val="both"/>
        <w:rPr>
          <w:rFonts w:ascii="Arial" w:eastAsia="Arial" w:hAnsi="Arial" w:cs="Arial"/>
          <w:sz w:val="22"/>
          <w:szCs w:val="22"/>
        </w:rPr>
      </w:pPr>
    </w:p>
    <w:p w14:paraId="7615F388" w14:textId="61BC8A92" w:rsidR="00605755" w:rsidRDefault="00605755" w:rsidP="40842C48">
      <w:pPr>
        <w:jc w:val="both"/>
        <w:rPr>
          <w:rFonts w:ascii="Arial" w:eastAsia="Arial" w:hAnsi="Arial" w:cs="Arial"/>
          <w:b/>
          <w:bCs/>
          <w:sz w:val="22"/>
          <w:szCs w:val="22"/>
        </w:rPr>
      </w:pPr>
      <w:r>
        <w:rPr>
          <w:rFonts w:ascii="Arial" w:eastAsia="Arial" w:hAnsi="Arial" w:cs="Arial"/>
          <w:b/>
          <w:bCs/>
          <w:sz w:val="22"/>
          <w:szCs w:val="22"/>
        </w:rPr>
        <w:t>Application of Peck’s Theory in a Dementia Care Home</w:t>
      </w:r>
    </w:p>
    <w:p w14:paraId="19277354" w14:textId="015555B8" w:rsidR="00605755" w:rsidRDefault="00605755" w:rsidP="40842C48">
      <w:pPr>
        <w:jc w:val="both"/>
        <w:rPr>
          <w:rFonts w:ascii="Arial" w:eastAsia="Arial" w:hAnsi="Arial" w:cs="Arial"/>
          <w:sz w:val="22"/>
          <w:szCs w:val="22"/>
        </w:rPr>
      </w:pPr>
      <w:r>
        <w:rPr>
          <w:rFonts w:ascii="Arial" w:eastAsia="Arial" w:hAnsi="Arial" w:cs="Arial"/>
          <w:sz w:val="22"/>
          <w:szCs w:val="22"/>
        </w:rPr>
        <w:t xml:space="preserve">Peck’s Theory can be effectively applied in dementia care homes to support the psychological wellbeing of </w:t>
      </w:r>
      <w:r w:rsidR="00065664">
        <w:rPr>
          <w:rFonts w:ascii="Arial" w:eastAsia="Arial" w:hAnsi="Arial" w:cs="Arial"/>
          <w:sz w:val="22"/>
          <w:szCs w:val="22"/>
        </w:rPr>
        <w:t>adults</w:t>
      </w:r>
      <w:r>
        <w:rPr>
          <w:rFonts w:ascii="Arial" w:eastAsia="Arial" w:hAnsi="Arial" w:cs="Arial"/>
          <w:sz w:val="22"/>
          <w:szCs w:val="22"/>
        </w:rPr>
        <w:t xml:space="preserve"> aged 65 and over. The theory helps health and social care professionals understand how ageing-related changes can affect identity, self -worth and e</w:t>
      </w:r>
      <w:r w:rsidR="00065664">
        <w:rPr>
          <w:rFonts w:ascii="Arial" w:eastAsia="Arial" w:hAnsi="Arial" w:cs="Arial"/>
          <w:sz w:val="22"/>
          <w:szCs w:val="22"/>
        </w:rPr>
        <w:t>motional adjustment, which is particularly important for individuals living with dementia. In relation to ego differentiation versus work-role preoccupation, professionals can support residents by helping them maintain a sense of identity beyond previous employment or roles. For example, care staff can encourage residents to engage in activities that reflect their past interest or skills, such as helping set tables, participating in music sessions, or sharing life experiences. This can reduce feelings of uselessness and support self-esteem. The concept of body transcendence versus body preoccupation is especially relevant in dementia care, where physical and cognitive decline is common. Staff can apply this by focusing care on what residents can still do rather than what they have lost. Promoting social interaction, emotional connection and enjoyment through activities such as reminiscence therapy or group games can help residents focus less on physical limitations, reducing anxiety and low mood.</w:t>
      </w:r>
    </w:p>
    <w:p w14:paraId="115237D5" w14:textId="3C910DC6" w:rsidR="00065664" w:rsidRDefault="00065664" w:rsidP="40842C48">
      <w:pPr>
        <w:jc w:val="both"/>
        <w:rPr>
          <w:rFonts w:ascii="Arial" w:eastAsia="Arial" w:hAnsi="Arial" w:cs="Arial"/>
          <w:sz w:val="22"/>
          <w:szCs w:val="22"/>
        </w:rPr>
      </w:pPr>
      <w:r>
        <w:rPr>
          <w:rFonts w:ascii="Arial" w:eastAsia="Arial" w:hAnsi="Arial" w:cs="Arial"/>
          <w:sz w:val="22"/>
          <w:szCs w:val="22"/>
        </w:rPr>
        <w:t>Finally, ego transcendence versus ego preoccupation can be supported by treating residents with dignity and respect and acknowledging their life experiences. Encouraging family involvement and life story work can help residents feel valued and find meaning, even in later stages of dementia. However, applying Peck’s Theory can be challenging due to cognitive impairment and time pressures on staff. These challenges can be managed through staff training, person-centred care approaches and integrating psychological support into everyday routines rather than separate interventions.</w:t>
      </w:r>
    </w:p>
    <w:p w14:paraId="23CA33FB" w14:textId="1F38EFDD" w:rsidR="006A2AE1" w:rsidRDefault="006A2AE1" w:rsidP="40842C48">
      <w:pPr>
        <w:jc w:val="both"/>
        <w:rPr>
          <w:rFonts w:ascii="Arial" w:eastAsia="Arial" w:hAnsi="Arial" w:cs="Arial"/>
          <w:sz w:val="22"/>
          <w:szCs w:val="22"/>
        </w:rPr>
      </w:pPr>
    </w:p>
    <w:p w14:paraId="6656B64B" w14:textId="58253166" w:rsidR="006A2AE1" w:rsidRDefault="006A2AE1" w:rsidP="40842C48">
      <w:pPr>
        <w:jc w:val="both"/>
        <w:rPr>
          <w:rFonts w:ascii="Arial" w:eastAsia="Arial" w:hAnsi="Arial" w:cs="Arial"/>
          <w:b/>
          <w:bCs/>
          <w:sz w:val="22"/>
          <w:szCs w:val="22"/>
        </w:rPr>
      </w:pPr>
      <w:r>
        <w:rPr>
          <w:rFonts w:ascii="Arial" w:eastAsia="Arial" w:hAnsi="Arial" w:cs="Arial"/>
          <w:b/>
          <w:bCs/>
          <w:sz w:val="22"/>
          <w:szCs w:val="22"/>
        </w:rPr>
        <w:t xml:space="preserve">Psychological Theory Two: Cognitive Behavioural </w:t>
      </w:r>
      <w:r w:rsidR="008F05C3">
        <w:rPr>
          <w:rFonts w:ascii="Arial" w:eastAsia="Arial" w:hAnsi="Arial" w:cs="Arial"/>
          <w:b/>
          <w:bCs/>
          <w:sz w:val="22"/>
          <w:szCs w:val="22"/>
        </w:rPr>
        <w:t>T</w:t>
      </w:r>
      <w:r>
        <w:rPr>
          <w:rFonts w:ascii="Arial" w:eastAsia="Arial" w:hAnsi="Arial" w:cs="Arial"/>
          <w:b/>
          <w:bCs/>
          <w:sz w:val="22"/>
          <w:szCs w:val="22"/>
        </w:rPr>
        <w:t>heory (CBT)</w:t>
      </w:r>
    </w:p>
    <w:p w14:paraId="7DD4D0DE" w14:textId="1BAE9A40" w:rsidR="00934DED" w:rsidRDefault="00934DED" w:rsidP="40842C48">
      <w:pPr>
        <w:jc w:val="both"/>
        <w:rPr>
          <w:rFonts w:ascii="Arial" w:eastAsia="Arial" w:hAnsi="Arial" w:cs="Arial"/>
          <w:sz w:val="22"/>
          <w:szCs w:val="22"/>
        </w:rPr>
      </w:pPr>
      <w:r>
        <w:rPr>
          <w:rFonts w:ascii="Arial" w:eastAsia="Arial" w:hAnsi="Arial" w:cs="Arial"/>
          <w:sz w:val="22"/>
          <w:szCs w:val="22"/>
        </w:rPr>
        <w:t>Cognitive Behavioural Theory (CBT) is a psychological approach that explains how thoughts, feelings and behaviours are closely linked (Beck,2011). According to CBT, psychological distress occurs when individuals develop negative or unhelpful thought pattern</w:t>
      </w:r>
      <w:r w:rsidR="000A2E06">
        <w:rPr>
          <w:rFonts w:ascii="Arial" w:eastAsia="Arial" w:hAnsi="Arial" w:cs="Arial"/>
          <w:sz w:val="22"/>
          <w:szCs w:val="22"/>
        </w:rPr>
        <w:t>s</w:t>
      </w:r>
      <w:r>
        <w:rPr>
          <w:rFonts w:ascii="Arial" w:eastAsia="Arial" w:hAnsi="Arial" w:cs="Arial"/>
          <w:sz w:val="22"/>
          <w:szCs w:val="22"/>
        </w:rPr>
        <w:t>, which then influence emotions and behaviour. By changing these thoughts or behaviours, emotional wellbeing can be improved. CBT is highly relevant to adults aged 65 and over, as later life is often associated with significant changes such as retirement, physical illness, loss of independence and bereavement. These experiences can lead to negative beliefs, for example believing that one is a burden or that life no longer has meaning. Such thoughts can increase the risk of depression and anxiety in older adults.</w:t>
      </w:r>
    </w:p>
    <w:p w14:paraId="3D4AC5AD" w14:textId="155B96B9" w:rsidR="00934DED" w:rsidRDefault="00934DED" w:rsidP="40842C48">
      <w:pPr>
        <w:jc w:val="both"/>
        <w:rPr>
          <w:rFonts w:ascii="Arial" w:eastAsia="Arial" w:hAnsi="Arial" w:cs="Arial"/>
          <w:sz w:val="22"/>
          <w:szCs w:val="22"/>
        </w:rPr>
      </w:pPr>
      <w:r>
        <w:rPr>
          <w:rFonts w:ascii="Arial" w:eastAsia="Arial" w:hAnsi="Arial" w:cs="Arial"/>
          <w:sz w:val="22"/>
          <w:szCs w:val="22"/>
        </w:rPr>
        <w:t xml:space="preserve">In people living with dementia, CBT must be adapted due to cognitive, decline, memory problems and reduced insight. Traditional CBT techniques that rely heavily on reasoning may be less </w:t>
      </w:r>
      <w:r>
        <w:rPr>
          <w:rFonts w:ascii="Arial" w:eastAsia="Arial" w:hAnsi="Arial" w:cs="Arial"/>
          <w:sz w:val="22"/>
          <w:szCs w:val="22"/>
        </w:rPr>
        <w:lastRenderedPageBreak/>
        <w:t>effective</w:t>
      </w:r>
      <w:r w:rsidR="000A2E06">
        <w:rPr>
          <w:rFonts w:ascii="Arial" w:eastAsia="Arial" w:hAnsi="Arial" w:cs="Arial"/>
          <w:sz w:val="22"/>
          <w:szCs w:val="22"/>
        </w:rPr>
        <w:t>;</w:t>
      </w:r>
      <w:r>
        <w:rPr>
          <w:rFonts w:ascii="Arial" w:eastAsia="Arial" w:hAnsi="Arial" w:cs="Arial"/>
          <w:sz w:val="22"/>
          <w:szCs w:val="22"/>
        </w:rPr>
        <w:t xml:space="preserve"> however, modified CBT approaches remain useful. These </w:t>
      </w:r>
      <w:r w:rsidR="000A2E06">
        <w:rPr>
          <w:rFonts w:ascii="Arial" w:eastAsia="Arial" w:hAnsi="Arial" w:cs="Arial"/>
          <w:sz w:val="22"/>
          <w:szCs w:val="22"/>
        </w:rPr>
        <w:t>adaptations</w:t>
      </w:r>
      <w:r>
        <w:rPr>
          <w:rFonts w:ascii="Arial" w:eastAsia="Arial" w:hAnsi="Arial" w:cs="Arial"/>
          <w:sz w:val="22"/>
          <w:szCs w:val="22"/>
        </w:rPr>
        <w:t xml:space="preserve"> focus more on </w:t>
      </w:r>
      <w:r w:rsidR="000A2E06">
        <w:rPr>
          <w:rFonts w:ascii="Arial" w:eastAsia="Arial" w:hAnsi="Arial" w:cs="Arial"/>
          <w:sz w:val="22"/>
          <w:szCs w:val="22"/>
        </w:rPr>
        <w:t>behavioural</w:t>
      </w:r>
      <w:r>
        <w:rPr>
          <w:rFonts w:ascii="Arial" w:eastAsia="Arial" w:hAnsi="Arial" w:cs="Arial"/>
          <w:sz w:val="22"/>
          <w:szCs w:val="22"/>
        </w:rPr>
        <w:t xml:space="preserve"> activation, emotional reassurance and maintain</w:t>
      </w:r>
      <w:r w:rsidR="000A2E06">
        <w:rPr>
          <w:rFonts w:ascii="Arial" w:eastAsia="Arial" w:hAnsi="Arial" w:cs="Arial"/>
          <w:sz w:val="22"/>
          <w:szCs w:val="22"/>
        </w:rPr>
        <w:t>ing</w:t>
      </w:r>
      <w:r>
        <w:rPr>
          <w:rFonts w:ascii="Arial" w:eastAsia="Arial" w:hAnsi="Arial" w:cs="Arial"/>
          <w:sz w:val="22"/>
          <w:szCs w:val="22"/>
        </w:rPr>
        <w:t xml:space="preserve"> positive </w:t>
      </w:r>
      <w:r w:rsidR="000A2E06">
        <w:rPr>
          <w:rFonts w:ascii="Arial" w:eastAsia="Arial" w:hAnsi="Arial" w:cs="Arial"/>
          <w:sz w:val="22"/>
          <w:szCs w:val="22"/>
        </w:rPr>
        <w:t>routines</w:t>
      </w:r>
      <w:r>
        <w:rPr>
          <w:rFonts w:ascii="Arial" w:eastAsia="Arial" w:hAnsi="Arial" w:cs="Arial"/>
          <w:sz w:val="22"/>
          <w:szCs w:val="22"/>
        </w:rPr>
        <w:t xml:space="preserve"> rather than challenging complex thoughts. Encouraging engagement in enjoyable activities can help improve mood </w:t>
      </w:r>
      <w:r w:rsidR="000A2E06">
        <w:rPr>
          <w:rFonts w:ascii="Arial" w:eastAsia="Arial" w:hAnsi="Arial" w:cs="Arial"/>
          <w:sz w:val="22"/>
          <w:szCs w:val="22"/>
        </w:rPr>
        <w:t>and reduce withdrawal. CBT also recognises the importance of the environment and behaviour in maintaining psychological wellbeing. Predicable routines, clear communication and supportive interactions from care staff can reduce anxiety and distress in dementia care settings. Although CBT does not treat dementia itself, it is effective in managing associated psychological conditions such as depressions, anxiety and behavioural distress. Overall, CBT provides a practical and evidence-based framework that can be adapted to support the psychological health of older adults living dementia.</w:t>
      </w:r>
    </w:p>
    <w:p w14:paraId="3AFF162D" w14:textId="08DBFB1A" w:rsidR="00934DED" w:rsidRDefault="00934DED" w:rsidP="40842C48">
      <w:pPr>
        <w:jc w:val="both"/>
        <w:rPr>
          <w:rFonts w:ascii="Arial" w:eastAsia="Arial" w:hAnsi="Arial" w:cs="Arial"/>
          <w:sz w:val="22"/>
          <w:szCs w:val="22"/>
        </w:rPr>
      </w:pPr>
    </w:p>
    <w:p w14:paraId="7A3CBA48" w14:textId="47AB74A5" w:rsidR="006800FD" w:rsidRDefault="006800FD" w:rsidP="40842C48">
      <w:pPr>
        <w:jc w:val="both"/>
        <w:rPr>
          <w:rFonts w:ascii="Arial" w:eastAsia="Arial" w:hAnsi="Arial" w:cs="Arial"/>
          <w:b/>
          <w:bCs/>
          <w:sz w:val="22"/>
          <w:szCs w:val="22"/>
        </w:rPr>
      </w:pPr>
      <w:r>
        <w:rPr>
          <w:rFonts w:ascii="Arial" w:eastAsia="Arial" w:hAnsi="Arial" w:cs="Arial"/>
          <w:b/>
          <w:bCs/>
          <w:sz w:val="22"/>
          <w:szCs w:val="22"/>
        </w:rPr>
        <w:t>Application of CBT in a Dementia Care Home</w:t>
      </w:r>
    </w:p>
    <w:p w14:paraId="17A6C439" w14:textId="2DC19F99" w:rsidR="006800FD" w:rsidRDefault="006800FD" w:rsidP="40842C48">
      <w:pPr>
        <w:jc w:val="both"/>
        <w:rPr>
          <w:rFonts w:ascii="Arial" w:eastAsia="Arial" w:hAnsi="Arial" w:cs="Arial"/>
          <w:sz w:val="22"/>
          <w:szCs w:val="22"/>
        </w:rPr>
      </w:pPr>
      <w:r>
        <w:rPr>
          <w:rFonts w:ascii="Arial" w:eastAsia="Arial" w:hAnsi="Arial" w:cs="Arial"/>
          <w:sz w:val="22"/>
          <w:szCs w:val="22"/>
        </w:rPr>
        <w:t>Cognitive Behavi</w:t>
      </w:r>
      <w:r w:rsidR="00033155">
        <w:rPr>
          <w:rFonts w:ascii="Arial" w:eastAsia="Arial" w:hAnsi="Arial" w:cs="Arial"/>
          <w:sz w:val="22"/>
          <w:szCs w:val="22"/>
        </w:rPr>
        <w:t xml:space="preserve">oural Theory (CPT) can be used in a dementia care homes to help older adults with psychological problems such as depression and anxiety. It is based on the idea that thoughts, feelings and behaviour are connected, and that changing unhelpful thoughts can improve how a person feels and acts (Beck, 2011). In adults aged 65 and over, especially those with dementia, negative thoughts can make people feel sad, anxious or frustrated. In a care home, staff can use CBT by encouraging residents to take part in activities that make them feel happy or relaxed. For example, joining in music sessions, art activities, or group exercises can help them feel better and more involved. This is called behavioural activation, which is an important part of CBT for older adults. Staff can also respond to negative statements, like “I am useless”, with positive feedback and reassurance, helping the person feel valued. CBT also focuses on routine and the environment. Care staff can create predictable daily schedules and make spaces clear and comfortable. This can reduce confusion and anxiety for people with dementia. Simple strategies, such as reminding residents of tasks step by step, can support their confidence and independence. One challenge is that people with dementia may have memory or communication problems, which makes traditional CBT difficult. To manage this, staff can use simpler methods, repeat instructions, and involve family members when possible. Even small, everyday actions using CBT principles can improve mood and behaviour in residents, supporting their psychological wellbeing. </w:t>
      </w:r>
    </w:p>
    <w:p w14:paraId="7814827A" w14:textId="45DE709D" w:rsidR="00E546AE" w:rsidRDefault="00E546AE" w:rsidP="40842C48">
      <w:pPr>
        <w:jc w:val="both"/>
        <w:rPr>
          <w:rFonts w:ascii="Arial" w:eastAsia="Arial" w:hAnsi="Arial" w:cs="Arial"/>
          <w:sz w:val="22"/>
          <w:szCs w:val="22"/>
        </w:rPr>
      </w:pPr>
    </w:p>
    <w:p w14:paraId="01931F44" w14:textId="582488BD" w:rsidR="00E546AE" w:rsidRDefault="00E546AE" w:rsidP="40842C48">
      <w:pPr>
        <w:jc w:val="both"/>
        <w:rPr>
          <w:rFonts w:ascii="Arial" w:eastAsia="Arial" w:hAnsi="Arial" w:cs="Arial"/>
          <w:b/>
          <w:bCs/>
          <w:sz w:val="22"/>
          <w:szCs w:val="22"/>
        </w:rPr>
      </w:pPr>
      <w:r>
        <w:rPr>
          <w:rFonts w:ascii="Arial" w:eastAsia="Arial" w:hAnsi="Arial" w:cs="Arial"/>
          <w:b/>
          <w:bCs/>
          <w:sz w:val="22"/>
          <w:szCs w:val="22"/>
        </w:rPr>
        <w:t>Comparison of Critical Evaluation of Peck’s Theory and CBT</w:t>
      </w:r>
    </w:p>
    <w:p w14:paraId="0C9EAEBA" w14:textId="2874682F" w:rsidR="00E546AE" w:rsidRDefault="00E546AE" w:rsidP="40842C48">
      <w:pPr>
        <w:jc w:val="both"/>
        <w:rPr>
          <w:rFonts w:ascii="Arial" w:eastAsia="Arial" w:hAnsi="Arial" w:cs="Arial"/>
          <w:sz w:val="22"/>
          <w:szCs w:val="22"/>
        </w:rPr>
      </w:pPr>
      <w:r>
        <w:rPr>
          <w:rFonts w:ascii="Arial" w:eastAsia="Arial" w:hAnsi="Arial" w:cs="Arial"/>
          <w:sz w:val="22"/>
          <w:szCs w:val="22"/>
        </w:rPr>
        <w:t>Peck’s Theory and Cognitive Behavioural Theory (CBT) both provide useful ways of understanding and supporting the psychological health of older adults living in dementia care homes. However, they focus on different aspect</w:t>
      </w:r>
      <w:r w:rsidR="00ED64BF">
        <w:rPr>
          <w:rFonts w:ascii="Arial" w:eastAsia="Arial" w:hAnsi="Arial" w:cs="Arial"/>
          <w:sz w:val="22"/>
          <w:szCs w:val="22"/>
        </w:rPr>
        <w:t>s</w:t>
      </w:r>
      <w:r>
        <w:rPr>
          <w:rFonts w:ascii="Arial" w:eastAsia="Arial" w:hAnsi="Arial" w:cs="Arial"/>
          <w:sz w:val="22"/>
          <w:szCs w:val="22"/>
        </w:rPr>
        <w:t xml:space="preserve"> of ageing and mental health, which gives each theory its own strengths and limitations. Peck’s Theory is particularly helpful for understanding the emotional challenges faced in later life, such as loss of identity, physical</w:t>
      </w:r>
      <w:r w:rsidR="00E02780">
        <w:rPr>
          <w:rFonts w:ascii="Arial" w:eastAsia="Arial" w:hAnsi="Arial" w:cs="Arial"/>
          <w:sz w:val="22"/>
          <w:szCs w:val="22"/>
        </w:rPr>
        <w:t xml:space="preserve"> decline and acceptance of ageing. It allows health and social care professionals to understand psychological distress as part of normal ageing rather than only as a symptom of dementia. A strength of this theory is </w:t>
      </w:r>
      <w:r w:rsidR="00ED64BF">
        <w:rPr>
          <w:rFonts w:ascii="Arial" w:eastAsia="Arial" w:hAnsi="Arial" w:cs="Arial"/>
          <w:sz w:val="22"/>
          <w:szCs w:val="22"/>
        </w:rPr>
        <w:t>its</w:t>
      </w:r>
      <w:r w:rsidR="00E02780">
        <w:rPr>
          <w:rFonts w:ascii="Arial" w:eastAsia="Arial" w:hAnsi="Arial" w:cs="Arial"/>
          <w:sz w:val="22"/>
          <w:szCs w:val="22"/>
        </w:rPr>
        <w:t xml:space="preserve"> focus on dignity, meaning and emotional wellbeing, which fits well with person-centred care. However, a limitation is that Peck’s Theory does not provide clear or structured strategies </w:t>
      </w:r>
      <w:r w:rsidR="00E02780">
        <w:rPr>
          <w:rFonts w:ascii="Arial" w:eastAsia="Arial" w:hAnsi="Arial" w:cs="Arial"/>
          <w:sz w:val="22"/>
          <w:szCs w:val="22"/>
        </w:rPr>
        <w:lastRenderedPageBreak/>
        <w:t>for professionals to use in daily practice. It can also be difficult to apply when residents have advanced dementia and limited ability to reflect on their experiences.</w:t>
      </w:r>
    </w:p>
    <w:p w14:paraId="1DF06C92" w14:textId="78753FC5" w:rsidR="00E02780" w:rsidRDefault="00E02780" w:rsidP="40842C48">
      <w:pPr>
        <w:jc w:val="both"/>
        <w:rPr>
          <w:rFonts w:ascii="Arial" w:eastAsia="Arial" w:hAnsi="Arial" w:cs="Arial"/>
          <w:sz w:val="22"/>
          <w:szCs w:val="22"/>
        </w:rPr>
      </w:pPr>
      <w:r>
        <w:rPr>
          <w:rFonts w:ascii="Arial" w:eastAsia="Arial" w:hAnsi="Arial" w:cs="Arial"/>
          <w:sz w:val="22"/>
          <w:szCs w:val="22"/>
        </w:rPr>
        <w:t xml:space="preserve">In contrast, CBT offers practical and structured techniques that can be easily adapted for care home settings. It is useful for managing depression, anxiety and </w:t>
      </w:r>
      <w:r w:rsidR="00436A11">
        <w:rPr>
          <w:rFonts w:ascii="Arial" w:eastAsia="Arial" w:hAnsi="Arial" w:cs="Arial"/>
          <w:sz w:val="22"/>
          <w:szCs w:val="22"/>
        </w:rPr>
        <w:t>behavioural</w:t>
      </w:r>
      <w:r>
        <w:rPr>
          <w:rFonts w:ascii="Arial" w:eastAsia="Arial" w:hAnsi="Arial" w:cs="Arial"/>
          <w:sz w:val="22"/>
          <w:szCs w:val="22"/>
        </w:rPr>
        <w:t xml:space="preserve"> distress through behavioural activation and routine. A key strength of CBT is its strong evidence base. However, CBT can be limited by cognitive impairment, as residents may struggle to understand or remember cognitive impairment, as residents may struggle to understand or remember cognitive strategies. This means it often needs to be simplified and delivered indirectly by staff. Overall, using both theories together is beneficial. Peck’s Theory helps explain why distress occurs in later life, while CBT provides </w:t>
      </w:r>
      <w:r w:rsidR="00436A11">
        <w:rPr>
          <w:rFonts w:ascii="Arial" w:eastAsia="Arial" w:hAnsi="Arial" w:cs="Arial"/>
          <w:sz w:val="22"/>
          <w:szCs w:val="22"/>
        </w:rPr>
        <w:t>practical</w:t>
      </w:r>
      <w:r>
        <w:rPr>
          <w:rFonts w:ascii="Arial" w:eastAsia="Arial" w:hAnsi="Arial" w:cs="Arial"/>
          <w:sz w:val="22"/>
          <w:szCs w:val="22"/>
        </w:rPr>
        <w:t xml:space="preserve"> methods to reduce it. Combi</w:t>
      </w:r>
      <w:r w:rsidR="00DC0898">
        <w:rPr>
          <w:rFonts w:ascii="Arial" w:eastAsia="Arial" w:hAnsi="Arial" w:cs="Arial"/>
          <w:sz w:val="22"/>
          <w:szCs w:val="22"/>
        </w:rPr>
        <w:t>ni</w:t>
      </w:r>
      <w:r>
        <w:rPr>
          <w:rFonts w:ascii="Arial" w:eastAsia="Arial" w:hAnsi="Arial" w:cs="Arial"/>
          <w:sz w:val="22"/>
          <w:szCs w:val="22"/>
        </w:rPr>
        <w:t xml:space="preserve">ng both approaches </w:t>
      </w:r>
      <w:r w:rsidR="00DC0898">
        <w:rPr>
          <w:rFonts w:ascii="Arial" w:eastAsia="Arial" w:hAnsi="Arial" w:cs="Arial"/>
          <w:sz w:val="22"/>
          <w:szCs w:val="22"/>
        </w:rPr>
        <w:t>support</w:t>
      </w:r>
      <w:r>
        <w:rPr>
          <w:rFonts w:ascii="Arial" w:eastAsia="Arial" w:hAnsi="Arial" w:cs="Arial"/>
          <w:sz w:val="22"/>
          <w:szCs w:val="22"/>
        </w:rPr>
        <w:t xml:space="preserve"> more effective and holistic care.</w:t>
      </w:r>
    </w:p>
    <w:p w14:paraId="562D6BFD" w14:textId="2794A18D" w:rsidR="00DC0898" w:rsidRDefault="00DC0898" w:rsidP="40842C48">
      <w:pPr>
        <w:jc w:val="both"/>
        <w:rPr>
          <w:rFonts w:ascii="Arial" w:eastAsia="Arial" w:hAnsi="Arial" w:cs="Arial"/>
          <w:sz w:val="22"/>
          <w:szCs w:val="22"/>
        </w:rPr>
      </w:pPr>
    </w:p>
    <w:p w14:paraId="0C06737F" w14:textId="453E088D" w:rsidR="00DC0898" w:rsidRDefault="00DC0898" w:rsidP="40842C48">
      <w:pPr>
        <w:jc w:val="both"/>
        <w:rPr>
          <w:rFonts w:ascii="Arial" w:eastAsia="Arial" w:hAnsi="Arial" w:cs="Arial"/>
          <w:b/>
          <w:bCs/>
          <w:sz w:val="22"/>
          <w:szCs w:val="22"/>
        </w:rPr>
      </w:pPr>
      <w:r>
        <w:rPr>
          <w:rFonts w:ascii="Arial" w:eastAsia="Arial" w:hAnsi="Arial" w:cs="Arial"/>
          <w:b/>
          <w:bCs/>
          <w:sz w:val="22"/>
          <w:szCs w:val="22"/>
        </w:rPr>
        <w:t>Conclusion</w:t>
      </w:r>
    </w:p>
    <w:p w14:paraId="77DAEF46" w14:textId="535A3CF3" w:rsidR="00DC0898" w:rsidRDefault="00DC0898" w:rsidP="40842C48">
      <w:pPr>
        <w:jc w:val="both"/>
        <w:rPr>
          <w:rFonts w:ascii="Arial" w:eastAsia="Arial" w:hAnsi="Arial" w:cs="Arial"/>
          <w:sz w:val="22"/>
          <w:szCs w:val="22"/>
        </w:rPr>
      </w:pPr>
      <w:r>
        <w:rPr>
          <w:rFonts w:ascii="Arial" w:eastAsia="Arial" w:hAnsi="Arial" w:cs="Arial"/>
          <w:sz w:val="22"/>
          <w:szCs w:val="22"/>
        </w:rPr>
        <w:t>In conclusion, Peck’s Theory and Cognitive Behavioural Theory provide valuable frameworks for understanding and supporting the psychological wellbeing of older adults in dementia care homes. When applied together, they help professionals address emotional needs, reduce distress and promote person-centred, psychologically informed care.</w:t>
      </w:r>
    </w:p>
    <w:p w14:paraId="47E120AD" w14:textId="22AF63FE" w:rsidR="00DC0898" w:rsidRDefault="00DC0898" w:rsidP="40842C48">
      <w:pPr>
        <w:jc w:val="both"/>
        <w:rPr>
          <w:rFonts w:ascii="Arial" w:eastAsia="Arial" w:hAnsi="Arial" w:cs="Arial"/>
          <w:sz w:val="22"/>
          <w:szCs w:val="22"/>
        </w:rPr>
      </w:pPr>
    </w:p>
    <w:p w14:paraId="3D9BC444" w14:textId="76A1DB78" w:rsidR="00DC0898" w:rsidRPr="0045651A" w:rsidRDefault="00DC0898" w:rsidP="40842C48">
      <w:pPr>
        <w:jc w:val="both"/>
        <w:rPr>
          <w:rFonts w:ascii="Arial" w:eastAsia="Arial" w:hAnsi="Arial" w:cs="Arial"/>
          <w:b/>
          <w:bCs/>
          <w:sz w:val="22"/>
          <w:szCs w:val="22"/>
        </w:rPr>
      </w:pPr>
      <w:r w:rsidRPr="0045651A">
        <w:rPr>
          <w:rFonts w:ascii="Arial" w:eastAsia="Arial" w:hAnsi="Arial" w:cs="Arial"/>
          <w:b/>
          <w:bCs/>
          <w:sz w:val="22"/>
          <w:szCs w:val="22"/>
        </w:rPr>
        <w:t>Reference List</w:t>
      </w:r>
    </w:p>
    <w:p w14:paraId="3A6D925D" w14:textId="27329BE2" w:rsidR="00DC0898" w:rsidRPr="00DC0898" w:rsidRDefault="00DC0898" w:rsidP="00916CD0">
      <w:pPr>
        <w:pStyle w:val="ListParagraph"/>
        <w:numPr>
          <w:ilvl w:val="0"/>
          <w:numId w:val="9"/>
        </w:numPr>
        <w:spacing w:line="360" w:lineRule="auto"/>
        <w:jc w:val="both"/>
        <w:rPr>
          <w:rFonts w:ascii="Arial" w:eastAsia="Arial" w:hAnsi="Arial" w:cs="Arial"/>
          <w:sz w:val="22"/>
          <w:szCs w:val="22"/>
        </w:rPr>
      </w:pPr>
      <w:r w:rsidRPr="00DC0898">
        <w:rPr>
          <w:rFonts w:ascii="Arial" w:eastAsia="Arial" w:hAnsi="Arial" w:cs="Arial"/>
          <w:sz w:val="22"/>
          <w:szCs w:val="22"/>
        </w:rPr>
        <w:t xml:space="preserve">Beck, J.S. (2011) Cognitive </w:t>
      </w:r>
      <w:proofErr w:type="spellStart"/>
      <w:r w:rsidRPr="00DC0898">
        <w:rPr>
          <w:rFonts w:ascii="Arial" w:eastAsia="Arial" w:hAnsi="Arial" w:cs="Arial"/>
          <w:sz w:val="22"/>
          <w:szCs w:val="22"/>
        </w:rPr>
        <w:t>Behavior</w:t>
      </w:r>
      <w:proofErr w:type="spellEnd"/>
      <w:r w:rsidRPr="00DC0898">
        <w:rPr>
          <w:rFonts w:ascii="Arial" w:eastAsia="Arial" w:hAnsi="Arial" w:cs="Arial"/>
          <w:sz w:val="22"/>
          <w:szCs w:val="22"/>
        </w:rPr>
        <w:t xml:space="preserve"> Therapy: Basics and Beyond. 2nd </w:t>
      </w:r>
      <w:proofErr w:type="spellStart"/>
      <w:r w:rsidRPr="00DC0898">
        <w:rPr>
          <w:rFonts w:ascii="Arial" w:eastAsia="Arial" w:hAnsi="Arial" w:cs="Arial"/>
          <w:sz w:val="22"/>
          <w:szCs w:val="22"/>
        </w:rPr>
        <w:t>edn</w:t>
      </w:r>
      <w:proofErr w:type="spellEnd"/>
      <w:r w:rsidRPr="00DC0898">
        <w:rPr>
          <w:rFonts w:ascii="Arial" w:eastAsia="Arial" w:hAnsi="Arial" w:cs="Arial"/>
          <w:sz w:val="22"/>
          <w:szCs w:val="22"/>
        </w:rPr>
        <w:t>. New York: Guilford Press.</w:t>
      </w:r>
    </w:p>
    <w:p w14:paraId="19B861C9" w14:textId="77777777" w:rsidR="00DC0898" w:rsidRPr="00DC0898" w:rsidRDefault="00DC0898" w:rsidP="00916CD0">
      <w:pPr>
        <w:pStyle w:val="ListParagraph"/>
        <w:numPr>
          <w:ilvl w:val="0"/>
          <w:numId w:val="9"/>
        </w:numPr>
        <w:spacing w:line="360" w:lineRule="auto"/>
        <w:rPr>
          <w:rFonts w:ascii="Arial" w:eastAsia="Arial" w:hAnsi="Arial" w:cs="Arial"/>
          <w:sz w:val="22"/>
          <w:szCs w:val="22"/>
        </w:rPr>
      </w:pPr>
      <w:r w:rsidRPr="00DC0898">
        <w:rPr>
          <w:rFonts w:ascii="Arial" w:eastAsia="Arial" w:hAnsi="Arial" w:cs="Arial"/>
          <w:sz w:val="22"/>
          <w:szCs w:val="22"/>
        </w:rPr>
        <w:t xml:space="preserve">Knight, B.G. (2017) Psychotherapy with Older Adults. 4th </w:t>
      </w:r>
      <w:proofErr w:type="spellStart"/>
      <w:r w:rsidRPr="00DC0898">
        <w:rPr>
          <w:rFonts w:ascii="Arial" w:eastAsia="Arial" w:hAnsi="Arial" w:cs="Arial"/>
          <w:sz w:val="22"/>
          <w:szCs w:val="22"/>
        </w:rPr>
        <w:t>edn</w:t>
      </w:r>
      <w:proofErr w:type="spellEnd"/>
      <w:r w:rsidRPr="00DC0898">
        <w:rPr>
          <w:rFonts w:ascii="Arial" w:eastAsia="Arial" w:hAnsi="Arial" w:cs="Arial"/>
          <w:sz w:val="22"/>
          <w:szCs w:val="22"/>
        </w:rPr>
        <w:t>. Thousand Oaks, CA: Sage.</w:t>
      </w:r>
    </w:p>
    <w:p w14:paraId="02B2FA22" w14:textId="08C7EED6" w:rsidR="00DC0898" w:rsidRDefault="00DC0898" w:rsidP="00916CD0">
      <w:pPr>
        <w:pStyle w:val="ListParagraph"/>
        <w:numPr>
          <w:ilvl w:val="0"/>
          <w:numId w:val="9"/>
        </w:numPr>
        <w:spacing w:line="360" w:lineRule="auto"/>
        <w:jc w:val="both"/>
        <w:rPr>
          <w:rFonts w:ascii="Arial" w:eastAsia="Arial" w:hAnsi="Arial" w:cs="Arial"/>
          <w:sz w:val="22"/>
          <w:szCs w:val="22"/>
        </w:rPr>
      </w:pPr>
      <w:r w:rsidRPr="00DC0898">
        <w:rPr>
          <w:rFonts w:ascii="Arial" w:eastAsia="Arial" w:hAnsi="Arial" w:cs="Arial"/>
          <w:sz w:val="22"/>
          <w:szCs w:val="22"/>
        </w:rPr>
        <w:t>Orgeta, V., Qazi, A., Spector, A. and Orrell, M. (2015) ‘Psychological treatments for depression and anxiety in dementia and mild cognitive impairment’, Cochrane Database of Systematic Reviews, 1, CD009125.</w:t>
      </w:r>
    </w:p>
    <w:p w14:paraId="792232E6" w14:textId="3C8F3583" w:rsidR="00DC0898" w:rsidRDefault="00DC0898" w:rsidP="00916CD0">
      <w:pPr>
        <w:pStyle w:val="ListParagraph"/>
        <w:numPr>
          <w:ilvl w:val="0"/>
          <w:numId w:val="9"/>
        </w:numPr>
        <w:spacing w:line="360" w:lineRule="auto"/>
        <w:jc w:val="both"/>
        <w:rPr>
          <w:rFonts w:ascii="Arial" w:eastAsia="Arial" w:hAnsi="Arial" w:cs="Arial"/>
          <w:sz w:val="22"/>
          <w:szCs w:val="22"/>
        </w:rPr>
      </w:pPr>
      <w:r w:rsidRPr="00DC0898">
        <w:rPr>
          <w:rFonts w:ascii="Arial" w:eastAsia="Arial" w:hAnsi="Arial" w:cs="Arial"/>
          <w:sz w:val="22"/>
          <w:szCs w:val="22"/>
        </w:rPr>
        <w:t xml:space="preserve">Peck, R.C. (1968) ‘Psychological developments in the second half of life’, in </w:t>
      </w:r>
      <w:proofErr w:type="spellStart"/>
      <w:r w:rsidRPr="00DC0898">
        <w:rPr>
          <w:rFonts w:ascii="Arial" w:eastAsia="Arial" w:hAnsi="Arial" w:cs="Arial"/>
          <w:sz w:val="22"/>
          <w:szCs w:val="22"/>
        </w:rPr>
        <w:t>Neugarten</w:t>
      </w:r>
      <w:proofErr w:type="spellEnd"/>
      <w:r w:rsidRPr="00DC0898">
        <w:rPr>
          <w:rFonts w:ascii="Arial" w:eastAsia="Arial" w:hAnsi="Arial" w:cs="Arial"/>
          <w:sz w:val="22"/>
          <w:szCs w:val="22"/>
        </w:rPr>
        <w:t>, B.L. (ed.) Middle Age and Aging. Chicago: University of Chicago Press, pp. 88–92.</w:t>
      </w:r>
    </w:p>
    <w:p w14:paraId="5D04B6CF" w14:textId="3FED94DC" w:rsidR="00DC0898" w:rsidRDefault="00DC0898" w:rsidP="00916CD0">
      <w:pPr>
        <w:pStyle w:val="ListParagraph"/>
        <w:numPr>
          <w:ilvl w:val="0"/>
          <w:numId w:val="9"/>
        </w:numPr>
        <w:spacing w:line="360" w:lineRule="auto"/>
        <w:jc w:val="both"/>
        <w:rPr>
          <w:rFonts w:ascii="Arial" w:eastAsia="Arial" w:hAnsi="Arial" w:cs="Arial"/>
          <w:sz w:val="22"/>
          <w:szCs w:val="22"/>
        </w:rPr>
      </w:pPr>
      <w:r w:rsidRPr="00DC0898">
        <w:rPr>
          <w:rFonts w:ascii="Arial" w:eastAsia="Arial" w:hAnsi="Arial" w:cs="Arial"/>
          <w:sz w:val="22"/>
          <w:szCs w:val="22"/>
        </w:rPr>
        <w:t>Spector, A., Orrell, M. and Woods, B. (2015) ‘Cognitive behavioural therapy (CBT) for people with dementia’, International Psychogeriatrics, 27(11), pp. 1785–1796.</w:t>
      </w:r>
    </w:p>
    <w:p w14:paraId="18748368" w14:textId="7D6C7FCF" w:rsidR="00DC0898" w:rsidRPr="00DC0898" w:rsidRDefault="00DC0898" w:rsidP="00916CD0">
      <w:pPr>
        <w:pStyle w:val="ListParagraph"/>
        <w:numPr>
          <w:ilvl w:val="0"/>
          <w:numId w:val="9"/>
        </w:numPr>
        <w:spacing w:line="480" w:lineRule="auto"/>
        <w:jc w:val="both"/>
        <w:rPr>
          <w:rFonts w:ascii="Arial" w:eastAsia="Arial" w:hAnsi="Arial" w:cs="Arial"/>
          <w:sz w:val="22"/>
          <w:szCs w:val="22"/>
        </w:rPr>
      </w:pPr>
      <w:r w:rsidRPr="00DC0898">
        <w:rPr>
          <w:rFonts w:ascii="Arial" w:eastAsia="Arial" w:hAnsi="Arial" w:cs="Arial"/>
          <w:sz w:val="22"/>
          <w:szCs w:val="22"/>
        </w:rPr>
        <w:t xml:space="preserve">Woods, B., </w:t>
      </w:r>
      <w:proofErr w:type="spellStart"/>
      <w:r w:rsidRPr="00DC0898">
        <w:rPr>
          <w:rFonts w:ascii="Arial" w:eastAsia="Arial" w:hAnsi="Arial" w:cs="Arial"/>
          <w:sz w:val="22"/>
          <w:szCs w:val="22"/>
        </w:rPr>
        <w:t>O’Philbin</w:t>
      </w:r>
      <w:proofErr w:type="spellEnd"/>
      <w:r w:rsidRPr="00DC0898">
        <w:rPr>
          <w:rFonts w:ascii="Arial" w:eastAsia="Arial" w:hAnsi="Arial" w:cs="Arial"/>
          <w:sz w:val="22"/>
          <w:szCs w:val="22"/>
        </w:rPr>
        <w:t>, L., Farrell, E.M., Spector, A.E. and Orrell, M. (2018) ‘Reminiscence therapy for dementia’, Cochrane Database of Systematic Reviews, 3, CD001120.</w:t>
      </w:r>
    </w:p>
    <w:sectPr w:rsidR="00DC0898" w:rsidRPr="00DC0898">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4D2B9" w14:textId="77777777" w:rsidR="00497A28" w:rsidRDefault="00497A28">
      <w:pPr>
        <w:spacing w:after="0" w:line="240" w:lineRule="auto"/>
      </w:pPr>
      <w:r>
        <w:separator/>
      </w:r>
    </w:p>
  </w:endnote>
  <w:endnote w:type="continuationSeparator" w:id="0">
    <w:p w14:paraId="49B72F74" w14:textId="77777777" w:rsidR="00497A28" w:rsidRDefault="00497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5285CB6" w14:paraId="3CE15A6C" w14:textId="77777777" w:rsidTr="65285CB6">
      <w:trPr>
        <w:trHeight w:val="300"/>
      </w:trPr>
      <w:tc>
        <w:tcPr>
          <w:tcW w:w="3120" w:type="dxa"/>
        </w:tcPr>
        <w:p w14:paraId="2DEBEA27" w14:textId="0F41743D" w:rsidR="65285CB6" w:rsidRDefault="65285CB6" w:rsidP="65285CB6">
          <w:pPr>
            <w:pStyle w:val="Header"/>
            <w:ind w:left="-115"/>
          </w:pPr>
        </w:p>
      </w:tc>
      <w:tc>
        <w:tcPr>
          <w:tcW w:w="3120" w:type="dxa"/>
        </w:tcPr>
        <w:p w14:paraId="2F72A15C" w14:textId="3475F285" w:rsidR="65285CB6" w:rsidRDefault="65285CB6" w:rsidP="65285CB6">
          <w:pPr>
            <w:pStyle w:val="Header"/>
            <w:jc w:val="center"/>
          </w:pPr>
          <w:r>
            <w:fldChar w:fldCharType="begin"/>
          </w:r>
          <w:r>
            <w:instrText>PAGE</w:instrText>
          </w:r>
          <w:r>
            <w:fldChar w:fldCharType="separate"/>
          </w:r>
          <w:r w:rsidR="00303378">
            <w:rPr>
              <w:noProof/>
            </w:rPr>
            <w:t>1</w:t>
          </w:r>
          <w:r>
            <w:fldChar w:fldCharType="end"/>
          </w:r>
        </w:p>
      </w:tc>
      <w:tc>
        <w:tcPr>
          <w:tcW w:w="3120" w:type="dxa"/>
        </w:tcPr>
        <w:p w14:paraId="267105C9" w14:textId="1D2188EB" w:rsidR="65285CB6" w:rsidRDefault="65285CB6" w:rsidP="65285CB6">
          <w:pPr>
            <w:pStyle w:val="Header"/>
            <w:ind w:right="-115"/>
            <w:jc w:val="right"/>
          </w:pPr>
        </w:p>
      </w:tc>
    </w:tr>
  </w:tbl>
  <w:p w14:paraId="5705F4B1" w14:textId="3751D9E4" w:rsidR="65285CB6" w:rsidRDefault="65285CB6" w:rsidP="65285C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733D2F" w14:textId="77777777" w:rsidR="00497A28" w:rsidRDefault="00497A28">
      <w:pPr>
        <w:spacing w:after="0" w:line="240" w:lineRule="auto"/>
      </w:pPr>
      <w:r>
        <w:separator/>
      </w:r>
    </w:p>
  </w:footnote>
  <w:footnote w:type="continuationSeparator" w:id="0">
    <w:p w14:paraId="5E504383" w14:textId="77777777" w:rsidR="00497A28" w:rsidRDefault="00497A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5285CB6" w14:paraId="710A79B9" w14:textId="77777777" w:rsidTr="65285CB6">
      <w:trPr>
        <w:trHeight w:val="300"/>
      </w:trPr>
      <w:tc>
        <w:tcPr>
          <w:tcW w:w="3120" w:type="dxa"/>
        </w:tcPr>
        <w:p w14:paraId="7778A181" w14:textId="2E1B4E51" w:rsidR="65285CB6" w:rsidRDefault="65285CB6" w:rsidP="65285CB6">
          <w:pPr>
            <w:pStyle w:val="Header"/>
            <w:ind w:left="-115"/>
          </w:pPr>
        </w:p>
      </w:tc>
      <w:tc>
        <w:tcPr>
          <w:tcW w:w="3120" w:type="dxa"/>
        </w:tcPr>
        <w:p w14:paraId="5D32ACE7" w14:textId="02B37FBF" w:rsidR="65285CB6" w:rsidRDefault="65285CB6" w:rsidP="65285CB6">
          <w:pPr>
            <w:pStyle w:val="Header"/>
            <w:jc w:val="center"/>
          </w:pPr>
        </w:p>
      </w:tc>
      <w:tc>
        <w:tcPr>
          <w:tcW w:w="3120" w:type="dxa"/>
        </w:tcPr>
        <w:p w14:paraId="2893FAA8" w14:textId="1AD91A99" w:rsidR="65285CB6" w:rsidRDefault="65285CB6" w:rsidP="65285CB6">
          <w:pPr>
            <w:pStyle w:val="Header"/>
            <w:ind w:right="-115"/>
            <w:jc w:val="right"/>
          </w:pPr>
        </w:p>
      </w:tc>
    </w:tr>
  </w:tbl>
  <w:p w14:paraId="24C4DEBD" w14:textId="0B82F09F" w:rsidR="65285CB6" w:rsidRDefault="65285CB6" w:rsidP="65285C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3C81"/>
    <w:multiLevelType w:val="hybridMultilevel"/>
    <w:tmpl w:val="EF58C24A"/>
    <w:lvl w:ilvl="0" w:tplc="0C7C7722">
      <w:start w:val="1"/>
      <w:numFmt w:val="decimal"/>
      <w:lvlText w:val="%1."/>
      <w:lvlJc w:val="left"/>
      <w:pPr>
        <w:ind w:left="720" w:hanging="360"/>
      </w:pPr>
    </w:lvl>
    <w:lvl w:ilvl="1" w:tplc="CB5C32C2">
      <w:start w:val="1"/>
      <w:numFmt w:val="lowerLetter"/>
      <w:lvlText w:val="%2."/>
      <w:lvlJc w:val="left"/>
      <w:pPr>
        <w:ind w:left="1440" w:hanging="360"/>
      </w:pPr>
    </w:lvl>
    <w:lvl w:ilvl="2" w:tplc="AC3CEFC2">
      <w:start w:val="1"/>
      <w:numFmt w:val="lowerRoman"/>
      <w:lvlText w:val="%3."/>
      <w:lvlJc w:val="right"/>
      <w:pPr>
        <w:ind w:left="2160" w:hanging="180"/>
      </w:pPr>
    </w:lvl>
    <w:lvl w:ilvl="3" w:tplc="81AC0BDE">
      <w:start w:val="1"/>
      <w:numFmt w:val="decimal"/>
      <w:lvlText w:val="%4."/>
      <w:lvlJc w:val="left"/>
      <w:pPr>
        <w:ind w:left="2880" w:hanging="360"/>
      </w:pPr>
    </w:lvl>
    <w:lvl w:ilvl="4" w:tplc="C0BA1000">
      <w:start w:val="1"/>
      <w:numFmt w:val="lowerLetter"/>
      <w:lvlText w:val="%5."/>
      <w:lvlJc w:val="left"/>
      <w:pPr>
        <w:ind w:left="3600" w:hanging="360"/>
      </w:pPr>
    </w:lvl>
    <w:lvl w:ilvl="5" w:tplc="2D184AB2">
      <w:start w:val="1"/>
      <w:numFmt w:val="lowerRoman"/>
      <w:lvlText w:val="%6."/>
      <w:lvlJc w:val="right"/>
      <w:pPr>
        <w:ind w:left="4320" w:hanging="180"/>
      </w:pPr>
    </w:lvl>
    <w:lvl w:ilvl="6" w:tplc="124C5F36">
      <w:start w:val="1"/>
      <w:numFmt w:val="decimal"/>
      <w:lvlText w:val="%7."/>
      <w:lvlJc w:val="left"/>
      <w:pPr>
        <w:ind w:left="5040" w:hanging="360"/>
      </w:pPr>
    </w:lvl>
    <w:lvl w:ilvl="7" w:tplc="139A51E0">
      <w:start w:val="1"/>
      <w:numFmt w:val="lowerLetter"/>
      <w:lvlText w:val="%8."/>
      <w:lvlJc w:val="left"/>
      <w:pPr>
        <w:ind w:left="5760" w:hanging="360"/>
      </w:pPr>
    </w:lvl>
    <w:lvl w:ilvl="8" w:tplc="6E46F0E6">
      <w:start w:val="1"/>
      <w:numFmt w:val="lowerRoman"/>
      <w:lvlText w:val="%9."/>
      <w:lvlJc w:val="right"/>
      <w:pPr>
        <w:ind w:left="6480" w:hanging="180"/>
      </w:pPr>
    </w:lvl>
  </w:abstractNum>
  <w:abstractNum w:abstractNumId="1" w15:restartNumberingAfterBreak="0">
    <w:nsid w:val="2A605366"/>
    <w:multiLevelType w:val="multilevel"/>
    <w:tmpl w:val="538EE97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C840487"/>
    <w:multiLevelType w:val="multilevel"/>
    <w:tmpl w:val="BE426D3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32010724"/>
    <w:multiLevelType w:val="multilevel"/>
    <w:tmpl w:val="4538E0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815DC8A"/>
    <w:multiLevelType w:val="hybridMultilevel"/>
    <w:tmpl w:val="27FEBC0A"/>
    <w:lvl w:ilvl="0" w:tplc="852C5DE6">
      <w:start w:val="1"/>
      <w:numFmt w:val="decimal"/>
      <w:lvlText w:val="%1."/>
      <w:lvlJc w:val="left"/>
      <w:pPr>
        <w:ind w:left="720" w:hanging="360"/>
      </w:pPr>
    </w:lvl>
    <w:lvl w:ilvl="1" w:tplc="D126142E">
      <w:start w:val="1"/>
      <w:numFmt w:val="lowerLetter"/>
      <w:lvlText w:val="%2."/>
      <w:lvlJc w:val="left"/>
      <w:pPr>
        <w:ind w:left="1440" w:hanging="360"/>
      </w:pPr>
    </w:lvl>
    <w:lvl w:ilvl="2" w:tplc="A0D6CAEA">
      <w:start w:val="1"/>
      <w:numFmt w:val="lowerRoman"/>
      <w:lvlText w:val="%3."/>
      <w:lvlJc w:val="right"/>
      <w:pPr>
        <w:ind w:left="2160" w:hanging="180"/>
      </w:pPr>
    </w:lvl>
    <w:lvl w:ilvl="3" w:tplc="259ACB98">
      <w:start w:val="1"/>
      <w:numFmt w:val="decimal"/>
      <w:lvlText w:val="%4."/>
      <w:lvlJc w:val="left"/>
      <w:pPr>
        <w:ind w:left="2880" w:hanging="360"/>
      </w:pPr>
    </w:lvl>
    <w:lvl w:ilvl="4" w:tplc="FFD67F5A">
      <w:start w:val="1"/>
      <w:numFmt w:val="lowerLetter"/>
      <w:lvlText w:val="%5."/>
      <w:lvlJc w:val="left"/>
      <w:pPr>
        <w:ind w:left="3600" w:hanging="360"/>
      </w:pPr>
    </w:lvl>
    <w:lvl w:ilvl="5" w:tplc="3D044CA6">
      <w:start w:val="1"/>
      <w:numFmt w:val="lowerRoman"/>
      <w:lvlText w:val="%6."/>
      <w:lvlJc w:val="right"/>
      <w:pPr>
        <w:ind w:left="4320" w:hanging="180"/>
      </w:pPr>
    </w:lvl>
    <w:lvl w:ilvl="6" w:tplc="E20A33AC">
      <w:start w:val="1"/>
      <w:numFmt w:val="decimal"/>
      <w:lvlText w:val="%7."/>
      <w:lvlJc w:val="left"/>
      <w:pPr>
        <w:ind w:left="5040" w:hanging="360"/>
      </w:pPr>
    </w:lvl>
    <w:lvl w:ilvl="7" w:tplc="A7BC5996">
      <w:start w:val="1"/>
      <w:numFmt w:val="lowerLetter"/>
      <w:lvlText w:val="%8."/>
      <w:lvlJc w:val="left"/>
      <w:pPr>
        <w:ind w:left="5760" w:hanging="360"/>
      </w:pPr>
    </w:lvl>
    <w:lvl w:ilvl="8" w:tplc="3CB8E8AA">
      <w:start w:val="1"/>
      <w:numFmt w:val="lowerRoman"/>
      <w:lvlText w:val="%9."/>
      <w:lvlJc w:val="right"/>
      <w:pPr>
        <w:ind w:left="6480" w:hanging="180"/>
      </w:pPr>
    </w:lvl>
  </w:abstractNum>
  <w:abstractNum w:abstractNumId="5" w15:restartNumberingAfterBreak="0">
    <w:nsid w:val="4C547E6A"/>
    <w:multiLevelType w:val="hybridMultilevel"/>
    <w:tmpl w:val="9C5AC3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B922D1C"/>
    <w:multiLevelType w:val="hybridMultilevel"/>
    <w:tmpl w:val="0EB203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AC31C20"/>
    <w:multiLevelType w:val="hybridMultilevel"/>
    <w:tmpl w:val="E6D8A55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B815A33"/>
    <w:multiLevelType w:val="hybridMultilevel"/>
    <w:tmpl w:val="BF9074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13468720">
    <w:abstractNumId w:val="0"/>
  </w:num>
  <w:num w:numId="2" w16cid:durableId="1659118561">
    <w:abstractNumId w:val="4"/>
  </w:num>
  <w:num w:numId="3" w16cid:durableId="1863322023">
    <w:abstractNumId w:val="3"/>
  </w:num>
  <w:num w:numId="4" w16cid:durableId="112670642">
    <w:abstractNumId w:val="5"/>
  </w:num>
  <w:num w:numId="5" w16cid:durableId="1222908443">
    <w:abstractNumId w:val="2"/>
  </w:num>
  <w:num w:numId="6" w16cid:durableId="1715692717">
    <w:abstractNumId w:val="7"/>
  </w:num>
  <w:num w:numId="7" w16cid:durableId="615059512">
    <w:abstractNumId w:val="8"/>
  </w:num>
  <w:num w:numId="8" w16cid:durableId="814184689">
    <w:abstractNumId w:val="1"/>
  </w:num>
  <w:num w:numId="9" w16cid:durableId="18733728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6AC1"/>
    <w:rsid w:val="00014EA3"/>
    <w:rsid w:val="00026C8C"/>
    <w:rsid w:val="00033155"/>
    <w:rsid w:val="00054575"/>
    <w:rsid w:val="00065664"/>
    <w:rsid w:val="00074468"/>
    <w:rsid w:val="000922F6"/>
    <w:rsid w:val="000A2E06"/>
    <w:rsid w:val="000C70F9"/>
    <w:rsid w:val="000D07BA"/>
    <w:rsid w:val="00100238"/>
    <w:rsid w:val="001022D6"/>
    <w:rsid w:val="001453E9"/>
    <w:rsid w:val="00157DF2"/>
    <w:rsid w:val="00190916"/>
    <w:rsid w:val="00240444"/>
    <w:rsid w:val="00242798"/>
    <w:rsid w:val="002869B7"/>
    <w:rsid w:val="00303378"/>
    <w:rsid w:val="003B4E11"/>
    <w:rsid w:val="003D445E"/>
    <w:rsid w:val="00425081"/>
    <w:rsid w:val="00430BA6"/>
    <w:rsid w:val="00436A11"/>
    <w:rsid w:val="00447F50"/>
    <w:rsid w:val="0045240F"/>
    <w:rsid w:val="0045651A"/>
    <w:rsid w:val="00461FE2"/>
    <w:rsid w:val="00481D14"/>
    <w:rsid w:val="00497A28"/>
    <w:rsid w:val="004A69C6"/>
    <w:rsid w:val="004C2F55"/>
    <w:rsid w:val="005072D9"/>
    <w:rsid w:val="00526AC1"/>
    <w:rsid w:val="00544C96"/>
    <w:rsid w:val="005523F0"/>
    <w:rsid w:val="00572738"/>
    <w:rsid w:val="005F1FFB"/>
    <w:rsid w:val="00605755"/>
    <w:rsid w:val="00626E48"/>
    <w:rsid w:val="006404E8"/>
    <w:rsid w:val="006648BB"/>
    <w:rsid w:val="006800FD"/>
    <w:rsid w:val="006827F1"/>
    <w:rsid w:val="006A125A"/>
    <w:rsid w:val="006A2AE1"/>
    <w:rsid w:val="006F145D"/>
    <w:rsid w:val="007D2F27"/>
    <w:rsid w:val="008454CD"/>
    <w:rsid w:val="008470C3"/>
    <w:rsid w:val="00862A67"/>
    <w:rsid w:val="00890564"/>
    <w:rsid w:val="00891418"/>
    <w:rsid w:val="008E0363"/>
    <w:rsid w:val="008E521A"/>
    <w:rsid w:val="008F05C3"/>
    <w:rsid w:val="00916CD0"/>
    <w:rsid w:val="00934DED"/>
    <w:rsid w:val="00973012"/>
    <w:rsid w:val="00987EE8"/>
    <w:rsid w:val="009912E4"/>
    <w:rsid w:val="009A6A7A"/>
    <w:rsid w:val="009B46B2"/>
    <w:rsid w:val="009F1B75"/>
    <w:rsid w:val="00A02C4F"/>
    <w:rsid w:val="00A51A5A"/>
    <w:rsid w:val="00A85ABE"/>
    <w:rsid w:val="00AC1C58"/>
    <w:rsid w:val="00AC297B"/>
    <w:rsid w:val="00BF14D6"/>
    <w:rsid w:val="00C17F67"/>
    <w:rsid w:val="00CB36E9"/>
    <w:rsid w:val="00CC212B"/>
    <w:rsid w:val="00CD4F95"/>
    <w:rsid w:val="00D02079"/>
    <w:rsid w:val="00D0779C"/>
    <w:rsid w:val="00D360E6"/>
    <w:rsid w:val="00D5401B"/>
    <w:rsid w:val="00D843AE"/>
    <w:rsid w:val="00DC0898"/>
    <w:rsid w:val="00E02780"/>
    <w:rsid w:val="00E43100"/>
    <w:rsid w:val="00E50EE4"/>
    <w:rsid w:val="00E546AE"/>
    <w:rsid w:val="00E62425"/>
    <w:rsid w:val="00E81EC8"/>
    <w:rsid w:val="00EA41BB"/>
    <w:rsid w:val="00ED64BF"/>
    <w:rsid w:val="00F17275"/>
    <w:rsid w:val="00F859A1"/>
    <w:rsid w:val="00FA7D4A"/>
    <w:rsid w:val="00FD53F3"/>
    <w:rsid w:val="00FE72F9"/>
    <w:rsid w:val="05E8866E"/>
    <w:rsid w:val="094D9F4A"/>
    <w:rsid w:val="098E348C"/>
    <w:rsid w:val="0A1A20E2"/>
    <w:rsid w:val="0A50DBBE"/>
    <w:rsid w:val="0CDBD8DF"/>
    <w:rsid w:val="0F4334C9"/>
    <w:rsid w:val="1024B444"/>
    <w:rsid w:val="128A5193"/>
    <w:rsid w:val="1302A694"/>
    <w:rsid w:val="14F05EC8"/>
    <w:rsid w:val="1819A41F"/>
    <w:rsid w:val="19CE87B4"/>
    <w:rsid w:val="1DAFCF28"/>
    <w:rsid w:val="228204B1"/>
    <w:rsid w:val="2801026C"/>
    <w:rsid w:val="2BD6B86B"/>
    <w:rsid w:val="2D8802C7"/>
    <w:rsid w:val="2F5E41D7"/>
    <w:rsid w:val="301DF28C"/>
    <w:rsid w:val="348A1C7C"/>
    <w:rsid w:val="38A782D5"/>
    <w:rsid w:val="3DE026C6"/>
    <w:rsid w:val="3F6E98CA"/>
    <w:rsid w:val="40842C48"/>
    <w:rsid w:val="4223EB3C"/>
    <w:rsid w:val="429283FA"/>
    <w:rsid w:val="449F334C"/>
    <w:rsid w:val="4CD745FE"/>
    <w:rsid w:val="4EB14F75"/>
    <w:rsid w:val="50440CBD"/>
    <w:rsid w:val="50D791D9"/>
    <w:rsid w:val="52ECF0F6"/>
    <w:rsid w:val="544D21E5"/>
    <w:rsid w:val="559EB26F"/>
    <w:rsid w:val="5BB0245E"/>
    <w:rsid w:val="5F1D10EC"/>
    <w:rsid w:val="5FC89E15"/>
    <w:rsid w:val="619F67EB"/>
    <w:rsid w:val="65285CB6"/>
    <w:rsid w:val="65E366C4"/>
    <w:rsid w:val="66D6057A"/>
    <w:rsid w:val="684A8A1A"/>
    <w:rsid w:val="68A24302"/>
    <w:rsid w:val="69000214"/>
    <w:rsid w:val="6B7B87FC"/>
    <w:rsid w:val="6C5CCFFA"/>
    <w:rsid w:val="7180F17E"/>
    <w:rsid w:val="731750ED"/>
    <w:rsid w:val="7723E6C5"/>
    <w:rsid w:val="79784805"/>
    <w:rsid w:val="79D7C36C"/>
    <w:rsid w:val="7DAAA0AD"/>
    <w:rsid w:val="7E2E12B7"/>
    <w:rsid w:val="7F45D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E30D8"/>
  <w15:chartTrackingRefBased/>
  <w15:docId w15:val="{BF59CCDF-A12C-244A-B289-3F1AA336F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6A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6A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6A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6A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6A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6A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6A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6A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6A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A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6A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6A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6A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6A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6A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6A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6A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6AC1"/>
    <w:rPr>
      <w:rFonts w:eastAsiaTheme="majorEastAsia" w:cstheme="majorBidi"/>
      <w:color w:val="272727" w:themeColor="text1" w:themeTint="D8"/>
    </w:rPr>
  </w:style>
  <w:style w:type="paragraph" w:styleId="Title">
    <w:name w:val="Title"/>
    <w:basedOn w:val="Normal"/>
    <w:next w:val="Normal"/>
    <w:link w:val="TitleChar"/>
    <w:uiPriority w:val="10"/>
    <w:qFormat/>
    <w:rsid w:val="00526A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6A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6A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6A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6AC1"/>
    <w:pPr>
      <w:spacing w:before="160"/>
      <w:jc w:val="center"/>
    </w:pPr>
    <w:rPr>
      <w:i/>
      <w:iCs/>
      <w:color w:val="404040" w:themeColor="text1" w:themeTint="BF"/>
    </w:rPr>
  </w:style>
  <w:style w:type="character" w:customStyle="1" w:styleId="QuoteChar">
    <w:name w:val="Quote Char"/>
    <w:basedOn w:val="DefaultParagraphFont"/>
    <w:link w:val="Quote"/>
    <w:uiPriority w:val="29"/>
    <w:rsid w:val="00526AC1"/>
    <w:rPr>
      <w:i/>
      <w:iCs/>
      <w:color w:val="404040" w:themeColor="text1" w:themeTint="BF"/>
    </w:rPr>
  </w:style>
  <w:style w:type="paragraph" w:styleId="ListParagraph">
    <w:name w:val="List Paragraph"/>
    <w:basedOn w:val="Normal"/>
    <w:uiPriority w:val="34"/>
    <w:qFormat/>
    <w:rsid w:val="00526AC1"/>
    <w:pPr>
      <w:ind w:left="720"/>
      <w:contextualSpacing/>
    </w:pPr>
  </w:style>
  <w:style w:type="character" w:styleId="IntenseEmphasis">
    <w:name w:val="Intense Emphasis"/>
    <w:basedOn w:val="DefaultParagraphFont"/>
    <w:uiPriority w:val="21"/>
    <w:qFormat/>
    <w:rsid w:val="00526AC1"/>
    <w:rPr>
      <w:i/>
      <w:iCs/>
      <w:color w:val="0F4761" w:themeColor="accent1" w:themeShade="BF"/>
    </w:rPr>
  </w:style>
  <w:style w:type="paragraph" w:styleId="IntenseQuote">
    <w:name w:val="Intense Quote"/>
    <w:basedOn w:val="Normal"/>
    <w:next w:val="Normal"/>
    <w:link w:val="IntenseQuoteChar"/>
    <w:uiPriority w:val="30"/>
    <w:qFormat/>
    <w:rsid w:val="00526A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6AC1"/>
    <w:rPr>
      <w:i/>
      <w:iCs/>
      <w:color w:val="0F4761" w:themeColor="accent1" w:themeShade="BF"/>
    </w:rPr>
  </w:style>
  <w:style w:type="character" w:styleId="IntenseReference">
    <w:name w:val="Intense Reference"/>
    <w:basedOn w:val="DefaultParagraphFont"/>
    <w:uiPriority w:val="32"/>
    <w:qFormat/>
    <w:rsid w:val="00526AC1"/>
    <w:rPr>
      <w:b/>
      <w:bCs/>
      <w:smallCaps/>
      <w:color w:val="0F4761" w:themeColor="accent1" w:themeShade="BF"/>
      <w:spacing w:val="5"/>
    </w:rPr>
  </w:style>
  <w:style w:type="table" w:styleId="TableGrid">
    <w:name w:val="Table Grid"/>
    <w:basedOn w:val="TableNormal"/>
    <w:uiPriority w:val="39"/>
    <w:rsid w:val="00A85A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65285CB6"/>
    <w:rPr>
      <w:color w:val="467886"/>
      <w:u w:val="single"/>
    </w:rPr>
  </w:style>
  <w:style w:type="paragraph" w:styleId="Header">
    <w:name w:val="header"/>
    <w:basedOn w:val="Normal"/>
    <w:uiPriority w:val="99"/>
    <w:unhideWhenUsed/>
    <w:rsid w:val="65285CB6"/>
    <w:pPr>
      <w:tabs>
        <w:tab w:val="center" w:pos="4680"/>
        <w:tab w:val="right" w:pos="9360"/>
      </w:tabs>
      <w:spacing w:after="0" w:line="240" w:lineRule="auto"/>
    </w:pPr>
  </w:style>
  <w:style w:type="paragraph" w:styleId="Footer">
    <w:name w:val="footer"/>
    <w:basedOn w:val="Normal"/>
    <w:uiPriority w:val="99"/>
    <w:unhideWhenUsed/>
    <w:rsid w:val="65285CB6"/>
    <w:pPr>
      <w:tabs>
        <w:tab w:val="center" w:pos="4680"/>
        <w:tab w:val="right" w:pos="9360"/>
      </w:tabs>
      <w:spacing w:after="0" w:line="240" w:lineRule="auto"/>
    </w:pPr>
  </w:style>
  <w:style w:type="character" w:styleId="UnresolvedMention">
    <w:name w:val="Unresolved Mention"/>
    <w:basedOn w:val="DefaultParagraphFont"/>
    <w:uiPriority w:val="99"/>
    <w:semiHidden/>
    <w:unhideWhenUsed/>
    <w:rsid w:val="00AC1C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2405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223</TotalTime>
  <Pages>1</Pages>
  <Words>2036</Words>
  <Characters>11607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Shahriar Saad</dc:creator>
  <cp:keywords/>
  <dc:description/>
  <cp:lastModifiedBy>Vieric</cp:lastModifiedBy>
  <cp:revision>25</cp:revision>
  <dcterms:created xsi:type="dcterms:W3CDTF">2025-12-11T12:22:00Z</dcterms:created>
  <dcterms:modified xsi:type="dcterms:W3CDTF">2025-12-19T00:17:00Z</dcterms:modified>
</cp:coreProperties>
</file>