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864088" w14:textId="5D174934" w:rsidR="00F951FD" w:rsidRPr="002200BC" w:rsidRDefault="00537A7F" w:rsidP="00F951FD">
      <w:pPr>
        <w:pStyle w:val="CM95"/>
        <w:spacing w:line="240" w:lineRule="auto"/>
        <w:rPr>
          <w:rFonts w:ascii="Montserrat" w:hAnsi="Montserrat" w:cstheme="majorBidi"/>
          <w:b/>
          <w:bCs/>
          <w:color w:val="000000" w:themeColor="text1"/>
        </w:rPr>
      </w:pPr>
      <w:r w:rsidRPr="002200BC">
        <w:rPr>
          <w:rFonts w:ascii="Montserrat" w:hAnsi="Montserrat" w:cstheme="majorBidi"/>
          <w:b/>
          <w:bCs/>
          <w:color w:val="000000" w:themeColor="text1"/>
        </w:rPr>
        <w:t xml:space="preserve">  </w:t>
      </w:r>
    </w:p>
    <w:p w14:paraId="68A146DC" w14:textId="77777777" w:rsidR="007F6FEC" w:rsidRDefault="007F6FEC" w:rsidP="002200BC">
      <w:pPr>
        <w:pStyle w:val="CM95"/>
        <w:jc w:val="center"/>
        <w:rPr>
          <w:rFonts w:ascii="Montserrat" w:hAnsi="Montserrat" w:cstheme="majorBidi"/>
          <w:b/>
          <w:bCs/>
          <w:color w:val="000000" w:themeColor="text1"/>
          <w:sz w:val="28"/>
          <w:szCs w:val="28"/>
        </w:rPr>
      </w:pPr>
    </w:p>
    <w:p w14:paraId="5B24561C" w14:textId="268FDF08" w:rsidR="00F951FD" w:rsidRPr="000C3EA0" w:rsidRDefault="00731CE5" w:rsidP="004F02DE">
      <w:pPr>
        <w:pStyle w:val="CM95"/>
        <w:jc w:val="center"/>
        <w:rPr>
          <w:rFonts w:ascii="Arial" w:hAnsi="Arial" w:cs="Arial"/>
          <w:b/>
          <w:bCs/>
          <w:color w:val="000000" w:themeColor="text1"/>
          <w:sz w:val="36"/>
          <w:szCs w:val="36"/>
        </w:rPr>
      </w:pPr>
      <w:r>
        <w:rPr>
          <w:rFonts w:ascii="Montserrat" w:hAnsi="Montserrat" w:cstheme="majorBidi"/>
          <w:b/>
          <w:bCs/>
          <w:color w:val="000000" w:themeColor="text1"/>
          <w:sz w:val="28"/>
          <w:szCs w:val="28"/>
        </w:rPr>
        <w:br/>
      </w:r>
      <w:r w:rsidRPr="000C3EA0">
        <w:rPr>
          <w:rFonts w:ascii="Arial" w:hAnsi="Arial" w:cs="Arial"/>
          <w:b/>
          <w:bCs/>
          <w:color w:val="000000" w:themeColor="text1"/>
          <w:sz w:val="36"/>
          <w:szCs w:val="36"/>
        </w:rPr>
        <w:t>BA (Hons)</w:t>
      </w:r>
      <w:r w:rsidR="00085702" w:rsidRPr="000C3EA0">
        <w:rPr>
          <w:rFonts w:ascii="Arial" w:hAnsi="Arial" w:cs="Arial"/>
          <w:b/>
          <w:bCs/>
          <w:color w:val="000000" w:themeColor="text1"/>
          <w:sz w:val="36"/>
          <w:szCs w:val="36"/>
        </w:rPr>
        <w:t xml:space="preserve"> Commercial Dance</w:t>
      </w:r>
    </w:p>
    <w:p w14:paraId="05BB7EE0" w14:textId="77777777" w:rsidR="00F951FD" w:rsidRPr="000C3EA0" w:rsidRDefault="00F951FD" w:rsidP="004F02DE">
      <w:pPr>
        <w:pStyle w:val="CM95"/>
        <w:spacing w:line="240" w:lineRule="auto"/>
        <w:jc w:val="center"/>
        <w:rPr>
          <w:rFonts w:ascii="Arial" w:hAnsi="Arial" w:cs="Arial"/>
          <w:b/>
          <w:bCs/>
          <w:color w:val="000000" w:themeColor="text1"/>
          <w:sz w:val="32"/>
          <w:szCs w:val="32"/>
        </w:rPr>
      </w:pPr>
    </w:p>
    <w:p w14:paraId="355A304B" w14:textId="72FC31BF" w:rsidR="00F951FD" w:rsidRPr="000C3EA0" w:rsidRDefault="00E33B94" w:rsidP="004F02DE">
      <w:pPr>
        <w:pStyle w:val="CM95"/>
        <w:spacing w:line="240" w:lineRule="auto"/>
        <w:jc w:val="center"/>
        <w:rPr>
          <w:rFonts w:ascii="Arial" w:hAnsi="Arial" w:cs="Arial"/>
          <w:b/>
          <w:bCs/>
          <w:color w:val="000000" w:themeColor="text1"/>
          <w:sz w:val="36"/>
          <w:szCs w:val="36"/>
        </w:rPr>
      </w:pPr>
      <w:r w:rsidRPr="000C3EA0">
        <w:rPr>
          <w:rFonts w:ascii="Arial" w:hAnsi="Arial" w:cs="Arial"/>
          <w:b/>
          <w:bCs/>
          <w:color w:val="000000" w:themeColor="text1"/>
          <w:sz w:val="36"/>
          <w:szCs w:val="36"/>
        </w:rPr>
        <w:t xml:space="preserve">Assessment </w:t>
      </w:r>
      <w:r w:rsidR="00F951FD" w:rsidRPr="000C3EA0">
        <w:rPr>
          <w:rFonts w:ascii="Arial" w:hAnsi="Arial" w:cs="Arial"/>
          <w:b/>
          <w:bCs/>
          <w:color w:val="000000" w:themeColor="text1"/>
          <w:sz w:val="36"/>
          <w:szCs w:val="36"/>
        </w:rPr>
        <w:t xml:space="preserve">Cover </w:t>
      </w:r>
      <w:r w:rsidR="002200BC" w:rsidRPr="000C3EA0">
        <w:rPr>
          <w:rFonts w:ascii="Arial" w:hAnsi="Arial" w:cs="Arial"/>
          <w:b/>
          <w:bCs/>
          <w:color w:val="000000" w:themeColor="text1"/>
          <w:sz w:val="36"/>
          <w:szCs w:val="36"/>
        </w:rPr>
        <w:t>Page</w:t>
      </w:r>
    </w:p>
    <w:p w14:paraId="6C4857CC" w14:textId="77777777" w:rsidR="00085702" w:rsidRPr="000C3EA0" w:rsidRDefault="00085702" w:rsidP="00AB60AA">
      <w:pPr>
        <w:rPr>
          <w:rFonts w:ascii="Arial" w:hAnsi="Arial" w:cs="Arial"/>
          <w:sz w:val="36"/>
          <w:szCs w:val="36"/>
          <w:lang w:eastAsia="en-GB"/>
        </w:rPr>
      </w:pPr>
    </w:p>
    <w:p w14:paraId="445BAD5E" w14:textId="77777777" w:rsidR="00085702" w:rsidRPr="000C3EA0" w:rsidRDefault="00085702" w:rsidP="00AB60AA">
      <w:pPr>
        <w:rPr>
          <w:rFonts w:ascii="Arial" w:hAnsi="Arial" w:cs="Arial"/>
          <w:sz w:val="36"/>
          <w:szCs w:val="36"/>
          <w:lang w:eastAsia="en-GB"/>
        </w:rPr>
      </w:pPr>
    </w:p>
    <w:p w14:paraId="6E0DC7DC" w14:textId="77777777" w:rsidR="00AB60AA" w:rsidRPr="000C3EA0" w:rsidRDefault="00AB60AA" w:rsidP="00AB60AA">
      <w:pPr>
        <w:rPr>
          <w:rFonts w:ascii="Arial" w:hAnsi="Arial" w:cs="Arial"/>
          <w:sz w:val="28"/>
          <w:szCs w:val="28"/>
          <w:lang w:eastAsia="en-GB"/>
        </w:rPr>
      </w:pPr>
    </w:p>
    <w:p w14:paraId="63F835CC" w14:textId="51C82717" w:rsidR="00E33B94" w:rsidRPr="000C3EA0" w:rsidRDefault="00E33B94" w:rsidP="00F951FD">
      <w:pPr>
        <w:pStyle w:val="CM95"/>
        <w:spacing w:line="240" w:lineRule="auto"/>
        <w:rPr>
          <w:rFonts w:ascii="Arial" w:hAnsi="Arial" w:cs="Arial"/>
          <w:color w:val="000000" w:themeColor="text1"/>
          <w:sz w:val="28"/>
          <w:szCs w:val="28"/>
        </w:rPr>
      </w:pPr>
      <w:r w:rsidRPr="000C3EA0">
        <w:rPr>
          <w:rFonts w:ascii="Arial" w:hAnsi="Arial" w:cs="Arial"/>
          <w:color w:val="000000" w:themeColor="text1"/>
          <w:sz w:val="28"/>
          <w:szCs w:val="28"/>
        </w:rPr>
        <w:t>Name</w:t>
      </w:r>
      <w:r w:rsidR="00AB60AA" w:rsidRPr="000C3EA0">
        <w:rPr>
          <w:rFonts w:ascii="Arial" w:hAnsi="Arial" w:cs="Arial"/>
          <w:color w:val="000000" w:themeColor="text1"/>
          <w:sz w:val="28"/>
          <w:szCs w:val="28"/>
        </w:rPr>
        <w:t>:</w:t>
      </w:r>
      <w:r w:rsidR="00BB4E3B">
        <w:rPr>
          <w:rFonts w:ascii="Arial" w:hAnsi="Arial" w:cs="Arial"/>
          <w:color w:val="000000" w:themeColor="text1"/>
          <w:sz w:val="28"/>
          <w:szCs w:val="28"/>
        </w:rPr>
        <w:t xml:space="preserve"> Lydia Jones</w:t>
      </w:r>
    </w:p>
    <w:p w14:paraId="135483E9" w14:textId="77777777" w:rsidR="00AB60AA" w:rsidRPr="000C3EA0" w:rsidRDefault="00AB60AA" w:rsidP="00AB60AA">
      <w:pPr>
        <w:rPr>
          <w:rFonts w:ascii="Arial" w:hAnsi="Arial" w:cs="Arial"/>
          <w:sz w:val="28"/>
          <w:szCs w:val="28"/>
          <w:lang w:eastAsia="en-GB"/>
        </w:rPr>
      </w:pPr>
    </w:p>
    <w:p w14:paraId="71632A99" w14:textId="58619705" w:rsidR="00E33B94" w:rsidRPr="000C3EA0" w:rsidRDefault="00E33B94" w:rsidP="00F951FD">
      <w:pPr>
        <w:pStyle w:val="CM95"/>
        <w:spacing w:line="240" w:lineRule="auto"/>
        <w:rPr>
          <w:rFonts w:ascii="Arial" w:hAnsi="Arial" w:cs="Arial"/>
          <w:color w:val="000000" w:themeColor="text1"/>
          <w:sz w:val="28"/>
          <w:szCs w:val="28"/>
        </w:rPr>
      </w:pPr>
      <w:r w:rsidRPr="000C3EA0">
        <w:rPr>
          <w:rFonts w:ascii="Arial" w:hAnsi="Arial" w:cs="Arial"/>
          <w:color w:val="000000" w:themeColor="text1"/>
          <w:sz w:val="28"/>
          <w:szCs w:val="28"/>
        </w:rPr>
        <w:t xml:space="preserve">Student </w:t>
      </w:r>
      <w:r w:rsidR="002200BC" w:rsidRPr="000C3EA0">
        <w:rPr>
          <w:rFonts w:ascii="Arial" w:hAnsi="Arial" w:cs="Arial"/>
          <w:color w:val="000000" w:themeColor="text1"/>
          <w:sz w:val="28"/>
          <w:szCs w:val="28"/>
        </w:rPr>
        <w:t>N</w:t>
      </w:r>
      <w:r w:rsidRPr="000C3EA0">
        <w:rPr>
          <w:rFonts w:ascii="Arial" w:hAnsi="Arial" w:cs="Arial"/>
          <w:color w:val="000000" w:themeColor="text1"/>
          <w:sz w:val="28"/>
          <w:szCs w:val="28"/>
        </w:rPr>
        <w:t>umber</w:t>
      </w:r>
      <w:r w:rsidR="00731CE5" w:rsidRPr="000C3EA0">
        <w:rPr>
          <w:rFonts w:ascii="Arial" w:hAnsi="Arial" w:cs="Arial"/>
          <w:color w:val="000000" w:themeColor="text1"/>
          <w:sz w:val="28"/>
          <w:szCs w:val="28"/>
        </w:rPr>
        <w:t>:</w:t>
      </w:r>
      <w:r w:rsidR="00BB4E3B">
        <w:rPr>
          <w:rFonts w:ascii="Arial" w:hAnsi="Arial" w:cs="Arial"/>
          <w:color w:val="000000" w:themeColor="text1"/>
          <w:sz w:val="28"/>
          <w:szCs w:val="28"/>
        </w:rPr>
        <w:t xml:space="preserve"> 2304335</w:t>
      </w:r>
    </w:p>
    <w:p w14:paraId="5E351B62" w14:textId="0870F70D" w:rsidR="003256A8" w:rsidRDefault="002200BC" w:rsidP="00AB60AA">
      <w:pPr>
        <w:rPr>
          <w:rFonts w:ascii="Arial" w:hAnsi="Arial" w:cs="Arial"/>
          <w:sz w:val="28"/>
          <w:szCs w:val="28"/>
          <w:lang w:eastAsia="en-GB"/>
        </w:rPr>
      </w:pPr>
      <w:r w:rsidRPr="000C3EA0">
        <w:rPr>
          <w:rFonts w:ascii="Arial" w:hAnsi="Arial" w:cs="Arial"/>
          <w:sz w:val="28"/>
          <w:szCs w:val="28"/>
          <w:lang w:eastAsia="en-GB"/>
        </w:rPr>
        <w:br/>
        <w:t>Module</w:t>
      </w:r>
      <w:r w:rsidR="003256A8">
        <w:rPr>
          <w:rFonts w:ascii="Arial" w:hAnsi="Arial" w:cs="Arial"/>
          <w:sz w:val="28"/>
          <w:szCs w:val="28"/>
          <w:lang w:eastAsia="en-GB"/>
        </w:rPr>
        <w:t xml:space="preserve"> Name</w:t>
      </w:r>
      <w:r w:rsidR="00731CE5" w:rsidRPr="000C3EA0">
        <w:rPr>
          <w:rFonts w:ascii="Arial" w:hAnsi="Arial" w:cs="Arial"/>
          <w:sz w:val="28"/>
          <w:szCs w:val="28"/>
          <w:lang w:eastAsia="en-GB"/>
        </w:rPr>
        <w:t xml:space="preserve">: </w:t>
      </w:r>
      <w:r w:rsidR="00BB4E3B">
        <w:rPr>
          <w:rFonts w:ascii="Arial" w:hAnsi="Arial" w:cs="Arial"/>
          <w:sz w:val="28"/>
          <w:szCs w:val="28"/>
          <w:lang w:eastAsia="en-GB"/>
        </w:rPr>
        <w:t>Independent Project</w:t>
      </w:r>
    </w:p>
    <w:p w14:paraId="5D016E1E" w14:textId="77777777" w:rsidR="003256A8" w:rsidRDefault="003256A8" w:rsidP="00AB60AA">
      <w:pPr>
        <w:rPr>
          <w:rFonts w:ascii="Arial" w:hAnsi="Arial" w:cs="Arial"/>
          <w:sz w:val="28"/>
          <w:szCs w:val="28"/>
          <w:lang w:eastAsia="en-GB"/>
        </w:rPr>
      </w:pPr>
    </w:p>
    <w:p w14:paraId="6609A6A2" w14:textId="31100776" w:rsidR="004F02DE" w:rsidRPr="000C3EA0" w:rsidRDefault="003256A8" w:rsidP="00AB60AA">
      <w:pPr>
        <w:rPr>
          <w:rFonts w:ascii="Arial" w:hAnsi="Arial" w:cs="Arial"/>
          <w:sz w:val="28"/>
          <w:szCs w:val="28"/>
          <w:lang w:eastAsia="en-GB"/>
        </w:rPr>
      </w:pPr>
      <w:r w:rsidRPr="0C2082A0">
        <w:rPr>
          <w:rFonts w:ascii="Arial" w:hAnsi="Arial" w:cs="Arial"/>
          <w:sz w:val="28"/>
          <w:szCs w:val="28"/>
          <w:lang w:eastAsia="en-GB"/>
        </w:rPr>
        <w:t>Module Code:</w:t>
      </w:r>
      <w:r w:rsidR="00BB4E3B" w:rsidRPr="0C2082A0">
        <w:rPr>
          <w:rFonts w:ascii="Arial" w:hAnsi="Arial" w:cs="Arial"/>
          <w:sz w:val="28"/>
          <w:szCs w:val="28"/>
          <w:lang w:eastAsia="en-GB"/>
        </w:rPr>
        <w:t xml:space="preserve"> ADPA6000</w:t>
      </w:r>
      <w:r>
        <w:br/>
      </w:r>
      <w:r>
        <w:br/>
      </w:r>
      <w:r w:rsidR="00731CE5" w:rsidRPr="0C2082A0">
        <w:rPr>
          <w:rFonts w:ascii="Arial" w:hAnsi="Arial" w:cs="Arial"/>
          <w:sz w:val="28"/>
          <w:szCs w:val="28"/>
          <w:lang w:eastAsia="en-GB"/>
        </w:rPr>
        <w:t>Assessment:</w:t>
      </w:r>
      <w:r w:rsidR="00BB4E3B" w:rsidRPr="0C2082A0">
        <w:rPr>
          <w:rFonts w:ascii="Arial" w:hAnsi="Arial" w:cs="Arial"/>
          <w:sz w:val="28"/>
          <w:szCs w:val="28"/>
          <w:lang w:eastAsia="en-GB"/>
        </w:rPr>
        <w:t xml:space="preserve"> Practica</w:t>
      </w:r>
      <w:r w:rsidR="11B37067" w:rsidRPr="0C2082A0">
        <w:rPr>
          <w:rFonts w:ascii="Arial" w:hAnsi="Arial" w:cs="Arial"/>
          <w:sz w:val="28"/>
          <w:szCs w:val="28"/>
          <w:lang w:eastAsia="en-GB"/>
        </w:rPr>
        <w:t>l</w:t>
      </w:r>
      <w:r w:rsidR="26647A6D" w:rsidRPr="0C2082A0">
        <w:rPr>
          <w:rFonts w:ascii="Arial" w:hAnsi="Arial" w:cs="Arial"/>
          <w:sz w:val="28"/>
          <w:szCs w:val="28"/>
          <w:lang w:eastAsia="en-GB"/>
        </w:rPr>
        <w:t xml:space="preserve">: Written </w:t>
      </w:r>
    </w:p>
    <w:p w14:paraId="0FE6F79E" w14:textId="3F7764A4" w:rsidR="0C2082A0" w:rsidRDefault="0C2082A0"/>
    <w:p w14:paraId="15B44DFD" w14:textId="6B3A5A60" w:rsidR="0C2082A0" w:rsidRDefault="0C2082A0"/>
    <w:p w14:paraId="6C7DE119" w14:textId="5B4361E2" w:rsidR="0C2082A0" w:rsidRDefault="0C2082A0"/>
    <w:p w14:paraId="0C7FB313" w14:textId="39040AED" w:rsidR="0C2082A0" w:rsidRDefault="0C2082A0"/>
    <w:p w14:paraId="456E66F6" w14:textId="78EAAE92" w:rsidR="0C2082A0" w:rsidRDefault="0C2082A0"/>
    <w:p w14:paraId="0348D5F6" w14:textId="3C5089E6" w:rsidR="0C2082A0" w:rsidRDefault="0C2082A0"/>
    <w:p w14:paraId="38F0C164" w14:textId="52419B2F" w:rsidR="0C2082A0" w:rsidRDefault="0C2082A0"/>
    <w:p w14:paraId="5627B4C9" w14:textId="2DA38AFC" w:rsidR="0C2082A0" w:rsidRDefault="0C2082A0"/>
    <w:p w14:paraId="4A6A1D05" w14:textId="6B2ABDAB" w:rsidR="0C2082A0" w:rsidRDefault="0C2082A0"/>
    <w:p w14:paraId="3649C583" w14:textId="54AC35D7" w:rsidR="0C2082A0" w:rsidRDefault="0C2082A0"/>
    <w:p w14:paraId="37F87969" w14:textId="2AB1FA62" w:rsidR="0C2082A0" w:rsidRDefault="0C2082A0"/>
    <w:p w14:paraId="43C4E918" w14:textId="24C673D7" w:rsidR="0C2082A0" w:rsidRDefault="0C2082A0"/>
    <w:p w14:paraId="4159AEBB" w14:textId="765865D5" w:rsidR="0C2082A0" w:rsidRDefault="0C2082A0"/>
    <w:p w14:paraId="268B9C8F" w14:textId="09191BA7" w:rsidR="0C2082A0" w:rsidRDefault="0C2082A0"/>
    <w:p w14:paraId="434BCB4C" w14:textId="7052C606" w:rsidR="0C2082A0" w:rsidRDefault="0C2082A0"/>
    <w:p w14:paraId="77BE179F" w14:textId="09A52406" w:rsidR="0C2082A0" w:rsidRDefault="0C2082A0"/>
    <w:p w14:paraId="78F787BC" w14:textId="2505E561" w:rsidR="0C2082A0" w:rsidRDefault="0C2082A0"/>
    <w:p w14:paraId="252CAFF1" w14:textId="41E9579E" w:rsidR="0C2082A0" w:rsidRDefault="0C2082A0"/>
    <w:p w14:paraId="6502F7FC" w14:textId="6D41C47E" w:rsidR="0C2082A0" w:rsidRDefault="0C2082A0"/>
    <w:p w14:paraId="52BA4DE1" w14:textId="4B6B8899" w:rsidR="0C2082A0" w:rsidRDefault="0C2082A0"/>
    <w:p w14:paraId="241D370E" w14:textId="5D1C54A9" w:rsidR="0C2082A0" w:rsidRDefault="0C2082A0"/>
    <w:p w14:paraId="142BB794" w14:textId="5F29BE2D" w:rsidR="59105C40" w:rsidRDefault="59105C40" w:rsidP="0C2082A0">
      <w:pPr>
        <w:jc w:val="center"/>
      </w:pPr>
      <w:r>
        <w:lastRenderedPageBreak/>
        <w:t>Contents page</w:t>
      </w:r>
      <w:r>
        <w:br/>
      </w:r>
    </w:p>
    <w:p w14:paraId="6669228A" w14:textId="403920AA" w:rsidR="0C2082A0" w:rsidRDefault="0C2082A0" w:rsidP="0C2082A0">
      <w:pPr>
        <w:pStyle w:val="TOC1"/>
        <w:spacing w:line="259" w:lineRule="auto"/>
      </w:pPr>
    </w:p>
    <w:sdt>
      <w:sdtPr>
        <w:id w:val="1475160184"/>
        <w:docPartObj>
          <w:docPartGallery w:val="Table of Contents"/>
          <w:docPartUnique/>
        </w:docPartObj>
      </w:sdtPr>
      <w:sdtContent>
        <w:p w14:paraId="591659F6" w14:textId="2FD799B4" w:rsidR="0C2082A0" w:rsidRDefault="0C2082A0" w:rsidP="0C2082A0">
          <w:pPr>
            <w:pStyle w:val="TOC1"/>
            <w:tabs>
              <w:tab w:val="right" w:leader="dot" w:pos="9015"/>
            </w:tabs>
            <w:rPr>
              <w:rStyle w:val="Hyperlink"/>
            </w:rPr>
          </w:pPr>
          <w:r>
            <w:fldChar w:fldCharType="begin"/>
          </w:r>
          <w:r>
            <w:instrText>TOC \o "1-9" \z \u \h</w:instrText>
          </w:r>
          <w:r>
            <w:fldChar w:fldCharType="separate"/>
          </w:r>
          <w:hyperlink w:anchor="_Toc995513306">
            <w:r w:rsidRPr="0C2082A0">
              <w:rPr>
                <w:rStyle w:val="Hyperlink"/>
              </w:rPr>
              <w:t>Reflective Essay</w:t>
            </w:r>
            <w:r>
              <w:tab/>
            </w:r>
            <w:r>
              <w:fldChar w:fldCharType="begin"/>
            </w:r>
            <w:r>
              <w:instrText>PAGEREF _Toc995513306 \h</w:instrText>
            </w:r>
            <w:r>
              <w:fldChar w:fldCharType="separate"/>
            </w:r>
            <w:r w:rsidRPr="0C2082A0">
              <w:rPr>
                <w:rStyle w:val="Hyperlink"/>
              </w:rPr>
              <w:t>1</w:t>
            </w:r>
            <w:r>
              <w:fldChar w:fldCharType="end"/>
            </w:r>
          </w:hyperlink>
        </w:p>
        <w:p w14:paraId="018AA4AC" w14:textId="09E466B0" w:rsidR="0C2082A0" w:rsidRDefault="0C2082A0" w:rsidP="0C2082A0">
          <w:pPr>
            <w:pStyle w:val="TOC1"/>
            <w:tabs>
              <w:tab w:val="right" w:leader="dot" w:pos="9015"/>
            </w:tabs>
            <w:rPr>
              <w:rStyle w:val="Hyperlink"/>
            </w:rPr>
          </w:pPr>
          <w:hyperlink w:anchor="_Toc510465699">
            <w:r w:rsidRPr="0C2082A0">
              <w:rPr>
                <w:rStyle w:val="Hyperlink"/>
              </w:rPr>
              <w:t>Research Journal</w:t>
            </w:r>
            <w:r>
              <w:tab/>
            </w:r>
            <w:r>
              <w:fldChar w:fldCharType="begin"/>
            </w:r>
            <w:r>
              <w:instrText>PAGEREF _Toc510465699 \h</w:instrText>
            </w:r>
            <w:r>
              <w:fldChar w:fldCharType="separate"/>
            </w:r>
            <w:r w:rsidRPr="0C2082A0">
              <w:rPr>
                <w:rStyle w:val="Hyperlink"/>
              </w:rPr>
              <w:t>1</w:t>
            </w:r>
            <w:r>
              <w:fldChar w:fldCharType="end"/>
            </w:r>
          </w:hyperlink>
          <w:r>
            <w:fldChar w:fldCharType="end"/>
          </w:r>
        </w:p>
      </w:sdtContent>
    </w:sdt>
    <w:p w14:paraId="0CF3A136" w14:textId="321212AF" w:rsidR="007F6FEC" w:rsidRPr="000C3EA0" w:rsidRDefault="007F6FEC" w:rsidP="000C3EA0">
      <w:pPr>
        <w:pStyle w:val="CM95"/>
        <w:rPr>
          <w:rFonts w:ascii="Arial" w:hAnsi="Arial" w:cs="Arial"/>
          <w:b/>
          <w:bCs/>
          <w:color w:val="000000" w:themeColor="text1"/>
          <w:sz w:val="18"/>
          <w:szCs w:val="18"/>
        </w:rPr>
      </w:pPr>
    </w:p>
    <w:p w14:paraId="22C2F995" w14:textId="7D748994" w:rsidR="27963C24" w:rsidRDefault="27963C24">
      <w:r>
        <w:br w:type="page"/>
      </w:r>
    </w:p>
    <w:p w14:paraId="511A03F7" w14:textId="04F9DA42" w:rsidR="4A9D842C" w:rsidRDefault="4A9D842C" w:rsidP="0C2082A0">
      <w:pPr>
        <w:pStyle w:val="Heading1"/>
        <w:jc w:val="center"/>
        <w:rPr>
          <w:rFonts w:ascii="Arial" w:eastAsia="Arial" w:hAnsi="Arial" w:cs="Arial"/>
          <w:color w:val="auto"/>
          <w:sz w:val="24"/>
          <w:szCs w:val="24"/>
        </w:rPr>
      </w:pPr>
      <w:bookmarkStart w:id="0" w:name="_Toc1292579314"/>
      <w:bookmarkStart w:id="1" w:name="_Toc31910596"/>
      <w:bookmarkStart w:id="2" w:name="_Toc420792122"/>
      <w:bookmarkStart w:id="3" w:name="_Toc285545653"/>
      <w:bookmarkStart w:id="4" w:name="_Toc1328173066"/>
      <w:bookmarkStart w:id="5" w:name="_Toc1313954814"/>
      <w:bookmarkStart w:id="6" w:name="_Toc1065225781"/>
      <w:bookmarkStart w:id="7" w:name="_Toc1331043081"/>
      <w:bookmarkStart w:id="8" w:name="_Toc551238109"/>
      <w:bookmarkStart w:id="9" w:name="_Toc995513306"/>
      <w:r w:rsidRPr="0C2082A0">
        <w:rPr>
          <w:rFonts w:ascii="Arial" w:eastAsia="Arial" w:hAnsi="Arial" w:cs="Arial"/>
          <w:color w:val="auto"/>
          <w:sz w:val="24"/>
          <w:szCs w:val="24"/>
        </w:rPr>
        <w:lastRenderedPageBreak/>
        <w:t>Reflective</w:t>
      </w:r>
      <w:r w:rsidR="57DCB005" w:rsidRPr="0C2082A0">
        <w:rPr>
          <w:rFonts w:ascii="Arial" w:eastAsia="Arial" w:hAnsi="Arial" w:cs="Arial"/>
          <w:color w:val="auto"/>
          <w:sz w:val="24"/>
          <w:szCs w:val="24"/>
        </w:rPr>
        <w:t xml:space="preserve"> Essay</w:t>
      </w:r>
      <w:bookmarkEnd w:id="0"/>
      <w:bookmarkEnd w:id="1"/>
      <w:bookmarkEnd w:id="2"/>
      <w:bookmarkEnd w:id="3"/>
      <w:bookmarkEnd w:id="4"/>
      <w:bookmarkEnd w:id="5"/>
      <w:bookmarkEnd w:id="6"/>
      <w:bookmarkEnd w:id="7"/>
      <w:bookmarkEnd w:id="8"/>
      <w:bookmarkEnd w:id="9"/>
    </w:p>
    <w:p w14:paraId="4EB1E198" w14:textId="3A2ACA3F" w:rsidR="44759481" w:rsidRDefault="44759481" w:rsidP="0C2082A0">
      <w:pPr>
        <w:spacing w:line="480" w:lineRule="auto"/>
        <w:jc w:val="both"/>
        <w:rPr>
          <w:rFonts w:ascii="Arial" w:eastAsia="Arial" w:hAnsi="Arial" w:cs="Arial"/>
          <w:color w:val="000000" w:themeColor="text1"/>
        </w:rPr>
      </w:pPr>
      <w:r w:rsidRPr="0C2082A0">
        <w:rPr>
          <w:rFonts w:ascii="Arial" w:eastAsia="Arial" w:hAnsi="Arial" w:cs="Arial"/>
          <w:color w:val="000000" w:themeColor="text1"/>
        </w:rPr>
        <w:t>Introduction</w:t>
      </w:r>
    </w:p>
    <w:p w14:paraId="186C58D8" w14:textId="7EBC26CA" w:rsidR="44759481" w:rsidRDefault="44759481" w:rsidP="0C2082A0">
      <w:pPr>
        <w:spacing w:line="480" w:lineRule="auto"/>
        <w:jc w:val="both"/>
        <w:rPr>
          <w:rFonts w:ascii="Arial" w:eastAsia="Arial" w:hAnsi="Arial" w:cs="Arial"/>
          <w:color w:val="000000" w:themeColor="text1"/>
        </w:rPr>
      </w:pPr>
      <w:r w:rsidRPr="0C2082A0">
        <w:rPr>
          <w:rFonts w:ascii="Arial" w:eastAsia="Arial" w:hAnsi="Arial" w:cs="Arial"/>
          <w:color w:val="000000" w:themeColor="text1"/>
        </w:rPr>
        <w:t xml:space="preserve">This essay analyses the development of my work </w:t>
      </w:r>
      <w:r w:rsidRPr="0C2082A0">
        <w:rPr>
          <w:rFonts w:ascii="Arial" w:eastAsia="Arial" w:hAnsi="Arial" w:cs="Arial"/>
          <w:i/>
          <w:iCs/>
          <w:color w:val="000000" w:themeColor="text1"/>
        </w:rPr>
        <w:t>Reclaiming the Self,</w:t>
      </w:r>
      <w:r w:rsidRPr="0C2082A0">
        <w:rPr>
          <w:rFonts w:ascii="Arial" w:eastAsia="Arial" w:hAnsi="Arial" w:cs="Arial"/>
          <w:color w:val="000000" w:themeColor="text1"/>
        </w:rPr>
        <w:t xml:space="preserve"> created in</w:t>
      </w:r>
      <w:r w:rsidRPr="0C2082A0">
        <w:rPr>
          <w:rFonts w:ascii="Arial" w:eastAsia="Arial" w:hAnsi="Arial" w:cs="Arial"/>
          <w:i/>
          <w:iCs/>
          <w:color w:val="000000" w:themeColor="text1"/>
        </w:rPr>
        <w:t xml:space="preserve"> </w:t>
      </w:r>
      <w:r w:rsidRPr="0C2082A0">
        <w:rPr>
          <w:rFonts w:ascii="Arial" w:eastAsia="Arial" w:hAnsi="Arial" w:cs="Arial"/>
          <w:color w:val="000000" w:themeColor="text1"/>
        </w:rPr>
        <w:t>response to the question:</w:t>
      </w:r>
      <w:r w:rsidRPr="0C2082A0">
        <w:rPr>
          <w:rFonts w:ascii="Arial" w:eastAsia="Arial" w:hAnsi="Arial" w:cs="Arial"/>
          <w:i/>
          <w:iCs/>
          <w:color w:val="000000" w:themeColor="text1"/>
        </w:rPr>
        <w:t xml:space="preserve"> How can dance support female survivors of abuse? </w:t>
      </w:r>
      <w:r w:rsidRPr="0C2082A0">
        <w:rPr>
          <w:rFonts w:ascii="Arial" w:eastAsia="Arial" w:hAnsi="Arial" w:cs="Arial"/>
          <w:color w:val="000000" w:themeColor="text1"/>
        </w:rPr>
        <w:t>While the foundation of the work engages with experiences of relational harm, the primary focus of this investigation establishes dance as a methodological practice, through which experiences can</w:t>
      </w:r>
      <w:r w:rsidR="483439B7" w:rsidRPr="0C2082A0">
        <w:rPr>
          <w:rFonts w:ascii="Arial" w:eastAsia="Arial" w:hAnsi="Arial" w:cs="Arial"/>
          <w:color w:val="000000" w:themeColor="text1"/>
        </w:rPr>
        <w:t xml:space="preserve"> </w:t>
      </w:r>
      <w:r w:rsidRPr="0C2082A0">
        <w:rPr>
          <w:rFonts w:ascii="Arial" w:eastAsia="Arial" w:hAnsi="Arial" w:cs="Arial"/>
          <w:color w:val="000000" w:themeColor="text1"/>
        </w:rPr>
        <w:t xml:space="preserve">be </w:t>
      </w:r>
      <w:r w:rsidR="41100093" w:rsidRPr="0C2082A0">
        <w:rPr>
          <w:rFonts w:ascii="Arial" w:eastAsia="Arial" w:hAnsi="Arial" w:cs="Arial"/>
          <w:color w:val="000000" w:themeColor="text1"/>
        </w:rPr>
        <w:t>communicated and</w:t>
      </w:r>
      <w:r w:rsidRPr="0C2082A0">
        <w:rPr>
          <w:rFonts w:ascii="Arial" w:eastAsia="Arial" w:hAnsi="Arial" w:cs="Arial"/>
          <w:color w:val="000000" w:themeColor="text1"/>
        </w:rPr>
        <w:t xml:space="preserve"> explored. The choreographic process prioritises movement as a form of knowledge, as opposed to the narrative of retelling abuse, which enables complex emotional states to be accessed through the body. </w:t>
      </w:r>
    </w:p>
    <w:p w14:paraId="6C785DE8" w14:textId="5FF41941" w:rsidR="44759481" w:rsidRDefault="44759481" w:rsidP="0C2082A0">
      <w:pPr>
        <w:spacing w:line="480" w:lineRule="auto"/>
        <w:jc w:val="both"/>
        <w:rPr>
          <w:rFonts w:ascii="Arial" w:eastAsia="Arial" w:hAnsi="Arial" w:cs="Arial"/>
          <w:color w:val="000000" w:themeColor="text1"/>
        </w:rPr>
      </w:pPr>
      <w:r w:rsidRPr="0C2082A0">
        <w:rPr>
          <w:rFonts w:ascii="Arial" w:eastAsia="Arial" w:hAnsi="Arial" w:cs="Arial"/>
          <w:color w:val="000000" w:themeColor="text1"/>
        </w:rPr>
        <w:t xml:space="preserve">The work adopts a practice-as-research framework, where choreography functions as both creative output and investigative method. Knowledge is developed through embodied practice, allowing movement to act as a place of enquiry and representation. Aligning with wider understandings of embodied practice, where physical expression can communicate internal experience beyond the limitations of verbal language. </w:t>
      </w:r>
    </w:p>
    <w:p w14:paraId="7F1DF251" w14:textId="16B484AC" w:rsidR="44759481" w:rsidRDefault="44759481" w:rsidP="0C2082A0">
      <w:pPr>
        <w:spacing w:line="480" w:lineRule="auto"/>
        <w:jc w:val="both"/>
        <w:rPr>
          <w:rFonts w:ascii="Arial" w:eastAsia="Arial" w:hAnsi="Arial" w:cs="Arial"/>
          <w:color w:val="000000" w:themeColor="text1"/>
        </w:rPr>
      </w:pPr>
      <w:r w:rsidRPr="0C2082A0">
        <w:rPr>
          <w:rFonts w:ascii="Arial" w:eastAsia="Arial" w:hAnsi="Arial" w:cs="Arial"/>
          <w:color w:val="000000" w:themeColor="text1"/>
        </w:rPr>
        <w:t xml:space="preserve">In response to the sensitivity of the subject matter, the work avoids autobiographical disclosure, instead focusing on how movement can convey emotional states and processes of recovery without requiring personal narrative. This decision reflects both ethical considerations and choreographic intention, emphasising that dance can communicate experience through physicality. The process centres on embodiment, allowing dancers to engage through physical exploration rather than verbal explanation. </w:t>
      </w:r>
    </w:p>
    <w:p w14:paraId="70FEB22E" w14:textId="7011B0B0" w:rsidR="44759481" w:rsidRDefault="44759481" w:rsidP="0C2082A0">
      <w:pPr>
        <w:spacing w:line="480" w:lineRule="auto"/>
        <w:jc w:val="both"/>
        <w:rPr>
          <w:rFonts w:ascii="Arial" w:eastAsia="Arial" w:hAnsi="Arial" w:cs="Arial"/>
          <w:color w:val="000000" w:themeColor="text1"/>
        </w:rPr>
      </w:pPr>
      <w:r w:rsidRPr="0C2082A0">
        <w:rPr>
          <w:rFonts w:ascii="Arial" w:eastAsia="Arial" w:hAnsi="Arial" w:cs="Arial"/>
          <w:color w:val="000000" w:themeColor="text1"/>
        </w:rPr>
        <w:t xml:space="preserve">This essay will critically reflect on the overall process, analysing how movement was used to develop the progression of the work. Exploring the ways in which embodied practice enabled the communication of complex emotional states and evaluate how the creative process supported emotional awareness, regulation, and expression </w:t>
      </w:r>
      <w:r w:rsidRPr="0C2082A0">
        <w:rPr>
          <w:rFonts w:ascii="Arial" w:eastAsia="Arial" w:hAnsi="Arial" w:cs="Arial"/>
          <w:color w:val="000000" w:themeColor="text1"/>
        </w:rPr>
        <w:lastRenderedPageBreak/>
        <w:t>within a dance context. The essay aims to demonstrate how dance can function as a responsive practice for exploring human experience</w:t>
      </w:r>
      <w:r w:rsidR="7A805E67" w:rsidRPr="0C2082A0">
        <w:rPr>
          <w:rFonts w:ascii="Arial" w:eastAsia="Arial" w:hAnsi="Arial" w:cs="Arial"/>
          <w:color w:val="000000" w:themeColor="text1"/>
        </w:rPr>
        <w:t xml:space="preserve">. </w:t>
      </w:r>
    </w:p>
    <w:p w14:paraId="68FD7AE0" w14:textId="40365F6C" w:rsidR="0C2082A0" w:rsidRDefault="0C2082A0" w:rsidP="0C2082A0">
      <w:pPr>
        <w:spacing w:line="480" w:lineRule="auto"/>
        <w:jc w:val="both"/>
        <w:rPr>
          <w:rFonts w:ascii="Arial" w:eastAsia="Arial" w:hAnsi="Arial" w:cs="Arial"/>
          <w:color w:val="000000" w:themeColor="text1"/>
        </w:rPr>
      </w:pPr>
    </w:p>
    <w:p w14:paraId="554929E4" w14:textId="0EC3CD32" w:rsidR="7A805E67" w:rsidRDefault="7A805E67" w:rsidP="0C2082A0">
      <w:pPr>
        <w:spacing w:line="480" w:lineRule="auto"/>
        <w:jc w:val="both"/>
        <w:rPr>
          <w:rFonts w:ascii="Arial" w:eastAsia="Arial" w:hAnsi="Arial" w:cs="Arial"/>
          <w:color w:val="000000" w:themeColor="text1"/>
        </w:rPr>
      </w:pPr>
      <w:r w:rsidRPr="0C2082A0">
        <w:rPr>
          <w:rFonts w:ascii="Arial" w:eastAsia="Arial" w:hAnsi="Arial" w:cs="Arial"/>
          <w:color w:val="000000" w:themeColor="text1"/>
        </w:rPr>
        <w:t>Choreographic Process</w:t>
      </w:r>
    </w:p>
    <w:p w14:paraId="71E41EA4" w14:textId="5005211D" w:rsidR="44759481" w:rsidRDefault="44759481" w:rsidP="0C2082A0">
      <w:pPr>
        <w:spacing w:line="480" w:lineRule="auto"/>
        <w:jc w:val="both"/>
        <w:rPr>
          <w:rFonts w:ascii="Arial" w:eastAsia="Arial" w:hAnsi="Arial" w:cs="Arial"/>
          <w:color w:val="000000" w:themeColor="text1"/>
        </w:rPr>
      </w:pPr>
      <w:r w:rsidRPr="0C2082A0">
        <w:rPr>
          <w:rFonts w:ascii="Arial" w:eastAsia="Arial" w:hAnsi="Arial" w:cs="Arial"/>
          <w:color w:val="000000" w:themeColor="text1"/>
        </w:rPr>
        <w:t xml:space="preserve">This work was developed through a practice-as-research methodology, positioning choreography as both the method and outcome of investigation. This approach was intentionally selected to align with my research question, as it allowed dance to become the primary means of exploring how movement can support female survivors of abuse. </w:t>
      </w:r>
    </w:p>
    <w:p w14:paraId="18038971" w14:textId="60728D32" w:rsidR="44759481" w:rsidRDefault="44759481" w:rsidP="0C2082A0">
      <w:pPr>
        <w:spacing w:line="480" w:lineRule="auto"/>
        <w:jc w:val="both"/>
        <w:rPr>
          <w:rFonts w:ascii="Arial" w:eastAsia="Arial" w:hAnsi="Arial" w:cs="Arial"/>
          <w:color w:val="000000" w:themeColor="text1"/>
        </w:rPr>
      </w:pPr>
      <w:r w:rsidRPr="0C2082A0">
        <w:rPr>
          <w:rFonts w:ascii="Arial" w:eastAsia="Arial" w:hAnsi="Arial" w:cs="Arial"/>
          <w:color w:val="000000" w:themeColor="text1"/>
        </w:rPr>
        <w:t xml:space="preserve">Rather than entering the studio with predetermined material, movement was generated through embodied exploration and improvisation, enabling dancers to respond physically to thematic prompts. This approach reflects Schön’s concept of </w:t>
      </w:r>
      <w:r w:rsidRPr="0C2082A0">
        <w:rPr>
          <w:rFonts w:ascii="Arial" w:eastAsia="Arial" w:hAnsi="Arial" w:cs="Arial"/>
          <w:i/>
          <w:iCs/>
          <w:color w:val="000000" w:themeColor="text1"/>
        </w:rPr>
        <w:t>reflection-in-action</w:t>
      </w:r>
      <w:r w:rsidRPr="0C2082A0">
        <w:rPr>
          <w:rFonts w:ascii="Arial" w:eastAsia="Arial" w:hAnsi="Arial" w:cs="Arial"/>
          <w:color w:val="000000" w:themeColor="text1"/>
        </w:rPr>
        <w:t xml:space="preserve">, which describes the process of thinking, adapting, and making decisions in real time within practice, rather than relying on pre-planned knowledge. By working in this way, choreography remained responsive rather than fixed, allowing me to continuously assess what was emerging in the space and adjust accordingly. For example, when certain motifs did not effectively communicate the intended emotional quality, they were immediately adapted or reworked through further exploration, demonstrating an ongoing cycle of action and adjustment. </w:t>
      </w:r>
      <w:r w:rsidR="0C1FC955" w:rsidRPr="0C2082A0">
        <w:rPr>
          <w:rFonts w:ascii="Arial" w:eastAsia="Arial" w:hAnsi="Arial" w:cs="Arial"/>
          <w:color w:val="000000" w:themeColor="text1"/>
        </w:rPr>
        <w:t>(</w:t>
      </w:r>
      <w:r w:rsidRPr="0C2082A0">
        <w:rPr>
          <w:rFonts w:ascii="Arial" w:eastAsia="Arial" w:hAnsi="Arial" w:cs="Arial"/>
          <w:color w:val="000000" w:themeColor="text1"/>
        </w:rPr>
        <w:t>Gordon, L. 2025)</w:t>
      </w:r>
    </w:p>
    <w:p w14:paraId="3E8129AB" w14:textId="26881C4B"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This process also drew on Schön’s idea that professional knowledge is developed through experience and refined through reflection, bridging the gap between theory and practice</w:t>
      </w:r>
      <w:r w:rsidR="1756F581" w:rsidRPr="0C2082A0">
        <w:rPr>
          <w:rFonts w:ascii="Arial" w:eastAsia="Arial" w:hAnsi="Arial" w:cs="Arial"/>
          <w:color w:val="000000" w:themeColor="text1"/>
        </w:rPr>
        <w:t xml:space="preserve"> (</w:t>
      </w:r>
      <w:r w:rsidRPr="0C2082A0">
        <w:rPr>
          <w:rFonts w:ascii="Arial" w:eastAsia="Arial" w:hAnsi="Arial" w:cs="Arial"/>
          <w:color w:val="000000" w:themeColor="text1"/>
        </w:rPr>
        <w:t>Schön,</w:t>
      </w:r>
      <w:r w:rsidR="4FE9F4D9" w:rsidRPr="0C2082A0">
        <w:rPr>
          <w:rFonts w:ascii="Arial" w:eastAsia="Arial" w:hAnsi="Arial" w:cs="Arial"/>
          <w:color w:val="000000" w:themeColor="text1"/>
        </w:rPr>
        <w:t xml:space="preserve"> </w:t>
      </w:r>
      <w:r w:rsidRPr="0C2082A0">
        <w:rPr>
          <w:rFonts w:ascii="Arial" w:eastAsia="Arial" w:hAnsi="Arial" w:cs="Arial"/>
          <w:color w:val="000000" w:themeColor="text1"/>
        </w:rPr>
        <w:t xml:space="preserve">1983). Rather than applying theory onto movement, understanding was constructed through doing, with each rehearsal functioning as a </w:t>
      </w:r>
      <w:r w:rsidRPr="0C2082A0">
        <w:rPr>
          <w:rFonts w:ascii="Arial" w:eastAsia="Arial" w:hAnsi="Arial" w:cs="Arial"/>
          <w:color w:val="000000" w:themeColor="text1"/>
        </w:rPr>
        <w:lastRenderedPageBreak/>
        <w:t xml:space="preserve">site of enquiry. Allowing the choreography to evolve in response to what felt physically and emotionally authentic for both myself and the dancers. </w:t>
      </w:r>
    </w:p>
    <w:p w14:paraId="2AB86660" w14:textId="236BD49F"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This decision was particularly important due to the sensitivity of the theme. If choreography had been imposed, it would have contradicted the intention of supporting dancers through agency and autonomy. Instead, movement was discovered rather than dictated, allowing dancers to engage through sensation rather than explanation. This ensured that the work remained grounded in bodily experience, reinforcing the idea that dance can function as a non-verbal form of communication for complex emotional states.</w:t>
      </w:r>
    </w:p>
    <w:p w14:paraId="1422258F" w14:textId="24809B37"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Evaluating this approach, I found that working through reflection-in-action enhanced both the depth and integrity of the work. It enabled me to move away from instinct and instead make informed choreographic decisions, ensuring that the material remained grounded in embodied experience. This directly supported my research question, as it demonstrated that dance could function as a reflective practice, capable of exploring complex emotional experiences through the body without reliance on fixed narrative structures.</w:t>
      </w:r>
    </w:p>
    <w:p w14:paraId="4A51D444" w14:textId="4D60A703" w:rsidR="0C2082A0" w:rsidRDefault="0C2082A0" w:rsidP="0C2082A0">
      <w:pPr>
        <w:spacing w:before="240" w:after="240" w:line="480" w:lineRule="auto"/>
        <w:jc w:val="both"/>
        <w:rPr>
          <w:rFonts w:ascii="Arial" w:eastAsia="Arial" w:hAnsi="Arial" w:cs="Arial"/>
          <w:color w:val="000000" w:themeColor="text1"/>
        </w:rPr>
      </w:pPr>
    </w:p>
    <w:p w14:paraId="5D7900FC" w14:textId="03083C9A"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Movement Lenses and Embodied Exploration</w:t>
      </w:r>
    </w:p>
    <w:p w14:paraId="339BB6F6" w14:textId="5E39B5A0"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 xml:space="preserve">Movement lenses were implemented as a key methodological tool to translate research into physical exploration. Each lens—emotional abuse, domestic abuse, coercive control, and sexual violence—was informed by existing research into patterns of relational harm, and designed to guide movement qualities such as erosion, impact, </w:t>
      </w:r>
      <w:r w:rsidRPr="0C2082A0">
        <w:rPr>
          <w:rFonts w:ascii="Arial" w:eastAsia="Arial" w:hAnsi="Arial" w:cs="Arial"/>
          <w:color w:val="000000" w:themeColor="text1"/>
        </w:rPr>
        <w:lastRenderedPageBreak/>
        <w:t>restriction, and fragmentation (Women’s Aid, 2025</w:t>
      </w:r>
      <w:r w:rsidR="0184782D" w:rsidRPr="0C2082A0">
        <w:rPr>
          <w:rFonts w:ascii="Arial" w:eastAsia="Arial" w:hAnsi="Arial" w:cs="Arial"/>
          <w:color w:val="000000" w:themeColor="text1"/>
        </w:rPr>
        <w:t>)</w:t>
      </w:r>
      <w:r w:rsidRPr="0C2082A0">
        <w:rPr>
          <w:rFonts w:ascii="Arial" w:eastAsia="Arial" w:hAnsi="Arial" w:cs="Arial"/>
          <w:color w:val="000000" w:themeColor="text1"/>
        </w:rPr>
        <w:t xml:space="preserve"> </w:t>
      </w:r>
      <w:r w:rsidR="1D90F415" w:rsidRPr="0C2082A0">
        <w:rPr>
          <w:rFonts w:ascii="Arial" w:eastAsia="Arial" w:hAnsi="Arial" w:cs="Arial"/>
          <w:color w:val="000000" w:themeColor="text1"/>
        </w:rPr>
        <w:t>(</w:t>
      </w:r>
      <w:r w:rsidRPr="0C2082A0">
        <w:rPr>
          <w:rFonts w:ascii="Arial" w:eastAsia="Arial" w:hAnsi="Arial" w:cs="Arial"/>
          <w:color w:val="000000" w:themeColor="text1"/>
        </w:rPr>
        <w:t>Rape Crisis England &amp; Wales, 2024).</w:t>
      </w:r>
    </w:p>
    <w:p w14:paraId="157AD96D" w14:textId="13175038"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Rather than directly representing these forms of abuse, the lenses functioned as prompts, allowing dancers to explore their physical and emotional implications through embodied practice. This approach ensured that movement remained rooted in research, while avoiding the need for autobiographical disclosure.</w:t>
      </w:r>
    </w:p>
    <w:p w14:paraId="3F49AB41" w14:textId="347ACE00"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For example, coercive control was explored through restricted pathways and redirected movement, physically embodying loss of autonomy. (Women's Aid, 2025</w:t>
      </w:r>
      <w:r w:rsidR="33A993FB" w:rsidRPr="0C2082A0">
        <w:rPr>
          <w:rFonts w:ascii="Arial" w:eastAsia="Arial" w:hAnsi="Arial" w:cs="Arial"/>
          <w:color w:val="000000" w:themeColor="text1"/>
        </w:rPr>
        <w:t>)</w:t>
      </w:r>
      <w:r w:rsidRPr="0C2082A0">
        <w:rPr>
          <w:rFonts w:ascii="Arial" w:eastAsia="Arial" w:hAnsi="Arial" w:cs="Arial"/>
          <w:color w:val="000000" w:themeColor="text1"/>
        </w:rPr>
        <w:t xml:space="preserve"> Similarly, emotional abuse was explored through repetitive and diminishing gestures, reflecting erosion over time. </w:t>
      </w:r>
      <w:r w:rsidR="3B1B42DF" w:rsidRPr="0C2082A0">
        <w:rPr>
          <w:rFonts w:ascii="Arial" w:eastAsia="Arial" w:hAnsi="Arial" w:cs="Arial"/>
          <w:color w:val="000000" w:themeColor="text1"/>
        </w:rPr>
        <w:t>(</w:t>
      </w:r>
      <w:r w:rsidRPr="0C2082A0">
        <w:rPr>
          <w:rFonts w:ascii="Arial" w:eastAsia="Arial" w:hAnsi="Arial" w:cs="Arial"/>
          <w:color w:val="000000" w:themeColor="text1"/>
        </w:rPr>
        <w:t>Refuge 202</w:t>
      </w:r>
      <w:r w:rsidR="1A7F6EC4" w:rsidRPr="0C2082A0">
        <w:rPr>
          <w:rFonts w:ascii="Arial" w:eastAsia="Arial" w:hAnsi="Arial" w:cs="Arial"/>
          <w:color w:val="000000" w:themeColor="text1"/>
        </w:rPr>
        <w:t>4)</w:t>
      </w:r>
      <w:r w:rsidRPr="0C2082A0">
        <w:rPr>
          <w:rFonts w:ascii="Arial" w:eastAsia="Arial" w:hAnsi="Arial" w:cs="Arial"/>
          <w:color w:val="000000" w:themeColor="text1"/>
        </w:rPr>
        <w:t>. These choices directly informed by research into how these forms of abuse affect behaviour and perception.</w:t>
      </w:r>
    </w:p>
    <w:p w14:paraId="1E37D5AB" w14:textId="2A72638F"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Evaluating this process, I found that removing verbal expectation created a safer and more productive environment. Dancers engaged more fully, producing movement that felt genuine and internally motivated, rather than shaped by external pressure to “perform” a concept. This reinforced the effectiveness of movement lenses as both a research tool and choreographic method, supporting my research aim by demonstrating that dance can communicate lived experiences without requiring verbal articulation.</w:t>
      </w:r>
    </w:p>
    <w:p w14:paraId="74042170" w14:textId="448A4BF7" w:rsidR="0C2082A0" w:rsidRDefault="0C2082A0" w:rsidP="0C2082A0">
      <w:pPr>
        <w:spacing w:before="240" w:after="240" w:line="480" w:lineRule="auto"/>
        <w:jc w:val="both"/>
        <w:rPr>
          <w:rFonts w:ascii="Arial" w:eastAsia="Arial" w:hAnsi="Arial" w:cs="Arial"/>
          <w:color w:val="000000" w:themeColor="text1"/>
        </w:rPr>
      </w:pPr>
    </w:p>
    <w:p w14:paraId="2D9874AA" w14:textId="0F5CBED4"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Collaboration, Agency, and Ethical Practice</w:t>
      </w:r>
    </w:p>
    <w:p w14:paraId="7C814747" w14:textId="21666A88"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 xml:space="preserve">Collaboration was central to my choreographic approach, as it directly supported both the ethical framework and my research question. By giving dancers autonomy over </w:t>
      </w:r>
      <w:r w:rsidRPr="0C2082A0">
        <w:rPr>
          <w:rFonts w:ascii="Arial" w:eastAsia="Arial" w:hAnsi="Arial" w:cs="Arial"/>
          <w:color w:val="000000" w:themeColor="text1"/>
        </w:rPr>
        <w:lastRenderedPageBreak/>
        <w:t>their solos—including movement vocabulary, music choice, and ribbon symbolism—I ensured that each performer could engage with the material in a way that felt personally meaningful, without requiring disclosure.</w:t>
      </w:r>
    </w:p>
    <w:p w14:paraId="6946AA98" w14:textId="30AA3F91"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 xml:space="preserve">This decision is supported by Brookfield’s emphasis on incorporating multiple perspectives within practice, recognising that knowledge is not held by the facilitator but shared among participants. By allowing dancers to contribute creatively, the work became more authentic, as each solo reflected a distinct physical and emotional quality. </w:t>
      </w:r>
      <w:r w:rsidR="2D7D04B5" w:rsidRPr="0C2082A0">
        <w:rPr>
          <w:rFonts w:ascii="Arial" w:eastAsia="Arial" w:hAnsi="Arial" w:cs="Arial"/>
          <w:color w:val="000000" w:themeColor="text1"/>
        </w:rPr>
        <w:t>(</w:t>
      </w:r>
      <w:r w:rsidRPr="0C2082A0">
        <w:rPr>
          <w:rFonts w:ascii="Arial" w:eastAsia="Arial" w:hAnsi="Arial" w:cs="Arial"/>
          <w:color w:val="000000" w:themeColor="text1"/>
        </w:rPr>
        <w:t>Brookfield, 1995)</w:t>
      </w:r>
    </w:p>
    <w:p w14:paraId="0048098B" w14:textId="289EA561"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However, this approach also required careful negotiation. Balancing individual agency with overall cohesion presented challenges, particularly when dancers interpreted themes differently. To address this, I implemented clearer structural guidance while still maintaining creative freedom, ensuring that the piece remained unified without restricting expression.</w:t>
      </w:r>
    </w:p>
    <w:p w14:paraId="1E8B668C" w14:textId="321A8E09"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 xml:space="preserve">To further support ethical practice within the rehearsal process, I created a booklet for my dancers, designed to communicate my creative vision while also providing space for personal reflection. These included prompts encouraging dancers to acknowledge and document emotional responses that arose during rehearsal, ensuring no individual left the studio carrying unresolved feelings. This approach aligns with trauma-informed practice, which emphasises safety, choice, and emotional regulation within creative environments (SAMHSA, 2014). Incorporating structured reflection also reflects </w:t>
      </w:r>
      <w:r w:rsidR="67BCEB39" w:rsidRPr="0C2082A0">
        <w:rPr>
          <w:rFonts w:ascii="Arial" w:eastAsia="Arial" w:hAnsi="Arial" w:cs="Arial"/>
          <w:color w:val="000000" w:themeColor="text1"/>
        </w:rPr>
        <w:t>(</w:t>
      </w:r>
      <w:r w:rsidRPr="0C2082A0">
        <w:rPr>
          <w:rFonts w:ascii="Arial" w:eastAsia="Arial" w:hAnsi="Arial" w:cs="Arial"/>
          <w:color w:val="000000" w:themeColor="text1"/>
        </w:rPr>
        <w:t>Moon</w:t>
      </w:r>
      <w:r w:rsidR="23F0BA82" w:rsidRPr="0C2082A0">
        <w:rPr>
          <w:rFonts w:ascii="Arial" w:eastAsia="Arial" w:hAnsi="Arial" w:cs="Arial"/>
          <w:color w:val="000000" w:themeColor="text1"/>
        </w:rPr>
        <w:t xml:space="preserve"> </w:t>
      </w:r>
      <w:r w:rsidRPr="0C2082A0">
        <w:rPr>
          <w:rFonts w:ascii="Arial" w:eastAsia="Arial" w:hAnsi="Arial" w:cs="Arial"/>
          <w:color w:val="000000" w:themeColor="text1"/>
        </w:rPr>
        <w:t xml:space="preserve">2004) assertion that processing experience supports deeper understanding and emotional integration. Within an embodied practice such as dance, where expression may occur non-verbally, this combination of movement and reflection enabled dancers </w:t>
      </w:r>
      <w:r w:rsidRPr="0C2082A0">
        <w:rPr>
          <w:rFonts w:ascii="Arial" w:eastAsia="Arial" w:hAnsi="Arial" w:cs="Arial"/>
          <w:color w:val="000000" w:themeColor="text1"/>
        </w:rPr>
        <w:lastRenderedPageBreak/>
        <w:t>to externalise and contain their experiences in a supported way. Consequently, the booklet functioned as both a creative guide and ethical tool, reinforcing care, agency, and emotional awareness throughout the process (American Dance Therapy Association, 2020).</w:t>
      </w:r>
    </w:p>
    <w:p w14:paraId="53AAC4D6" w14:textId="6862C14A"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 xml:space="preserve">Additionally, I prioritised creating a safe studio environment, actively rejecting traditional authoritarian teaching models. </w:t>
      </w:r>
      <w:r w:rsidR="6E7B418F" w:rsidRPr="0C2082A0">
        <w:rPr>
          <w:rFonts w:ascii="Arial" w:eastAsia="Arial" w:hAnsi="Arial" w:cs="Arial"/>
          <w:color w:val="000000" w:themeColor="text1"/>
        </w:rPr>
        <w:t>(</w:t>
      </w:r>
      <w:r w:rsidRPr="0C2082A0">
        <w:rPr>
          <w:rFonts w:ascii="Arial" w:eastAsia="Arial" w:hAnsi="Arial" w:cs="Arial"/>
          <w:color w:val="000000" w:themeColor="text1"/>
        </w:rPr>
        <w:t>Dance Data Project</w:t>
      </w:r>
      <w:r w:rsidR="2E7FF56D" w:rsidRPr="0C2082A0">
        <w:rPr>
          <w:rFonts w:ascii="Arial" w:eastAsia="Arial" w:hAnsi="Arial" w:cs="Arial"/>
          <w:color w:val="000000" w:themeColor="text1"/>
        </w:rPr>
        <w:t xml:space="preserve">, </w:t>
      </w:r>
      <w:r w:rsidRPr="0C2082A0">
        <w:rPr>
          <w:rFonts w:ascii="Arial" w:eastAsia="Arial" w:hAnsi="Arial" w:cs="Arial"/>
          <w:color w:val="000000" w:themeColor="text1"/>
        </w:rPr>
        <w:t xml:space="preserve">2024) suggests that hierarchical approaches can create fear and reduce creative risk-taking, whereas inclusive environments promote autonomy and growth. By encouraging consent, open discussion, and shared ownership, the studio became a space where dancers could engage safely with challenging material.  </w:t>
      </w:r>
    </w:p>
    <w:p w14:paraId="0268BADF" w14:textId="4D661FEE"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Evaluating this process, I recognised that ethical practice was embedded within the choreography itself. The way the work was created was as significant as the final performance, reinforcing that dance can support participants not only through what is performed, but through how the process is facilitated.</w:t>
      </w:r>
    </w:p>
    <w:p w14:paraId="7021D614" w14:textId="1629FBBD" w:rsidR="0C2082A0" w:rsidRDefault="0C2082A0" w:rsidP="0C2082A0">
      <w:pPr>
        <w:spacing w:before="240" w:after="240" w:line="480" w:lineRule="auto"/>
        <w:jc w:val="both"/>
        <w:rPr>
          <w:rFonts w:ascii="Arial" w:eastAsia="Arial" w:hAnsi="Arial" w:cs="Arial"/>
          <w:color w:val="000000" w:themeColor="text1"/>
        </w:rPr>
      </w:pPr>
    </w:p>
    <w:p w14:paraId="1FC154D1" w14:textId="4C0AB2DE"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Structure and Narrative Development</w:t>
      </w:r>
    </w:p>
    <w:p w14:paraId="2A427F36" w14:textId="1B015939"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The work was structured into four conceptual sections: Containment, Fracture, Reclaiming, and Integration. This structure was intentionally non-linear, avoiding explicit narrative in favour of an emotional progression that the audience could interpret individually.</w:t>
      </w:r>
    </w:p>
    <w:p w14:paraId="41F4D0EF" w14:textId="6B9EB461"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 xml:space="preserve">This decision was made to align with my research question, as imposing a fixed storyline could limit the universality of the work. Instead, structuring the piece around </w:t>
      </w:r>
      <w:r w:rsidRPr="0C2082A0">
        <w:rPr>
          <w:rFonts w:ascii="Arial" w:eastAsia="Arial" w:hAnsi="Arial" w:cs="Arial"/>
          <w:color w:val="000000" w:themeColor="text1"/>
        </w:rPr>
        <w:lastRenderedPageBreak/>
        <w:t>emotional states allowed the choreography to communicate experiences more broadly, making it accessible without requiring specific context.</w:t>
      </w:r>
    </w:p>
    <w:p w14:paraId="57B714D4" w14:textId="4091420C"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During the process, the structure evolved significantly through reflection-in-action. Initially, the piece began with isolated material; however, this lacked clarity. By introducing the duet earlier in the work, I was able to establish relational dynamics immediately, providing context for the rest of the piece.</w:t>
      </w:r>
    </w:p>
    <w:p w14:paraId="758A3987" w14:textId="12F14B94"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A particularly significant structural decision was removing myself from the solo section. This was both a practical and conceptual choice. Narratively, it allowed my character to experience the journey through others first, reinforcing themes of community and shared experience. From a choreographic perspective, it also allowed me to step into the role of director, observing the work from an audience perspective and making more informed decisions about clarity and impact.</w:t>
      </w:r>
    </w:p>
    <w:p w14:paraId="5BE1A5AD" w14:textId="4AFC1E01"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Evaluating this, I recognised that effective structure in dance relies not on storytelling, but on the organisation of movement, space, and relationships. These choices strengthened the clarity of the work while maintaining its conceptual nature.</w:t>
      </w:r>
    </w:p>
    <w:p w14:paraId="1DB5AF65" w14:textId="2A58E698" w:rsidR="0C2082A0" w:rsidRDefault="0C2082A0" w:rsidP="0C2082A0">
      <w:pPr>
        <w:spacing w:before="240" w:after="240" w:line="480" w:lineRule="auto"/>
        <w:jc w:val="both"/>
        <w:rPr>
          <w:rFonts w:ascii="Arial" w:eastAsia="Arial" w:hAnsi="Arial" w:cs="Arial"/>
          <w:color w:val="000000" w:themeColor="text1"/>
        </w:rPr>
      </w:pPr>
    </w:p>
    <w:p w14:paraId="2A2D0D54" w14:textId="35C072B5" w:rsidR="0C2082A0" w:rsidRDefault="0C2082A0" w:rsidP="0C2082A0">
      <w:pPr>
        <w:spacing w:before="240" w:after="240" w:line="480" w:lineRule="auto"/>
        <w:jc w:val="both"/>
        <w:rPr>
          <w:rFonts w:ascii="Arial" w:eastAsia="Arial" w:hAnsi="Arial" w:cs="Arial"/>
          <w:color w:val="000000" w:themeColor="text1"/>
        </w:rPr>
      </w:pPr>
    </w:p>
    <w:p w14:paraId="4B104897" w14:textId="7824C3B4" w:rsidR="0C2082A0" w:rsidRDefault="0C2082A0" w:rsidP="0C2082A0">
      <w:pPr>
        <w:spacing w:before="240" w:after="240" w:line="480" w:lineRule="auto"/>
        <w:jc w:val="both"/>
        <w:rPr>
          <w:rFonts w:ascii="Arial" w:eastAsia="Arial" w:hAnsi="Arial" w:cs="Arial"/>
          <w:color w:val="000000" w:themeColor="text1"/>
        </w:rPr>
      </w:pPr>
    </w:p>
    <w:p w14:paraId="45873EA2" w14:textId="27C90B85"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Rehearsal Process and Challenges</w:t>
      </w:r>
    </w:p>
    <w:p w14:paraId="7FC113CD" w14:textId="10A00AFF"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 xml:space="preserve">The challenges encountered during the rehearsal process required continuous adaptation, reinforcing the importance of reflective practice within choreography. </w:t>
      </w:r>
      <w:r w:rsidRPr="0C2082A0">
        <w:rPr>
          <w:rFonts w:ascii="Arial" w:eastAsia="Arial" w:hAnsi="Arial" w:cs="Arial"/>
          <w:color w:val="000000" w:themeColor="text1"/>
        </w:rPr>
        <w:lastRenderedPageBreak/>
        <w:t>Schön’s concept of reflection-in-action was particularly relevant, as decisions had to be made in real time in response to changing circumstances, including dancer absence, time constraints, and structural adjustments (Schön, 1983</w:t>
      </w:r>
      <w:r w:rsidR="47D05B91" w:rsidRPr="0C2082A0">
        <w:rPr>
          <w:rFonts w:ascii="Arial" w:eastAsia="Arial" w:hAnsi="Arial" w:cs="Arial"/>
          <w:color w:val="000000" w:themeColor="text1"/>
        </w:rPr>
        <w:t>)</w:t>
      </w:r>
      <w:r w:rsidRPr="0C2082A0">
        <w:rPr>
          <w:rFonts w:ascii="Arial" w:eastAsia="Arial" w:hAnsi="Arial" w:cs="Arial"/>
          <w:color w:val="000000" w:themeColor="text1"/>
        </w:rPr>
        <w:t xml:space="preserve"> </w:t>
      </w:r>
      <w:r w:rsidR="2C07442C" w:rsidRPr="0C2082A0">
        <w:rPr>
          <w:rFonts w:ascii="Arial" w:eastAsia="Arial" w:hAnsi="Arial" w:cs="Arial"/>
          <w:color w:val="000000" w:themeColor="text1"/>
        </w:rPr>
        <w:t xml:space="preserve">            (</w:t>
      </w:r>
      <w:r w:rsidRPr="0C2082A0">
        <w:rPr>
          <w:rFonts w:ascii="Arial" w:eastAsia="Arial" w:hAnsi="Arial" w:cs="Arial"/>
          <w:color w:val="000000" w:themeColor="text1"/>
        </w:rPr>
        <w:t>Gordon, 2025).</w:t>
      </w:r>
    </w:p>
    <w:p w14:paraId="401B7BB4" w14:textId="282E25B1"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 xml:space="preserve">Additionally, Brookfield’s notion of critical reflection, which involves examining practice through multiple perspectives, supported my approach to resolving interpersonal conflict within the group. By recognising both my own response and the wider impact on the rehearsal environment, I was able to make an informed decision that prioritised both the integrity of the work and the wellbeing of the dancers (Brookfield, 1995). These experiences highlight that overcoming obstacles within creative practice is not solely practical, but also reflective and relational, requiring adaptability, emotional awareness, and the ability to reassess decisions to support both the process and the performers. </w:t>
      </w:r>
    </w:p>
    <w:p w14:paraId="515BF00A" w14:textId="451864B6"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The removal of this dancer required significant restructuring. The original solo was adapted into a trio, which ultimately strengthened the work. The trio was recontextualised to represent collective empowerment, aligning with the symbolism of the white ribbon and reinforcing the theme of unity. This demonstrates the importance of adaptability within creative practice, as reflective processes support the ability to reassess situations and implement alternative strategies when initial plans are disrupted (Gordon, 2025).</w:t>
      </w:r>
    </w:p>
    <w:p w14:paraId="1A98E7DD" w14:textId="5665E750"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 xml:space="preserve">Evaluating this experience, I recognised that challenges were not purely obstacles, but opportunities for development. They required </w:t>
      </w:r>
      <w:r w:rsidRPr="0C2082A0">
        <w:rPr>
          <w:rFonts w:ascii="Arial" w:eastAsia="Arial" w:hAnsi="Arial" w:cs="Arial"/>
          <w:b/>
          <w:bCs/>
          <w:color w:val="000000" w:themeColor="text1"/>
        </w:rPr>
        <w:t>a</w:t>
      </w:r>
      <w:r w:rsidRPr="0C2082A0">
        <w:rPr>
          <w:rFonts w:ascii="Arial" w:eastAsia="Arial" w:hAnsi="Arial" w:cs="Arial"/>
          <w:color w:val="000000" w:themeColor="text1"/>
        </w:rPr>
        <w:t>daptability, emotional awareness, and leadership, all of which are essential within choreographic practice.</w:t>
      </w:r>
    </w:p>
    <w:p w14:paraId="7F14A363" w14:textId="2C8EDD0C" w:rsidR="0C2082A0" w:rsidRDefault="0C2082A0" w:rsidP="0C2082A0">
      <w:pPr>
        <w:spacing w:before="240" w:after="240" w:line="480" w:lineRule="auto"/>
        <w:jc w:val="both"/>
        <w:rPr>
          <w:rFonts w:ascii="Arial" w:eastAsia="Arial" w:hAnsi="Arial" w:cs="Arial"/>
          <w:color w:val="000000" w:themeColor="text1"/>
        </w:rPr>
      </w:pPr>
    </w:p>
    <w:p w14:paraId="6B469FEC" w14:textId="43102EFD"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Use of Sound, Lighting, and Symbolism</w:t>
      </w:r>
    </w:p>
    <w:p w14:paraId="7950CF8E" w14:textId="22372C81"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Sound, lighting, and costume were intentionally integrated to extend the choreographic meaning of the work.</w:t>
      </w:r>
    </w:p>
    <w:p w14:paraId="113FBD3D" w14:textId="28635F75"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The use of a heartbeat motif was designed to create a direct physiological connection to the body, grounding the audience in an embodied experience from the outset. The variation in tempo throughout the piece reflected emotional states, from anxiety to calm, reinforcing the internal journey of the work.</w:t>
      </w:r>
    </w:p>
    <w:p w14:paraId="4748BAA7" w14:textId="07145A41"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Lighting was conceptualised to mirror the thematic progression, transitioning between warm and cold tones to reflect states of fragmentation and reclaiming. Although technical limitations prevented full realisation, adaptations were made to maintain the intended atmosphere as closely as possible.</w:t>
      </w:r>
    </w:p>
    <w:p w14:paraId="6464A5B2" w14:textId="22F13653"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Costume and ribbon symbolism further reinforced the conceptual progression of the work. The transition from black costumes, representing containment and emotional heaviness, to coloured ribbon tops, signifying individual experiences, and finally to white shirts, representing integration, visually embodied the journey from fragmentation to healing. This progression allowed the audience to perceive transformation physically, rather than through narrative explanation.</w:t>
      </w:r>
    </w:p>
    <w:p w14:paraId="17B907FC" w14:textId="4BB04EEB"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 xml:space="preserve">Each ribbon colour was deliberately selected to align with established awareness symbolism, strengthening the relationship between research and choreographic decision-making. The purple ribbon signifies domestic violence awareness and support for survivors (The Retreat, 2021), while the teal ribbon represents sexual </w:t>
      </w:r>
      <w:r w:rsidRPr="0C2082A0">
        <w:rPr>
          <w:rFonts w:ascii="Arial" w:eastAsia="Arial" w:hAnsi="Arial" w:cs="Arial"/>
          <w:color w:val="000000" w:themeColor="text1"/>
        </w:rPr>
        <w:lastRenderedPageBreak/>
        <w:t>assault awareness and the prevalence of non-consensual experiences (Joint Base Andrews, 2016). The mint green ribbon was incorporated to extend inclusivity, acknowledging that abuse is not confined to a single gender (HealthyPlace, 2026). The white ribbon reflects the global movement to end violence against women and girls, emphasising prevention and collective responsibility (White Ribbon UK, 2024).</w:t>
      </w:r>
    </w:p>
    <w:p w14:paraId="2BF3235F" w14:textId="0A697BD7"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Through this, costume functioned not simply as a visual element, but as an extension of the choreography itself, reinforcing thematic development and supporting the communication of the work.</w:t>
      </w:r>
    </w:p>
    <w:p w14:paraId="70F5143D" w14:textId="52F500B6"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Evaluating this, I recognised that these elements functioned not as decoration, but as extensions of the choreography, contributing to the communication of meaning. This supports the idea that dance operates as a multisensory form, where movement, sound, and visual elements work together cohesively.</w:t>
      </w:r>
    </w:p>
    <w:p w14:paraId="156DAA12" w14:textId="494A9178" w:rsidR="0C2082A0" w:rsidRDefault="0C2082A0" w:rsidP="0C2082A0">
      <w:pPr>
        <w:spacing w:before="240" w:after="240" w:line="480" w:lineRule="auto"/>
        <w:jc w:val="both"/>
        <w:rPr>
          <w:rFonts w:ascii="Arial" w:eastAsia="Arial" w:hAnsi="Arial" w:cs="Arial"/>
          <w:color w:val="000000" w:themeColor="text1"/>
        </w:rPr>
      </w:pPr>
    </w:p>
    <w:p w14:paraId="5697D9FE" w14:textId="06222B9F"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Emotional Engagement and Personal Reflection</w:t>
      </w:r>
    </w:p>
    <w:p w14:paraId="12D3EEB9" w14:textId="00C01A65"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 xml:space="preserve">This project held personal significance due to my own experiences, which informed the foundation of the work; however, the focus remained on dance as a method of embodied exploration rather than autobiographical narrative. At times, the process was emotionally challenging, particularly when certain situations activated past experiences. Engaging with the work through choreography, however, allowed for a process of reframing, aligning with Schön’s concept of reflective practice, where experience is actively evaluated and reshaped to inform future action (Gordon, 2025). Through this, I was able to separate identity from experience, understanding that what </w:t>
      </w:r>
      <w:r w:rsidRPr="0C2082A0">
        <w:rPr>
          <w:rFonts w:ascii="Arial" w:eastAsia="Arial" w:hAnsi="Arial" w:cs="Arial"/>
          <w:color w:val="000000" w:themeColor="text1"/>
        </w:rPr>
        <w:lastRenderedPageBreak/>
        <w:t>had happened did not define me, but could be explored communicated through movement.</w:t>
      </w:r>
    </w:p>
    <w:p w14:paraId="234A2D74" w14:textId="4E411C11"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 xml:space="preserve">This process also reflects principles within somatic theory, which emphasise the body as a site of stored experience and knowledge, suggesting that movement can facilitate awareness and integration of emotional states (Levine, 2010). Similarly, Bessel van der Kolk argues that trauma is held within the body and that non-verbal practices, such as movement, can support regulation and processing where words may be insufficient. This reinforces the role of dance within this project as not only expressive but also regulatory. </w:t>
      </w:r>
      <w:r w:rsidR="44F746C2" w:rsidRPr="0C2082A0">
        <w:rPr>
          <w:rFonts w:ascii="Arial" w:eastAsia="Arial" w:hAnsi="Arial" w:cs="Arial"/>
          <w:color w:val="000000" w:themeColor="text1"/>
        </w:rPr>
        <w:t>(</w:t>
      </w:r>
      <w:r w:rsidRPr="0C2082A0">
        <w:rPr>
          <w:rFonts w:ascii="Arial" w:eastAsia="Arial" w:hAnsi="Arial" w:cs="Arial"/>
          <w:color w:val="000000" w:themeColor="text1"/>
        </w:rPr>
        <w:t xml:space="preserve">Kolk, V.D. 2014). </w:t>
      </w:r>
      <w:r w:rsidRPr="0C2082A0">
        <w:rPr>
          <w:rFonts w:ascii="Arial" w:eastAsia="Arial" w:hAnsi="Arial" w:cs="Arial"/>
          <w:i/>
          <w:iCs/>
          <w:color w:val="000000" w:themeColor="text1"/>
        </w:rPr>
        <w:t>The body keeps the score</w:t>
      </w:r>
      <w:r w:rsidRPr="0C2082A0">
        <w:rPr>
          <w:rFonts w:ascii="Arial" w:eastAsia="Arial" w:hAnsi="Arial" w:cs="Arial"/>
          <w:color w:val="000000" w:themeColor="text1"/>
        </w:rPr>
        <w:t xml:space="preserve"> </w:t>
      </w:r>
    </w:p>
    <w:p w14:paraId="0A6D480D" w14:textId="117800A8"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 xml:space="preserve">Working with dancers who had also experienced forms of abuse further contributed to a supportive and empathetic environment, highlighting the importance of community within both the creative process and recovery. This approach aligns with the work of Anna Halprin, who emphasised dance as a tool for healing, self-discovery, and collective expression. </w:t>
      </w:r>
      <w:r w:rsidR="3A75B32D" w:rsidRPr="0C2082A0">
        <w:rPr>
          <w:rFonts w:ascii="Arial" w:eastAsia="Arial" w:hAnsi="Arial" w:cs="Arial"/>
          <w:color w:val="000000" w:themeColor="text1"/>
        </w:rPr>
        <w:t>(</w:t>
      </w:r>
      <w:r w:rsidRPr="0C2082A0">
        <w:rPr>
          <w:rFonts w:ascii="Arial" w:eastAsia="Arial" w:hAnsi="Arial" w:cs="Arial"/>
          <w:color w:val="000000" w:themeColor="text1"/>
        </w:rPr>
        <w:t>Schorn,</w:t>
      </w:r>
      <w:r w:rsidR="7066CDB3" w:rsidRPr="0C2082A0">
        <w:rPr>
          <w:rFonts w:ascii="Arial" w:eastAsia="Arial" w:hAnsi="Arial" w:cs="Arial"/>
          <w:color w:val="000000" w:themeColor="text1"/>
        </w:rPr>
        <w:t xml:space="preserve"> </w:t>
      </w:r>
      <w:r w:rsidRPr="0C2082A0">
        <w:rPr>
          <w:rFonts w:ascii="Arial" w:eastAsia="Arial" w:hAnsi="Arial" w:cs="Arial"/>
          <w:color w:val="000000" w:themeColor="text1"/>
        </w:rPr>
        <w:t>2015</w:t>
      </w:r>
      <w:r w:rsidR="5E62E583" w:rsidRPr="0C2082A0">
        <w:rPr>
          <w:rFonts w:ascii="Arial" w:eastAsia="Arial" w:hAnsi="Arial" w:cs="Arial"/>
          <w:color w:val="000000" w:themeColor="text1"/>
        </w:rPr>
        <w:t>).</w:t>
      </w:r>
      <w:r w:rsidRPr="0C2082A0">
        <w:rPr>
          <w:rFonts w:ascii="Arial" w:eastAsia="Arial" w:hAnsi="Arial" w:cs="Arial"/>
          <w:color w:val="000000" w:themeColor="text1"/>
        </w:rPr>
        <w:t xml:space="preserve">  </w:t>
      </w:r>
    </w:p>
    <w:p w14:paraId="1F137E34" w14:textId="6279E27F"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Feedback from dancers indicated that the process supported emotional awareness and expression without requiring personal disclosure, reinforcing the idea that dance can provide a safe and effective means of engaging with complex experiences. Several dancers highlighted that expressing themes through movement felt “easier” and more “freeing” than verbal communication, particularly when discussing trauma was difficult to articulate. One dancer reflected that movement allowed them to access emotions they struggled to express in words, while another described the process as enabling them to “feel in control” of their emotions and past experiences.</w:t>
      </w:r>
    </w:p>
    <w:p w14:paraId="6492C3EF" w14:textId="7B92D8B5"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lastRenderedPageBreak/>
        <w:t>The collaborative aspects of the work further reinforced this sense of support, with dancers identifying moments such as the trio section and final group motif as creating a strong feeling of connection, describing the experience as being “part of a community” and “not having to go through things alone.” Additionally, dancers noted that the rehearsal environment felt “extremely safe and supportive,” emphasising the importance of care, communication, and trust within the process.</w:t>
      </w:r>
    </w:p>
    <w:p w14:paraId="674D627D" w14:textId="223A1514"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These responses demonstrate that the choreographic process extended beyond performance, functioning as a space for embodied exploration, connection, and emotional processing. This directly supports my research question, evidencing that dance can operate as both a communicative and supportive practice for survivors, allowing complex experiences to be explored physically without the need for verbal disclosure.</w:t>
      </w:r>
    </w:p>
    <w:p w14:paraId="6E991511" w14:textId="5FA3A9A4" w:rsidR="0C2082A0" w:rsidRDefault="0C2082A0" w:rsidP="0C2082A0">
      <w:pPr>
        <w:spacing w:before="240" w:after="240" w:line="480" w:lineRule="auto"/>
        <w:jc w:val="both"/>
        <w:rPr>
          <w:rFonts w:ascii="Arial" w:eastAsia="Arial" w:hAnsi="Arial" w:cs="Arial"/>
          <w:color w:val="000000" w:themeColor="text1"/>
        </w:rPr>
      </w:pPr>
    </w:p>
    <w:p w14:paraId="384A6A94" w14:textId="4CDEDD11"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Dance as Communication and Support</w:t>
      </w:r>
    </w:p>
    <w:p w14:paraId="2AE5BE2E" w14:textId="21CDAC3C"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This process demonstrates that dance can communicate experiences of abuse without reliance on verbal explanation.</w:t>
      </w:r>
    </w:p>
    <w:p w14:paraId="50BC1F30" w14:textId="07BDBA7C"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Through embodied practice, dancers were able to explore and express complex emotional states in a way that was both personal and accessible. The integration of movement lenses, collaboration, and trauma-informed practice ensured that the work remained both ethically responsible and artistically effective.</w:t>
      </w:r>
    </w:p>
    <w:p w14:paraId="36A630BD" w14:textId="57B23FE7"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 xml:space="preserve">Evaluating the overall process, I found that dance functioned not only as a performative medium, but as a space for exploration, awareness, and emotional </w:t>
      </w:r>
      <w:r w:rsidRPr="0C2082A0">
        <w:rPr>
          <w:rFonts w:ascii="Arial" w:eastAsia="Arial" w:hAnsi="Arial" w:cs="Arial"/>
          <w:color w:val="000000" w:themeColor="text1"/>
        </w:rPr>
        <w:lastRenderedPageBreak/>
        <w:t>regulation.</w:t>
      </w:r>
      <w:r w:rsidR="268E054C" w:rsidRPr="0C2082A0">
        <w:rPr>
          <w:rFonts w:ascii="Arial" w:eastAsia="Arial" w:hAnsi="Arial" w:cs="Arial"/>
          <w:color w:val="000000" w:themeColor="text1"/>
        </w:rPr>
        <w:t xml:space="preserve"> </w:t>
      </w:r>
      <w:r w:rsidRPr="0C2082A0">
        <w:rPr>
          <w:rFonts w:ascii="Arial" w:eastAsia="Arial" w:hAnsi="Arial" w:cs="Arial"/>
          <w:color w:val="000000" w:themeColor="text1"/>
        </w:rPr>
        <w:t>This reinforces the central argument of this research: that dance can support survivors not by telling their stories for them, but by providing a space in which those experiences can be safely explored, embodied, and transformed.</w:t>
      </w:r>
    </w:p>
    <w:p w14:paraId="54E763A5" w14:textId="126B596A"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Conclusion</w:t>
      </w:r>
    </w:p>
    <w:p w14:paraId="6495F53E" w14:textId="02C1447D"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 xml:space="preserve">This research set out to explore how dance can support female survivors of abuse, through embodied expression and choreographic process, not through narrative retelling. Through the development of </w:t>
      </w:r>
      <w:r w:rsidRPr="0C2082A0">
        <w:rPr>
          <w:rFonts w:ascii="Arial" w:eastAsia="Arial" w:hAnsi="Arial" w:cs="Arial"/>
          <w:i/>
          <w:iCs/>
          <w:color w:val="000000" w:themeColor="text1"/>
        </w:rPr>
        <w:t>Reclaiming the Self</w:t>
      </w:r>
      <w:r w:rsidRPr="0C2082A0">
        <w:rPr>
          <w:rFonts w:ascii="Arial" w:eastAsia="Arial" w:hAnsi="Arial" w:cs="Arial"/>
          <w:color w:val="000000" w:themeColor="text1"/>
        </w:rPr>
        <w:t xml:space="preserve">, it became evident that dance can function as both a communicative and supportive practice, allowing complex emotional experiences to be explored physically without the need for verbal disclosure. </w:t>
      </w:r>
    </w:p>
    <w:p w14:paraId="424831F7" w14:textId="1FA76E6D"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 xml:space="preserve">The use of movement lenses, collaborative process, and a trauma-informed rehearsal environment enabled dancers to engage with sensitive themes in a way that prioritised safety, choice, and autonomy. This reinforced the understanding that movement can act as a form of language, where internal states are externalised through the body. Existing research supports this, suggesting that dance and movement-based practices can enhance emotional awareness and provide therapeutic support by reconnecting individuals with their physical selves. </w:t>
      </w:r>
    </w:p>
    <w:p w14:paraId="1513CA7E" w14:textId="74EFADE3"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Reflecting on the process, the choreographic journey was as significant as the final performance. Challenges such as rehearsal disruptions, interpersonal conflict, and structural challenges required adaptability and critical reflection, ultimately strengthening both the work and my development as a choreographer. These moments highlighted the importance of maintaining ethical awareness, particularly</w:t>
      </w:r>
    </w:p>
    <w:p w14:paraId="17E57322" w14:textId="10616395"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lastRenderedPageBreak/>
        <w:t xml:space="preserve">when working with vulnerable themes, and reinforced the necessity of creating a safe, inclusive space for all participants. </w:t>
      </w:r>
    </w:p>
    <w:p w14:paraId="2F9D958C" w14:textId="339B8AA7"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On a personal level, this process held profound significance. While elements of the work were emotionally challenging, the act of translating experience into movement became a means of reclaiming agency. The piece not only supported my research question but also demonstrated how dance can contribute to a sense of empowerment, both individually and collectively.</w:t>
      </w:r>
    </w:p>
    <w:p w14:paraId="3676C578" w14:textId="7A4F409D" w:rsidR="44759481" w:rsidRDefault="44759481" w:rsidP="0C2082A0">
      <w:pPr>
        <w:spacing w:before="240" w:after="240" w:line="480" w:lineRule="auto"/>
        <w:jc w:val="both"/>
        <w:rPr>
          <w:rFonts w:ascii="Arial" w:eastAsia="Arial" w:hAnsi="Arial" w:cs="Arial"/>
          <w:color w:val="000000" w:themeColor="text1"/>
        </w:rPr>
      </w:pPr>
      <w:r w:rsidRPr="0C2082A0">
        <w:rPr>
          <w:rFonts w:ascii="Arial" w:eastAsia="Arial" w:hAnsi="Arial" w:cs="Arial"/>
          <w:color w:val="000000" w:themeColor="text1"/>
        </w:rPr>
        <w:t xml:space="preserve">Ultimately, this research affirms that dance extends beyond performance; it operates as a space for exploration, connection, and transformation. By prioritising embodiment, collaboration, and care. </w:t>
      </w:r>
      <w:r w:rsidRPr="0C2082A0">
        <w:rPr>
          <w:rFonts w:ascii="Arial" w:eastAsia="Arial" w:hAnsi="Arial" w:cs="Arial"/>
          <w:i/>
          <w:iCs/>
          <w:color w:val="000000" w:themeColor="text1"/>
        </w:rPr>
        <w:t>Reclaiming the Self</w:t>
      </w:r>
      <w:r w:rsidRPr="0C2082A0">
        <w:rPr>
          <w:rFonts w:ascii="Arial" w:eastAsia="Arial" w:hAnsi="Arial" w:cs="Arial"/>
          <w:color w:val="000000" w:themeColor="text1"/>
        </w:rPr>
        <w:t xml:space="preserve"> illustrates how choreographic practice can support emotional expression and recovery, positioning dance as a powerful tool for both artistic and human understanding. </w:t>
      </w:r>
    </w:p>
    <w:p w14:paraId="0D3ABB6C" w14:textId="1A85DD74" w:rsidR="0C2082A0" w:rsidRDefault="0C2082A0" w:rsidP="0C2082A0">
      <w:pPr>
        <w:spacing w:before="240" w:after="240"/>
        <w:jc w:val="both"/>
        <w:rPr>
          <w:rFonts w:ascii="Arial" w:eastAsia="Arial" w:hAnsi="Arial" w:cs="Arial"/>
          <w:color w:val="000000" w:themeColor="text1"/>
        </w:rPr>
      </w:pPr>
    </w:p>
    <w:p w14:paraId="1BFC1C34" w14:textId="010175A3" w:rsidR="0C2082A0" w:rsidRDefault="0C2082A0" w:rsidP="0C2082A0">
      <w:pPr>
        <w:spacing w:before="240" w:after="240"/>
        <w:jc w:val="both"/>
        <w:rPr>
          <w:rFonts w:ascii="Arial" w:eastAsia="Arial" w:hAnsi="Arial" w:cs="Arial"/>
          <w:color w:val="000000" w:themeColor="text1"/>
        </w:rPr>
      </w:pPr>
    </w:p>
    <w:p w14:paraId="7175B356" w14:textId="28FBC292" w:rsidR="0C2082A0" w:rsidRDefault="0C2082A0" w:rsidP="0C2082A0">
      <w:pPr>
        <w:spacing w:before="240" w:after="240"/>
        <w:jc w:val="both"/>
        <w:rPr>
          <w:rFonts w:ascii="Arial" w:eastAsia="Arial" w:hAnsi="Arial" w:cs="Arial"/>
          <w:color w:val="000000" w:themeColor="text1"/>
        </w:rPr>
      </w:pPr>
    </w:p>
    <w:p w14:paraId="337EB3A4" w14:textId="7446544E" w:rsidR="0C2082A0" w:rsidRDefault="0C2082A0" w:rsidP="0C2082A0">
      <w:pPr>
        <w:spacing w:before="240" w:after="240"/>
        <w:jc w:val="both"/>
        <w:rPr>
          <w:rFonts w:ascii="Arial" w:eastAsia="Arial" w:hAnsi="Arial" w:cs="Arial"/>
          <w:color w:val="000000" w:themeColor="text1"/>
        </w:rPr>
      </w:pPr>
    </w:p>
    <w:p w14:paraId="3E78645F" w14:textId="15E66676" w:rsidR="0C2082A0" w:rsidRDefault="0C2082A0" w:rsidP="0C2082A0">
      <w:pPr>
        <w:spacing w:before="240" w:after="240"/>
        <w:jc w:val="both"/>
        <w:rPr>
          <w:rFonts w:ascii="Arial" w:eastAsia="Arial" w:hAnsi="Arial" w:cs="Arial"/>
          <w:color w:val="000000" w:themeColor="text1"/>
        </w:rPr>
      </w:pPr>
    </w:p>
    <w:p w14:paraId="0E45CE3E" w14:textId="6F067033" w:rsidR="0C2082A0" w:rsidRDefault="0C2082A0" w:rsidP="0C2082A0">
      <w:pPr>
        <w:spacing w:before="240" w:after="240"/>
        <w:jc w:val="both"/>
        <w:rPr>
          <w:rFonts w:ascii="Arial" w:eastAsia="Arial" w:hAnsi="Arial" w:cs="Arial"/>
          <w:color w:val="000000" w:themeColor="text1"/>
        </w:rPr>
      </w:pPr>
    </w:p>
    <w:p w14:paraId="0F2CB47F" w14:textId="4B2FD388" w:rsidR="0C2082A0" w:rsidRDefault="0C2082A0" w:rsidP="0C2082A0">
      <w:pPr>
        <w:spacing w:before="240" w:after="240"/>
        <w:jc w:val="both"/>
        <w:rPr>
          <w:rFonts w:ascii="Arial" w:eastAsia="Arial" w:hAnsi="Arial" w:cs="Arial"/>
          <w:color w:val="000000" w:themeColor="text1"/>
        </w:rPr>
      </w:pPr>
    </w:p>
    <w:p w14:paraId="318E2CED" w14:textId="65F7DB83" w:rsidR="44759481" w:rsidRDefault="44759481" w:rsidP="0C2082A0">
      <w:pPr>
        <w:spacing w:before="240" w:after="240"/>
        <w:jc w:val="both"/>
        <w:rPr>
          <w:rFonts w:ascii="Arial" w:eastAsia="Arial" w:hAnsi="Arial" w:cs="Arial"/>
          <w:color w:val="000000" w:themeColor="text1"/>
        </w:rPr>
      </w:pPr>
      <w:r w:rsidRPr="0C2082A0">
        <w:rPr>
          <w:rFonts w:ascii="Arial" w:eastAsia="Arial" w:hAnsi="Arial" w:cs="Arial"/>
          <w:color w:val="000000" w:themeColor="text1"/>
        </w:rPr>
        <w:t>References:</w:t>
      </w:r>
    </w:p>
    <w:p w14:paraId="7065B8C9" w14:textId="6711A5E6" w:rsidR="24557FF5" w:rsidRDefault="24557FF5" w:rsidP="0C2082A0">
      <w:pPr>
        <w:spacing w:after="160" w:line="480" w:lineRule="auto"/>
        <w:jc w:val="both"/>
        <w:rPr>
          <w:rFonts w:ascii="Arial" w:eastAsia="Arial" w:hAnsi="Arial" w:cs="Arial"/>
          <w:color w:val="2C3E50"/>
        </w:rPr>
      </w:pPr>
      <w:r w:rsidRPr="0C2082A0">
        <w:rPr>
          <w:rFonts w:ascii="Arial" w:eastAsia="Arial" w:hAnsi="Arial" w:cs="Arial"/>
          <w:color w:val="000000" w:themeColor="text1"/>
        </w:rPr>
        <w:t xml:space="preserve">American Dance Therapy Association (2020). </w:t>
      </w:r>
      <w:r w:rsidRPr="0C2082A0">
        <w:rPr>
          <w:rFonts w:ascii="Arial" w:eastAsia="Arial" w:hAnsi="Arial" w:cs="Arial"/>
          <w:i/>
          <w:iCs/>
          <w:color w:val="000000" w:themeColor="text1"/>
        </w:rPr>
        <w:t>What is Dance/Movement Therapy?</w:t>
      </w:r>
      <w:r w:rsidRPr="0C2082A0">
        <w:rPr>
          <w:rFonts w:ascii="Arial" w:eastAsia="Arial" w:hAnsi="Arial" w:cs="Arial"/>
          <w:color w:val="000000" w:themeColor="text1"/>
        </w:rPr>
        <w:t xml:space="preserve"> [online] American Dance Therapy Association. Available at:</w:t>
      </w:r>
      <w:r w:rsidRPr="0C2082A0">
        <w:rPr>
          <w:rFonts w:ascii="Arial" w:eastAsia="Arial" w:hAnsi="Arial" w:cs="Arial"/>
          <w:color w:val="2C3E50"/>
        </w:rPr>
        <w:t xml:space="preserve"> </w:t>
      </w:r>
      <w:hyperlink r:id="rId8">
        <w:r w:rsidRPr="0C2082A0">
          <w:rPr>
            <w:rStyle w:val="Hyperlink"/>
            <w:rFonts w:ascii="Arial" w:eastAsia="Arial" w:hAnsi="Arial" w:cs="Arial"/>
          </w:rPr>
          <w:t>https://adta.memberclicks.net/what-is-dancemovement-therapy</w:t>
        </w:r>
      </w:hyperlink>
      <w:r w:rsidRPr="0C2082A0">
        <w:rPr>
          <w:rFonts w:ascii="Arial" w:eastAsia="Arial" w:hAnsi="Arial" w:cs="Arial"/>
          <w:color w:val="2C3E50"/>
        </w:rPr>
        <w:t>.</w:t>
      </w:r>
      <w:r w:rsidRPr="0C2082A0">
        <w:rPr>
          <w:rFonts w:ascii="Arial" w:eastAsia="Arial" w:hAnsi="Arial" w:cs="Arial"/>
          <w:color w:val="000000" w:themeColor="text1"/>
        </w:rPr>
        <w:t xml:space="preserve"> </w:t>
      </w:r>
    </w:p>
    <w:p w14:paraId="165ED7EF" w14:textId="60CE13DE" w:rsidR="21CD7118" w:rsidRDefault="21CD7118" w:rsidP="0C2082A0">
      <w:pPr>
        <w:spacing w:after="160" w:line="480" w:lineRule="auto"/>
        <w:jc w:val="both"/>
        <w:rPr>
          <w:rFonts w:ascii="Arial" w:eastAsia="Arial" w:hAnsi="Arial" w:cs="Arial"/>
          <w:color w:val="000000" w:themeColor="text1"/>
        </w:rPr>
      </w:pPr>
      <w:r w:rsidRPr="0C2082A0">
        <w:rPr>
          <w:rFonts w:ascii="Arial" w:eastAsia="Arial" w:hAnsi="Arial" w:cs="Arial"/>
          <w:color w:val="000000" w:themeColor="text1"/>
        </w:rPr>
        <w:lastRenderedPageBreak/>
        <w:t xml:space="preserve">Brookfield, S. D. (1995) </w:t>
      </w:r>
      <w:r w:rsidRPr="0C2082A0">
        <w:rPr>
          <w:rFonts w:ascii="Arial" w:eastAsia="Arial" w:hAnsi="Arial" w:cs="Arial"/>
          <w:i/>
          <w:iCs/>
          <w:color w:val="000000" w:themeColor="text1"/>
        </w:rPr>
        <w:t>Becoming a Critically Reflective Teacher</w:t>
      </w:r>
      <w:r w:rsidRPr="0C2082A0">
        <w:rPr>
          <w:rFonts w:ascii="Arial" w:eastAsia="Arial" w:hAnsi="Arial" w:cs="Arial"/>
          <w:color w:val="000000" w:themeColor="text1"/>
        </w:rPr>
        <w:t>. San Francisco: Jossey-Bass.</w:t>
      </w:r>
    </w:p>
    <w:p w14:paraId="5C42CA18" w14:textId="126F0051" w:rsidR="44759481" w:rsidRDefault="44759481" w:rsidP="0C2082A0">
      <w:pPr>
        <w:spacing w:after="160" w:line="480" w:lineRule="auto"/>
        <w:jc w:val="both"/>
        <w:rPr>
          <w:rFonts w:ascii="Arial" w:eastAsia="Arial" w:hAnsi="Arial" w:cs="Arial"/>
          <w:color w:val="2C3E50"/>
        </w:rPr>
      </w:pPr>
      <w:r w:rsidRPr="0C2082A0">
        <w:rPr>
          <w:rFonts w:ascii="Arial" w:eastAsia="Arial" w:hAnsi="Arial" w:cs="Arial"/>
          <w:color w:val="000000" w:themeColor="text1"/>
        </w:rPr>
        <w:t xml:space="preserve">Dance Data Project. (2024). </w:t>
      </w:r>
      <w:r w:rsidRPr="0C2082A0">
        <w:rPr>
          <w:rFonts w:ascii="Arial" w:eastAsia="Arial" w:hAnsi="Arial" w:cs="Arial"/>
          <w:i/>
          <w:iCs/>
          <w:color w:val="000000" w:themeColor="text1"/>
        </w:rPr>
        <w:t>Creating A Safe Dance Environment - Dance Data Project</w:t>
      </w:r>
      <w:r w:rsidRPr="0C2082A0">
        <w:rPr>
          <w:rFonts w:ascii="Arial" w:eastAsia="Arial" w:hAnsi="Arial" w:cs="Arial"/>
          <w:color w:val="000000" w:themeColor="text1"/>
        </w:rPr>
        <w:t>. [online] Available at:</w:t>
      </w:r>
      <w:r w:rsidRPr="0C2082A0">
        <w:rPr>
          <w:rFonts w:ascii="Arial" w:eastAsia="Arial" w:hAnsi="Arial" w:cs="Arial"/>
          <w:color w:val="2C3E50"/>
        </w:rPr>
        <w:t xml:space="preserve"> </w:t>
      </w:r>
      <w:hyperlink r:id="rId9">
        <w:r w:rsidRPr="0C2082A0">
          <w:rPr>
            <w:rStyle w:val="Hyperlink"/>
            <w:rFonts w:ascii="Arial" w:eastAsia="Arial" w:hAnsi="Arial" w:cs="Arial"/>
          </w:rPr>
          <w:t>https://dancedataproject.com/creating-a-safe-dance-environment/</w:t>
        </w:r>
      </w:hyperlink>
      <w:r w:rsidRPr="0C2082A0">
        <w:rPr>
          <w:rFonts w:ascii="Arial" w:eastAsia="Arial" w:hAnsi="Arial" w:cs="Arial"/>
          <w:color w:val="2C3E50"/>
        </w:rPr>
        <w:t>.</w:t>
      </w:r>
    </w:p>
    <w:p w14:paraId="34A6D10C" w14:textId="085530BE" w:rsidR="44759481" w:rsidRDefault="44759481" w:rsidP="0C2082A0">
      <w:pPr>
        <w:spacing w:after="160" w:line="480" w:lineRule="auto"/>
        <w:jc w:val="both"/>
        <w:rPr>
          <w:rFonts w:ascii="Arial" w:eastAsia="Arial" w:hAnsi="Arial" w:cs="Arial"/>
          <w:color w:val="2C3E50"/>
        </w:rPr>
      </w:pPr>
      <w:r w:rsidRPr="0C2082A0">
        <w:rPr>
          <w:rFonts w:ascii="Arial" w:eastAsia="Arial" w:hAnsi="Arial" w:cs="Arial"/>
          <w:color w:val="000000" w:themeColor="text1"/>
        </w:rPr>
        <w:t xml:space="preserve">Gordon, L. (2025). </w:t>
      </w:r>
      <w:r w:rsidRPr="0C2082A0">
        <w:rPr>
          <w:rFonts w:ascii="Arial" w:eastAsia="Arial" w:hAnsi="Arial" w:cs="Arial"/>
          <w:i/>
          <w:iCs/>
          <w:color w:val="000000" w:themeColor="text1"/>
        </w:rPr>
        <w:t>Schön’s Reflective Practice: Steps &amp; Examples</w:t>
      </w:r>
      <w:r w:rsidRPr="0C2082A0">
        <w:rPr>
          <w:rFonts w:ascii="Arial" w:eastAsia="Arial" w:hAnsi="Arial" w:cs="Arial"/>
          <w:color w:val="000000" w:themeColor="text1"/>
        </w:rPr>
        <w:t>. [online] Cloud Assess. Available at:</w:t>
      </w:r>
      <w:r w:rsidRPr="0C2082A0">
        <w:rPr>
          <w:rFonts w:ascii="Arial" w:eastAsia="Arial" w:hAnsi="Arial" w:cs="Arial"/>
          <w:color w:val="2C3E50"/>
        </w:rPr>
        <w:t xml:space="preserve"> </w:t>
      </w:r>
      <w:hyperlink r:id="rId10" w:anchor="how-to-apply-schons-reflective-practice">
        <w:r w:rsidRPr="0C2082A0">
          <w:rPr>
            <w:rStyle w:val="Hyperlink"/>
            <w:rFonts w:ascii="Arial" w:eastAsia="Arial" w:hAnsi="Arial" w:cs="Arial"/>
          </w:rPr>
          <w:t>https://cloudassess.com/blog/schons-reflective-practice/#how-to-apply-schons-reflective-practice</w:t>
        </w:r>
      </w:hyperlink>
      <w:r w:rsidRPr="0C2082A0">
        <w:rPr>
          <w:rFonts w:ascii="Arial" w:eastAsia="Arial" w:hAnsi="Arial" w:cs="Arial"/>
          <w:color w:val="2C3E50"/>
        </w:rPr>
        <w:t>.</w:t>
      </w:r>
    </w:p>
    <w:p w14:paraId="1890FE34" w14:textId="4CCDE2CA" w:rsidR="103B6D10" w:rsidRDefault="103B6D10" w:rsidP="0C2082A0">
      <w:pPr>
        <w:spacing w:after="160" w:line="480" w:lineRule="auto"/>
        <w:jc w:val="both"/>
        <w:rPr>
          <w:rFonts w:ascii="Arial" w:eastAsia="Arial" w:hAnsi="Arial" w:cs="Arial"/>
          <w:color w:val="000000" w:themeColor="text1"/>
        </w:rPr>
      </w:pPr>
      <w:r w:rsidRPr="0C2082A0">
        <w:rPr>
          <w:rFonts w:ascii="Arial" w:eastAsia="Arial" w:hAnsi="Arial" w:cs="Arial"/>
          <w:color w:val="000000" w:themeColor="text1"/>
        </w:rPr>
        <w:t xml:space="preserve">Healthyplace.com. (2026). </w:t>
      </w:r>
      <w:r w:rsidRPr="0C2082A0">
        <w:rPr>
          <w:rFonts w:ascii="Arial" w:eastAsia="Arial" w:hAnsi="Arial" w:cs="Arial"/>
          <w:i/>
          <w:iCs/>
          <w:color w:val="000000" w:themeColor="text1"/>
        </w:rPr>
        <w:t>The History of the Mint Green Ribbon | HealthyPlace</w:t>
      </w:r>
      <w:r w:rsidRPr="0C2082A0">
        <w:rPr>
          <w:rFonts w:ascii="Arial" w:eastAsia="Arial" w:hAnsi="Arial" w:cs="Arial"/>
          <w:color w:val="000000" w:themeColor="text1"/>
        </w:rPr>
        <w:t xml:space="preserve">. [online] Available at: </w:t>
      </w:r>
      <w:hyperlink r:id="rId11">
        <w:r w:rsidRPr="0C2082A0">
          <w:rPr>
            <w:rStyle w:val="Hyperlink"/>
            <w:rFonts w:ascii="Arial" w:eastAsia="Arial" w:hAnsi="Arial" w:cs="Arial"/>
          </w:rPr>
          <w:t>https://www.healthyplace.com/abuse/articles/the-history-of-the-mint-green-ribbon</w:t>
        </w:r>
      </w:hyperlink>
      <w:r w:rsidRPr="0C2082A0">
        <w:rPr>
          <w:rFonts w:ascii="Arial" w:eastAsia="Arial" w:hAnsi="Arial" w:cs="Arial"/>
          <w:color w:val="000000" w:themeColor="text1"/>
        </w:rPr>
        <w:t xml:space="preserve"> [Accessed 2 Jan. 2026]. </w:t>
      </w:r>
    </w:p>
    <w:p w14:paraId="52234F6F" w14:textId="7D9740A8" w:rsidR="103B6D10" w:rsidRDefault="103B6D10" w:rsidP="0C2082A0">
      <w:pPr>
        <w:spacing w:after="160" w:line="480" w:lineRule="auto"/>
        <w:jc w:val="both"/>
        <w:rPr>
          <w:rFonts w:ascii="Arial" w:eastAsia="Arial" w:hAnsi="Arial" w:cs="Arial"/>
          <w:color w:val="000000" w:themeColor="text1"/>
        </w:rPr>
      </w:pPr>
      <w:r w:rsidRPr="0C2082A0">
        <w:rPr>
          <w:rFonts w:ascii="Arial" w:eastAsia="Arial" w:hAnsi="Arial" w:cs="Arial"/>
          <w:color w:val="000000" w:themeColor="text1"/>
        </w:rPr>
        <w:t xml:space="preserve">Joint Base Andrews. (2016). </w:t>
      </w:r>
      <w:r w:rsidRPr="0C2082A0">
        <w:rPr>
          <w:rFonts w:ascii="Arial" w:eastAsia="Arial" w:hAnsi="Arial" w:cs="Arial"/>
          <w:i/>
          <w:iCs/>
          <w:color w:val="000000" w:themeColor="text1"/>
        </w:rPr>
        <w:t>Sexual Assault Awareness Month events promote an end to sexual violence</w:t>
      </w:r>
      <w:r w:rsidRPr="0C2082A0">
        <w:rPr>
          <w:rFonts w:ascii="Arial" w:eastAsia="Arial" w:hAnsi="Arial" w:cs="Arial"/>
          <w:color w:val="000000" w:themeColor="text1"/>
        </w:rPr>
        <w:t xml:space="preserve">. [online] Available at: </w:t>
      </w:r>
      <w:hyperlink r:id="rId12">
        <w:r w:rsidRPr="0C2082A0">
          <w:rPr>
            <w:rStyle w:val="Hyperlink"/>
            <w:rFonts w:ascii="Arial" w:eastAsia="Arial" w:hAnsi="Arial" w:cs="Arial"/>
          </w:rPr>
          <w:t>https://www.jba.af.mil/News/Article-Display/Article/769341/sexual-assault-awareness-month-events-promote-an-end-to-sexual-violence/</w:t>
        </w:r>
      </w:hyperlink>
      <w:r w:rsidRPr="0C2082A0">
        <w:rPr>
          <w:rFonts w:ascii="Arial" w:eastAsia="Arial" w:hAnsi="Arial" w:cs="Arial"/>
          <w:color w:val="000000" w:themeColor="text1"/>
        </w:rPr>
        <w:t xml:space="preserve"> [Accessed 25 Feb. 2026]. </w:t>
      </w:r>
    </w:p>
    <w:p w14:paraId="5488161E" w14:textId="759816BF" w:rsidR="103B6D10" w:rsidRDefault="103B6D10" w:rsidP="0C2082A0">
      <w:pPr>
        <w:spacing w:after="160" w:line="480" w:lineRule="auto"/>
        <w:jc w:val="both"/>
        <w:rPr>
          <w:rFonts w:ascii="Arial" w:eastAsia="Arial" w:hAnsi="Arial" w:cs="Arial"/>
          <w:color w:val="2C3E50"/>
        </w:rPr>
      </w:pPr>
      <w:r w:rsidRPr="0C2082A0">
        <w:rPr>
          <w:rFonts w:ascii="Arial" w:eastAsia="Arial" w:hAnsi="Arial" w:cs="Arial"/>
          <w:color w:val="000000" w:themeColor="text1"/>
        </w:rPr>
        <w:t xml:space="preserve">Kolk, V.D. (2014). </w:t>
      </w:r>
      <w:r w:rsidRPr="0C2082A0">
        <w:rPr>
          <w:rFonts w:ascii="Arial" w:eastAsia="Arial" w:hAnsi="Arial" w:cs="Arial"/>
          <w:i/>
          <w:iCs/>
          <w:color w:val="000000" w:themeColor="text1"/>
        </w:rPr>
        <w:t>The body keeps the score: Brain, mind, and body in the healing of trauma.</w:t>
      </w:r>
      <w:r w:rsidRPr="0C2082A0">
        <w:rPr>
          <w:rFonts w:ascii="Arial" w:eastAsia="Arial" w:hAnsi="Arial" w:cs="Arial"/>
          <w:color w:val="000000" w:themeColor="text1"/>
        </w:rPr>
        <w:t xml:space="preserve"> [online] psycnet.apa.org. Available at:</w:t>
      </w:r>
      <w:r w:rsidRPr="0C2082A0">
        <w:rPr>
          <w:rFonts w:ascii="Arial" w:eastAsia="Arial" w:hAnsi="Arial" w:cs="Arial"/>
          <w:color w:val="2C3E50"/>
        </w:rPr>
        <w:t xml:space="preserve"> </w:t>
      </w:r>
      <w:hyperlink r:id="rId13">
        <w:r w:rsidRPr="0C2082A0">
          <w:rPr>
            <w:rStyle w:val="Hyperlink"/>
            <w:rFonts w:ascii="Arial" w:eastAsia="Arial" w:hAnsi="Arial" w:cs="Arial"/>
          </w:rPr>
          <w:t>https://psycnet.apa.org/record/2014-44678-000</w:t>
        </w:r>
      </w:hyperlink>
      <w:r w:rsidRPr="0C2082A0">
        <w:rPr>
          <w:rFonts w:ascii="Arial" w:eastAsia="Arial" w:hAnsi="Arial" w:cs="Arial"/>
          <w:color w:val="2C3E50"/>
        </w:rPr>
        <w:t>.</w:t>
      </w:r>
    </w:p>
    <w:p w14:paraId="3886BE7A" w14:textId="190D6273" w:rsidR="7A267834" w:rsidRDefault="7A267834" w:rsidP="0C2082A0">
      <w:pPr>
        <w:spacing w:after="160" w:line="480" w:lineRule="auto"/>
        <w:jc w:val="both"/>
        <w:rPr>
          <w:rFonts w:ascii="Arial" w:eastAsia="Arial" w:hAnsi="Arial" w:cs="Arial"/>
          <w:color w:val="2C3E50"/>
        </w:rPr>
      </w:pPr>
      <w:r w:rsidRPr="0C2082A0">
        <w:rPr>
          <w:rFonts w:ascii="Arial" w:eastAsia="Arial" w:hAnsi="Arial" w:cs="Arial"/>
          <w:i/>
          <w:iCs/>
          <w:color w:val="000000" w:themeColor="text1"/>
        </w:rPr>
        <w:t>Moon, J. A. (2004). A Handbook of Reflective and Experiential Learning Theory and Practice. London Routledge Falmer. - References - Scientific Research Publishing</w:t>
      </w:r>
      <w:r w:rsidRPr="0C2082A0">
        <w:rPr>
          <w:rFonts w:ascii="Arial" w:eastAsia="Arial" w:hAnsi="Arial" w:cs="Arial"/>
          <w:color w:val="000000" w:themeColor="text1"/>
        </w:rPr>
        <w:t>. [online] Available at:</w:t>
      </w:r>
      <w:r w:rsidRPr="0C2082A0">
        <w:rPr>
          <w:rFonts w:ascii="Arial" w:eastAsia="Arial" w:hAnsi="Arial" w:cs="Arial"/>
          <w:color w:val="2C3E50"/>
        </w:rPr>
        <w:t xml:space="preserve"> </w:t>
      </w:r>
      <w:hyperlink r:id="rId14">
        <w:r w:rsidRPr="0C2082A0">
          <w:rPr>
            <w:rStyle w:val="Hyperlink"/>
            <w:rFonts w:ascii="Arial" w:eastAsia="Arial" w:hAnsi="Arial" w:cs="Arial"/>
          </w:rPr>
          <w:t>https://www.scirp.org/reference/ReferencesPapers?ReferenceID=2148783</w:t>
        </w:r>
      </w:hyperlink>
      <w:r w:rsidRPr="0C2082A0">
        <w:rPr>
          <w:rFonts w:ascii="Arial" w:eastAsia="Arial" w:hAnsi="Arial" w:cs="Arial"/>
          <w:color w:val="2C3E50"/>
        </w:rPr>
        <w:t>.</w:t>
      </w:r>
    </w:p>
    <w:p w14:paraId="30376855" w14:textId="1C54A890" w:rsidR="5A5FC111" w:rsidRDefault="5A5FC111" w:rsidP="0C2082A0">
      <w:pPr>
        <w:spacing w:after="160" w:line="480" w:lineRule="auto"/>
        <w:jc w:val="both"/>
        <w:rPr>
          <w:rFonts w:ascii="Arial" w:eastAsia="Arial" w:hAnsi="Arial" w:cs="Arial"/>
          <w:color w:val="000000" w:themeColor="text1"/>
        </w:rPr>
      </w:pPr>
      <w:r w:rsidRPr="0C2082A0">
        <w:rPr>
          <w:rFonts w:ascii="Arial" w:eastAsia="Arial" w:hAnsi="Arial" w:cs="Arial"/>
          <w:color w:val="000000" w:themeColor="text1"/>
        </w:rPr>
        <w:lastRenderedPageBreak/>
        <w:t xml:space="preserve">Rape Crisis (2024). What is rape? | Rape Crisis England &amp; Wales. [online] 9f3b490c-ff2c-4d3d-9a58-367186265004.azurewebsites.net.                               </w:t>
      </w:r>
    </w:p>
    <w:p w14:paraId="4700A17B" w14:textId="67C72643" w:rsidR="5A5FC111" w:rsidRDefault="5A5FC111" w:rsidP="0C2082A0">
      <w:pPr>
        <w:spacing w:after="160" w:line="480" w:lineRule="auto"/>
        <w:jc w:val="both"/>
        <w:rPr>
          <w:rFonts w:ascii="Arial" w:eastAsia="Arial" w:hAnsi="Arial" w:cs="Arial"/>
          <w:color w:val="000000" w:themeColor="text1"/>
        </w:rPr>
      </w:pPr>
      <w:r w:rsidRPr="0C2082A0">
        <w:rPr>
          <w:rFonts w:ascii="Arial" w:eastAsia="Arial" w:hAnsi="Arial" w:cs="Arial"/>
          <w:color w:val="000000" w:themeColor="text1"/>
        </w:rPr>
        <w:t xml:space="preserve">Available at: </w:t>
      </w:r>
      <w:hyperlink r:id="rId15">
        <w:r w:rsidRPr="0C2082A0">
          <w:rPr>
            <w:rStyle w:val="Hyperlink"/>
            <w:rFonts w:ascii="Arial" w:eastAsia="Arial" w:hAnsi="Arial" w:cs="Arial"/>
          </w:rPr>
          <w:t>https://rapecrisis.org.uk/get-informed/types-of-sexual-violence/</w:t>
        </w:r>
      </w:hyperlink>
      <w:r w:rsidRPr="0C2082A0">
        <w:rPr>
          <w:rFonts w:ascii="Arial" w:eastAsia="Arial" w:hAnsi="Arial" w:cs="Arial"/>
          <w:color w:val="000000" w:themeColor="text1"/>
        </w:rPr>
        <w:t xml:space="preserve">. </w:t>
      </w:r>
    </w:p>
    <w:p w14:paraId="267180C9" w14:textId="7F8BAD2B" w:rsidR="5A5FC111" w:rsidRDefault="5A5FC111" w:rsidP="0C2082A0">
      <w:pPr>
        <w:spacing w:after="160" w:line="480" w:lineRule="auto"/>
        <w:jc w:val="both"/>
        <w:rPr>
          <w:rFonts w:ascii="Arial" w:eastAsia="Arial" w:hAnsi="Arial" w:cs="Arial"/>
          <w:color w:val="2C3E50"/>
        </w:rPr>
      </w:pPr>
      <w:r w:rsidRPr="0C2082A0">
        <w:rPr>
          <w:rFonts w:ascii="Arial" w:eastAsia="Arial" w:hAnsi="Arial" w:cs="Arial"/>
          <w:color w:val="000000" w:themeColor="text1"/>
        </w:rPr>
        <w:t xml:space="preserve">SAMHSA (2014). </w:t>
      </w:r>
      <w:r w:rsidRPr="0C2082A0">
        <w:rPr>
          <w:rFonts w:ascii="Arial" w:eastAsia="Arial" w:hAnsi="Arial" w:cs="Arial"/>
          <w:i/>
          <w:iCs/>
          <w:color w:val="000000" w:themeColor="text1"/>
        </w:rPr>
        <w:t>SAMHSA’s Concept of Trauma and Guidance for a Trauma-Informed Approach Prepared by SAMHSA’s Trauma and Justice Strategic Initiative</w:t>
      </w:r>
      <w:r w:rsidRPr="0C2082A0">
        <w:rPr>
          <w:rFonts w:ascii="Arial" w:eastAsia="Arial" w:hAnsi="Arial" w:cs="Arial"/>
          <w:color w:val="000000" w:themeColor="text1"/>
        </w:rPr>
        <w:t>. [online] Available at:</w:t>
      </w:r>
      <w:r w:rsidRPr="0C2082A0">
        <w:rPr>
          <w:rFonts w:ascii="Arial" w:eastAsia="Arial" w:hAnsi="Arial" w:cs="Arial"/>
          <w:color w:val="2C3E50"/>
        </w:rPr>
        <w:t xml:space="preserve"> </w:t>
      </w:r>
      <w:hyperlink r:id="rId16">
        <w:r w:rsidRPr="0C2082A0">
          <w:rPr>
            <w:rStyle w:val="Hyperlink"/>
            <w:rFonts w:ascii="Arial" w:eastAsia="Arial" w:hAnsi="Arial" w:cs="Arial"/>
          </w:rPr>
          <w:t>https://www.nctsn.org/sites/default/files/resources/resource-guide/samhsa_trauma.pdf</w:t>
        </w:r>
      </w:hyperlink>
      <w:r w:rsidRPr="0C2082A0">
        <w:rPr>
          <w:rFonts w:ascii="Arial" w:eastAsia="Arial" w:hAnsi="Arial" w:cs="Arial"/>
          <w:color w:val="2C3E50"/>
        </w:rPr>
        <w:t>.</w:t>
      </w:r>
      <w:r w:rsidRPr="0C2082A0">
        <w:rPr>
          <w:rFonts w:ascii="Arial" w:eastAsia="Arial" w:hAnsi="Arial" w:cs="Arial"/>
          <w:color w:val="000000" w:themeColor="text1"/>
        </w:rPr>
        <w:t xml:space="preserve"> </w:t>
      </w:r>
    </w:p>
    <w:p w14:paraId="34E63FEB" w14:textId="13E9A1C1" w:rsidR="44759481" w:rsidRDefault="44759481" w:rsidP="0C2082A0">
      <w:pPr>
        <w:spacing w:after="160" w:line="480" w:lineRule="auto"/>
        <w:jc w:val="both"/>
        <w:rPr>
          <w:rFonts w:ascii="Arial" w:eastAsia="Arial" w:hAnsi="Arial" w:cs="Arial"/>
          <w:color w:val="000000" w:themeColor="text1"/>
        </w:rPr>
      </w:pPr>
      <w:r w:rsidRPr="0C2082A0">
        <w:rPr>
          <w:rFonts w:ascii="Arial" w:eastAsia="Arial" w:hAnsi="Arial" w:cs="Arial"/>
          <w:color w:val="000000" w:themeColor="text1"/>
        </w:rPr>
        <w:t xml:space="preserve">Schön, D.A. (1983). The Reflective Practitioner: How Professionals Think in Action. </w:t>
      </w:r>
      <w:r w:rsidRPr="0C2082A0">
        <w:rPr>
          <w:rFonts w:ascii="Arial" w:eastAsia="Arial" w:hAnsi="Arial" w:cs="Arial"/>
          <w:i/>
          <w:iCs/>
          <w:color w:val="000000" w:themeColor="text1"/>
        </w:rPr>
        <w:t>Administrative Science Quarterly</w:t>
      </w:r>
      <w:r w:rsidRPr="0C2082A0">
        <w:rPr>
          <w:rFonts w:ascii="Arial" w:eastAsia="Arial" w:hAnsi="Arial" w:cs="Arial"/>
          <w:color w:val="000000" w:themeColor="text1"/>
        </w:rPr>
        <w:t xml:space="preserve">, [online] 32(4). Doi: </w:t>
      </w:r>
      <w:hyperlink r:id="rId17">
        <w:r w:rsidRPr="0C2082A0">
          <w:rPr>
            <w:rStyle w:val="Hyperlink"/>
            <w:rFonts w:ascii="Arial" w:eastAsia="Arial" w:hAnsi="Arial" w:cs="Arial"/>
          </w:rPr>
          <w:t>HTTPs://doi.org/10.2307/2392894</w:t>
        </w:r>
      </w:hyperlink>
      <w:r w:rsidRPr="0C2082A0">
        <w:rPr>
          <w:rFonts w:ascii="Arial" w:eastAsia="Arial" w:hAnsi="Arial" w:cs="Arial"/>
          <w:color w:val="000000" w:themeColor="text1"/>
        </w:rPr>
        <w:t>.</w:t>
      </w:r>
    </w:p>
    <w:p w14:paraId="0839B8D1" w14:textId="19071779" w:rsidR="5404AA40" w:rsidRDefault="5404AA40" w:rsidP="0C2082A0">
      <w:pPr>
        <w:spacing w:after="160" w:line="480" w:lineRule="auto"/>
        <w:jc w:val="both"/>
        <w:rPr>
          <w:rFonts w:ascii="Arial" w:eastAsia="Arial" w:hAnsi="Arial" w:cs="Arial"/>
          <w:color w:val="000000" w:themeColor="text1"/>
        </w:rPr>
      </w:pPr>
      <w:r w:rsidRPr="0C2082A0">
        <w:rPr>
          <w:rFonts w:ascii="Arial" w:eastAsia="Arial" w:hAnsi="Arial" w:cs="Arial"/>
          <w:color w:val="000000" w:themeColor="text1"/>
        </w:rPr>
        <w:t xml:space="preserve">Schorn, U. (2015). The healing encounter of dance, Gestalt, and art based on Anna HalpriLife/Art Process. </w:t>
      </w:r>
      <w:r w:rsidRPr="0C2082A0">
        <w:rPr>
          <w:rFonts w:ascii="Arial" w:eastAsia="Arial" w:hAnsi="Arial" w:cs="Arial"/>
          <w:i/>
          <w:iCs/>
          <w:color w:val="000000" w:themeColor="text1"/>
        </w:rPr>
        <w:t>British Gestalt Journal</w:t>
      </w:r>
      <w:r w:rsidRPr="0C2082A0">
        <w:rPr>
          <w:rFonts w:ascii="Arial" w:eastAsia="Arial" w:hAnsi="Arial" w:cs="Arial"/>
          <w:color w:val="000000" w:themeColor="text1"/>
        </w:rPr>
        <w:t>, 24(2), pp.14–20. doi:https://d</w:t>
      </w:r>
    </w:p>
    <w:p w14:paraId="20789AAB" w14:textId="73C77F47" w:rsidR="5404AA40" w:rsidRDefault="5404AA40" w:rsidP="0C2082A0">
      <w:pPr>
        <w:spacing w:after="160" w:line="480" w:lineRule="auto"/>
        <w:jc w:val="both"/>
        <w:rPr>
          <w:rFonts w:ascii="Arial" w:eastAsia="Arial" w:hAnsi="Arial" w:cs="Arial"/>
          <w:color w:val="000000" w:themeColor="text1"/>
        </w:rPr>
      </w:pPr>
      <w:r w:rsidRPr="0C2082A0">
        <w:rPr>
          <w:rFonts w:ascii="Arial" w:eastAsia="Arial" w:hAnsi="Arial" w:cs="Arial"/>
          <w:color w:val="000000" w:themeColor="text1"/>
        </w:rPr>
        <w:t xml:space="preserve">The Definition of ‘Somatic,’ The History of Somatic Education, and Principles of Clinical Somatic Education THE DEFINITION OF ‘SOMATIC’. (n.d.). Available at: </w:t>
      </w:r>
      <w:hyperlink r:id="rId18">
        <w:r w:rsidRPr="0C2082A0">
          <w:rPr>
            <w:rStyle w:val="Hyperlink"/>
            <w:rFonts w:ascii="Arial" w:eastAsia="Arial" w:hAnsi="Arial" w:cs="Arial"/>
          </w:rPr>
          <w:t>https://somaticmovementcenter.com/wp-content/uploads/2018/08/Somatic-Theory.pdf</w:t>
        </w:r>
      </w:hyperlink>
      <w:r w:rsidRPr="0C2082A0">
        <w:rPr>
          <w:rFonts w:ascii="Arial" w:eastAsia="Arial" w:hAnsi="Arial" w:cs="Arial"/>
          <w:color w:val="000000" w:themeColor="text1"/>
        </w:rPr>
        <w:t xml:space="preserve"> [Accessed 28 Sep. 2024].</w:t>
      </w:r>
    </w:p>
    <w:p w14:paraId="6014F10B" w14:textId="4452346A" w:rsidR="04989D03" w:rsidRDefault="04989D03" w:rsidP="0C2082A0">
      <w:pPr>
        <w:spacing w:after="160" w:line="480" w:lineRule="auto"/>
        <w:jc w:val="both"/>
        <w:rPr>
          <w:rFonts w:ascii="Arial" w:eastAsia="Arial" w:hAnsi="Arial" w:cs="Arial"/>
          <w:color w:val="2C3E50"/>
        </w:rPr>
      </w:pPr>
      <w:r w:rsidRPr="0C2082A0">
        <w:rPr>
          <w:rFonts w:ascii="Arial" w:eastAsia="Arial" w:hAnsi="Arial" w:cs="Arial"/>
          <w:color w:val="000000" w:themeColor="text1"/>
        </w:rPr>
        <w:t xml:space="preserve">The Retreat (2021). </w:t>
      </w:r>
      <w:r w:rsidRPr="0C2082A0">
        <w:rPr>
          <w:rFonts w:ascii="Arial" w:eastAsia="Arial" w:hAnsi="Arial" w:cs="Arial"/>
          <w:i/>
          <w:iCs/>
          <w:color w:val="000000" w:themeColor="text1"/>
        </w:rPr>
        <w:t>Why Purple?</w:t>
      </w:r>
      <w:r w:rsidRPr="0C2082A0">
        <w:rPr>
          <w:rFonts w:ascii="Arial" w:eastAsia="Arial" w:hAnsi="Arial" w:cs="Arial"/>
          <w:color w:val="000000" w:themeColor="text1"/>
        </w:rPr>
        <w:t xml:space="preserve"> [online] The Retreat. Available at:</w:t>
      </w:r>
      <w:r w:rsidRPr="0C2082A0">
        <w:rPr>
          <w:rFonts w:ascii="Arial" w:eastAsia="Arial" w:hAnsi="Arial" w:cs="Arial"/>
          <w:color w:val="2C3E50"/>
        </w:rPr>
        <w:t xml:space="preserve"> </w:t>
      </w:r>
      <w:hyperlink r:id="rId19">
        <w:r w:rsidRPr="0C2082A0">
          <w:rPr>
            <w:rStyle w:val="Hyperlink"/>
            <w:rFonts w:ascii="Arial" w:eastAsia="Arial" w:hAnsi="Arial" w:cs="Arial"/>
          </w:rPr>
          <w:t>https://allagainstabuse.org/why-purple/</w:t>
        </w:r>
      </w:hyperlink>
      <w:r w:rsidRPr="0C2082A0">
        <w:rPr>
          <w:rFonts w:ascii="Arial" w:eastAsia="Arial" w:hAnsi="Arial" w:cs="Arial"/>
          <w:color w:val="2C3E50"/>
        </w:rPr>
        <w:t>.</w:t>
      </w:r>
    </w:p>
    <w:p w14:paraId="5CA06FE3" w14:textId="55A690FA" w:rsidR="04989D03" w:rsidRDefault="04989D03" w:rsidP="0C2082A0">
      <w:pPr>
        <w:spacing w:after="160" w:line="480" w:lineRule="auto"/>
        <w:jc w:val="both"/>
        <w:rPr>
          <w:rFonts w:ascii="Arial" w:eastAsia="Arial" w:hAnsi="Arial" w:cs="Arial"/>
          <w:color w:val="000000" w:themeColor="text1"/>
        </w:rPr>
      </w:pPr>
      <w:r w:rsidRPr="0C2082A0">
        <w:rPr>
          <w:rFonts w:ascii="Arial" w:eastAsia="Arial" w:hAnsi="Arial" w:cs="Arial"/>
          <w:color w:val="000000" w:themeColor="text1"/>
        </w:rPr>
        <w:t xml:space="preserve">White Ribbon UK (2019). </w:t>
      </w:r>
      <w:r w:rsidRPr="0C2082A0">
        <w:rPr>
          <w:rFonts w:ascii="Arial" w:eastAsia="Arial" w:hAnsi="Arial" w:cs="Arial"/>
          <w:i/>
          <w:iCs/>
          <w:color w:val="000000" w:themeColor="text1"/>
        </w:rPr>
        <w:t>White Ribbon UK</w:t>
      </w:r>
      <w:r w:rsidRPr="0C2082A0">
        <w:rPr>
          <w:rFonts w:ascii="Arial" w:eastAsia="Arial" w:hAnsi="Arial" w:cs="Arial"/>
          <w:color w:val="000000" w:themeColor="text1"/>
        </w:rPr>
        <w:t>. [online] White Ribbon UK. Available at:</w:t>
      </w:r>
      <w:r w:rsidRPr="0C2082A0">
        <w:rPr>
          <w:rFonts w:ascii="Arial" w:eastAsia="Arial" w:hAnsi="Arial" w:cs="Arial"/>
          <w:color w:val="2C3E50"/>
        </w:rPr>
        <w:t xml:space="preserve"> </w:t>
      </w:r>
      <w:hyperlink r:id="rId20">
        <w:r w:rsidRPr="0C2082A0">
          <w:rPr>
            <w:rStyle w:val="Hyperlink"/>
            <w:rFonts w:ascii="Arial" w:eastAsia="Arial" w:hAnsi="Arial" w:cs="Arial"/>
          </w:rPr>
          <w:t>https://www.whiteribbon.org.uk/</w:t>
        </w:r>
      </w:hyperlink>
      <w:r w:rsidRPr="0C2082A0">
        <w:rPr>
          <w:rFonts w:ascii="Arial" w:eastAsia="Arial" w:hAnsi="Arial" w:cs="Arial"/>
          <w:color w:val="2C3E50"/>
        </w:rPr>
        <w:t xml:space="preserve">. </w:t>
      </w:r>
      <w:r w:rsidRPr="0C2082A0">
        <w:rPr>
          <w:rFonts w:ascii="Arial" w:eastAsia="Arial" w:hAnsi="Arial" w:cs="Arial"/>
          <w:color w:val="000000" w:themeColor="text1"/>
        </w:rPr>
        <w:t xml:space="preserve">[Accessed 2 Jan. 2026]. </w:t>
      </w:r>
    </w:p>
    <w:p w14:paraId="660D91E7" w14:textId="2DDF55DB" w:rsidR="04989D03" w:rsidRDefault="04989D03" w:rsidP="0C2082A0">
      <w:pPr>
        <w:spacing w:after="160" w:line="480" w:lineRule="auto"/>
        <w:jc w:val="both"/>
        <w:rPr>
          <w:rFonts w:ascii="Arial" w:eastAsia="Arial" w:hAnsi="Arial" w:cs="Arial"/>
          <w:color w:val="2C3E50"/>
        </w:rPr>
      </w:pPr>
      <w:r w:rsidRPr="0C2082A0">
        <w:rPr>
          <w:rFonts w:ascii="Arial" w:eastAsia="Arial" w:hAnsi="Arial" w:cs="Arial"/>
          <w:color w:val="000000" w:themeColor="text1"/>
        </w:rPr>
        <w:lastRenderedPageBreak/>
        <w:t xml:space="preserve">Women’s Aid. (2025). Coercive control - Women’s Aid. [online] Available at: </w:t>
      </w:r>
      <w:hyperlink r:id="rId21">
        <w:r w:rsidRPr="0C2082A0">
          <w:rPr>
            <w:rStyle w:val="Hyperlink"/>
            <w:rFonts w:ascii="Arial" w:eastAsia="Arial" w:hAnsi="Arial" w:cs="Arial"/>
          </w:rPr>
          <w:t>https://womensaid.org.uk/information-support/what-is-domestic-abuse/coercive-control/?utm_source=chatgpt.com</w:t>
        </w:r>
      </w:hyperlink>
      <w:r w:rsidRPr="0C2082A0">
        <w:rPr>
          <w:rFonts w:ascii="Arial" w:eastAsia="Arial" w:hAnsi="Arial" w:cs="Arial"/>
          <w:color w:val="000000" w:themeColor="text1"/>
        </w:rPr>
        <w:t>.</w:t>
      </w:r>
    </w:p>
    <w:p w14:paraId="4CA5CFEF" w14:textId="7E0D8614" w:rsidR="44759481" w:rsidRDefault="44759481" w:rsidP="0C2082A0">
      <w:pPr>
        <w:spacing w:after="160" w:line="480" w:lineRule="auto"/>
        <w:jc w:val="both"/>
        <w:rPr>
          <w:rFonts w:ascii="Arial" w:eastAsia="Arial" w:hAnsi="Arial" w:cs="Arial"/>
          <w:color w:val="000000" w:themeColor="text1"/>
        </w:rPr>
      </w:pPr>
      <w:r w:rsidRPr="0C2082A0">
        <w:rPr>
          <w:rFonts w:ascii="Arial" w:eastAsia="Arial" w:hAnsi="Arial" w:cs="Arial"/>
          <w:color w:val="000000" w:themeColor="text1"/>
        </w:rPr>
        <w:t>Women’s Aid. (2025). What is domestic abuse? - Women’s Aid. [online] Available at:</w:t>
      </w:r>
      <w:r w:rsidR="6A4264E4" w:rsidRPr="0C2082A0">
        <w:rPr>
          <w:rFonts w:ascii="Arial" w:eastAsia="Arial" w:hAnsi="Arial" w:cs="Arial"/>
          <w:color w:val="000000" w:themeColor="text1"/>
        </w:rPr>
        <w:t xml:space="preserve"> </w:t>
      </w:r>
      <w:hyperlink r:id="rId22">
        <w:r w:rsidRPr="0C2082A0">
          <w:rPr>
            <w:rStyle w:val="Hyperlink"/>
            <w:rFonts w:ascii="Arial" w:eastAsia="Arial" w:hAnsi="Arial" w:cs="Arial"/>
          </w:rPr>
          <w:t>https://womensaid.org.uk/information-support/what-is-domestic-abuse/?utm_source=chatgpt.com</w:t>
        </w:r>
      </w:hyperlink>
      <w:r w:rsidRPr="0C2082A0">
        <w:rPr>
          <w:rFonts w:ascii="Arial" w:eastAsia="Arial" w:hAnsi="Arial" w:cs="Arial"/>
          <w:color w:val="000000" w:themeColor="text1"/>
        </w:rPr>
        <w:t>.</w:t>
      </w:r>
    </w:p>
    <w:p w14:paraId="15D07CBD" w14:textId="1CE31E55" w:rsidR="0C2082A0" w:rsidRDefault="0C2082A0" w:rsidP="0C2082A0">
      <w:pPr>
        <w:spacing w:after="160" w:line="480" w:lineRule="auto"/>
        <w:jc w:val="both"/>
        <w:rPr>
          <w:rFonts w:ascii="Arial" w:eastAsia="Arial" w:hAnsi="Arial" w:cs="Arial"/>
          <w:color w:val="000000" w:themeColor="text1"/>
        </w:rPr>
      </w:pPr>
    </w:p>
    <w:p w14:paraId="1698131F" w14:textId="48A4B8E0" w:rsidR="0C2082A0" w:rsidRDefault="0C2082A0" w:rsidP="0C2082A0">
      <w:pPr>
        <w:spacing w:after="160" w:line="480" w:lineRule="auto"/>
        <w:jc w:val="both"/>
        <w:rPr>
          <w:rFonts w:ascii="Arial" w:eastAsia="Arial" w:hAnsi="Arial" w:cs="Arial"/>
          <w:color w:val="000000" w:themeColor="text1"/>
        </w:rPr>
      </w:pPr>
    </w:p>
    <w:p w14:paraId="2C4E5C4F" w14:textId="74616387" w:rsidR="0C2082A0" w:rsidRDefault="0C2082A0" w:rsidP="0C2082A0">
      <w:pPr>
        <w:spacing w:after="160" w:line="480" w:lineRule="auto"/>
        <w:jc w:val="both"/>
        <w:rPr>
          <w:rFonts w:ascii="Arial" w:eastAsia="Arial" w:hAnsi="Arial" w:cs="Arial"/>
          <w:color w:val="000000" w:themeColor="text1"/>
        </w:rPr>
      </w:pPr>
    </w:p>
    <w:p w14:paraId="2227FC27" w14:textId="663F68B2" w:rsidR="0C2082A0" w:rsidRDefault="0C2082A0" w:rsidP="0C2082A0">
      <w:pPr>
        <w:spacing w:after="160" w:line="480" w:lineRule="auto"/>
        <w:jc w:val="both"/>
        <w:rPr>
          <w:rFonts w:ascii="Arial" w:eastAsia="Arial" w:hAnsi="Arial" w:cs="Arial"/>
          <w:color w:val="000000" w:themeColor="text1"/>
        </w:rPr>
      </w:pPr>
    </w:p>
    <w:p w14:paraId="19D7F535" w14:textId="4AB80007" w:rsidR="0C2082A0" w:rsidRDefault="0C2082A0" w:rsidP="0C2082A0">
      <w:pPr>
        <w:spacing w:after="160" w:line="480" w:lineRule="auto"/>
        <w:jc w:val="both"/>
        <w:rPr>
          <w:rFonts w:ascii="Arial" w:eastAsia="Arial" w:hAnsi="Arial" w:cs="Arial"/>
          <w:color w:val="000000" w:themeColor="text1"/>
        </w:rPr>
      </w:pPr>
    </w:p>
    <w:p w14:paraId="72EEB7C9" w14:textId="3C487A2E" w:rsidR="0C2082A0" w:rsidRDefault="0C2082A0" w:rsidP="0C2082A0">
      <w:pPr>
        <w:pStyle w:val="Heading2"/>
        <w:spacing w:before="0" w:after="160" w:line="480" w:lineRule="auto"/>
        <w:jc w:val="both"/>
        <w:rPr>
          <w:rFonts w:ascii="Arial" w:eastAsia="Arial" w:hAnsi="Arial" w:cs="Arial"/>
          <w:color w:val="000000" w:themeColor="text1"/>
          <w:sz w:val="24"/>
          <w:szCs w:val="24"/>
        </w:rPr>
      </w:pPr>
    </w:p>
    <w:p w14:paraId="223478CF" w14:textId="0B8A426A" w:rsidR="0C2082A0" w:rsidRDefault="0C2082A0" w:rsidP="0C2082A0"/>
    <w:p w14:paraId="186EE8AA" w14:textId="4EC44EB2" w:rsidR="0C2082A0" w:rsidRDefault="0C2082A0" w:rsidP="0C2082A0">
      <w:pPr>
        <w:pStyle w:val="Heading2"/>
        <w:jc w:val="center"/>
        <w:rPr>
          <w:rFonts w:ascii="Arial" w:eastAsia="Arial" w:hAnsi="Arial" w:cs="Arial"/>
          <w:color w:val="auto"/>
          <w:sz w:val="24"/>
          <w:szCs w:val="24"/>
        </w:rPr>
      </w:pPr>
    </w:p>
    <w:p w14:paraId="0778B358" w14:textId="77777777" w:rsidR="0091420B" w:rsidRDefault="0091420B" w:rsidP="0C2082A0">
      <w:pPr>
        <w:pStyle w:val="Heading1"/>
        <w:jc w:val="center"/>
        <w:rPr>
          <w:rFonts w:ascii="Arial" w:eastAsia="Arial" w:hAnsi="Arial" w:cs="Arial"/>
          <w:color w:val="auto"/>
          <w:sz w:val="24"/>
          <w:szCs w:val="24"/>
        </w:rPr>
      </w:pPr>
      <w:bookmarkStart w:id="10" w:name="_Toc803728151"/>
      <w:bookmarkStart w:id="11" w:name="_Toc1856258816"/>
      <w:bookmarkStart w:id="12" w:name="_Toc81839892"/>
      <w:bookmarkStart w:id="13" w:name="_Toc674719107"/>
      <w:bookmarkStart w:id="14" w:name="_Toc666107961"/>
      <w:bookmarkStart w:id="15" w:name="_Toc1777531888"/>
      <w:bookmarkStart w:id="16" w:name="_Toc1133230768"/>
      <w:bookmarkStart w:id="17" w:name="_Toc1918289973"/>
      <w:bookmarkStart w:id="18" w:name="_Toc510465699"/>
    </w:p>
    <w:p w14:paraId="5C1C28FA" w14:textId="77777777" w:rsidR="0091420B" w:rsidRDefault="0091420B" w:rsidP="0C2082A0">
      <w:pPr>
        <w:pStyle w:val="Heading1"/>
        <w:jc w:val="center"/>
        <w:rPr>
          <w:rFonts w:ascii="Arial" w:eastAsia="Arial" w:hAnsi="Arial" w:cs="Arial"/>
          <w:color w:val="auto"/>
          <w:sz w:val="24"/>
          <w:szCs w:val="24"/>
        </w:rPr>
      </w:pPr>
    </w:p>
    <w:p w14:paraId="71FF3FE0" w14:textId="77777777" w:rsidR="0091420B" w:rsidRDefault="0091420B" w:rsidP="0091420B"/>
    <w:p w14:paraId="552F2996" w14:textId="77777777" w:rsidR="0091420B" w:rsidRDefault="0091420B" w:rsidP="0091420B"/>
    <w:p w14:paraId="0398B6AE" w14:textId="77777777" w:rsidR="0091420B" w:rsidRDefault="0091420B" w:rsidP="0091420B"/>
    <w:p w14:paraId="133F78A0" w14:textId="77777777" w:rsidR="0091420B" w:rsidRPr="0091420B" w:rsidRDefault="0091420B" w:rsidP="0091420B"/>
    <w:p w14:paraId="4BDC2AD0" w14:textId="77777777" w:rsidR="0091420B" w:rsidRDefault="0091420B" w:rsidP="0C2082A0">
      <w:pPr>
        <w:pStyle w:val="Heading1"/>
        <w:jc w:val="center"/>
        <w:rPr>
          <w:rFonts w:ascii="Arial" w:eastAsia="Arial" w:hAnsi="Arial" w:cs="Arial"/>
          <w:color w:val="auto"/>
          <w:sz w:val="24"/>
          <w:szCs w:val="24"/>
        </w:rPr>
      </w:pPr>
    </w:p>
    <w:p w14:paraId="5C0BD404" w14:textId="77777777" w:rsidR="0091420B" w:rsidRDefault="0091420B" w:rsidP="0C2082A0">
      <w:pPr>
        <w:pStyle w:val="Heading1"/>
        <w:jc w:val="center"/>
        <w:rPr>
          <w:rFonts w:ascii="Arial" w:eastAsia="Arial" w:hAnsi="Arial" w:cs="Arial"/>
          <w:color w:val="auto"/>
          <w:sz w:val="24"/>
          <w:szCs w:val="24"/>
        </w:rPr>
      </w:pPr>
    </w:p>
    <w:p w14:paraId="1E1064EF" w14:textId="77777777" w:rsidR="0091420B" w:rsidRPr="0091420B" w:rsidRDefault="0091420B" w:rsidP="0091420B"/>
    <w:p w14:paraId="004F787A" w14:textId="0C4206CE" w:rsidR="3346C432" w:rsidRDefault="3346C432" w:rsidP="0C2082A0">
      <w:pPr>
        <w:pStyle w:val="Heading1"/>
        <w:jc w:val="center"/>
        <w:rPr>
          <w:rFonts w:ascii="Arial" w:eastAsia="Arial" w:hAnsi="Arial" w:cs="Arial"/>
          <w:color w:val="auto"/>
          <w:sz w:val="24"/>
          <w:szCs w:val="24"/>
        </w:rPr>
      </w:pPr>
      <w:r w:rsidRPr="0C2082A0">
        <w:rPr>
          <w:rFonts w:ascii="Arial" w:eastAsia="Arial" w:hAnsi="Arial" w:cs="Arial"/>
          <w:color w:val="auto"/>
          <w:sz w:val="24"/>
          <w:szCs w:val="24"/>
        </w:rPr>
        <w:lastRenderedPageBreak/>
        <w:t>Research Journal</w:t>
      </w:r>
      <w:bookmarkEnd w:id="10"/>
      <w:bookmarkEnd w:id="11"/>
      <w:bookmarkEnd w:id="12"/>
      <w:bookmarkEnd w:id="13"/>
      <w:bookmarkEnd w:id="14"/>
      <w:bookmarkEnd w:id="15"/>
      <w:bookmarkEnd w:id="16"/>
      <w:bookmarkEnd w:id="17"/>
      <w:bookmarkEnd w:id="18"/>
      <w:r w:rsidRPr="0C2082A0">
        <w:rPr>
          <w:rFonts w:ascii="Arial" w:eastAsia="Arial" w:hAnsi="Arial" w:cs="Arial"/>
          <w:color w:val="auto"/>
          <w:sz w:val="24"/>
          <w:szCs w:val="24"/>
        </w:rPr>
        <w:t xml:space="preserve"> </w:t>
      </w:r>
    </w:p>
    <w:p w14:paraId="7B48380D" w14:textId="412553D6" w:rsidR="0C2082A0" w:rsidRDefault="0C2082A0" w:rsidP="0C2082A0"/>
    <w:p w14:paraId="182F27CB" w14:textId="0EE78C6F" w:rsidR="5EF00226" w:rsidRDefault="5EF00226" w:rsidP="0C2082A0">
      <w:r>
        <w:fldChar w:fldCharType="begin"/>
      </w:r>
      <w:r>
        <w:instrText>HYPERLINK "https://drive.google.com/file/d/1dAnfccx3CfXp6S_JE6z0fnnkSb-Ybl5O/view?usp=sharing" \h</w:instrText>
      </w:r>
      <w:r>
        <w:fldChar w:fldCharType="separate"/>
      </w:r>
      <w:r w:rsidRPr="0C2082A0">
        <w:rPr>
          <w:rStyle w:val="Hyperlink"/>
        </w:rPr>
        <w:t>Research Journal</w:t>
      </w:r>
      <w:r>
        <w:fldChar w:fldCharType="end"/>
      </w:r>
    </w:p>
    <w:sectPr w:rsidR="5EF00226" w:rsidSect="008B647F">
      <w:headerReference w:type="even" r:id="rId23"/>
      <w:headerReference w:type="default" r:id="rId24"/>
      <w:footerReference w:type="even" r:id="rId25"/>
      <w:footerReference w:type="default" r:id="rId26"/>
      <w:headerReference w:type="first" r:id="rId27"/>
      <w:footerReference w:type="first" r:id="rId28"/>
      <w:pgSz w:w="11906" w:h="16838"/>
      <w:pgMar w:top="1132"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B394CA" w14:textId="77777777" w:rsidR="00904106" w:rsidRDefault="00904106" w:rsidP="002200BC">
      <w:r>
        <w:separator/>
      </w:r>
    </w:p>
  </w:endnote>
  <w:endnote w:type="continuationSeparator" w:id="0">
    <w:p w14:paraId="06C12CA4" w14:textId="77777777" w:rsidR="00904106" w:rsidRDefault="00904106" w:rsidP="002200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Montserrat">
    <w:panose1 w:val="00000500000000000000"/>
    <w:charset w:val="4D"/>
    <w:family w:val="auto"/>
    <w:pitch w:val="variable"/>
    <w:sig w:usb0="2000020F" w:usb1="00000003" w:usb2="00000000" w:usb3="00000000" w:csb0="00000197"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abon MT Pro">
    <w:altName w:val="Cambria"/>
    <w:panose1 w:val="020B0604020202020204"/>
    <w:charset w:val="00"/>
    <w:family w:val="roman"/>
    <w:pitch w:val="default"/>
    <w:sig w:usb0="00000003" w:usb1="00000000" w:usb2="00000000" w:usb3="00000000" w:csb0="00000001" w:csb1="00000000"/>
  </w:font>
  <w:font w:name="Yu Mincho">
    <w:altName w:val="游明朝"/>
    <w:panose1 w:val="02020400000000000000"/>
    <w:charset w:val="80"/>
    <w:family w:val="roman"/>
    <w:notTrueType/>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7963C24" w14:paraId="2546CB61" w14:textId="77777777" w:rsidTr="27963C24">
      <w:trPr>
        <w:trHeight w:val="300"/>
      </w:trPr>
      <w:tc>
        <w:tcPr>
          <w:tcW w:w="3005" w:type="dxa"/>
        </w:tcPr>
        <w:p w14:paraId="4738EA87" w14:textId="7B080632" w:rsidR="27963C24" w:rsidRDefault="27963C24" w:rsidP="27963C24">
          <w:pPr>
            <w:pStyle w:val="Header"/>
            <w:ind w:left="-115"/>
          </w:pPr>
        </w:p>
      </w:tc>
      <w:tc>
        <w:tcPr>
          <w:tcW w:w="3005" w:type="dxa"/>
        </w:tcPr>
        <w:p w14:paraId="6B365088" w14:textId="75E7A095" w:rsidR="27963C24" w:rsidRDefault="27963C24" w:rsidP="27963C24">
          <w:pPr>
            <w:pStyle w:val="Header"/>
            <w:jc w:val="center"/>
          </w:pPr>
        </w:p>
      </w:tc>
      <w:tc>
        <w:tcPr>
          <w:tcW w:w="3005" w:type="dxa"/>
        </w:tcPr>
        <w:p w14:paraId="777B56E3" w14:textId="00F0660A" w:rsidR="27963C24" w:rsidRDefault="27963C24" w:rsidP="27963C24">
          <w:pPr>
            <w:pStyle w:val="Header"/>
            <w:ind w:right="-115"/>
            <w:jc w:val="right"/>
          </w:pPr>
        </w:p>
      </w:tc>
    </w:tr>
  </w:tbl>
  <w:p w14:paraId="1540EA1D" w14:textId="1B66FC2B" w:rsidR="27963C24" w:rsidRDefault="27963C24" w:rsidP="27963C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E65795" w14:paraId="44A8C62B" w14:textId="77777777" w:rsidTr="0C2082A0">
      <w:trPr>
        <w:trHeight w:val="300"/>
      </w:trPr>
      <w:tc>
        <w:tcPr>
          <w:tcW w:w="3005" w:type="dxa"/>
        </w:tcPr>
        <w:p w14:paraId="737B587A" w14:textId="53AA05C9" w:rsidR="00E65795" w:rsidRDefault="00E65795" w:rsidP="00E65795">
          <w:pPr>
            <w:pStyle w:val="Header"/>
            <w:ind w:left="-115"/>
          </w:pPr>
        </w:p>
      </w:tc>
      <w:tc>
        <w:tcPr>
          <w:tcW w:w="3005" w:type="dxa"/>
        </w:tcPr>
        <w:p w14:paraId="1A703D97" w14:textId="7BD3EDC6" w:rsidR="00E65795" w:rsidRDefault="00E65795" w:rsidP="00E65795">
          <w:pPr>
            <w:pStyle w:val="Header"/>
            <w:jc w:val="center"/>
          </w:pPr>
        </w:p>
      </w:tc>
      <w:tc>
        <w:tcPr>
          <w:tcW w:w="3005" w:type="dxa"/>
        </w:tcPr>
        <w:p w14:paraId="3B54FC7D" w14:textId="43249ADA" w:rsidR="00E65795" w:rsidRDefault="00E65795" w:rsidP="0C2082A0">
          <w:pPr>
            <w:pStyle w:val="Header"/>
            <w:spacing w:line="259" w:lineRule="auto"/>
            <w:ind w:right="-115"/>
            <w:jc w:val="right"/>
          </w:pPr>
          <w:r>
            <w:fldChar w:fldCharType="begin"/>
          </w:r>
          <w:r>
            <w:instrText>PAGE</w:instrText>
          </w:r>
          <w:r>
            <w:fldChar w:fldCharType="separate"/>
          </w:r>
          <w:r w:rsidR="0091420B">
            <w:rPr>
              <w:noProof/>
            </w:rPr>
            <w:t>2</w:t>
          </w:r>
          <w:r>
            <w:fldChar w:fldCharType="end"/>
          </w:r>
        </w:p>
      </w:tc>
    </w:tr>
  </w:tbl>
  <w:p w14:paraId="157775F5" w14:textId="215C3B9A" w:rsidR="00E65795" w:rsidRDefault="00E65795" w:rsidP="00E6579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C2082A0" w14:paraId="31280F56" w14:textId="77777777" w:rsidTr="0C2082A0">
      <w:trPr>
        <w:trHeight w:val="300"/>
      </w:trPr>
      <w:tc>
        <w:tcPr>
          <w:tcW w:w="3005" w:type="dxa"/>
        </w:tcPr>
        <w:p w14:paraId="654393C4" w14:textId="3D034400" w:rsidR="0C2082A0" w:rsidRDefault="0C2082A0" w:rsidP="0C2082A0">
          <w:pPr>
            <w:pStyle w:val="Header"/>
            <w:ind w:left="-115"/>
          </w:pPr>
        </w:p>
      </w:tc>
      <w:tc>
        <w:tcPr>
          <w:tcW w:w="3005" w:type="dxa"/>
        </w:tcPr>
        <w:p w14:paraId="079F35CB" w14:textId="1DF6758C" w:rsidR="0C2082A0" w:rsidRDefault="0C2082A0" w:rsidP="0C2082A0">
          <w:pPr>
            <w:pStyle w:val="Header"/>
            <w:jc w:val="center"/>
          </w:pPr>
        </w:p>
      </w:tc>
      <w:tc>
        <w:tcPr>
          <w:tcW w:w="3005" w:type="dxa"/>
        </w:tcPr>
        <w:p w14:paraId="22780828" w14:textId="3312D876" w:rsidR="0C2082A0" w:rsidRDefault="0C2082A0" w:rsidP="0C2082A0">
          <w:pPr>
            <w:pStyle w:val="Header"/>
            <w:ind w:right="-115"/>
            <w:jc w:val="right"/>
          </w:pPr>
        </w:p>
      </w:tc>
    </w:tr>
  </w:tbl>
  <w:p w14:paraId="05AC8587" w14:textId="7EDB181D" w:rsidR="0C2082A0" w:rsidRDefault="0C2082A0" w:rsidP="0C2082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216F7B" w14:textId="77777777" w:rsidR="00904106" w:rsidRDefault="00904106" w:rsidP="002200BC">
      <w:r>
        <w:separator/>
      </w:r>
    </w:p>
  </w:footnote>
  <w:footnote w:type="continuationSeparator" w:id="0">
    <w:p w14:paraId="16785FD4" w14:textId="77777777" w:rsidR="00904106" w:rsidRDefault="00904106" w:rsidP="002200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7963C24" w14:paraId="528B9FFA" w14:textId="77777777" w:rsidTr="24C28568">
      <w:trPr>
        <w:trHeight w:val="300"/>
      </w:trPr>
      <w:tc>
        <w:tcPr>
          <w:tcW w:w="3005" w:type="dxa"/>
        </w:tcPr>
        <w:p w14:paraId="576D375B" w14:textId="41E522A6" w:rsidR="27963C24" w:rsidRDefault="27963C24" w:rsidP="27963C24">
          <w:pPr>
            <w:pStyle w:val="Header"/>
            <w:ind w:left="-115"/>
          </w:pPr>
          <w:r>
            <w:t>Lydia Jones</w:t>
          </w:r>
        </w:p>
        <w:p w14:paraId="56572E9C" w14:textId="65C76488" w:rsidR="27963C24" w:rsidRDefault="27963C24" w:rsidP="27963C24">
          <w:pPr>
            <w:pStyle w:val="Header"/>
            <w:ind w:left="-115"/>
          </w:pPr>
          <w:r>
            <w:t>2304335</w:t>
          </w:r>
        </w:p>
        <w:p w14:paraId="7F6B76CA" w14:textId="3FE6409A" w:rsidR="27963C24" w:rsidRDefault="27963C24" w:rsidP="27963C24">
          <w:pPr>
            <w:pStyle w:val="Header"/>
            <w:ind w:left="-115"/>
          </w:pPr>
          <w:r>
            <w:t>Independent Project Practical</w:t>
          </w:r>
        </w:p>
        <w:p w14:paraId="6FCD156C" w14:textId="67401B3D" w:rsidR="27963C24" w:rsidRDefault="27963C24" w:rsidP="27963C24">
          <w:pPr>
            <w:pStyle w:val="Header"/>
            <w:ind w:left="-115"/>
          </w:pPr>
        </w:p>
      </w:tc>
      <w:tc>
        <w:tcPr>
          <w:tcW w:w="3005" w:type="dxa"/>
        </w:tcPr>
        <w:p w14:paraId="560CEFFE" w14:textId="06D7C7C7" w:rsidR="27963C24" w:rsidRDefault="27963C24" w:rsidP="27963C24">
          <w:pPr>
            <w:pStyle w:val="Header"/>
            <w:jc w:val="center"/>
          </w:pPr>
        </w:p>
      </w:tc>
      <w:tc>
        <w:tcPr>
          <w:tcW w:w="3005" w:type="dxa"/>
        </w:tcPr>
        <w:p w14:paraId="6AED8E25" w14:textId="36668C44" w:rsidR="27963C24" w:rsidRDefault="27963C24" w:rsidP="27963C24">
          <w:pPr>
            <w:pStyle w:val="Header"/>
            <w:ind w:right="-115"/>
            <w:jc w:val="right"/>
          </w:pPr>
        </w:p>
      </w:tc>
    </w:tr>
  </w:tbl>
  <w:p w14:paraId="0987CBA7" w14:textId="34A85BA3" w:rsidR="27963C24" w:rsidRDefault="27963C24" w:rsidP="27963C2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720E4" w14:textId="6C84391E" w:rsidR="002200BC" w:rsidRDefault="0C2082A0" w:rsidP="0C2082A0">
    <w:pPr>
      <w:pStyle w:val="Header"/>
    </w:pPr>
    <w:r>
      <w:t xml:space="preserve">Lydia Jones </w:t>
    </w:r>
  </w:p>
  <w:p w14:paraId="6FCD62EA" w14:textId="79ECED55" w:rsidR="0C2082A0" w:rsidRDefault="0C2082A0" w:rsidP="0C2082A0">
    <w:pPr>
      <w:pStyle w:val="Header"/>
    </w:pPr>
    <w:r>
      <w:t>2304335</w:t>
    </w:r>
  </w:p>
  <w:p w14:paraId="6B14D06E" w14:textId="4D679BE1" w:rsidR="0C2082A0" w:rsidRDefault="0C2082A0" w:rsidP="0C2082A0">
    <w:pPr>
      <w:pStyle w:val="Header"/>
    </w:pPr>
    <w:r>
      <w:t>Practical: Written</w:t>
    </w:r>
  </w:p>
  <w:p w14:paraId="416D24BC" w14:textId="520AEED7" w:rsidR="0C2082A0" w:rsidRDefault="0C2082A0" w:rsidP="0C2082A0">
    <w:pPr>
      <w:pStyle w:val="Header"/>
      <w:jc w:val="cen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9026"/>
    </w:tblGrid>
    <w:tr w:rsidR="0C2082A0" w14:paraId="09251627" w14:textId="77777777" w:rsidTr="0C2082A0">
      <w:trPr>
        <w:trHeight w:val="1200"/>
      </w:trPr>
      <w:tc>
        <w:tcPr>
          <w:tcW w:w="9135" w:type="dxa"/>
        </w:tcPr>
        <w:p w14:paraId="7CA93C56" w14:textId="1691FF36" w:rsidR="0C2082A0" w:rsidRDefault="0C2082A0" w:rsidP="0C2082A0">
          <w:pPr>
            <w:pStyle w:val="Header"/>
            <w:jc w:val="center"/>
          </w:pPr>
          <w:r>
            <w:rPr>
              <w:noProof/>
            </w:rPr>
            <w:drawing>
              <wp:inline distT="0" distB="0" distL="0" distR="0" wp14:anchorId="1CE270BB" wp14:editId="6270428F">
                <wp:extent cx="3879496" cy="1199180"/>
                <wp:effectExtent l="0" t="0" r="0" b="0"/>
                <wp:docPr id="2139312176" name="Picture 3" descr="A black and white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198234" name="Picture 3" descr="A black and white sign with white text&#10;&#10;Description automatically generated"/>
                        <pic:cNvPicPr/>
                      </pic:nvPicPr>
                      <pic:blipFill>
                        <a:blip r:embed="rId1">
                          <a:extLst>
                            <a:ext uri="{28A0092B-C50C-407E-A947-70E740481C1C}">
                              <a14:useLocalDpi xmlns:a14="http://schemas.microsoft.com/office/drawing/2010/main"/>
                            </a:ext>
                          </a:extLst>
                        </a:blip>
                        <a:stretch>
                          <a:fillRect/>
                        </a:stretch>
                      </pic:blipFill>
                      <pic:spPr>
                        <a:xfrm>
                          <a:off x="0" y="0"/>
                          <a:ext cx="3879496" cy="1199180"/>
                        </a:xfrm>
                        <a:prstGeom prst="rect">
                          <a:avLst/>
                        </a:prstGeom>
                      </pic:spPr>
                    </pic:pic>
                  </a:graphicData>
                </a:graphic>
              </wp:inline>
            </w:drawing>
          </w:r>
        </w:p>
      </w:tc>
    </w:tr>
  </w:tbl>
  <w:p w14:paraId="3EABD912" w14:textId="2FA0D641" w:rsidR="0C2082A0" w:rsidRDefault="0C2082A0" w:rsidP="0C2082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D67E2"/>
    <w:multiLevelType w:val="hybridMultilevel"/>
    <w:tmpl w:val="5B380D7E"/>
    <w:lvl w:ilvl="0" w:tplc="01BCEADA">
      <w:numFmt w:val="bullet"/>
      <w:lvlText w:val="-"/>
      <w:lvlJc w:val="left"/>
      <w:pPr>
        <w:ind w:left="720" w:hanging="360"/>
      </w:pPr>
      <w:rPr>
        <w:rFonts w:ascii="Montserrat" w:eastAsia="Times New Roman" w:hAnsi="Montserrat"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DD46CB"/>
    <w:multiLevelType w:val="hybridMultilevel"/>
    <w:tmpl w:val="0960E7C0"/>
    <w:lvl w:ilvl="0" w:tplc="A57629C0">
      <w:numFmt w:val="bullet"/>
      <w:lvlText w:val="-"/>
      <w:lvlJc w:val="left"/>
      <w:pPr>
        <w:ind w:left="720" w:hanging="360"/>
      </w:pPr>
      <w:rPr>
        <w:rFonts w:ascii="Montserrat" w:eastAsia="Times New Roman" w:hAnsi="Montserrat"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5A16E4"/>
    <w:multiLevelType w:val="hybridMultilevel"/>
    <w:tmpl w:val="D52EE7EA"/>
    <w:lvl w:ilvl="0" w:tplc="99B4F5F2">
      <w:numFmt w:val="bullet"/>
      <w:lvlText w:val="-"/>
      <w:lvlJc w:val="left"/>
      <w:pPr>
        <w:ind w:left="720" w:hanging="360"/>
      </w:pPr>
      <w:rPr>
        <w:rFonts w:ascii="Montserrat" w:eastAsia="Times New Roman" w:hAnsi="Montserrat"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C444B8"/>
    <w:multiLevelType w:val="hybridMultilevel"/>
    <w:tmpl w:val="AEC6874E"/>
    <w:lvl w:ilvl="0" w:tplc="5106C1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5520469">
    <w:abstractNumId w:val="2"/>
  </w:num>
  <w:num w:numId="2" w16cid:durableId="1362781766">
    <w:abstractNumId w:val="1"/>
  </w:num>
  <w:num w:numId="3" w16cid:durableId="2081562328">
    <w:abstractNumId w:val="0"/>
  </w:num>
  <w:num w:numId="4" w16cid:durableId="7153969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1FD"/>
    <w:rsid w:val="00012F76"/>
    <w:rsid w:val="0003633A"/>
    <w:rsid w:val="00085702"/>
    <w:rsid w:val="000C3EA0"/>
    <w:rsid w:val="000F32B0"/>
    <w:rsid w:val="00166ED8"/>
    <w:rsid w:val="002200BC"/>
    <w:rsid w:val="0027044D"/>
    <w:rsid w:val="002B313A"/>
    <w:rsid w:val="003256A8"/>
    <w:rsid w:val="003370F9"/>
    <w:rsid w:val="0034422D"/>
    <w:rsid w:val="0036082A"/>
    <w:rsid w:val="003E2950"/>
    <w:rsid w:val="00403C7D"/>
    <w:rsid w:val="00486317"/>
    <w:rsid w:val="00487140"/>
    <w:rsid w:val="004F02DE"/>
    <w:rsid w:val="00537A7F"/>
    <w:rsid w:val="00630A95"/>
    <w:rsid w:val="00645F55"/>
    <w:rsid w:val="00663E54"/>
    <w:rsid w:val="00681000"/>
    <w:rsid w:val="00731CE5"/>
    <w:rsid w:val="00776E43"/>
    <w:rsid w:val="007A2568"/>
    <w:rsid w:val="007F6FEC"/>
    <w:rsid w:val="0080385B"/>
    <w:rsid w:val="00883BF0"/>
    <w:rsid w:val="008B647F"/>
    <w:rsid w:val="00900881"/>
    <w:rsid w:val="00904106"/>
    <w:rsid w:val="0091420B"/>
    <w:rsid w:val="00A00B92"/>
    <w:rsid w:val="00A37D94"/>
    <w:rsid w:val="00A40F67"/>
    <w:rsid w:val="00A750D7"/>
    <w:rsid w:val="00AA1EC6"/>
    <w:rsid w:val="00AB56B1"/>
    <w:rsid w:val="00AB60AA"/>
    <w:rsid w:val="00BB4E3B"/>
    <w:rsid w:val="00BE4F9A"/>
    <w:rsid w:val="00C06AE1"/>
    <w:rsid w:val="00C245D6"/>
    <w:rsid w:val="00C63266"/>
    <w:rsid w:val="00D37814"/>
    <w:rsid w:val="00DD46B0"/>
    <w:rsid w:val="00E00E90"/>
    <w:rsid w:val="00E33B94"/>
    <w:rsid w:val="00E65795"/>
    <w:rsid w:val="00EC1FD2"/>
    <w:rsid w:val="00F17880"/>
    <w:rsid w:val="00F20DD7"/>
    <w:rsid w:val="00F366E9"/>
    <w:rsid w:val="00F83517"/>
    <w:rsid w:val="00F951FD"/>
    <w:rsid w:val="00FB2764"/>
    <w:rsid w:val="00FF2B6B"/>
    <w:rsid w:val="0184782D"/>
    <w:rsid w:val="04989D03"/>
    <w:rsid w:val="066A2E5B"/>
    <w:rsid w:val="0C1FC955"/>
    <w:rsid w:val="0C2082A0"/>
    <w:rsid w:val="0C2F62D5"/>
    <w:rsid w:val="103B6D10"/>
    <w:rsid w:val="11B37067"/>
    <w:rsid w:val="1756F581"/>
    <w:rsid w:val="1A7F6EC4"/>
    <w:rsid w:val="1D90F415"/>
    <w:rsid w:val="21CD7118"/>
    <w:rsid w:val="23F0BA82"/>
    <w:rsid w:val="24557FF5"/>
    <w:rsid w:val="24C28568"/>
    <w:rsid w:val="26647A6D"/>
    <w:rsid w:val="268E054C"/>
    <w:rsid w:val="27963C24"/>
    <w:rsid w:val="2B67DD62"/>
    <w:rsid w:val="2C07442C"/>
    <w:rsid w:val="2D42FCBE"/>
    <w:rsid w:val="2D7D04B5"/>
    <w:rsid w:val="2E7FF56D"/>
    <w:rsid w:val="30AFDD30"/>
    <w:rsid w:val="3346C432"/>
    <w:rsid w:val="33A993FB"/>
    <w:rsid w:val="34C78C56"/>
    <w:rsid w:val="3A75B32D"/>
    <w:rsid w:val="3AB64D35"/>
    <w:rsid w:val="3B1B42DF"/>
    <w:rsid w:val="41100093"/>
    <w:rsid w:val="44759481"/>
    <w:rsid w:val="44F746C2"/>
    <w:rsid w:val="47D05B91"/>
    <w:rsid w:val="483439B7"/>
    <w:rsid w:val="49D284F6"/>
    <w:rsid w:val="4A9D842C"/>
    <w:rsid w:val="4FE9F4D9"/>
    <w:rsid w:val="5404AA40"/>
    <w:rsid w:val="55DA5B1A"/>
    <w:rsid w:val="57D1126B"/>
    <w:rsid w:val="57DCB005"/>
    <w:rsid w:val="59105C40"/>
    <w:rsid w:val="5A5FC111"/>
    <w:rsid w:val="5CB72701"/>
    <w:rsid w:val="5E62E583"/>
    <w:rsid w:val="5EBC9014"/>
    <w:rsid w:val="5EF00226"/>
    <w:rsid w:val="5FF034E9"/>
    <w:rsid w:val="66859571"/>
    <w:rsid w:val="67BCEB39"/>
    <w:rsid w:val="6A4264E4"/>
    <w:rsid w:val="6E7B418F"/>
    <w:rsid w:val="7066CDB3"/>
    <w:rsid w:val="76B64043"/>
    <w:rsid w:val="7A267834"/>
    <w:rsid w:val="7A805E6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3946D1"/>
  <w15:chartTrackingRefBased/>
  <w15:docId w15:val="{43ED4B20-AED8-441B-864C-7D1EA1895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C2082A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uiPriority w:val="9"/>
    <w:unhideWhenUsed/>
    <w:qFormat/>
    <w:rsid w:val="0C2082A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M95">
    <w:name w:val="CM95"/>
    <w:basedOn w:val="Normal"/>
    <w:next w:val="Normal"/>
    <w:rsid w:val="00F951FD"/>
    <w:pPr>
      <w:autoSpaceDE w:val="0"/>
      <w:autoSpaceDN w:val="0"/>
      <w:adjustRightInd w:val="0"/>
      <w:spacing w:line="238" w:lineRule="atLeast"/>
    </w:pPr>
    <w:rPr>
      <w:rFonts w:ascii="Sabon MT Pro" w:eastAsia="Times New Roman" w:hAnsi="Sabon MT Pro" w:cs="Times New Roman"/>
      <w:lang w:eastAsia="en-GB"/>
    </w:rPr>
  </w:style>
  <w:style w:type="paragraph" w:styleId="Header">
    <w:name w:val="header"/>
    <w:basedOn w:val="Normal"/>
    <w:link w:val="HeaderChar"/>
    <w:uiPriority w:val="99"/>
    <w:unhideWhenUsed/>
    <w:rsid w:val="002200BC"/>
    <w:pPr>
      <w:tabs>
        <w:tab w:val="center" w:pos="4513"/>
        <w:tab w:val="right" w:pos="9026"/>
      </w:tabs>
    </w:pPr>
  </w:style>
  <w:style w:type="character" w:customStyle="1" w:styleId="HeaderChar">
    <w:name w:val="Header Char"/>
    <w:basedOn w:val="DefaultParagraphFont"/>
    <w:link w:val="Header"/>
    <w:uiPriority w:val="99"/>
    <w:rsid w:val="002200BC"/>
  </w:style>
  <w:style w:type="paragraph" w:styleId="Footer">
    <w:name w:val="footer"/>
    <w:basedOn w:val="Normal"/>
    <w:link w:val="FooterChar"/>
    <w:uiPriority w:val="99"/>
    <w:unhideWhenUsed/>
    <w:rsid w:val="002200BC"/>
    <w:pPr>
      <w:tabs>
        <w:tab w:val="center" w:pos="4513"/>
        <w:tab w:val="right" w:pos="9026"/>
      </w:tabs>
    </w:pPr>
  </w:style>
  <w:style w:type="character" w:customStyle="1" w:styleId="FooterChar">
    <w:name w:val="Footer Char"/>
    <w:basedOn w:val="DefaultParagraphFont"/>
    <w:link w:val="Footer"/>
    <w:uiPriority w:val="99"/>
    <w:rsid w:val="002200BC"/>
  </w:style>
  <w:style w:type="paragraph" w:styleId="ListParagraph">
    <w:name w:val="List Paragraph"/>
    <w:basedOn w:val="Normal"/>
    <w:uiPriority w:val="34"/>
    <w:qFormat/>
    <w:rsid w:val="00681000"/>
    <w:pPr>
      <w:ind w:left="720"/>
      <w:contextualSpacing/>
    </w:p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C2082A0"/>
    <w:rPr>
      <w:color w:val="0563C1"/>
      <w:u w:val="single"/>
    </w:rPr>
  </w:style>
  <w:style w:type="paragraph" w:styleId="TOC1">
    <w:name w:val="toc 1"/>
    <w:basedOn w:val="Normal"/>
    <w:next w:val="Normal"/>
    <w:uiPriority w:val="39"/>
    <w:unhideWhenUsed/>
    <w:rsid w:val="0C2082A0"/>
    <w:pPr>
      <w:spacing w:after="100"/>
    </w:pPr>
  </w:style>
  <w:style w:type="paragraph" w:styleId="TOC2">
    <w:name w:val="toc 2"/>
    <w:basedOn w:val="Normal"/>
    <w:next w:val="Normal"/>
    <w:uiPriority w:val="39"/>
    <w:unhideWhenUsed/>
    <w:rsid w:val="0C2082A0"/>
    <w:pPr>
      <w:spacing w:after="100"/>
      <w:ind w:left="220"/>
    </w:pPr>
  </w:style>
  <w:style w:type="character" w:styleId="FollowedHyperlink">
    <w:name w:val="FollowedHyperlink"/>
    <w:basedOn w:val="DefaultParagraphFont"/>
    <w:uiPriority w:val="99"/>
    <w:semiHidden/>
    <w:unhideWhenUsed/>
    <w:rsid w:val="0091420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0479016">
      <w:bodyDiv w:val="1"/>
      <w:marLeft w:val="0"/>
      <w:marRight w:val="0"/>
      <w:marTop w:val="0"/>
      <w:marBottom w:val="0"/>
      <w:divBdr>
        <w:top w:val="none" w:sz="0" w:space="0" w:color="auto"/>
        <w:left w:val="none" w:sz="0" w:space="0" w:color="auto"/>
        <w:bottom w:val="none" w:sz="0" w:space="0" w:color="auto"/>
        <w:right w:val="none" w:sz="0" w:space="0" w:color="auto"/>
      </w:divBdr>
    </w:div>
    <w:div w:id="1071586502">
      <w:bodyDiv w:val="1"/>
      <w:marLeft w:val="0"/>
      <w:marRight w:val="0"/>
      <w:marTop w:val="0"/>
      <w:marBottom w:val="0"/>
      <w:divBdr>
        <w:top w:val="none" w:sz="0" w:space="0" w:color="auto"/>
        <w:left w:val="none" w:sz="0" w:space="0" w:color="auto"/>
        <w:bottom w:val="none" w:sz="0" w:space="0" w:color="auto"/>
        <w:right w:val="none" w:sz="0" w:space="0" w:color="auto"/>
      </w:divBdr>
    </w:div>
    <w:div w:id="1618608611">
      <w:bodyDiv w:val="1"/>
      <w:marLeft w:val="0"/>
      <w:marRight w:val="0"/>
      <w:marTop w:val="0"/>
      <w:marBottom w:val="0"/>
      <w:divBdr>
        <w:top w:val="none" w:sz="0" w:space="0" w:color="auto"/>
        <w:left w:val="none" w:sz="0" w:space="0" w:color="auto"/>
        <w:bottom w:val="none" w:sz="0" w:space="0" w:color="auto"/>
        <w:right w:val="none" w:sz="0" w:space="0" w:color="auto"/>
      </w:divBdr>
      <w:divsChild>
        <w:div w:id="1756587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dta.memberclicks.net/what-is-dancemovement-therapy" TargetMode="External"/><Relationship Id="rId13" Type="http://schemas.openxmlformats.org/officeDocument/2006/relationships/hyperlink" Target="https://psycnet.apa.org/record/2014-44678-000" TargetMode="External"/><Relationship Id="rId18" Type="http://schemas.openxmlformats.org/officeDocument/2006/relationships/hyperlink" Target="https://somaticmovementcenter.com/wp-content/uploads/2018/08/Somatic-Theory.pdf"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omensaid.org.uk/information-support/what-is-domestic-abuse/coercive-control/?utm_source=chatgpt.com" TargetMode="External"/><Relationship Id="rId7" Type="http://schemas.openxmlformats.org/officeDocument/2006/relationships/endnotes" Target="endnotes.xml"/><Relationship Id="rId12" Type="http://schemas.openxmlformats.org/officeDocument/2006/relationships/hyperlink" Target="https://www.jba.af.mil/News/Article-Display/Article/769341/sexual-assault-awareness-month-events-promote-an-end-to-sexual-violence/" TargetMode="External"/><Relationship Id="rId17" Type="http://schemas.openxmlformats.org/officeDocument/2006/relationships/hyperlink" Target="HTTPs://doi.org/10.2307/2392894"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nctsn.org/sites/default/files/resources/resource-guide/samhsa_trauma.pdf" TargetMode="External"/><Relationship Id="rId20" Type="http://schemas.openxmlformats.org/officeDocument/2006/relationships/hyperlink" Target="https://www.whiteribbon.org.u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yplace.com/abuse/articles/the-history-of-the-mint-green-ribbon" TargetMode="External"/><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rapecrisis.org.uk/get-informed/types-of-sexual-violence/"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hyperlink" Target="https://cloudassess.com/blog/schons-reflective-practice/" TargetMode="External"/><Relationship Id="rId19" Type="http://schemas.openxmlformats.org/officeDocument/2006/relationships/hyperlink" Target="https://allagainstabuse.org/why-purple/" TargetMode="External"/><Relationship Id="rId4" Type="http://schemas.openxmlformats.org/officeDocument/2006/relationships/settings" Target="settings.xml"/><Relationship Id="rId9" Type="http://schemas.openxmlformats.org/officeDocument/2006/relationships/hyperlink" Target="https://dancedataproject.com/creating-a-safe-dance-environment/" TargetMode="External"/><Relationship Id="rId14" Type="http://schemas.openxmlformats.org/officeDocument/2006/relationships/hyperlink" Target="https://www.scirp.org/reference/ReferencesPapers?ReferenceID=2148783" TargetMode="External"/><Relationship Id="rId22" Type="http://schemas.openxmlformats.org/officeDocument/2006/relationships/hyperlink" Target="https://womensaid.org.uk/information-support/what-is-domestic-abuse/?utm_source=chatgpt.com" TargetMode="External"/><Relationship Id="rId27" Type="http://schemas.openxmlformats.org/officeDocument/2006/relationships/header" Target="header3.xml"/><Relationship Id="rId30" Type="http://schemas.openxmlformats.org/officeDocument/2006/relationships/theme" Target="theme/theme1.xml"/></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F9C286-7D82-5A4C-B033-041B0DAFEF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4020</Words>
  <Characters>22915</Characters>
  <Application>Microsoft Office Word</Application>
  <DocSecurity>0</DocSecurity>
  <Lines>190</Lines>
  <Paragraphs>53</Paragraphs>
  <ScaleCrop>false</ScaleCrop>
  <Company/>
  <LinksUpToDate>false</LinksUpToDate>
  <CharactersWithSpaces>26882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Laurence</dc:creator>
  <cp:keywords/>
  <dc:description/>
  <cp:lastModifiedBy>lydia.rhona.jones@gmail.com</cp:lastModifiedBy>
  <cp:revision>2</cp:revision>
  <dcterms:created xsi:type="dcterms:W3CDTF">2026-02-27T23:09:00Z</dcterms:created>
  <dcterms:modified xsi:type="dcterms:W3CDTF">2026-02-27T23:09:00Z</dcterms:modified>
</cp:coreProperties>
</file>