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7.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8.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9.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0.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1.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2.xml" ContentType="application/vnd.openxmlformats-officedocument.drawingml.chart+xml"/>
  <Override PartName="/word/charts/style10.xml" ContentType="application/vnd.ms-office.chartstyle+xml"/>
  <Override PartName="/word/charts/colors10.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542FF" w14:textId="53E2F8D0" w:rsidR="00A86682" w:rsidRPr="00A86682" w:rsidRDefault="00726A0D" w:rsidP="00A86682">
      <w:pPr>
        <w:jc w:val="both"/>
        <w:rPr>
          <w:rFonts w:ascii="Arial" w:hAnsi="Arial" w:cs="Arial"/>
          <w:b/>
          <w:bCs/>
          <w:color w:val="4472C4" w:themeColor="accent1"/>
          <w:sz w:val="32"/>
          <w:szCs w:val="32"/>
          <w:u w:val="single"/>
        </w:rPr>
      </w:pPr>
      <w:r>
        <w:rPr>
          <w:rFonts w:ascii="Arial" w:hAnsi="Arial" w:cs="Arial"/>
          <w:b/>
          <w:bCs/>
          <w:color w:val="4472C4" w:themeColor="accent1"/>
          <w:sz w:val="32"/>
          <w:szCs w:val="32"/>
          <w:u w:val="single"/>
        </w:rPr>
        <w:t>A</w:t>
      </w:r>
      <w:r w:rsidR="002C074F" w:rsidRPr="00A86682">
        <w:rPr>
          <w:rFonts w:ascii="Arial" w:hAnsi="Arial" w:cs="Arial"/>
          <w:b/>
          <w:bCs/>
          <w:color w:val="4472C4" w:themeColor="accent1"/>
          <w:sz w:val="32"/>
          <w:szCs w:val="32"/>
          <w:u w:val="single"/>
        </w:rPr>
        <w:t xml:space="preserve"> FITT Framework </w:t>
      </w:r>
      <w:r w:rsidR="00A86682" w:rsidRPr="00A86682">
        <w:rPr>
          <w:rFonts w:ascii="Arial" w:hAnsi="Arial" w:cs="Arial"/>
          <w:b/>
          <w:bCs/>
          <w:color w:val="4472C4" w:themeColor="accent1"/>
          <w:sz w:val="32"/>
          <w:szCs w:val="32"/>
          <w:u w:val="single"/>
        </w:rPr>
        <w:t xml:space="preserve">Analysis </w:t>
      </w:r>
      <w:r>
        <w:rPr>
          <w:rFonts w:ascii="Arial" w:hAnsi="Arial" w:cs="Arial"/>
          <w:b/>
          <w:bCs/>
          <w:color w:val="4472C4" w:themeColor="accent1"/>
          <w:sz w:val="32"/>
          <w:szCs w:val="32"/>
          <w:u w:val="single"/>
        </w:rPr>
        <w:t>on</w:t>
      </w:r>
      <w:r w:rsidR="00A86682" w:rsidRPr="00A86682">
        <w:rPr>
          <w:rFonts w:ascii="Arial" w:hAnsi="Arial" w:cs="Arial"/>
          <w:b/>
          <w:bCs/>
          <w:color w:val="4472C4" w:themeColor="accent1"/>
          <w:sz w:val="32"/>
          <w:szCs w:val="32"/>
          <w:u w:val="single"/>
        </w:rPr>
        <w:t xml:space="preserve"> Automatic Text Reminders</w:t>
      </w:r>
    </w:p>
    <w:p w14:paraId="5CBD5A01" w14:textId="23AAF8BD" w:rsidR="00BF6225" w:rsidRPr="00A86682" w:rsidRDefault="00BF6225" w:rsidP="00A86682">
      <w:pPr>
        <w:rPr>
          <w:rFonts w:ascii="Arial" w:hAnsi="Arial" w:cs="Arial"/>
          <w:b/>
          <w:bCs/>
          <w:sz w:val="28"/>
          <w:szCs w:val="28"/>
          <w:u w:val="single"/>
        </w:rPr>
      </w:pPr>
      <w:r w:rsidRPr="00A86682">
        <w:rPr>
          <w:rFonts w:ascii="Arial" w:hAnsi="Arial" w:cs="Arial"/>
          <w:b/>
          <w:bCs/>
          <w:sz w:val="28"/>
          <w:szCs w:val="28"/>
          <w:u w:val="single"/>
        </w:rPr>
        <w:t>Introduction</w:t>
      </w:r>
    </w:p>
    <w:p w14:paraId="35C60ADE" w14:textId="2CBC0646" w:rsidR="00533B39" w:rsidRPr="00623383" w:rsidRDefault="00533B39" w:rsidP="00C6452F">
      <w:pPr>
        <w:jc w:val="both"/>
        <w:rPr>
          <w:rFonts w:ascii="Arial" w:hAnsi="Arial" w:cs="Arial"/>
          <w:sz w:val="24"/>
          <w:szCs w:val="24"/>
          <w:lang w:eastAsia="en-GB"/>
        </w:rPr>
      </w:pPr>
      <w:r w:rsidRPr="00623383">
        <w:rPr>
          <w:rFonts w:ascii="Arial" w:hAnsi="Arial" w:cs="Arial"/>
          <w:sz w:val="24"/>
          <w:szCs w:val="24"/>
          <w:lang w:eastAsia="en-GB"/>
        </w:rPr>
        <w:t>Within healthcare, patients not attending NHS appointments is a major issue. Estimates in 2015</w:t>
      </w:r>
      <w:r w:rsidR="00047170">
        <w:rPr>
          <w:rFonts w:ascii="Arial" w:hAnsi="Arial" w:cs="Arial"/>
          <w:sz w:val="24"/>
          <w:szCs w:val="24"/>
          <w:lang w:eastAsia="en-GB"/>
        </w:rPr>
        <w:t>,</w:t>
      </w:r>
      <w:r w:rsidRPr="00623383">
        <w:rPr>
          <w:rFonts w:ascii="Arial" w:hAnsi="Arial" w:cs="Arial"/>
          <w:sz w:val="24"/>
          <w:szCs w:val="24"/>
          <w:lang w:eastAsia="en-GB"/>
        </w:rPr>
        <w:t xml:space="preserve"> by then Health Secretary Jeremy Hunt </w:t>
      </w:r>
      <w:r w:rsidRPr="007A05E7">
        <w:rPr>
          <w:rFonts w:ascii="Arial" w:hAnsi="Arial" w:cs="Arial"/>
          <w:sz w:val="24"/>
          <w:szCs w:val="24"/>
          <w:lang w:eastAsia="en-GB"/>
        </w:rPr>
        <w:t xml:space="preserve">show that missed NHS appointments were costing the NHS £912 million a year (Torjesen, 2015, p. 1). With an estimated £750 million of the £912 million being hospital appointments (Torjesen, 2015, p. 1). </w:t>
      </w:r>
      <w:r w:rsidRPr="00623383">
        <w:rPr>
          <w:rFonts w:ascii="Arial" w:hAnsi="Arial" w:cs="Arial"/>
          <w:sz w:val="24"/>
          <w:szCs w:val="24"/>
          <w:lang w:eastAsia="en-GB"/>
        </w:rPr>
        <w:t>Each appointment missed can cost the Cardiff and Vale Health Board (C&amp;VUHB) up to £160.</w:t>
      </w:r>
    </w:p>
    <w:p w14:paraId="1481314E" w14:textId="77777777" w:rsidR="00C51615" w:rsidRPr="00623383" w:rsidRDefault="00C51615" w:rsidP="00C6452F">
      <w:pPr>
        <w:jc w:val="both"/>
        <w:rPr>
          <w:rFonts w:ascii="Arial" w:hAnsi="Arial" w:cs="Arial"/>
          <w:sz w:val="24"/>
          <w:szCs w:val="24"/>
          <w:lang w:eastAsia="en-GB"/>
        </w:rPr>
      </w:pPr>
      <w:r w:rsidRPr="00623383">
        <w:rPr>
          <w:rFonts w:ascii="Arial" w:hAnsi="Arial" w:cs="Arial"/>
          <w:sz w:val="24"/>
          <w:szCs w:val="24"/>
          <w:lang w:eastAsia="en-GB"/>
        </w:rPr>
        <w:t>C&amp;VUHB looked at multiple ways in which they could help in reducing the did not attend (DNA) rate. The strategy agreed was to introduce a reminder system for outpatient appointments. Reminding patients of their appointments can help in reducing patients not attending their appointments (Robotham et al., 2016, p. 1). This developed into an automatic text reminder messaging system in 2016. With studies showing text reminder notifications can reduce the DNA rate (</w:t>
      </w:r>
      <w:r w:rsidRPr="007A05E7">
        <w:rPr>
          <w:rFonts w:ascii="Arial" w:hAnsi="Arial" w:cs="Arial"/>
          <w:sz w:val="24"/>
          <w:szCs w:val="24"/>
          <w:lang w:eastAsia="en-GB"/>
        </w:rPr>
        <w:t>Robotham et al., 2016, p. 13).</w:t>
      </w:r>
    </w:p>
    <w:p w14:paraId="3973EFC9" w14:textId="68EDC150" w:rsidR="00EE71B7" w:rsidRPr="00623383" w:rsidRDefault="00EE71B7" w:rsidP="00C6452F">
      <w:pPr>
        <w:jc w:val="both"/>
        <w:rPr>
          <w:rFonts w:ascii="Arial" w:hAnsi="Arial" w:cs="Arial"/>
          <w:sz w:val="24"/>
          <w:szCs w:val="24"/>
          <w:lang w:eastAsia="en-GB"/>
        </w:rPr>
      </w:pPr>
      <w:r w:rsidRPr="00623383">
        <w:rPr>
          <w:rFonts w:ascii="Arial" w:hAnsi="Arial" w:cs="Arial"/>
          <w:sz w:val="24"/>
          <w:szCs w:val="24"/>
          <w:lang w:eastAsia="en-GB"/>
        </w:rPr>
        <w:t>Mobile subscriptions worldwide were 7.4 billion in 2016. Which increased to 8.1 billion by 2021. (</w:t>
      </w:r>
      <w:bookmarkStart w:id="0" w:name="_Hlk97314092"/>
      <w:r w:rsidRPr="00DD64D5">
        <w:rPr>
          <w:rFonts w:ascii="Arial" w:hAnsi="Arial" w:cs="Arial"/>
          <w:sz w:val="24"/>
          <w:szCs w:val="24"/>
          <w:lang w:eastAsia="en-GB"/>
        </w:rPr>
        <w:t>Ericsson</w:t>
      </w:r>
      <w:bookmarkEnd w:id="0"/>
      <w:r w:rsidRPr="00DD64D5">
        <w:rPr>
          <w:rFonts w:ascii="Arial" w:hAnsi="Arial" w:cs="Arial"/>
          <w:sz w:val="24"/>
          <w:szCs w:val="24"/>
          <w:lang w:eastAsia="en-GB"/>
        </w:rPr>
        <w:t xml:space="preserve">, 2021, p. 5). </w:t>
      </w:r>
      <w:r w:rsidRPr="00623383">
        <w:rPr>
          <w:rFonts w:ascii="Arial" w:hAnsi="Arial" w:cs="Arial"/>
          <w:sz w:val="24"/>
          <w:szCs w:val="24"/>
          <w:lang w:eastAsia="en-GB"/>
        </w:rPr>
        <w:t xml:space="preserve">With the U.K. having 84.5 million active </w:t>
      </w:r>
      <w:r w:rsidR="00D87689">
        <w:rPr>
          <w:rFonts w:ascii="Arial" w:hAnsi="Arial" w:cs="Arial"/>
          <w:sz w:val="24"/>
          <w:szCs w:val="24"/>
          <w:lang w:eastAsia="en-GB"/>
        </w:rPr>
        <w:t xml:space="preserve">mobile </w:t>
      </w:r>
      <w:r w:rsidRPr="00623383">
        <w:rPr>
          <w:rFonts w:ascii="Arial" w:hAnsi="Arial" w:cs="Arial"/>
          <w:sz w:val="24"/>
          <w:szCs w:val="24"/>
          <w:lang w:eastAsia="en-GB"/>
        </w:rPr>
        <w:t>subscriptions at the end of 2021 (</w:t>
      </w:r>
      <w:r w:rsidR="00F31805" w:rsidRPr="00F31805">
        <w:rPr>
          <w:rFonts w:ascii="Arial" w:hAnsi="Arial" w:cs="Arial"/>
          <w:sz w:val="24"/>
          <w:szCs w:val="24"/>
          <w:shd w:val="clear" w:color="auto" w:fill="FFFFFF"/>
        </w:rPr>
        <w:t>Ofcom</w:t>
      </w:r>
      <w:r w:rsidRPr="00F31805">
        <w:rPr>
          <w:rFonts w:ascii="Arial" w:hAnsi="Arial" w:cs="Arial"/>
          <w:sz w:val="24"/>
          <w:szCs w:val="24"/>
          <w:lang w:eastAsia="en-GB"/>
        </w:rPr>
        <w:t>, 2022, p. 1</w:t>
      </w:r>
      <w:r w:rsidRPr="00623383">
        <w:rPr>
          <w:rFonts w:ascii="Arial" w:hAnsi="Arial" w:cs="Arial"/>
          <w:sz w:val="24"/>
          <w:szCs w:val="24"/>
          <w:lang w:eastAsia="en-GB"/>
        </w:rPr>
        <w:t>). C&amp;VUHB believed a text messaging service to remind patients of their appointments was a viable option because of people’s access to a mobile phone within the U.K.</w:t>
      </w:r>
    </w:p>
    <w:p w14:paraId="07BC5BAC" w14:textId="5CA89AA3" w:rsidR="00EE71B7" w:rsidRPr="00623383" w:rsidRDefault="00EE71B7" w:rsidP="00C6452F">
      <w:pPr>
        <w:jc w:val="both"/>
        <w:rPr>
          <w:rFonts w:ascii="Arial" w:hAnsi="Arial" w:cs="Arial"/>
          <w:sz w:val="24"/>
          <w:szCs w:val="24"/>
          <w:lang w:eastAsia="en-GB"/>
        </w:rPr>
      </w:pPr>
      <w:r w:rsidRPr="00623383">
        <w:rPr>
          <w:rFonts w:ascii="Arial" w:hAnsi="Arial" w:cs="Arial"/>
          <w:sz w:val="24"/>
          <w:szCs w:val="24"/>
          <w:lang w:eastAsia="en-GB"/>
        </w:rPr>
        <w:t>Other health boards have seen the successful introduction of text reminders</w:t>
      </w:r>
      <w:r w:rsidR="00D2118C" w:rsidRPr="00623383">
        <w:rPr>
          <w:rFonts w:ascii="Arial" w:hAnsi="Arial" w:cs="Arial"/>
          <w:sz w:val="24"/>
          <w:szCs w:val="24"/>
          <w:lang w:eastAsia="en-GB"/>
        </w:rPr>
        <w:t>. The text reminder system has in some areas reduced the DNA rate by half</w:t>
      </w:r>
      <w:r w:rsidRPr="00623383">
        <w:rPr>
          <w:rFonts w:ascii="Arial" w:hAnsi="Arial" w:cs="Arial"/>
          <w:sz w:val="24"/>
          <w:szCs w:val="24"/>
          <w:lang w:eastAsia="en-GB"/>
        </w:rPr>
        <w:t xml:space="preserve"> (</w:t>
      </w:r>
      <w:r w:rsidR="00A84F5D" w:rsidRPr="00773A80">
        <w:rPr>
          <w:rFonts w:ascii="Arial" w:hAnsi="Arial" w:cs="Arial"/>
          <w:sz w:val="24"/>
          <w:szCs w:val="24"/>
        </w:rPr>
        <w:t>Kiruparan, Kiruparan,</w:t>
      </w:r>
      <w:r w:rsidR="00A84F5D">
        <w:rPr>
          <w:rFonts w:ascii="Arial" w:hAnsi="Arial" w:cs="Arial"/>
          <w:sz w:val="24"/>
          <w:szCs w:val="24"/>
        </w:rPr>
        <w:t xml:space="preserve"> </w:t>
      </w:r>
      <w:r w:rsidR="00A84F5D" w:rsidRPr="00773A80">
        <w:rPr>
          <w:rFonts w:ascii="Arial" w:hAnsi="Arial" w:cs="Arial"/>
          <w:sz w:val="24"/>
          <w:szCs w:val="24"/>
        </w:rPr>
        <w:t xml:space="preserve">and </w:t>
      </w:r>
      <w:r w:rsidR="00A84F5D" w:rsidRPr="00A84F5D">
        <w:rPr>
          <w:rFonts w:ascii="Arial" w:hAnsi="Arial" w:cs="Arial"/>
          <w:sz w:val="24"/>
          <w:szCs w:val="24"/>
        </w:rPr>
        <w:t>Debnath</w:t>
      </w:r>
      <w:r w:rsidRPr="00A84F5D">
        <w:rPr>
          <w:rFonts w:ascii="Arial" w:hAnsi="Arial" w:cs="Arial"/>
          <w:sz w:val="24"/>
          <w:szCs w:val="24"/>
          <w:lang w:eastAsia="en-GB"/>
        </w:rPr>
        <w:t xml:space="preserve">, 2020, p. 4). </w:t>
      </w:r>
      <w:r w:rsidRPr="00623383">
        <w:rPr>
          <w:rFonts w:ascii="Arial" w:hAnsi="Arial" w:cs="Arial"/>
          <w:sz w:val="24"/>
          <w:szCs w:val="24"/>
          <w:lang w:eastAsia="en-GB"/>
        </w:rPr>
        <w:t>By introducing a text reminder system, C&amp;VUHB predicted there would be a reduction in the DNA rate to a minimum of 10% of clinical activity with a target goal of 5%.</w:t>
      </w:r>
    </w:p>
    <w:p w14:paraId="18DC1AAE" w14:textId="6D9D8656" w:rsidR="00C5341F" w:rsidRPr="00623383" w:rsidRDefault="00C5341F" w:rsidP="00C6452F">
      <w:pPr>
        <w:jc w:val="both"/>
        <w:rPr>
          <w:rFonts w:ascii="Arial" w:hAnsi="Arial" w:cs="Arial"/>
          <w:sz w:val="24"/>
          <w:szCs w:val="24"/>
        </w:rPr>
      </w:pPr>
      <w:r w:rsidRPr="00623383">
        <w:rPr>
          <w:rFonts w:ascii="Arial" w:hAnsi="Arial" w:cs="Arial"/>
          <w:sz w:val="24"/>
          <w:szCs w:val="24"/>
        </w:rPr>
        <w:t xml:space="preserve">The reasoning behind a new method of contacting patients was because of the drawbacks </w:t>
      </w:r>
      <w:r w:rsidR="003E7850">
        <w:rPr>
          <w:rFonts w:ascii="Arial" w:hAnsi="Arial" w:cs="Arial"/>
          <w:sz w:val="24"/>
          <w:szCs w:val="24"/>
        </w:rPr>
        <w:t>of</w:t>
      </w:r>
      <w:r w:rsidRPr="00623383">
        <w:rPr>
          <w:rFonts w:ascii="Arial" w:hAnsi="Arial" w:cs="Arial"/>
          <w:sz w:val="24"/>
          <w:szCs w:val="24"/>
        </w:rPr>
        <w:t xml:space="preserve"> the previous booking processes. Th</w:t>
      </w:r>
      <w:r w:rsidR="005C60C0" w:rsidRPr="00623383">
        <w:rPr>
          <w:rFonts w:ascii="Arial" w:hAnsi="Arial" w:cs="Arial"/>
          <w:sz w:val="24"/>
          <w:szCs w:val="24"/>
        </w:rPr>
        <w:t>er</w:t>
      </w:r>
      <w:r w:rsidRPr="00623383">
        <w:rPr>
          <w:rFonts w:ascii="Arial" w:hAnsi="Arial" w:cs="Arial"/>
          <w:sz w:val="24"/>
          <w:szCs w:val="24"/>
        </w:rPr>
        <w:t>e</w:t>
      </w:r>
      <w:r w:rsidR="005C60C0" w:rsidRPr="00623383">
        <w:rPr>
          <w:rFonts w:ascii="Arial" w:hAnsi="Arial" w:cs="Arial"/>
          <w:sz w:val="24"/>
          <w:szCs w:val="24"/>
        </w:rPr>
        <w:t xml:space="preserve"> were two main</w:t>
      </w:r>
      <w:r w:rsidRPr="00623383">
        <w:rPr>
          <w:rFonts w:ascii="Arial" w:hAnsi="Arial" w:cs="Arial"/>
          <w:sz w:val="24"/>
          <w:szCs w:val="24"/>
        </w:rPr>
        <w:t xml:space="preserve"> methods of booking appointments prior to any text reminder system. The </w:t>
      </w:r>
      <w:r w:rsidR="00566FC0" w:rsidRPr="00623383">
        <w:rPr>
          <w:rFonts w:ascii="Arial" w:hAnsi="Arial" w:cs="Arial"/>
          <w:sz w:val="24"/>
          <w:szCs w:val="24"/>
        </w:rPr>
        <w:t>two</w:t>
      </w:r>
      <w:r w:rsidRPr="00623383">
        <w:rPr>
          <w:rFonts w:ascii="Arial" w:hAnsi="Arial" w:cs="Arial"/>
          <w:sz w:val="24"/>
          <w:szCs w:val="24"/>
        </w:rPr>
        <w:t xml:space="preserve"> methods were for patients to be booked by either telephone</w:t>
      </w:r>
      <w:r w:rsidR="00566FC0" w:rsidRPr="00623383">
        <w:rPr>
          <w:rFonts w:ascii="Arial" w:hAnsi="Arial" w:cs="Arial"/>
          <w:sz w:val="24"/>
          <w:szCs w:val="24"/>
        </w:rPr>
        <w:t xml:space="preserve"> call or</w:t>
      </w:r>
      <w:r w:rsidRPr="00623383">
        <w:rPr>
          <w:rFonts w:ascii="Arial" w:hAnsi="Arial" w:cs="Arial"/>
          <w:sz w:val="24"/>
          <w:szCs w:val="24"/>
        </w:rPr>
        <w:t xml:space="preserve"> </w:t>
      </w:r>
      <w:r w:rsidR="00566FC0" w:rsidRPr="00623383">
        <w:rPr>
          <w:rFonts w:ascii="Arial" w:hAnsi="Arial" w:cs="Arial"/>
          <w:sz w:val="24"/>
          <w:szCs w:val="24"/>
        </w:rPr>
        <w:t xml:space="preserve">by appointment </w:t>
      </w:r>
      <w:r w:rsidRPr="00623383">
        <w:rPr>
          <w:rFonts w:ascii="Arial" w:hAnsi="Arial" w:cs="Arial"/>
          <w:sz w:val="24"/>
          <w:szCs w:val="24"/>
        </w:rPr>
        <w:t>letter</w:t>
      </w:r>
      <w:r w:rsidR="00D2118C" w:rsidRPr="00623383">
        <w:rPr>
          <w:rFonts w:ascii="Arial" w:hAnsi="Arial" w:cs="Arial"/>
          <w:sz w:val="24"/>
          <w:szCs w:val="24"/>
        </w:rPr>
        <w:t>.</w:t>
      </w:r>
      <w:r w:rsidRPr="00623383">
        <w:rPr>
          <w:rFonts w:ascii="Arial" w:hAnsi="Arial" w:cs="Arial"/>
          <w:sz w:val="24"/>
          <w:szCs w:val="24"/>
        </w:rPr>
        <w:t xml:space="preserve"> </w:t>
      </w:r>
      <w:r w:rsidR="00566FC0" w:rsidRPr="00623383">
        <w:rPr>
          <w:rFonts w:ascii="Arial" w:hAnsi="Arial" w:cs="Arial"/>
          <w:sz w:val="24"/>
          <w:szCs w:val="24"/>
        </w:rPr>
        <w:t>Both</w:t>
      </w:r>
      <w:r w:rsidRPr="00623383">
        <w:rPr>
          <w:rFonts w:ascii="Arial" w:hAnsi="Arial" w:cs="Arial"/>
          <w:sz w:val="24"/>
          <w:szCs w:val="24"/>
        </w:rPr>
        <w:t xml:space="preserve"> had benefits and drawbacks.</w:t>
      </w:r>
    </w:p>
    <w:p w14:paraId="7AB28190" w14:textId="555880E4" w:rsidR="00C5341F" w:rsidRPr="00623383" w:rsidRDefault="00C5341F" w:rsidP="00C6452F">
      <w:pPr>
        <w:jc w:val="both"/>
        <w:rPr>
          <w:rFonts w:ascii="Arial" w:hAnsi="Arial" w:cs="Arial"/>
          <w:sz w:val="24"/>
          <w:szCs w:val="24"/>
        </w:rPr>
      </w:pPr>
      <w:r w:rsidRPr="00623383">
        <w:rPr>
          <w:rFonts w:ascii="Arial" w:hAnsi="Arial" w:cs="Arial"/>
          <w:sz w:val="24"/>
          <w:szCs w:val="24"/>
        </w:rPr>
        <w:t xml:space="preserve">The benefit of booking </w:t>
      </w:r>
      <w:r w:rsidR="00D2118C" w:rsidRPr="00623383">
        <w:rPr>
          <w:rFonts w:ascii="Arial" w:hAnsi="Arial" w:cs="Arial"/>
          <w:sz w:val="24"/>
          <w:szCs w:val="24"/>
        </w:rPr>
        <w:t xml:space="preserve">appointments </w:t>
      </w:r>
      <w:r w:rsidRPr="00623383">
        <w:rPr>
          <w:rFonts w:ascii="Arial" w:hAnsi="Arial" w:cs="Arial"/>
          <w:sz w:val="24"/>
          <w:szCs w:val="24"/>
        </w:rPr>
        <w:t xml:space="preserve">by telephone is patient input. Patients can agree to the appointment and confirm a date and time that is suitable. However, the drawback to this method is the </w:t>
      </w:r>
      <w:r w:rsidR="00D2118C" w:rsidRPr="00623383">
        <w:rPr>
          <w:rFonts w:ascii="Arial" w:hAnsi="Arial" w:cs="Arial"/>
          <w:sz w:val="24"/>
          <w:szCs w:val="24"/>
        </w:rPr>
        <w:t>avail</w:t>
      </w:r>
      <w:r w:rsidRPr="00623383">
        <w:rPr>
          <w:rFonts w:ascii="Arial" w:hAnsi="Arial" w:cs="Arial"/>
          <w:sz w:val="24"/>
          <w:szCs w:val="24"/>
        </w:rPr>
        <w:t xml:space="preserve">ability of patients to receive </w:t>
      </w:r>
      <w:r w:rsidR="00D2118C" w:rsidRPr="00623383">
        <w:rPr>
          <w:rFonts w:ascii="Arial" w:hAnsi="Arial" w:cs="Arial"/>
          <w:sz w:val="24"/>
          <w:szCs w:val="24"/>
        </w:rPr>
        <w:t xml:space="preserve">telephone </w:t>
      </w:r>
      <w:r w:rsidRPr="00623383">
        <w:rPr>
          <w:rFonts w:ascii="Arial" w:hAnsi="Arial" w:cs="Arial"/>
          <w:sz w:val="24"/>
          <w:szCs w:val="24"/>
        </w:rPr>
        <w:t xml:space="preserve">calls during the working day. This increases the time and effort by staff to book through this method and can cause communication errors, leading to the patient receiving the </w:t>
      </w:r>
      <w:r w:rsidR="004E7816" w:rsidRPr="00623383">
        <w:rPr>
          <w:rFonts w:ascii="Arial" w:hAnsi="Arial" w:cs="Arial"/>
          <w:sz w:val="24"/>
          <w:szCs w:val="24"/>
        </w:rPr>
        <w:t>incorrect information</w:t>
      </w:r>
      <w:r w:rsidRPr="00623383">
        <w:rPr>
          <w:rFonts w:ascii="Arial" w:hAnsi="Arial" w:cs="Arial"/>
          <w:sz w:val="24"/>
          <w:szCs w:val="24"/>
        </w:rPr>
        <w:t>.</w:t>
      </w:r>
    </w:p>
    <w:p w14:paraId="20BC03DC" w14:textId="230F8754" w:rsidR="00D30E09" w:rsidRPr="00623383" w:rsidRDefault="00D30E09" w:rsidP="00C6452F">
      <w:pPr>
        <w:jc w:val="both"/>
        <w:rPr>
          <w:rFonts w:ascii="Arial" w:hAnsi="Arial" w:cs="Arial"/>
          <w:sz w:val="24"/>
          <w:szCs w:val="24"/>
          <w:lang w:eastAsia="en-GB"/>
        </w:rPr>
      </w:pPr>
      <w:r w:rsidRPr="00623383">
        <w:rPr>
          <w:rFonts w:ascii="Arial" w:hAnsi="Arial" w:cs="Arial"/>
          <w:sz w:val="24"/>
          <w:szCs w:val="24"/>
          <w:lang w:eastAsia="en-GB"/>
        </w:rPr>
        <w:t xml:space="preserve">The method of sending appointment letters to patients is quick and </w:t>
      </w:r>
      <w:r w:rsidR="00E807D9">
        <w:rPr>
          <w:rFonts w:ascii="Arial" w:hAnsi="Arial" w:cs="Arial"/>
          <w:sz w:val="24"/>
          <w:szCs w:val="24"/>
          <w:lang w:eastAsia="en-GB"/>
        </w:rPr>
        <w:t>efficient</w:t>
      </w:r>
      <w:r w:rsidRPr="00623383">
        <w:rPr>
          <w:rFonts w:ascii="Arial" w:hAnsi="Arial" w:cs="Arial"/>
          <w:sz w:val="24"/>
          <w:szCs w:val="24"/>
          <w:lang w:eastAsia="en-GB"/>
        </w:rPr>
        <w:t xml:space="preserve"> for staff. It </w:t>
      </w:r>
      <w:r w:rsidR="00E807D9">
        <w:rPr>
          <w:rFonts w:ascii="Arial" w:hAnsi="Arial" w:cs="Arial"/>
          <w:sz w:val="24"/>
          <w:szCs w:val="24"/>
          <w:lang w:eastAsia="en-GB"/>
        </w:rPr>
        <w:t xml:space="preserve">reinforces the fact that </w:t>
      </w:r>
      <w:r w:rsidRPr="00623383">
        <w:rPr>
          <w:rFonts w:ascii="Arial" w:hAnsi="Arial" w:cs="Arial"/>
          <w:sz w:val="24"/>
          <w:szCs w:val="24"/>
          <w:lang w:eastAsia="en-GB"/>
        </w:rPr>
        <w:t xml:space="preserve">the information the patient receives about the appointment will be in full, with no misinterpretation. A drawback to this method is </w:t>
      </w:r>
      <w:r w:rsidR="004C5D43">
        <w:rPr>
          <w:rFonts w:ascii="Arial" w:hAnsi="Arial" w:cs="Arial"/>
          <w:sz w:val="24"/>
          <w:szCs w:val="24"/>
          <w:lang w:eastAsia="en-GB"/>
        </w:rPr>
        <w:t xml:space="preserve">that </w:t>
      </w:r>
      <w:r w:rsidRPr="00623383">
        <w:rPr>
          <w:rFonts w:ascii="Arial" w:hAnsi="Arial" w:cs="Arial"/>
          <w:sz w:val="24"/>
          <w:szCs w:val="24"/>
          <w:lang w:eastAsia="en-GB"/>
        </w:rPr>
        <w:t xml:space="preserve">patients </w:t>
      </w:r>
      <w:r w:rsidR="00923F44" w:rsidRPr="00623383">
        <w:rPr>
          <w:rFonts w:ascii="Arial" w:hAnsi="Arial" w:cs="Arial"/>
          <w:sz w:val="24"/>
          <w:szCs w:val="24"/>
          <w:lang w:eastAsia="en-GB"/>
        </w:rPr>
        <w:t>do not</w:t>
      </w:r>
      <w:r w:rsidRPr="00623383">
        <w:rPr>
          <w:rFonts w:ascii="Arial" w:hAnsi="Arial" w:cs="Arial"/>
          <w:sz w:val="24"/>
          <w:szCs w:val="24"/>
          <w:lang w:eastAsia="en-GB"/>
        </w:rPr>
        <w:t xml:space="preserve"> have input, which can lead to an increase in phone calls for rescheduling and cancellation request (RCR). Another </w:t>
      </w:r>
      <w:r w:rsidR="004C5D43">
        <w:rPr>
          <w:rFonts w:ascii="Arial" w:hAnsi="Arial" w:cs="Arial"/>
          <w:sz w:val="24"/>
          <w:szCs w:val="24"/>
          <w:lang w:eastAsia="en-GB"/>
        </w:rPr>
        <w:t>negative</w:t>
      </w:r>
      <w:r w:rsidRPr="00623383">
        <w:rPr>
          <w:rFonts w:ascii="Arial" w:hAnsi="Arial" w:cs="Arial"/>
          <w:sz w:val="24"/>
          <w:szCs w:val="24"/>
          <w:lang w:eastAsia="en-GB"/>
        </w:rPr>
        <w:t xml:space="preserve"> is there is no confirmation that the </w:t>
      </w:r>
      <w:r w:rsidRPr="00623383">
        <w:rPr>
          <w:rFonts w:ascii="Arial" w:hAnsi="Arial" w:cs="Arial"/>
          <w:sz w:val="24"/>
          <w:szCs w:val="24"/>
          <w:lang w:eastAsia="en-GB"/>
        </w:rPr>
        <w:lastRenderedPageBreak/>
        <w:t xml:space="preserve">patient receives the letters, and if they are planning to attend the appointment. The patients may never receive </w:t>
      </w:r>
      <w:r w:rsidR="004C5D43">
        <w:rPr>
          <w:rFonts w:ascii="Arial" w:hAnsi="Arial" w:cs="Arial"/>
          <w:sz w:val="24"/>
          <w:szCs w:val="24"/>
          <w:lang w:eastAsia="en-GB"/>
        </w:rPr>
        <w:t>an</w:t>
      </w:r>
      <w:r w:rsidRPr="00623383">
        <w:rPr>
          <w:rFonts w:ascii="Arial" w:hAnsi="Arial" w:cs="Arial"/>
          <w:sz w:val="24"/>
          <w:szCs w:val="24"/>
          <w:lang w:eastAsia="en-GB"/>
        </w:rPr>
        <w:t xml:space="preserve"> </w:t>
      </w:r>
      <w:r w:rsidR="004C5D43" w:rsidRPr="00623383">
        <w:rPr>
          <w:rFonts w:ascii="Arial" w:hAnsi="Arial" w:cs="Arial"/>
          <w:sz w:val="24"/>
          <w:szCs w:val="24"/>
          <w:lang w:eastAsia="en-GB"/>
        </w:rPr>
        <w:t>appointment letter</w:t>
      </w:r>
      <w:r w:rsidRPr="00623383">
        <w:rPr>
          <w:rFonts w:ascii="Arial" w:hAnsi="Arial" w:cs="Arial"/>
          <w:sz w:val="24"/>
          <w:szCs w:val="24"/>
          <w:lang w:eastAsia="en-GB"/>
        </w:rPr>
        <w:t xml:space="preserve"> sent (</w:t>
      </w:r>
      <w:r w:rsidRPr="00A93E4D">
        <w:rPr>
          <w:rFonts w:ascii="Arial" w:hAnsi="Arial" w:cs="Arial"/>
          <w:sz w:val="24"/>
          <w:szCs w:val="24"/>
          <w:lang w:eastAsia="en-GB"/>
        </w:rPr>
        <w:t>Chung et al., 2016, p. S321</w:t>
      </w:r>
      <w:r w:rsidRPr="00623383">
        <w:rPr>
          <w:rFonts w:ascii="Arial" w:hAnsi="Arial" w:cs="Arial"/>
          <w:sz w:val="24"/>
          <w:szCs w:val="24"/>
          <w:lang w:eastAsia="en-GB"/>
        </w:rPr>
        <w:t>).</w:t>
      </w:r>
    </w:p>
    <w:p w14:paraId="3E40494D" w14:textId="77777777" w:rsidR="00C34D08" w:rsidRPr="00C34D08" w:rsidRDefault="00C34D08" w:rsidP="00C6452F">
      <w:pPr>
        <w:jc w:val="both"/>
        <w:rPr>
          <w:rFonts w:ascii="Arial" w:hAnsi="Arial" w:cs="Arial"/>
          <w:sz w:val="24"/>
          <w:szCs w:val="24"/>
          <w:lang w:eastAsia="en-GB"/>
        </w:rPr>
      </w:pPr>
      <w:r w:rsidRPr="00C34D08">
        <w:rPr>
          <w:rFonts w:ascii="Arial" w:hAnsi="Arial" w:cs="Arial"/>
          <w:sz w:val="24"/>
          <w:szCs w:val="24"/>
          <w:lang w:eastAsia="en-GB"/>
        </w:rPr>
        <w:t>Appointment letters are usually used to book follow-up appointments, with many appointments booked 6-12 months in the future, which patients can forget they have received. Studies have shown that there is a link to higher DNA rates in follow up patients with one of the main reasons for missing the appointment being forgetfulness (Prudden, 2021, p. e151).</w:t>
      </w:r>
    </w:p>
    <w:p w14:paraId="4348E537" w14:textId="77777777" w:rsidR="00C34D08" w:rsidRPr="00C34D08" w:rsidRDefault="00C34D08" w:rsidP="00C6452F">
      <w:pPr>
        <w:jc w:val="both"/>
        <w:rPr>
          <w:rFonts w:ascii="Arial" w:hAnsi="Arial" w:cs="Arial"/>
          <w:sz w:val="24"/>
          <w:szCs w:val="24"/>
          <w:lang w:eastAsia="en-GB"/>
        </w:rPr>
      </w:pPr>
      <w:r w:rsidRPr="00C34D08">
        <w:rPr>
          <w:rFonts w:ascii="Arial" w:hAnsi="Arial" w:cs="Arial"/>
          <w:sz w:val="24"/>
          <w:szCs w:val="24"/>
          <w:lang w:eastAsia="en-GB"/>
        </w:rPr>
        <w:t>C&amp;VUHB could achieve a reduction in the DNA rate by combining methods, but C&amp;VUHB did not see this as beneficial because of the increase in administration demand and was not cost effective. Therefore, a new method, such as the text reminders, was required.</w:t>
      </w:r>
    </w:p>
    <w:p w14:paraId="5E8E4B71" w14:textId="77777777" w:rsidR="00C34D08" w:rsidRPr="00C34D08" w:rsidRDefault="00C34D08" w:rsidP="00C6452F">
      <w:pPr>
        <w:jc w:val="both"/>
        <w:rPr>
          <w:rFonts w:ascii="Arial" w:hAnsi="Arial" w:cs="Arial"/>
          <w:sz w:val="24"/>
          <w:szCs w:val="24"/>
          <w:lang w:eastAsia="en-GB"/>
        </w:rPr>
      </w:pPr>
      <w:r w:rsidRPr="00C34D08">
        <w:rPr>
          <w:rFonts w:ascii="Arial" w:hAnsi="Arial" w:cs="Arial"/>
          <w:sz w:val="24"/>
          <w:szCs w:val="24"/>
          <w:lang w:eastAsia="en-GB"/>
        </w:rPr>
        <w:t>No new IT solution is cheap. Therefore, the benefits of the text reminder messaging system being introduced needed to include multiple items to be considered a cost-effective investment. The first benefit and specific priority was the reduction of the DNA rate. As this was the main cause for introducing a new system. A reduction in the DNA rate will save C&amp;VUHB money. Another factor is reducing administration time spent on the booking of appointments by alleviating the time spent on contacting patients through previous methods like telephone calls. C&amp;VUHB also hoped there would be a reduction in patients’ calls to the appointment booking centre (ABC) enquiring about their next appointment date or to change their appointment at short notice.</w:t>
      </w:r>
    </w:p>
    <w:p w14:paraId="13F10D70" w14:textId="77777777" w:rsidR="00C34D08" w:rsidRPr="00C34D08" w:rsidRDefault="00C34D08" w:rsidP="00C6452F">
      <w:pPr>
        <w:jc w:val="both"/>
        <w:rPr>
          <w:rFonts w:ascii="Arial" w:hAnsi="Arial" w:cs="Arial"/>
          <w:sz w:val="24"/>
          <w:szCs w:val="24"/>
          <w:lang w:eastAsia="en-GB"/>
        </w:rPr>
      </w:pPr>
      <w:r w:rsidRPr="00C34D08">
        <w:rPr>
          <w:rFonts w:ascii="Arial" w:hAnsi="Arial" w:cs="Arial"/>
          <w:sz w:val="24"/>
          <w:szCs w:val="24"/>
          <w:lang w:eastAsia="en-GB"/>
        </w:rPr>
        <w:t>After an extensive and due diligent procurement process, C&amp;VUHB chose healthcare communications product envoy messenger (EM) to help facilitate the new communication to patients through text messaging. EM enables text messages to be sent to patients either manually or automatically. The process of automatic text reminder (ATR) was favoured, as it would not increase administration duties and costs.</w:t>
      </w:r>
    </w:p>
    <w:p w14:paraId="219D3DEF" w14:textId="77777777" w:rsidR="00C34D08" w:rsidRPr="00C34D08" w:rsidRDefault="00C34D08" w:rsidP="00C6452F">
      <w:pPr>
        <w:jc w:val="both"/>
        <w:rPr>
          <w:rFonts w:ascii="Arial" w:hAnsi="Arial" w:cs="Arial"/>
          <w:sz w:val="24"/>
          <w:szCs w:val="24"/>
          <w:lang w:eastAsia="en-GB"/>
        </w:rPr>
      </w:pPr>
      <w:r w:rsidRPr="00C34D08">
        <w:rPr>
          <w:rFonts w:ascii="Arial" w:hAnsi="Arial" w:cs="Arial"/>
          <w:sz w:val="24"/>
          <w:szCs w:val="24"/>
          <w:lang w:eastAsia="en-GB"/>
        </w:rPr>
        <w:t>After careful consideration, C&amp;VUHB decided it would send two texts reminders to patients with upcoming outpatient appointments. C&amp;VUHB selected two text reminders as it could lead to an increase in attendance by almost 20% compared to one text reminder (Robotham et al., 2016, p. 11).</w:t>
      </w:r>
    </w:p>
    <w:p w14:paraId="285DAECD" w14:textId="77777777" w:rsidR="00C34D08" w:rsidRPr="00C34D08" w:rsidRDefault="00C34D08" w:rsidP="00C6452F">
      <w:pPr>
        <w:jc w:val="both"/>
        <w:rPr>
          <w:rFonts w:ascii="Arial" w:hAnsi="Arial" w:cs="Arial"/>
          <w:sz w:val="24"/>
          <w:szCs w:val="24"/>
          <w:lang w:eastAsia="en-GB"/>
        </w:rPr>
      </w:pPr>
      <w:r w:rsidRPr="00C34D08">
        <w:rPr>
          <w:rFonts w:ascii="Arial" w:hAnsi="Arial" w:cs="Arial"/>
          <w:sz w:val="24"/>
          <w:szCs w:val="24"/>
          <w:lang w:eastAsia="en-GB"/>
        </w:rPr>
        <w:t>The first ATR allows for two-way communication, with the second ATR being one-way communication. Two-way messaging gives the ability to interact with patients regarding their upcoming appointments (Feldacker et al., 2019, p. 2). However, administration staff is required to manage the responses. One-way messaging is messaging the recipient cannot respond to (Linde et al., 2020, p. 2). The benefit of one-way messaging is that it requires less administration staff, as no outcomes need to be actioned (Linde et al., 2020, p. 2).</w:t>
      </w:r>
    </w:p>
    <w:p w14:paraId="2D07B20F" w14:textId="77777777" w:rsidR="00C34D08" w:rsidRPr="00C34D08" w:rsidRDefault="00C34D08" w:rsidP="00C6452F">
      <w:pPr>
        <w:jc w:val="both"/>
        <w:rPr>
          <w:rFonts w:ascii="Arial" w:hAnsi="Arial" w:cs="Arial"/>
          <w:sz w:val="24"/>
          <w:szCs w:val="24"/>
          <w:lang w:eastAsia="en-GB"/>
        </w:rPr>
      </w:pPr>
      <w:r w:rsidRPr="00C34D08">
        <w:rPr>
          <w:rFonts w:ascii="Arial" w:hAnsi="Arial" w:cs="Arial"/>
          <w:sz w:val="24"/>
          <w:szCs w:val="24"/>
          <w:lang w:eastAsia="en-GB"/>
        </w:rPr>
        <w:t>Patients receive the first ATR 10 days prior to the appointment. This allows for the patients to confirm, cancel, or reschedule their appointments. This message is a reminder to be received by patients but also sends confirmation of their expected attendance. It enables the patient to cancel or reschedule their appointment if no longer convenient. C&amp;VUHB selected 10 days for the first message to be sent, to give enough time for patients to respond and the responses to be actioned. Unwanted appointment slots are then available to be rescheduled with a replacement patient.</w:t>
      </w:r>
    </w:p>
    <w:p w14:paraId="1B46BD26" w14:textId="77777777" w:rsidR="00C34D08" w:rsidRPr="00C34D08" w:rsidRDefault="00C34D08" w:rsidP="00C6452F">
      <w:pPr>
        <w:jc w:val="both"/>
        <w:rPr>
          <w:rFonts w:ascii="Arial" w:hAnsi="Arial" w:cs="Arial"/>
          <w:sz w:val="24"/>
          <w:szCs w:val="24"/>
          <w:lang w:eastAsia="en-GB"/>
        </w:rPr>
      </w:pPr>
      <w:r w:rsidRPr="00C34D08">
        <w:rPr>
          <w:rFonts w:ascii="Arial" w:hAnsi="Arial" w:cs="Arial"/>
          <w:sz w:val="24"/>
          <w:szCs w:val="24"/>
          <w:lang w:eastAsia="en-GB"/>
        </w:rPr>
        <w:lastRenderedPageBreak/>
        <w:t>The second text message is a one-way text message being used 2 days prior as a further reminder to the patient of their appointment. This message is to remind the patient of the appointment only, rather than asking the patient to confirm their attendance.</w:t>
      </w:r>
    </w:p>
    <w:p w14:paraId="03D30A2A" w14:textId="77777777" w:rsidR="00C34D08" w:rsidRPr="00C34D08" w:rsidRDefault="00C34D08" w:rsidP="00C6452F">
      <w:pPr>
        <w:jc w:val="both"/>
        <w:rPr>
          <w:rFonts w:ascii="Arial" w:hAnsi="Arial" w:cs="Arial"/>
          <w:sz w:val="24"/>
          <w:szCs w:val="24"/>
          <w:lang w:eastAsia="en-GB"/>
        </w:rPr>
      </w:pPr>
      <w:r w:rsidRPr="00C34D08">
        <w:rPr>
          <w:rFonts w:ascii="Arial" w:hAnsi="Arial" w:cs="Arial"/>
          <w:sz w:val="24"/>
          <w:szCs w:val="24"/>
          <w:lang w:eastAsia="en-GB"/>
        </w:rPr>
        <w:t>By using the FITT framework retrospectively on implementing the ATR system, it will enable C&amp;VUHB to see if the implementation was a success and where there is a need for improvement. It will also show lessons learned for future IT project implementation.</w:t>
      </w:r>
    </w:p>
    <w:p w14:paraId="3FE66B88" w14:textId="679CB067" w:rsidR="00BF6225" w:rsidRPr="004865E0" w:rsidRDefault="00BF6225" w:rsidP="0039229D">
      <w:pPr>
        <w:jc w:val="both"/>
        <w:rPr>
          <w:rFonts w:ascii="Arial" w:hAnsi="Arial" w:cs="Arial"/>
          <w:b/>
          <w:bCs/>
          <w:sz w:val="28"/>
          <w:szCs w:val="28"/>
          <w:u w:val="single"/>
        </w:rPr>
      </w:pPr>
      <w:r w:rsidRPr="004865E0">
        <w:rPr>
          <w:rFonts w:ascii="Arial" w:hAnsi="Arial" w:cs="Arial"/>
          <w:b/>
          <w:bCs/>
          <w:sz w:val="28"/>
          <w:szCs w:val="28"/>
          <w:u w:val="single"/>
        </w:rPr>
        <w:t>Method</w:t>
      </w:r>
    </w:p>
    <w:p w14:paraId="01285788" w14:textId="3CE83BC7" w:rsidR="00A51B6B" w:rsidRPr="00350721" w:rsidRDefault="00A51B6B" w:rsidP="0039229D">
      <w:pPr>
        <w:jc w:val="both"/>
        <w:rPr>
          <w:rFonts w:ascii="Arial" w:hAnsi="Arial" w:cs="Arial"/>
          <w:b/>
          <w:bCs/>
          <w:sz w:val="24"/>
          <w:szCs w:val="24"/>
        </w:rPr>
      </w:pPr>
      <w:r w:rsidRPr="00350721">
        <w:rPr>
          <w:rFonts w:ascii="Arial" w:hAnsi="Arial" w:cs="Arial"/>
          <w:b/>
          <w:bCs/>
          <w:sz w:val="24"/>
          <w:szCs w:val="24"/>
        </w:rPr>
        <w:t>The FITT Framework</w:t>
      </w:r>
    </w:p>
    <w:p w14:paraId="245F69F3" w14:textId="1B149398" w:rsidR="00B6357A" w:rsidRPr="007762CA" w:rsidRDefault="00B6357A" w:rsidP="00C6452F">
      <w:pPr>
        <w:jc w:val="both"/>
        <w:rPr>
          <w:rFonts w:ascii="Arial" w:hAnsi="Arial" w:cs="Arial"/>
          <w:sz w:val="24"/>
          <w:szCs w:val="24"/>
        </w:rPr>
      </w:pPr>
      <w:r w:rsidRPr="007762CA">
        <w:rPr>
          <w:rFonts w:ascii="Arial" w:hAnsi="Arial" w:cs="Arial"/>
          <w:sz w:val="24"/>
          <w:szCs w:val="24"/>
        </w:rPr>
        <w:t>The Fit between Individuals, Task and Technology (FITT) framework is used to help in determining a digital solution’s likelihood of success in businesses. (Tsiknakis and Kouroubali, 2008, p. 40). FITT does this through the idea that the adoption of new technology or systems depends on the fit between individuals, tasks, and technology (Nilsson et al., 2020, p. 2). The FITT framework differs from other approaches as, rather than looking at organisation, it separates the organisation into different facets. With the organisation being split into the individuals or groups and their tasks, such as their defined responsibilities (</w:t>
      </w:r>
      <w:r w:rsidR="008955C1" w:rsidRPr="007762CA">
        <w:rPr>
          <w:rFonts w:ascii="Arial" w:hAnsi="Arial" w:cs="Arial"/>
          <w:sz w:val="24"/>
          <w:szCs w:val="24"/>
        </w:rPr>
        <w:t>Ammenwerth, Iller, and Mahler</w:t>
      </w:r>
      <w:r w:rsidR="008955C1" w:rsidRPr="007762CA">
        <w:rPr>
          <w:rFonts w:ascii="Arial" w:hAnsi="Arial" w:cs="Arial"/>
          <w:sz w:val="24"/>
          <w:szCs w:val="24"/>
          <w:lang w:eastAsia="en-GB"/>
        </w:rPr>
        <w:t>, 2006</w:t>
      </w:r>
      <w:r w:rsidRPr="007762CA">
        <w:rPr>
          <w:rFonts w:ascii="Arial" w:hAnsi="Arial" w:cs="Arial"/>
          <w:sz w:val="24"/>
          <w:szCs w:val="24"/>
        </w:rPr>
        <w:t>, p.4).</w:t>
      </w:r>
    </w:p>
    <w:p w14:paraId="18BA3AB3" w14:textId="049AF7C0" w:rsidR="005A3797" w:rsidRDefault="00BF6225" w:rsidP="00C6452F">
      <w:pPr>
        <w:jc w:val="both"/>
        <w:rPr>
          <w:rFonts w:ascii="Arial" w:hAnsi="Arial" w:cs="Arial"/>
          <w:sz w:val="24"/>
          <w:szCs w:val="24"/>
          <w:shd w:val="clear" w:color="auto" w:fill="FFFFFF"/>
        </w:rPr>
      </w:pPr>
      <w:r w:rsidRPr="007762CA">
        <w:rPr>
          <w:rFonts w:ascii="Arial" w:hAnsi="Arial" w:cs="Arial"/>
          <w:sz w:val="24"/>
          <w:szCs w:val="24"/>
          <w:shd w:val="clear" w:color="auto" w:fill="FFFFFF"/>
        </w:rPr>
        <w:t xml:space="preserve">The FITT framework </w:t>
      </w:r>
      <w:r w:rsidR="00925C1D" w:rsidRPr="007762CA">
        <w:rPr>
          <w:rFonts w:ascii="Arial" w:hAnsi="Arial" w:cs="Arial"/>
          <w:sz w:val="24"/>
          <w:szCs w:val="24"/>
          <w:shd w:val="clear" w:color="auto" w:fill="FFFFFF"/>
        </w:rPr>
        <w:t xml:space="preserve">is a </w:t>
      </w:r>
      <w:r w:rsidRPr="007762CA">
        <w:rPr>
          <w:rFonts w:ascii="Arial" w:hAnsi="Arial" w:cs="Arial"/>
          <w:sz w:val="24"/>
          <w:szCs w:val="24"/>
          <w:shd w:val="clear" w:color="auto" w:fill="FFFFFF"/>
        </w:rPr>
        <w:t>straightforward</w:t>
      </w:r>
      <w:r w:rsidR="00925C1D" w:rsidRPr="007762CA">
        <w:rPr>
          <w:rFonts w:ascii="Arial" w:hAnsi="Arial" w:cs="Arial"/>
          <w:sz w:val="24"/>
          <w:szCs w:val="24"/>
          <w:shd w:val="clear" w:color="auto" w:fill="FFFFFF"/>
        </w:rPr>
        <w:t xml:space="preserve"> view</w:t>
      </w:r>
      <w:r w:rsidRPr="007762CA">
        <w:rPr>
          <w:rFonts w:ascii="Arial" w:hAnsi="Arial" w:cs="Arial"/>
          <w:sz w:val="24"/>
          <w:szCs w:val="24"/>
          <w:shd w:val="clear" w:color="auto" w:fill="FFFFFF"/>
        </w:rPr>
        <w:t xml:space="preserve"> to describe and evaluate IT implementation efforts </w:t>
      </w:r>
      <w:r w:rsidRPr="007762CA">
        <w:rPr>
          <w:rFonts w:ascii="Arial" w:hAnsi="Arial" w:cs="Arial"/>
          <w:sz w:val="24"/>
          <w:szCs w:val="24"/>
        </w:rPr>
        <w:t>(</w:t>
      </w:r>
      <w:r w:rsidRPr="007762CA">
        <w:rPr>
          <w:rFonts w:ascii="Arial" w:hAnsi="Arial" w:cs="Arial"/>
          <w:sz w:val="24"/>
          <w:szCs w:val="24"/>
          <w:shd w:val="clear" w:color="auto" w:fill="FFFFFF"/>
        </w:rPr>
        <w:t xml:space="preserve">Tsiknakis and Kouroubali, 2008, p. 50). </w:t>
      </w:r>
      <w:r w:rsidR="00737334" w:rsidRPr="007762CA">
        <w:rPr>
          <w:rFonts w:ascii="Arial" w:hAnsi="Arial" w:cs="Arial"/>
          <w:sz w:val="24"/>
          <w:szCs w:val="24"/>
          <w:shd w:val="clear" w:color="auto" w:fill="FFFFFF"/>
        </w:rPr>
        <w:t xml:space="preserve">The </w:t>
      </w:r>
      <w:r w:rsidRPr="007762CA">
        <w:rPr>
          <w:rFonts w:ascii="Arial" w:hAnsi="Arial" w:cs="Arial"/>
          <w:sz w:val="24"/>
          <w:szCs w:val="24"/>
          <w:shd w:val="clear" w:color="auto" w:fill="FFFFFF"/>
        </w:rPr>
        <w:t>FIT</w:t>
      </w:r>
      <w:r w:rsidR="00737334" w:rsidRPr="007762CA">
        <w:rPr>
          <w:rFonts w:ascii="Arial" w:hAnsi="Arial" w:cs="Arial"/>
          <w:sz w:val="24"/>
          <w:szCs w:val="24"/>
          <w:shd w:val="clear" w:color="auto" w:fill="FFFFFF"/>
        </w:rPr>
        <w:t xml:space="preserve">T </w:t>
      </w:r>
      <w:r w:rsidR="00737334" w:rsidRPr="00350721">
        <w:rPr>
          <w:rFonts w:ascii="Arial" w:hAnsi="Arial" w:cs="Arial"/>
          <w:sz w:val="24"/>
          <w:szCs w:val="24"/>
          <w:shd w:val="clear" w:color="auto" w:fill="FFFFFF"/>
        </w:rPr>
        <w:t>framework</w:t>
      </w:r>
      <w:r w:rsidRPr="00350721">
        <w:rPr>
          <w:rFonts w:ascii="Arial" w:hAnsi="Arial" w:cs="Arial"/>
          <w:sz w:val="24"/>
          <w:szCs w:val="24"/>
          <w:shd w:val="clear" w:color="auto" w:fill="FFFFFF"/>
        </w:rPr>
        <w:t xml:space="preserve"> clearly describes the target and connections affecting the three points</w:t>
      </w:r>
      <w:r w:rsidR="00737334" w:rsidRPr="00350721">
        <w:rPr>
          <w:rFonts w:ascii="Arial" w:hAnsi="Arial" w:cs="Arial"/>
          <w:sz w:val="24"/>
          <w:szCs w:val="24"/>
          <w:shd w:val="clear" w:color="auto" w:fill="FFFFFF"/>
        </w:rPr>
        <w:t xml:space="preserve"> (Fig. 1)</w:t>
      </w:r>
      <w:r w:rsidRPr="00350721">
        <w:rPr>
          <w:rFonts w:ascii="Arial" w:hAnsi="Arial" w:cs="Arial"/>
          <w:sz w:val="24"/>
          <w:szCs w:val="24"/>
          <w:shd w:val="clear" w:color="auto" w:fill="FFFFFF"/>
        </w:rPr>
        <w:t xml:space="preserve">. </w:t>
      </w:r>
    </w:p>
    <w:p w14:paraId="4F098F4D" w14:textId="3CCB5191" w:rsidR="005A3797" w:rsidRPr="00350721" w:rsidRDefault="005A3797" w:rsidP="0039229D">
      <w:pPr>
        <w:jc w:val="both"/>
        <w:rPr>
          <w:rFonts w:ascii="Arial" w:hAnsi="Arial" w:cs="Arial"/>
          <w:sz w:val="24"/>
          <w:szCs w:val="24"/>
          <w:shd w:val="clear" w:color="auto" w:fill="FFFFFF"/>
        </w:rPr>
      </w:pPr>
      <w:r>
        <w:rPr>
          <w:noProof/>
        </w:rPr>
        <w:drawing>
          <wp:inline distT="0" distB="0" distL="0" distR="0" wp14:anchorId="5F050449" wp14:editId="31C67F42">
            <wp:extent cx="5731510" cy="1984375"/>
            <wp:effectExtent l="0" t="0" r="254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1984375"/>
                    </a:xfrm>
                    <a:prstGeom prst="rect">
                      <a:avLst/>
                    </a:prstGeom>
                  </pic:spPr>
                </pic:pic>
              </a:graphicData>
            </a:graphic>
          </wp:inline>
        </w:drawing>
      </w:r>
    </w:p>
    <w:p w14:paraId="0427444D" w14:textId="57B836C2" w:rsidR="004865E0" w:rsidRDefault="00634A7A" w:rsidP="0039229D">
      <w:pPr>
        <w:jc w:val="both"/>
        <w:rPr>
          <w:rFonts w:ascii="Arial" w:hAnsi="Arial" w:cs="Arial"/>
          <w:sz w:val="24"/>
          <w:szCs w:val="24"/>
          <w:lang w:eastAsia="en-GB"/>
        </w:rPr>
      </w:pPr>
      <w:r w:rsidRPr="00634A7A">
        <w:rPr>
          <w:rFonts w:ascii="Arial" w:hAnsi="Arial" w:cs="Arial"/>
          <w:sz w:val="24"/>
          <w:szCs w:val="24"/>
          <w:lang w:eastAsia="en-GB"/>
        </w:rPr>
        <w:t>The FITT framework defines the Individual as a singular person or group. The task is the completion of a process. With the technology being the equipment needed to complete said tasks (Ammenwerth, Iller, and Mahler, 2006, p. 4). An example of these parameters is with the introduction of the ATR system. The Patient Administration Support Officers (PASO) represent the individual, reminding patients of their appointments is the task, and the text message is the Technology (Fig. 2).</w:t>
      </w:r>
    </w:p>
    <w:p w14:paraId="61426895" w14:textId="4BB30002" w:rsidR="00634A7A" w:rsidRDefault="00634A7A" w:rsidP="0039229D">
      <w:pPr>
        <w:jc w:val="both"/>
        <w:rPr>
          <w:rFonts w:ascii="Arial" w:hAnsi="Arial" w:cs="Arial"/>
          <w:sz w:val="24"/>
          <w:szCs w:val="24"/>
        </w:rPr>
      </w:pPr>
    </w:p>
    <w:p w14:paraId="362FC49E" w14:textId="7ECAF180" w:rsidR="00634A7A" w:rsidRDefault="005A3797" w:rsidP="0039229D">
      <w:pPr>
        <w:jc w:val="both"/>
        <w:rPr>
          <w:rFonts w:ascii="Arial" w:hAnsi="Arial" w:cs="Arial"/>
          <w:sz w:val="24"/>
          <w:szCs w:val="24"/>
        </w:rPr>
      </w:pPr>
      <w:r>
        <w:rPr>
          <w:noProof/>
        </w:rPr>
        <w:lastRenderedPageBreak/>
        <w:drawing>
          <wp:inline distT="0" distB="0" distL="0" distR="0" wp14:anchorId="4A9FBCD4" wp14:editId="270CD73A">
            <wp:extent cx="5731510" cy="2079625"/>
            <wp:effectExtent l="0" t="0" r="254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079625"/>
                    </a:xfrm>
                    <a:prstGeom prst="rect">
                      <a:avLst/>
                    </a:prstGeom>
                  </pic:spPr>
                </pic:pic>
              </a:graphicData>
            </a:graphic>
          </wp:inline>
        </w:drawing>
      </w:r>
    </w:p>
    <w:p w14:paraId="38FC502D" w14:textId="0F645059" w:rsidR="00F523B5" w:rsidRPr="00350721" w:rsidRDefault="00F523B5" w:rsidP="00C6452F">
      <w:pPr>
        <w:jc w:val="both"/>
        <w:rPr>
          <w:rFonts w:ascii="Arial" w:hAnsi="Arial" w:cs="Arial"/>
          <w:sz w:val="24"/>
          <w:szCs w:val="24"/>
        </w:rPr>
      </w:pPr>
      <w:r w:rsidRPr="00350721">
        <w:rPr>
          <w:rFonts w:ascii="Arial" w:hAnsi="Arial" w:cs="Arial"/>
          <w:sz w:val="24"/>
          <w:szCs w:val="24"/>
        </w:rPr>
        <w:t>The individual factors could be a user’s computer literacy or motivation, amongst other characteristics. Factors for technology can include the usability of the product, speed of use, and connectivity to other products. Factors for the tasks can comprise</w:t>
      </w:r>
      <w:r w:rsidR="003C0F97">
        <w:rPr>
          <w:rFonts w:ascii="Arial" w:hAnsi="Arial" w:cs="Arial"/>
          <w:sz w:val="24"/>
          <w:szCs w:val="24"/>
        </w:rPr>
        <w:t xml:space="preserve"> of</w:t>
      </w:r>
      <w:r w:rsidRPr="00350721">
        <w:rPr>
          <w:rFonts w:ascii="Arial" w:hAnsi="Arial" w:cs="Arial"/>
          <w:sz w:val="24"/>
          <w:szCs w:val="24"/>
        </w:rPr>
        <w:t xml:space="preserve"> the organisation structure, complexity of the task involved etc (</w:t>
      </w:r>
      <w:r w:rsidRPr="007762CA">
        <w:rPr>
          <w:rFonts w:ascii="Arial" w:hAnsi="Arial" w:cs="Arial"/>
          <w:sz w:val="24"/>
          <w:szCs w:val="24"/>
        </w:rPr>
        <w:t xml:space="preserve">Tsiknakis and Kouroubali, 2008, p. 40). </w:t>
      </w:r>
      <w:r w:rsidRPr="00350721">
        <w:rPr>
          <w:rFonts w:ascii="Arial" w:hAnsi="Arial" w:cs="Arial"/>
          <w:sz w:val="24"/>
          <w:szCs w:val="24"/>
        </w:rPr>
        <w:t>The FITT framework evaluates the different interconnectivity points between each factor that influence the success or failure of adoption of technology products (</w:t>
      </w:r>
      <w:r w:rsidRPr="005D2D46">
        <w:rPr>
          <w:rFonts w:ascii="Arial" w:hAnsi="Arial" w:cs="Arial"/>
          <w:sz w:val="24"/>
          <w:szCs w:val="24"/>
        </w:rPr>
        <w:t>Cho et al., 2019, p. 3</w:t>
      </w:r>
      <w:r w:rsidRPr="00350721">
        <w:rPr>
          <w:rFonts w:ascii="Arial" w:hAnsi="Arial" w:cs="Arial"/>
          <w:sz w:val="24"/>
          <w:szCs w:val="24"/>
        </w:rPr>
        <w:t>). This means that the interaction between the three attributes</w:t>
      </w:r>
      <w:r w:rsidR="003C0F97">
        <w:rPr>
          <w:rFonts w:ascii="Arial" w:hAnsi="Arial" w:cs="Arial"/>
          <w:sz w:val="24"/>
          <w:szCs w:val="24"/>
        </w:rPr>
        <w:t xml:space="preserve"> </w:t>
      </w:r>
      <w:r w:rsidR="0039229D">
        <w:rPr>
          <w:rFonts w:ascii="Arial" w:hAnsi="Arial" w:cs="Arial"/>
          <w:sz w:val="24"/>
          <w:szCs w:val="24"/>
        </w:rPr>
        <w:t>is</w:t>
      </w:r>
      <w:r w:rsidRPr="00350721">
        <w:rPr>
          <w:rFonts w:ascii="Arial" w:hAnsi="Arial" w:cs="Arial"/>
          <w:sz w:val="24"/>
          <w:szCs w:val="24"/>
        </w:rPr>
        <w:t xml:space="preserve"> more critical than the attributes separately (</w:t>
      </w:r>
      <w:r w:rsidRPr="00C94122">
        <w:rPr>
          <w:rFonts w:ascii="Arial" w:hAnsi="Arial" w:cs="Arial"/>
          <w:sz w:val="24"/>
          <w:szCs w:val="24"/>
        </w:rPr>
        <w:t>Nilsson et al</w:t>
      </w:r>
      <w:r w:rsidR="00C94122">
        <w:rPr>
          <w:rFonts w:ascii="Arial" w:hAnsi="Arial" w:cs="Arial"/>
          <w:sz w:val="24"/>
          <w:szCs w:val="24"/>
        </w:rPr>
        <w:t>.,</w:t>
      </w:r>
      <w:r w:rsidRPr="00C94122">
        <w:rPr>
          <w:rFonts w:ascii="Arial" w:hAnsi="Arial" w:cs="Arial"/>
          <w:sz w:val="24"/>
          <w:szCs w:val="24"/>
        </w:rPr>
        <w:t xml:space="preserve"> 2020, p. 2). </w:t>
      </w:r>
      <w:r w:rsidRPr="00350721">
        <w:rPr>
          <w:rFonts w:ascii="Arial" w:hAnsi="Arial" w:cs="Arial"/>
          <w:sz w:val="24"/>
          <w:szCs w:val="24"/>
        </w:rPr>
        <w:t>An example would be IT software requirements and the users’ IT skills matching (</w:t>
      </w:r>
      <w:r w:rsidR="008955C1" w:rsidRPr="008955C1">
        <w:rPr>
          <w:rFonts w:ascii="Arial" w:hAnsi="Arial" w:cs="Arial"/>
          <w:sz w:val="24"/>
          <w:szCs w:val="24"/>
        </w:rPr>
        <w:t>Ammenwerth, Iller, and Mahler</w:t>
      </w:r>
      <w:r w:rsidR="008955C1" w:rsidRPr="008955C1">
        <w:rPr>
          <w:rFonts w:ascii="Arial" w:hAnsi="Arial" w:cs="Arial"/>
          <w:sz w:val="24"/>
          <w:szCs w:val="24"/>
          <w:lang w:eastAsia="en-GB"/>
        </w:rPr>
        <w:t>, 2006</w:t>
      </w:r>
      <w:r w:rsidRPr="008955C1">
        <w:rPr>
          <w:rFonts w:ascii="Arial" w:hAnsi="Arial" w:cs="Arial"/>
          <w:sz w:val="24"/>
          <w:szCs w:val="24"/>
        </w:rPr>
        <w:t>, p. 10).</w:t>
      </w:r>
    </w:p>
    <w:p w14:paraId="0F24E70B" w14:textId="02FEA9D3" w:rsidR="00374504" w:rsidRPr="002C3F3A" w:rsidRDefault="00374504" w:rsidP="00C6452F">
      <w:pPr>
        <w:jc w:val="both"/>
        <w:rPr>
          <w:rFonts w:ascii="Arial" w:hAnsi="Arial" w:cs="Arial"/>
          <w:sz w:val="24"/>
          <w:szCs w:val="24"/>
        </w:rPr>
      </w:pPr>
      <w:r w:rsidRPr="002C3F3A">
        <w:rPr>
          <w:rFonts w:ascii="Arial" w:hAnsi="Arial" w:cs="Arial"/>
          <w:sz w:val="24"/>
          <w:szCs w:val="24"/>
        </w:rPr>
        <w:t xml:space="preserve">By using the FITT framework, through the interaction of the three elements, it is hopeful the framework will discover issues that will have solutions. Using the FITT framework can predict or retrospectively analyse issues (Honekamp </w:t>
      </w:r>
      <w:r w:rsidR="002C3F3A" w:rsidRPr="002C3F3A">
        <w:rPr>
          <w:rFonts w:ascii="Arial" w:hAnsi="Arial" w:cs="Arial"/>
          <w:sz w:val="24"/>
          <w:szCs w:val="24"/>
        </w:rPr>
        <w:t>and Ostermann</w:t>
      </w:r>
      <w:r w:rsidRPr="002C3F3A">
        <w:rPr>
          <w:rFonts w:ascii="Arial" w:hAnsi="Arial" w:cs="Arial"/>
          <w:sz w:val="24"/>
          <w:szCs w:val="24"/>
        </w:rPr>
        <w:t xml:space="preserve">, 2011, p. 47). Any interventions that are made to a system can have further evaluation through the FITT framework (Honekamp </w:t>
      </w:r>
      <w:r w:rsidR="002C3F3A" w:rsidRPr="002C3F3A">
        <w:rPr>
          <w:rFonts w:ascii="Arial" w:hAnsi="Arial" w:cs="Arial"/>
          <w:sz w:val="24"/>
          <w:szCs w:val="24"/>
        </w:rPr>
        <w:t>and Ostermann</w:t>
      </w:r>
      <w:r w:rsidRPr="002C3F3A">
        <w:rPr>
          <w:rFonts w:ascii="Arial" w:hAnsi="Arial" w:cs="Arial"/>
          <w:sz w:val="24"/>
          <w:szCs w:val="24"/>
        </w:rPr>
        <w:t>, 2011, p. 47).</w:t>
      </w:r>
    </w:p>
    <w:p w14:paraId="0DDD318E" w14:textId="42902824" w:rsidR="005E2407" w:rsidRPr="00350721" w:rsidRDefault="005E2407" w:rsidP="00C6452F">
      <w:pPr>
        <w:jc w:val="both"/>
        <w:rPr>
          <w:rFonts w:ascii="Arial" w:hAnsi="Arial" w:cs="Arial"/>
          <w:sz w:val="24"/>
          <w:szCs w:val="24"/>
        </w:rPr>
      </w:pPr>
      <w:r w:rsidRPr="00350721">
        <w:rPr>
          <w:rFonts w:ascii="Arial" w:hAnsi="Arial" w:cs="Arial"/>
          <w:sz w:val="24"/>
          <w:szCs w:val="24"/>
        </w:rPr>
        <w:t xml:space="preserve">The object of the FITT framework is to establish the best possible fit between individual, task, and technology. Insufficient fit will </w:t>
      </w:r>
      <w:r w:rsidR="00923F44" w:rsidRPr="00350721">
        <w:rPr>
          <w:rFonts w:ascii="Arial" w:hAnsi="Arial" w:cs="Arial"/>
          <w:sz w:val="24"/>
          <w:szCs w:val="24"/>
        </w:rPr>
        <w:t>lead</w:t>
      </w:r>
      <w:r w:rsidRPr="00350721">
        <w:rPr>
          <w:rFonts w:ascii="Arial" w:hAnsi="Arial" w:cs="Arial"/>
          <w:sz w:val="24"/>
          <w:szCs w:val="24"/>
        </w:rPr>
        <w:t xml:space="preserve"> to an increased chance of fa</w:t>
      </w:r>
      <w:r w:rsidRPr="008955C1">
        <w:rPr>
          <w:rFonts w:ascii="Arial" w:hAnsi="Arial" w:cs="Arial"/>
          <w:sz w:val="24"/>
          <w:szCs w:val="24"/>
        </w:rPr>
        <w:t>ilure of projects that are implemented (</w:t>
      </w:r>
      <w:r w:rsidR="008955C1" w:rsidRPr="008955C1">
        <w:rPr>
          <w:rFonts w:ascii="Arial" w:hAnsi="Arial" w:cs="Arial"/>
          <w:sz w:val="24"/>
          <w:szCs w:val="24"/>
        </w:rPr>
        <w:t>Ammenwerth, Iller, and Mahler</w:t>
      </w:r>
      <w:r w:rsidR="008955C1" w:rsidRPr="008955C1">
        <w:rPr>
          <w:rFonts w:ascii="Arial" w:hAnsi="Arial" w:cs="Arial"/>
          <w:sz w:val="24"/>
          <w:szCs w:val="24"/>
          <w:lang w:eastAsia="en-GB"/>
        </w:rPr>
        <w:t>, 2006</w:t>
      </w:r>
      <w:r w:rsidRPr="008955C1">
        <w:rPr>
          <w:rFonts w:ascii="Arial" w:hAnsi="Arial" w:cs="Arial"/>
          <w:sz w:val="24"/>
          <w:szCs w:val="24"/>
        </w:rPr>
        <w:t>, p. 11). By understanding the failures of IT projects, it will allow in theory better preparation for the launch of other IT based projects (</w:t>
      </w:r>
      <w:r w:rsidR="008955C1" w:rsidRPr="008955C1">
        <w:rPr>
          <w:rFonts w:ascii="Arial" w:hAnsi="Arial" w:cs="Arial"/>
          <w:sz w:val="24"/>
          <w:szCs w:val="24"/>
        </w:rPr>
        <w:t>Ammenwerth, Iller, and Mahler</w:t>
      </w:r>
      <w:r w:rsidR="008955C1" w:rsidRPr="008955C1">
        <w:rPr>
          <w:rFonts w:ascii="Arial" w:hAnsi="Arial" w:cs="Arial"/>
          <w:sz w:val="24"/>
          <w:szCs w:val="24"/>
          <w:lang w:eastAsia="en-GB"/>
        </w:rPr>
        <w:t>, 2006</w:t>
      </w:r>
      <w:r w:rsidRPr="008955C1">
        <w:rPr>
          <w:rFonts w:ascii="Arial" w:hAnsi="Arial" w:cs="Arial"/>
          <w:sz w:val="24"/>
          <w:szCs w:val="24"/>
        </w:rPr>
        <w:t xml:space="preserve">, p. 12). Furthering </w:t>
      </w:r>
      <w:r w:rsidRPr="00350721">
        <w:rPr>
          <w:rFonts w:ascii="Arial" w:hAnsi="Arial" w:cs="Arial"/>
          <w:sz w:val="24"/>
          <w:szCs w:val="24"/>
        </w:rPr>
        <w:t>the likelihood of future IT based project success through lessons learned.</w:t>
      </w:r>
    </w:p>
    <w:p w14:paraId="000E8A51" w14:textId="3808970B" w:rsidR="00A51B6B" w:rsidRPr="00350721" w:rsidRDefault="00A51B6B" w:rsidP="00C6452F">
      <w:pPr>
        <w:jc w:val="both"/>
        <w:rPr>
          <w:rFonts w:ascii="Arial" w:hAnsi="Arial" w:cs="Arial"/>
          <w:sz w:val="24"/>
          <w:szCs w:val="24"/>
        </w:rPr>
      </w:pPr>
      <w:r w:rsidRPr="00350721">
        <w:rPr>
          <w:rFonts w:ascii="Arial" w:hAnsi="Arial" w:cs="Arial"/>
          <w:sz w:val="24"/>
          <w:szCs w:val="24"/>
        </w:rPr>
        <w:t xml:space="preserve">The FITT framework uses the optimal, sufficient, and insufficient approach using the icons </w:t>
      </w:r>
      <w:r w:rsidRPr="00350721">
        <w:rPr>
          <w:rFonts w:ascii="Arial" w:hAnsi="Arial" w:cs="Arial"/>
          <w:noProof/>
          <w:sz w:val="24"/>
          <w:szCs w:val="24"/>
        </w:rPr>
        <w:drawing>
          <wp:inline distT="0" distB="0" distL="0" distR="0" wp14:anchorId="5EEC971C" wp14:editId="356DF001">
            <wp:extent cx="180000" cy="180000"/>
            <wp:effectExtent l="0" t="0" r="0" b="0"/>
            <wp:docPr id="39" name="Graphic 39" descr="Harvey Balls 0%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Graphic 39" descr="Harvey Balls 0%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80000" cy="180000"/>
                    </a:xfrm>
                    <a:prstGeom prst="rect">
                      <a:avLst/>
                    </a:prstGeom>
                  </pic:spPr>
                </pic:pic>
              </a:graphicData>
            </a:graphic>
          </wp:inline>
        </w:drawing>
      </w:r>
      <w:r w:rsidRPr="00350721">
        <w:rPr>
          <w:rFonts w:ascii="Arial" w:hAnsi="Arial" w:cs="Arial"/>
          <w:sz w:val="24"/>
          <w:szCs w:val="24"/>
        </w:rPr>
        <w:t>,</w:t>
      </w:r>
      <w:r w:rsidRPr="00350721">
        <w:rPr>
          <w:rFonts w:ascii="Arial" w:hAnsi="Arial" w:cs="Arial"/>
          <w:noProof/>
          <w:sz w:val="24"/>
          <w:szCs w:val="24"/>
        </w:rPr>
        <w:drawing>
          <wp:inline distT="0" distB="0" distL="0" distR="0" wp14:anchorId="559D203E" wp14:editId="07EAC81D">
            <wp:extent cx="180000" cy="180000"/>
            <wp:effectExtent l="0" t="0" r="0" b="0"/>
            <wp:docPr id="41" name="Graphic 41" descr="Harvey Balls 50%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Graphic 41" descr="Harvey Balls 50% with solid fill"/>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flipH="1">
                      <a:off x="0" y="0"/>
                      <a:ext cx="180000" cy="180000"/>
                    </a:xfrm>
                    <a:prstGeom prst="rect">
                      <a:avLst/>
                    </a:prstGeom>
                  </pic:spPr>
                </pic:pic>
              </a:graphicData>
            </a:graphic>
          </wp:inline>
        </w:drawing>
      </w:r>
      <w:r w:rsidRPr="00350721">
        <w:rPr>
          <w:rFonts w:ascii="Arial" w:hAnsi="Arial" w:cs="Arial"/>
          <w:sz w:val="24"/>
          <w:szCs w:val="24"/>
        </w:rPr>
        <w:t>,</w:t>
      </w:r>
      <w:r w:rsidRPr="00350721">
        <w:rPr>
          <w:rFonts w:ascii="Arial" w:hAnsi="Arial" w:cs="Arial"/>
          <w:noProof/>
          <w:sz w:val="24"/>
          <w:szCs w:val="24"/>
        </w:rPr>
        <w:drawing>
          <wp:inline distT="0" distB="0" distL="0" distR="0" wp14:anchorId="550BAEFD" wp14:editId="3C45116D">
            <wp:extent cx="180000" cy="180000"/>
            <wp:effectExtent l="0" t="0" r="0" b="0"/>
            <wp:docPr id="40" name="Graphic 40" descr="Harvey Balls 100%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Graphic 40" descr="Harvey Balls 100% with solid fi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80000" cy="180000"/>
                    </a:xfrm>
                    <a:prstGeom prst="rect">
                      <a:avLst/>
                    </a:prstGeom>
                  </pic:spPr>
                </pic:pic>
              </a:graphicData>
            </a:graphic>
          </wp:inline>
        </w:drawing>
      </w:r>
      <w:r w:rsidRPr="00350721">
        <w:rPr>
          <w:rFonts w:ascii="Arial" w:hAnsi="Arial" w:cs="Arial"/>
          <w:sz w:val="24"/>
          <w:szCs w:val="24"/>
        </w:rPr>
        <w:t xml:space="preserve"> to indicate each in the framework. </w:t>
      </w:r>
      <w:r w:rsidRPr="00350721">
        <w:rPr>
          <w:rFonts w:ascii="Arial" w:hAnsi="Arial" w:cs="Arial"/>
          <w:noProof/>
          <w:sz w:val="24"/>
          <w:szCs w:val="24"/>
        </w:rPr>
        <w:drawing>
          <wp:inline distT="0" distB="0" distL="0" distR="0" wp14:anchorId="40BA638E" wp14:editId="498A1A13">
            <wp:extent cx="180000" cy="180000"/>
            <wp:effectExtent l="0" t="0" r="0" b="0"/>
            <wp:docPr id="76" name="Graphic 76" descr="Harvey Balls 0%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Graphic 39" descr="Harvey Balls 0%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80000" cy="180000"/>
                    </a:xfrm>
                    <a:prstGeom prst="rect">
                      <a:avLst/>
                    </a:prstGeom>
                  </pic:spPr>
                </pic:pic>
              </a:graphicData>
            </a:graphic>
          </wp:inline>
        </w:drawing>
      </w:r>
      <w:r w:rsidRPr="00350721">
        <w:rPr>
          <w:rFonts w:ascii="Arial" w:hAnsi="Arial" w:cs="Arial"/>
          <w:sz w:val="24"/>
          <w:szCs w:val="24"/>
        </w:rPr>
        <w:t xml:space="preserve"> represent</w:t>
      </w:r>
      <w:r w:rsidR="00D776A8">
        <w:rPr>
          <w:rFonts w:ascii="Arial" w:hAnsi="Arial" w:cs="Arial"/>
          <w:sz w:val="24"/>
          <w:szCs w:val="24"/>
        </w:rPr>
        <w:t>s</w:t>
      </w:r>
      <w:r w:rsidRPr="00350721">
        <w:rPr>
          <w:rFonts w:ascii="Arial" w:hAnsi="Arial" w:cs="Arial"/>
          <w:sz w:val="24"/>
          <w:szCs w:val="24"/>
        </w:rPr>
        <w:t xml:space="preserve"> optimal, </w:t>
      </w:r>
      <w:r w:rsidRPr="00350721">
        <w:rPr>
          <w:rFonts w:ascii="Arial" w:hAnsi="Arial" w:cs="Arial"/>
          <w:noProof/>
          <w:sz w:val="24"/>
          <w:szCs w:val="24"/>
        </w:rPr>
        <w:drawing>
          <wp:inline distT="0" distB="0" distL="0" distR="0" wp14:anchorId="52171C6C" wp14:editId="5BAA4D0D">
            <wp:extent cx="180000" cy="180000"/>
            <wp:effectExtent l="0" t="0" r="0" b="0"/>
            <wp:docPr id="77" name="Graphic 77" descr="Harvey Balls 50%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Graphic 41" descr="Harvey Balls 50% with solid fill"/>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flipH="1">
                      <a:off x="0" y="0"/>
                      <a:ext cx="180000" cy="180000"/>
                    </a:xfrm>
                    <a:prstGeom prst="rect">
                      <a:avLst/>
                    </a:prstGeom>
                  </pic:spPr>
                </pic:pic>
              </a:graphicData>
            </a:graphic>
          </wp:inline>
        </w:drawing>
      </w:r>
      <w:r w:rsidRPr="00350721">
        <w:rPr>
          <w:rFonts w:ascii="Arial" w:hAnsi="Arial" w:cs="Arial"/>
          <w:sz w:val="24"/>
          <w:szCs w:val="24"/>
        </w:rPr>
        <w:t xml:space="preserve">  represent</w:t>
      </w:r>
      <w:r w:rsidR="00D776A8">
        <w:rPr>
          <w:rFonts w:ascii="Arial" w:hAnsi="Arial" w:cs="Arial"/>
          <w:sz w:val="24"/>
          <w:szCs w:val="24"/>
        </w:rPr>
        <w:t>s</w:t>
      </w:r>
      <w:r w:rsidRPr="00350721">
        <w:rPr>
          <w:rFonts w:ascii="Arial" w:hAnsi="Arial" w:cs="Arial"/>
          <w:sz w:val="24"/>
          <w:szCs w:val="24"/>
        </w:rPr>
        <w:t xml:space="preserve"> sufficient and </w:t>
      </w:r>
      <w:r w:rsidRPr="00350721">
        <w:rPr>
          <w:rFonts w:ascii="Arial" w:hAnsi="Arial" w:cs="Arial"/>
          <w:noProof/>
          <w:sz w:val="24"/>
          <w:szCs w:val="24"/>
        </w:rPr>
        <w:drawing>
          <wp:inline distT="0" distB="0" distL="0" distR="0" wp14:anchorId="2F5AC231" wp14:editId="47D89CCE">
            <wp:extent cx="180000" cy="180000"/>
            <wp:effectExtent l="0" t="0" r="0" b="0"/>
            <wp:docPr id="78" name="Graphic 78" descr="Harvey Balls 100%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Graphic 40" descr="Harvey Balls 100% with solid fi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180000" cy="180000"/>
                    </a:xfrm>
                    <a:prstGeom prst="rect">
                      <a:avLst/>
                    </a:prstGeom>
                  </pic:spPr>
                </pic:pic>
              </a:graphicData>
            </a:graphic>
          </wp:inline>
        </w:drawing>
      </w:r>
      <w:r w:rsidR="00D776A8">
        <w:rPr>
          <w:rFonts w:ascii="Arial" w:hAnsi="Arial" w:cs="Arial"/>
          <w:sz w:val="24"/>
          <w:szCs w:val="24"/>
        </w:rPr>
        <w:t xml:space="preserve"> is</w:t>
      </w:r>
      <w:r w:rsidRPr="00350721">
        <w:rPr>
          <w:rFonts w:ascii="Arial" w:hAnsi="Arial" w:cs="Arial"/>
          <w:sz w:val="24"/>
          <w:szCs w:val="24"/>
        </w:rPr>
        <w:t xml:space="preserve"> for insufficient. </w:t>
      </w:r>
    </w:p>
    <w:p w14:paraId="48DCEFE9" w14:textId="77777777" w:rsidR="00A51B6B" w:rsidRPr="00350721" w:rsidRDefault="00A51B6B" w:rsidP="00C6452F">
      <w:pPr>
        <w:jc w:val="both"/>
        <w:rPr>
          <w:rFonts w:ascii="Arial" w:hAnsi="Arial" w:cs="Arial"/>
          <w:sz w:val="24"/>
          <w:szCs w:val="24"/>
        </w:rPr>
      </w:pPr>
      <w:r w:rsidRPr="00350721">
        <w:rPr>
          <w:rFonts w:ascii="Arial" w:hAnsi="Arial" w:cs="Arial"/>
          <w:sz w:val="24"/>
          <w:szCs w:val="24"/>
        </w:rPr>
        <w:t>With the FITT framework being used multiple times throughout. From an overview of the main aim of reducing DNA rate, to how ATR impacted different areas and the project’s objectives.</w:t>
      </w:r>
    </w:p>
    <w:p w14:paraId="53C6E7BD" w14:textId="77777777" w:rsidR="00A86682" w:rsidRDefault="00A86682" w:rsidP="00C6452F">
      <w:pPr>
        <w:jc w:val="both"/>
        <w:rPr>
          <w:rFonts w:ascii="Arial" w:hAnsi="Arial" w:cs="Arial"/>
          <w:b/>
          <w:bCs/>
          <w:sz w:val="24"/>
          <w:szCs w:val="24"/>
        </w:rPr>
      </w:pPr>
    </w:p>
    <w:p w14:paraId="0E89F8B8" w14:textId="77777777" w:rsidR="00A86682" w:rsidRDefault="00A86682" w:rsidP="00C6452F">
      <w:pPr>
        <w:jc w:val="both"/>
        <w:rPr>
          <w:rFonts w:ascii="Arial" w:hAnsi="Arial" w:cs="Arial"/>
          <w:b/>
          <w:bCs/>
          <w:sz w:val="24"/>
          <w:szCs w:val="24"/>
        </w:rPr>
      </w:pPr>
    </w:p>
    <w:p w14:paraId="413CA4F4" w14:textId="77777777" w:rsidR="00A86682" w:rsidRDefault="00A86682" w:rsidP="00C6452F">
      <w:pPr>
        <w:jc w:val="both"/>
        <w:rPr>
          <w:rFonts w:ascii="Arial" w:hAnsi="Arial" w:cs="Arial"/>
          <w:b/>
          <w:bCs/>
          <w:sz w:val="24"/>
          <w:szCs w:val="24"/>
        </w:rPr>
      </w:pPr>
    </w:p>
    <w:p w14:paraId="0BE93C0E" w14:textId="5E175C4B" w:rsidR="00A51B6B" w:rsidRPr="00350721" w:rsidRDefault="00A51B6B" w:rsidP="00C6452F">
      <w:pPr>
        <w:jc w:val="both"/>
        <w:rPr>
          <w:rFonts w:ascii="Arial" w:hAnsi="Arial" w:cs="Arial"/>
          <w:b/>
          <w:bCs/>
          <w:sz w:val="24"/>
          <w:szCs w:val="24"/>
        </w:rPr>
      </w:pPr>
      <w:r w:rsidRPr="00350721">
        <w:rPr>
          <w:rFonts w:ascii="Arial" w:hAnsi="Arial" w:cs="Arial"/>
          <w:b/>
          <w:bCs/>
          <w:sz w:val="24"/>
          <w:szCs w:val="24"/>
        </w:rPr>
        <w:lastRenderedPageBreak/>
        <w:t>Work as Done</w:t>
      </w:r>
    </w:p>
    <w:p w14:paraId="28206CD1" w14:textId="22C93701" w:rsidR="005E2407" w:rsidRPr="00350721" w:rsidRDefault="005E2407" w:rsidP="00C6452F">
      <w:pPr>
        <w:jc w:val="both"/>
        <w:rPr>
          <w:rFonts w:ascii="Arial" w:hAnsi="Arial" w:cs="Arial"/>
          <w:sz w:val="24"/>
          <w:szCs w:val="24"/>
        </w:rPr>
      </w:pPr>
      <w:r w:rsidRPr="00350721">
        <w:rPr>
          <w:rFonts w:ascii="Arial" w:hAnsi="Arial" w:cs="Arial"/>
          <w:sz w:val="24"/>
          <w:szCs w:val="24"/>
        </w:rPr>
        <w:t>To establish the success of the IT software introduction through the FITT framework, data will need to be collected. The data will need to cover every aspect of the Individuals, Tasks and Technology within the FITT framework. To do these multiple factors have to be taken into consideration. There is usually a gap between the theory and reality of how things are done (</w:t>
      </w:r>
      <w:r w:rsidRPr="007A05E7">
        <w:rPr>
          <w:rFonts w:ascii="Arial" w:hAnsi="Arial" w:cs="Arial"/>
          <w:sz w:val="24"/>
          <w:szCs w:val="24"/>
        </w:rPr>
        <w:t xml:space="preserve">Schubel et al., 2019, p. 767). To improve success of implementation, there needs to be a recognition of the difference between the theory </w:t>
      </w:r>
      <w:r w:rsidR="00146851" w:rsidRPr="007A05E7">
        <w:rPr>
          <w:rFonts w:ascii="Arial" w:hAnsi="Arial" w:cs="Arial"/>
          <w:sz w:val="24"/>
          <w:szCs w:val="24"/>
        </w:rPr>
        <w:t>‘</w:t>
      </w:r>
      <w:r w:rsidRPr="007A05E7">
        <w:rPr>
          <w:rFonts w:ascii="Arial" w:hAnsi="Arial" w:cs="Arial"/>
          <w:sz w:val="24"/>
          <w:szCs w:val="24"/>
        </w:rPr>
        <w:t>work as imagined</w:t>
      </w:r>
      <w:r w:rsidR="00146851" w:rsidRPr="007A05E7">
        <w:rPr>
          <w:rFonts w:ascii="Arial" w:hAnsi="Arial" w:cs="Arial"/>
          <w:sz w:val="24"/>
          <w:szCs w:val="24"/>
        </w:rPr>
        <w:t>’</w:t>
      </w:r>
      <w:r w:rsidRPr="007A05E7">
        <w:rPr>
          <w:rFonts w:ascii="Arial" w:hAnsi="Arial" w:cs="Arial"/>
          <w:sz w:val="24"/>
          <w:szCs w:val="24"/>
        </w:rPr>
        <w:t xml:space="preserve"> and the reality </w:t>
      </w:r>
      <w:r w:rsidR="00F07CDF" w:rsidRPr="007A05E7">
        <w:rPr>
          <w:rFonts w:ascii="Arial" w:hAnsi="Arial" w:cs="Arial"/>
          <w:sz w:val="24"/>
          <w:szCs w:val="24"/>
        </w:rPr>
        <w:t>‘</w:t>
      </w:r>
      <w:r w:rsidRPr="007A05E7">
        <w:rPr>
          <w:rFonts w:ascii="Arial" w:hAnsi="Arial" w:cs="Arial"/>
          <w:sz w:val="24"/>
          <w:szCs w:val="24"/>
        </w:rPr>
        <w:t>work as done</w:t>
      </w:r>
      <w:r w:rsidR="00F07CDF" w:rsidRPr="007A05E7">
        <w:rPr>
          <w:rFonts w:ascii="Arial" w:hAnsi="Arial" w:cs="Arial"/>
          <w:sz w:val="24"/>
          <w:szCs w:val="24"/>
        </w:rPr>
        <w:t>’</w:t>
      </w:r>
      <w:r w:rsidRPr="007A05E7">
        <w:rPr>
          <w:rFonts w:ascii="Arial" w:hAnsi="Arial" w:cs="Arial"/>
          <w:sz w:val="24"/>
          <w:szCs w:val="24"/>
        </w:rPr>
        <w:t xml:space="preserve"> (Deutsch, 2017, p. 80). The idea is to understand the reality rather than the description (Schubel et al., 2019, p. 767)</w:t>
      </w:r>
      <w:r w:rsidR="00923F44" w:rsidRPr="007A05E7">
        <w:rPr>
          <w:rFonts w:ascii="Arial" w:hAnsi="Arial" w:cs="Arial"/>
          <w:sz w:val="24"/>
          <w:szCs w:val="24"/>
        </w:rPr>
        <w:t xml:space="preserve">. </w:t>
      </w:r>
    </w:p>
    <w:p w14:paraId="342AF483" w14:textId="77777777" w:rsidR="008A5C9F" w:rsidRDefault="00A51B6B" w:rsidP="00C6452F">
      <w:pPr>
        <w:jc w:val="both"/>
        <w:rPr>
          <w:rFonts w:ascii="Arial" w:hAnsi="Arial" w:cs="Arial"/>
          <w:sz w:val="24"/>
          <w:szCs w:val="24"/>
          <w:lang w:eastAsia="en-GB"/>
        </w:rPr>
      </w:pPr>
      <w:r w:rsidRPr="00350721">
        <w:rPr>
          <w:rFonts w:ascii="Arial" w:hAnsi="Arial" w:cs="Arial"/>
          <w:sz w:val="24"/>
          <w:szCs w:val="24"/>
          <w:lang w:eastAsia="en-GB"/>
        </w:rPr>
        <w:t xml:space="preserve">To achieve as close to </w:t>
      </w:r>
      <w:r w:rsidR="009605E5">
        <w:rPr>
          <w:rFonts w:ascii="Arial" w:hAnsi="Arial" w:cs="Arial"/>
          <w:sz w:val="24"/>
          <w:szCs w:val="24"/>
          <w:lang w:eastAsia="en-GB"/>
        </w:rPr>
        <w:t>‘</w:t>
      </w:r>
      <w:r w:rsidRPr="00350721">
        <w:rPr>
          <w:rFonts w:ascii="Arial" w:hAnsi="Arial" w:cs="Arial"/>
          <w:sz w:val="24"/>
          <w:szCs w:val="24"/>
          <w:lang w:eastAsia="en-GB"/>
        </w:rPr>
        <w:t>work as done</w:t>
      </w:r>
      <w:r w:rsidR="009605E5">
        <w:rPr>
          <w:rFonts w:ascii="Arial" w:hAnsi="Arial" w:cs="Arial"/>
          <w:sz w:val="24"/>
          <w:szCs w:val="24"/>
          <w:lang w:eastAsia="en-GB"/>
        </w:rPr>
        <w:t>’</w:t>
      </w:r>
      <w:r w:rsidRPr="00350721">
        <w:rPr>
          <w:rFonts w:ascii="Arial" w:hAnsi="Arial" w:cs="Arial"/>
          <w:sz w:val="24"/>
          <w:szCs w:val="24"/>
          <w:lang w:eastAsia="en-GB"/>
        </w:rPr>
        <w:t xml:space="preserve"> as possible, there must be consideration for </w:t>
      </w:r>
      <w:r w:rsidR="00923F44" w:rsidRPr="00350721">
        <w:rPr>
          <w:rFonts w:ascii="Arial" w:hAnsi="Arial" w:cs="Arial"/>
          <w:sz w:val="24"/>
          <w:szCs w:val="24"/>
          <w:lang w:eastAsia="en-GB"/>
        </w:rPr>
        <w:t>six</w:t>
      </w:r>
      <w:r w:rsidRPr="00350721">
        <w:rPr>
          <w:rFonts w:ascii="Arial" w:hAnsi="Arial" w:cs="Arial"/>
          <w:sz w:val="24"/>
          <w:szCs w:val="24"/>
          <w:lang w:eastAsia="en-GB"/>
        </w:rPr>
        <w:t xml:space="preserve"> views </w:t>
      </w:r>
      <w:r w:rsidR="008A5C9F" w:rsidRPr="008A5C9F">
        <w:rPr>
          <w:rFonts w:ascii="Arial" w:hAnsi="Arial" w:cs="Arial"/>
          <w:sz w:val="24"/>
          <w:szCs w:val="24"/>
          <w:lang w:eastAsia="en-GB"/>
        </w:rPr>
        <w:t>(Deutsch, 2017, p. 81)</w:t>
      </w:r>
      <w:r w:rsidR="008A5C9F">
        <w:rPr>
          <w:rFonts w:ascii="Arial" w:hAnsi="Arial" w:cs="Arial"/>
          <w:sz w:val="24"/>
          <w:szCs w:val="24"/>
          <w:lang w:eastAsia="en-GB"/>
        </w:rPr>
        <w:t xml:space="preserve">. </w:t>
      </w:r>
    </w:p>
    <w:p w14:paraId="2BC8205A" w14:textId="3DA3135F" w:rsidR="009605E5" w:rsidRDefault="00A51B6B" w:rsidP="00C6452F">
      <w:pPr>
        <w:jc w:val="both"/>
        <w:rPr>
          <w:rFonts w:ascii="Arial" w:hAnsi="Arial" w:cs="Arial"/>
          <w:sz w:val="24"/>
          <w:szCs w:val="24"/>
          <w:lang w:eastAsia="en-GB"/>
        </w:rPr>
      </w:pPr>
      <w:r w:rsidRPr="00350721">
        <w:rPr>
          <w:rFonts w:ascii="Arial" w:hAnsi="Arial" w:cs="Arial"/>
          <w:sz w:val="24"/>
          <w:szCs w:val="24"/>
          <w:lang w:eastAsia="en-GB"/>
        </w:rPr>
        <w:t>These are</w:t>
      </w:r>
      <w:r w:rsidR="009605E5">
        <w:rPr>
          <w:rFonts w:ascii="Arial" w:hAnsi="Arial" w:cs="Arial"/>
          <w:sz w:val="24"/>
          <w:szCs w:val="24"/>
          <w:lang w:eastAsia="en-GB"/>
        </w:rPr>
        <w:t>:</w:t>
      </w:r>
    </w:p>
    <w:p w14:paraId="15DFDEC9" w14:textId="77777777" w:rsidR="009605E5" w:rsidRPr="009605E5" w:rsidRDefault="00A51B6B" w:rsidP="00C6452F">
      <w:pPr>
        <w:pStyle w:val="ListParagraph"/>
        <w:numPr>
          <w:ilvl w:val="0"/>
          <w:numId w:val="3"/>
        </w:numPr>
        <w:jc w:val="both"/>
        <w:rPr>
          <w:rFonts w:ascii="Arial" w:hAnsi="Arial" w:cs="Arial"/>
          <w:sz w:val="24"/>
          <w:szCs w:val="24"/>
          <w:lang w:eastAsia="en-GB"/>
        </w:rPr>
      </w:pPr>
      <w:r w:rsidRPr="009605E5">
        <w:rPr>
          <w:rFonts w:ascii="Arial" w:hAnsi="Arial" w:cs="Arial"/>
          <w:sz w:val="24"/>
          <w:szCs w:val="24"/>
          <w:lang w:eastAsia="en-GB"/>
        </w:rPr>
        <w:t>work as imagined</w:t>
      </w:r>
    </w:p>
    <w:p w14:paraId="58AC13DE" w14:textId="77777777" w:rsidR="009605E5" w:rsidRPr="009605E5" w:rsidRDefault="00A51B6B" w:rsidP="00C6452F">
      <w:pPr>
        <w:pStyle w:val="ListParagraph"/>
        <w:numPr>
          <w:ilvl w:val="0"/>
          <w:numId w:val="3"/>
        </w:numPr>
        <w:jc w:val="both"/>
        <w:rPr>
          <w:rFonts w:ascii="Arial" w:hAnsi="Arial" w:cs="Arial"/>
          <w:sz w:val="24"/>
          <w:szCs w:val="24"/>
          <w:lang w:eastAsia="en-GB"/>
        </w:rPr>
      </w:pPr>
      <w:r w:rsidRPr="009605E5">
        <w:rPr>
          <w:rFonts w:ascii="Arial" w:hAnsi="Arial" w:cs="Arial"/>
          <w:sz w:val="24"/>
          <w:szCs w:val="24"/>
          <w:lang w:eastAsia="en-GB"/>
        </w:rPr>
        <w:t>work as abstracted</w:t>
      </w:r>
    </w:p>
    <w:p w14:paraId="4507BBE4" w14:textId="77777777" w:rsidR="009605E5" w:rsidRPr="009605E5" w:rsidRDefault="00A51B6B" w:rsidP="00C6452F">
      <w:pPr>
        <w:pStyle w:val="ListParagraph"/>
        <w:numPr>
          <w:ilvl w:val="0"/>
          <w:numId w:val="3"/>
        </w:numPr>
        <w:jc w:val="both"/>
        <w:rPr>
          <w:rFonts w:ascii="Arial" w:hAnsi="Arial" w:cs="Arial"/>
          <w:sz w:val="24"/>
          <w:szCs w:val="24"/>
          <w:lang w:eastAsia="en-GB"/>
        </w:rPr>
      </w:pPr>
      <w:r w:rsidRPr="009605E5">
        <w:rPr>
          <w:rFonts w:ascii="Arial" w:hAnsi="Arial" w:cs="Arial"/>
          <w:sz w:val="24"/>
          <w:szCs w:val="24"/>
          <w:lang w:eastAsia="en-GB"/>
        </w:rPr>
        <w:t>work as claimed</w:t>
      </w:r>
    </w:p>
    <w:p w14:paraId="466285B8" w14:textId="77777777" w:rsidR="009605E5" w:rsidRPr="009605E5" w:rsidRDefault="00A51B6B" w:rsidP="00C6452F">
      <w:pPr>
        <w:pStyle w:val="ListParagraph"/>
        <w:numPr>
          <w:ilvl w:val="0"/>
          <w:numId w:val="3"/>
        </w:numPr>
        <w:jc w:val="both"/>
        <w:rPr>
          <w:rFonts w:ascii="Arial" w:hAnsi="Arial" w:cs="Arial"/>
          <w:sz w:val="24"/>
          <w:szCs w:val="24"/>
          <w:lang w:eastAsia="en-GB"/>
        </w:rPr>
      </w:pPr>
      <w:r w:rsidRPr="009605E5">
        <w:rPr>
          <w:rFonts w:ascii="Arial" w:hAnsi="Arial" w:cs="Arial"/>
          <w:sz w:val="24"/>
          <w:szCs w:val="24"/>
          <w:lang w:eastAsia="en-GB"/>
        </w:rPr>
        <w:t>work as simulated</w:t>
      </w:r>
    </w:p>
    <w:p w14:paraId="4DE7B796" w14:textId="77777777" w:rsidR="009605E5" w:rsidRPr="009605E5" w:rsidRDefault="00A51B6B" w:rsidP="00C6452F">
      <w:pPr>
        <w:pStyle w:val="ListParagraph"/>
        <w:numPr>
          <w:ilvl w:val="0"/>
          <w:numId w:val="3"/>
        </w:numPr>
        <w:jc w:val="both"/>
        <w:rPr>
          <w:rFonts w:ascii="Arial" w:hAnsi="Arial" w:cs="Arial"/>
          <w:sz w:val="24"/>
          <w:szCs w:val="24"/>
          <w:lang w:eastAsia="en-GB"/>
        </w:rPr>
      </w:pPr>
      <w:r w:rsidRPr="009605E5">
        <w:rPr>
          <w:rFonts w:ascii="Arial" w:hAnsi="Arial" w:cs="Arial"/>
          <w:sz w:val="24"/>
          <w:szCs w:val="24"/>
          <w:lang w:eastAsia="en-GB"/>
        </w:rPr>
        <w:t>work as observed</w:t>
      </w:r>
    </w:p>
    <w:p w14:paraId="617C8B0F" w14:textId="380FF6B0" w:rsidR="009605E5" w:rsidRPr="008A5C9F" w:rsidRDefault="00A51B6B" w:rsidP="00C6452F">
      <w:pPr>
        <w:pStyle w:val="ListParagraph"/>
        <w:numPr>
          <w:ilvl w:val="0"/>
          <w:numId w:val="3"/>
        </w:numPr>
        <w:jc w:val="both"/>
        <w:rPr>
          <w:rFonts w:ascii="Arial" w:hAnsi="Arial" w:cs="Arial"/>
          <w:sz w:val="24"/>
          <w:szCs w:val="24"/>
          <w:lang w:eastAsia="en-GB"/>
        </w:rPr>
      </w:pPr>
      <w:r w:rsidRPr="009605E5">
        <w:rPr>
          <w:rFonts w:ascii="Arial" w:hAnsi="Arial" w:cs="Arial"/>
          <w:sz w:val="24"/>
          <w:szCs w:val="24"/>
          <w:lang w:eastAsia="en-GB"/>
        </w:rPr>
        <w:t xml:space="preserve">work as documented </w:t>
      </w:r>
    </w:p>
    <w:p w14:paraId="662072DE" w14:textId="4A20A591" w:rsidR="00A51B6B" w:rsidRPr="00350721" w:rsidRDefault="00A51B6B" w:rsidP="00C6452F">
      <w:pPr>
        <w:jc w:val="both"/>
        <w:rPr>
          <w:rFonts w:ascii="Arial" w:hAnsi="Arial" w:cs="Arial"/>
          <w:sz w:val="24"/>
          <w:szCs w:val="24"/>
          <w:lang w:eastAsia="en-GB"/>
        </w:rPr>
      </w:pPr>
      <w:r w:rsidRPr="00350721">
        <w:rPr>
          <w:rFonts w:ascii="Arial" w:hAnsi="Arial" w:cs="Arial"/>
          <w:sz w:val="24"/>
          <w:szCs w:val="24"/>
          <w:lang w:eastAsia="en-GB"/>
        </w:rPr>
        <w:t>Not one perspective of these six views will provide the whole truth, as any new system introduced into a healthcare setting is complex (</w:t>
      </w:r>
      <w:r w:rsidRPr="002C1C21">
        <w:rPr>
          <w:rFonts w:ascii="Arial" w:hAnsi="Arial" w:cs="Arial"/>
          <w:sz w:val="24"/>
          <w:szCs w:val="24"/>
          <w:lang w:eastAsia="en-GB"/>
        </w:rPr>
        <w:t xml:space="preserve">Deutsch, 2017, p. 81). </w:t>
      </w:r>
    </w:p>
    <w:p w14:paraId="61836DA4" w14:textId="2D7E76B4" w:rsidR="00A51B6B" w:rsidRPr="00350721" w:rsidRDefault="00A51B6B" w:rsidP="00C6452F">
      <w:pPr>
        <w:jc w:val="both"/>
        <w:rPr>
          <w:rFonts w:ascii="Arial" w:hAnsi="Arial" w:cs="Arial"/>
          <w:b/>
          <w:bCs/>
          <w:sz w:val="24"/>
          <w:szCs w:val="24"/>
          <w:lang w:eastAsia="en-GB"/>
        </w:rPr>
      </w:pPr>
      <w:r w:rsidRPr="00350721">
        <w:rPr>
          <w:rFonts w:ascii="Arial" w:hAnsi="Arial" w:cs="Arial"/>
          <w:b/>
          <w:bCs/>
          <w:sz w:val="24"/>
          <w:szCs w:val="24"/>
          <w:lang w:eastAsia="en-GB"/>
        </w:rPr>
        <w:t>Data Collection</w:t>
      </w:r>
    </w:p>
    <w:p w14:paraId="562BD33E" w14:textId="77777777" w:rsidR="00FF243C" w:rsidRPr="00350721" w:rsidRDefault="00FF243C" w:rsidP="00C6452F">
      <w:pPr>
        <w:jc w:val="both"/>
        <w:rPr>
          <w:rFonts w:ascii="Arial" w:hAnsi="Arial" w:cs="Arial"/>
          <w:sz w:val="24"/>
          <w:szCs w:val="24"/>
        </w:rPr>
      </w:pPr>
      <w:r w:rsidRPr="00350721">
        <w:rPr>
          <w:rFonts w:ascii="Arial" w:hAnsi="Arial" w:cs="Arial"/>
          <w:sz w:val="24"/>
          <w:szCs w:val="24"/>
        </w:rPr>
        <w:t xml:space="preserve">To establish current standards and evaluate the ATR system in the FITT framework. A mixed method analysis was required through work observations, data collected, documentation, along with interviews and surveys with all stakeholders of the ATR system. </w:t>
      </w:r>
    </w:p>
    <w:p w14:paraId="65B2201D" w14:textId="66B23A46" w:rsidR="00FF243C" w:rsidRPr="00350721" w:rsidRDefault="00FF243C" w:rsidP="00C6452F">
      <w:pPr>
        <w:jc w:val="both"/>
        <w:rPr>
          <w:rFonts w:ascii="Arial" w:hAnsi="Arial" w:cs="Arial"/>
          <w:sz w:val="24"/>
          <w:szCs w:val="24"/>
        </w:rPr>
      </w:pPr>
      <w:r w:rsidRPr="00350721">
        <w:rPr>
          <w:rFonts w:ascii="Arial" w:hAnsi="Arial" w:cs="Arial"/>
          <w:sz w:val="24"/>
          <w:szCs w:val="24"/>
        </w:rPr>
        <w:t xml:space="preserve">The stakeholders and users that </w:t>
      </w:r>
      <w:r w:rsidR="007B5788">
        <w:rPr>
          <w:rFonts w:ascii="Arial" w:hAnsi="Arial" w:cs="Arial"/>
          <w:sz w:val="24"/>
          <w:szCs w:val="24"/>
        </w:rPr>
        <w:t>were</w:t>
      </w:r>
      <w:r w:rsidRPr="00350721">
        <w:rPr>
          <w:rFonts w:ascii="Arial" w:hAnsi="Arial" w:cs="Arial"/>
          <w:sz w:val="24"/>
          <w:szCs w:val="24"/>
        </w:rPr>
        <w:t xml:space="preserve"> interviewed and surveyed for the project</w:t>
      </w:r>
      <w:r w:rsidR="008A5C9F">
        <w:rPr>
          <w:rFonts w:ascii="Arial" w:hAnsi="Arial" w:cs="Arial"/>
          <w:sz w:val="24"/>
          <w:szCs w:val="24"/>
        </w:rPr>
        <w:t>,</w:t>
      </w:r>
      <w:r w:rsidRPr="00350721">
        <w:rPr>
          <w:rFonts w:ascii="Arial" w:hAnsi="Arial" w:cs="Arial"/>
          <w:sz w:val="24"/>
          <w:szCs w:val="24"/>
        </w:rPr>
        <w:t xml:space="preserve"> looked at every aspect of how the ATR system can affect users within the outpatient setting. This involved speaking to managers of the PASO team who deal with the booking of outpatient appointments. This is to establish the achievement of the objectives of the ATR system and to gage reaction through the eyes of management. Further to managers, the questioning of the PASO staff took place. To discover not just how they feel the new system works, but to establish their thoughts on technology and the introduction to new ways of working. Clinicians and directorates were also engaged in their views as they are the individuals that see the full benefits realised from the ATR system. As with introducing all healthcare technology that </w:t>
      </w:r>
      <w:r w:rsidR="0039229D" w:rsidRPr="00350721">
        <w:rPr>
          <w:rFonts w:ascii="Arial" w:hAnsi="Arial" w:cs="Arial"/>
          <w:sz w:val="24"/>
          <w:szCs w:val="24"/>
        </w:rPr>
        <w:t>impacts</w:t>
      </w:r>
      <w:r w:rsidRPr="00350721">
        <w:rPr>
          <w:rFonts w:ascii="Arial" w:hAnsi="Arial" w:cs="Arial"/>
          <w:sz w:val="24"/>
          <w:szCs w:val="24"/>
        </w:rPr>
        <w:t xml:space="preserve"> patients</w:t>
      </w:r>
      <w:r w:rsidR="007B5788">
        <w:rPr>
          <w:rFonts w:ascii="Arial" w:hAnsi="Arial" w:cs="Arial"/>
          <w:sz w:val="24"/>
          <w:szCs w:val="24"/>
        </w:rPr>
        <w:t xml:space="preserve"> directly</w:t>
      </w:r>
      <w:r w:rsidRPr="00350721">
        <w:rPr>
          <w:rFonts w:ascii="Arial" w:hAnsi="Arial" w:cs="Arial"/>
          <w:sz w:val="24"/>
          <w:szCs w:val="24"/>
        </w:rPr>
        <w:t xml:space="preserve">, </w:t>
      </w:r>
      <w:r w:rsidR="007B5788">
        <w:rPr>
          <w:rFonts w:ascii="Arial" w:hAnsi="Arial" w:cs="Arial"/>
          <w:sz w:val="24"/>
          <w:szCs w:val="24"/>
        </w:rPr>
        <w:t>it is essential to consider patients</w:t>
      </w:r>
      <w:r w:rsidR="0039229D">
        <w:rPr>
          <w:rFonts w:ascii="Arial" w:hAnsi="Arial" w:cs="Arial"/>
          <w:sz w:val="24"/>
          <w:szCs w:val="24"/>
        </w:rPr>
        <w:t>’</w:t>
      </w:r>
      <w:r w:rsidR="007B5788">
        <w:rPr>
          <w:rFonts w:ascii="Arial" w:hAnsi="Arial" w:cs="Arial"/>
          <w:sz w:val="24"/>
          <w:szCs w:val="24"/>
        </w:rPr>
        <w:t xml:space="preserve"> views</w:t>
      </w:r>
      <w:r w:rsidRPr="00350721">
        <w:rPr>
          <w:rFonts w:ascii="Arial" w:hAnsi="Arial" w:cs="Arial"/>
          <w:sz w:val="24"/>
          <w:szCs w:val="24"/>
        </w:rPr>
        <w:t xml:space="preserve">. </w:t>
      </w:r>
    </w:p>
    <w:p w14:paraId="3B79EC77" w14:textId="77777777" w:rsidR="009D348D" w:rsidRPr="009D348D" w:rsidRDefault="009D348D" w:rsidP="00C6452F">
      <w:pPr>
        <w:jc w:val="both"/>
        <w:rPr>
          <w:rFonts w:ascii="Arial" w:hAnsi="Arial" w:cs="Arial"/>
          <w:sz w:val="24"/>
          <w:szCs w:val="24"/>
          <w:lang w:eastAsia="en-GB"/>
        </w:rPr>
      </w:pPr>
      <w:r w:rsidRPr="009D348D">
        <w:rPr>
          <w:rFonts w:ascii="Arial" w:hAnsi="Arial" w:cs="Arial"/>
          <w:sz w:val="24"/>
          <w:szCs w:val="24"/>
          <w:lang w:eastAsia="en-GB"/>
        </w:rPr>
        <w:t>Work observations of user’s day-to-day activities using the system also took place to gain a greater understanding of the ATR system. While also looking at the previous appointment booking methods used, to gauge the success or failure of the methods along with areas of improvement.</w:t>
      </w:r>
    </w:p>
    <w:p w14:paraId="09318F30" w14:textId="7D18274F" w:rsidR="0071733A" w:rsidRPr="00350721" w:rsidRDefault="0071733A" w:rsidP="00C6452F">
      <w:pPr>
        <w:jc w:val="both"/>
        <w:rPr>
          <w:rFonts w:ascii="Arial" w:hAnsi="Arial" w:cs="Arial"/>
          <w:sz w:val="24"/>
          <w:szCs w:val="24"/>
        </w:rPr>
      </w:pPr>
      <w:r w:rsidRPr="00350721">
        <w:rPr>
          <w:rFonts w:ascii="Arial" w:hAnsi="Arial" w:cs="Arial"/>
          <w:sz w:val="24"/>
          <w:szCs w:val="24"/>
        </w:rPr>
        <w:lastRenderedPageBreak/>
        <w:t>The data viewed included the DNA prior to introduction of the ATR system and post. To see if the system had a quantitative impact on numbers. Quantitative data collected on ATR rollout such as DNA rate only feature</w:t>
      </w:r>
      <w:r w:rsidR="009333DD">
        <w:rPr>
          <w:rFonts w:ascii="Arial" w:hAnsi="Arial" w:cs="Arial"/>
          <w:sz w:val="24"/>
          <w:szCs w:val="24"/>
        </w:rPr>
        <w:t>d</w:t>
      </w:r>
      <w:r w:rsidRPr="00350721">
        <w:rPr>
          <w:rFonts w:ascii="Arial" w:hAnsi="Arial" w:cs="Arial"/>
          <w:sz w:val="24"/>
          <w:szCs w:val="24"/>
        </w:rPr>
        <w:t xml:space="preserve"> the period of 2015-2020. This was because of the suspension of systems such as ATR at the beginning of covid. The reinstating of ATR is currently in a phased approach to incorporate new deliveries of patient care, such as virtual appointments. </w:t>
      </w:r>
    </w:p>
    <w:p w14:paraId="55F9F2B2" w14:textId="77777777" w:rsidR="00F510DB" w:rsidRPr="00350721" w:rsidRDefault="00F510DB" w:rsidP="00C6452F">
      <w:pPr>
        <w:jc w:val="both"/>
        <w:rPr>
          <w:rFonts w:ascii="Arial" w:hAnsi="Arial" w:cs="Arial"/>
          <w:sz w:val="24"/>
          <w:szCs w:val="24"/>
        </w:rPr>
      </w:pPr>
      <w:r w:rsidRPr="00350721">
        <w:rPr>
          <w:rFonts w:ascii="Arial" w:hAnsi="Arial" w:cs="Arial"/>
          <w:sz w:val="24"/>
          <w:szCs w:val="24"/>
        </w:rPr>
        <w:t>Secondary data of patient surveys in 2016 and 2020 from the project team on deployment of the ATR system were also used to see trends on patient’s preferences of communication methods.</w:t>
      </w:r>
    </w:p>
    <w:p w14:paraId="7F7329F5" w14:textId="1CD6B72D" w:rsidR="00BF6225" w:rsidRPr="004865E0" w:rsidRDefault="00BF6225" w:rsidP="00C6452F">
      <w:pPr>
        <w:jc w:val="both"/>
        <w:rPr>
          <w:rFonts w:ascii="Arial" w:hAnsi="Arial" w:cs="Arial"/>
          <w:b/>
          <w:bCs/>
          <w:sz w:val="28"/>
          <w:szCs w:val="28"/>
          <w:u w:val="single"/>
        </w:rPr>
      </w:pPr>
      <w:r w:rsidRPr="004865E0">
        <w:rPr>
          <w:rFonts w:ascii="Arial" w:hAnsi="Arial" w:cs="Arial"/>
          <w:b/>
          <w:bCs/>
          <w:sz w:val="28"/>
          <w:szCs w:val="28"/>
          <w:u w:val="single"/>
        </w:rPr>
        <w:t>Results</w:t>
      </w:r>
      <w:r w:rsidR="00460633" w:rsidRPr="004865E0">
        <w:rPr>
          <w:rFonts w:ascii="Arial" w:hAnsi="Arial" w:cs="Arial"/>
          <w:b/>
          <w:bCs/>
          <w:sz w:val="28"/>
          <w:szCs w:val="28"/>
          <w:u w:val="single"/>
        </w:rPr>
        <w:t xml:space="preserve"> </w:t>
      </w:r>
    </w:p>
    <w:p w14:paraId="2A340385" w14:textId="7861654C" w:rsidR="00B7083E" w:rsidRPr="00075242" w:rsidRDefault="00B7083E" w:rsidP="00C6452F">
      <w:pPr>
        <w:jc w:val="both"/>
        <w:rPr>
          <w:rFonts w:ascii="Arial" w:hAnsi="Arial" w:cs="Arial"/>
          <w:b/>
          <w:bCs/>
          <w:sz w:val="24"/>
          <w:szCs w:val="24"/>
        </w:rPr>
      </w:pPr>
      <w:r w:rsidRPr="00075242">
        <w:rPr>
          <w:rFonts w:ascii="Arial" w:hAnsi="Arial" w:cs="Arial"/>
          <w:b/>
          <w:bCs/>
          <w:sz w:val="24"/>
          <w:szCs w:val="24"/>
        </w:rPr>
        <w:t>DNA rates</w:t>
      </w:r>
    </w:p>
    <w:p w14:paraId="172B8698" w14:textId="7752B2E8" w:rsidR="00E623D0" w:rsidRPr="00E623D0" w:rsidRDefault="00E623D0" w:rsidP="00C6452F">
      <w:pPr>
        <w:jc w:val="both"/>
        <w:rPr>
          <w:rFonts w:ascii="Arial" w:hAnsi="Arial" w:cs="Arial"/>
          <w:sz w:val="24"/>
          <w:szCs w:val="24"/>
          <w:lang w:eastAsia="en-GB"/>
        </w:rPr>
      </w:pPr>
      <w:r w:rsidRPr="00E623D0">
        <w:rPr>
          <w:rFonts w:ascii="Arial" w:hAnsi="Arial" w:cs="Arial"/>
          <w:sz w:val="24"/>
          <w:szCs w:val="24"/>
          <w:lang w:eastAsia="en-GB"/>
        </w:rPr>
        <w:t xml:space="preserve">C&amp;VUHB piloted the ATR system in June 2016 within the Ear, Nose and Throat (ENT) department. Before the ATR system received a full rollout to all specialities in April 2017. By looking at the second quarters at ENT over a 4-year period starting in the financial year of 2014/2015, which had no reminder system active, it shows a dramatic reduction in the DNA </w:t>
      </w:r>
      <w:r w:rsidRPr="00366992">
        <w:rPr>
          <w:rFonts w:ascii="Arial" w:hAnsi="Arial" w:cs="Arial"/>
          <w:sz w:val="24"/>
          <w:szCs w:val="24"/>
          <w:lang w:eastAsia="en-GB"/>
        </w:rPr>
        <w:t xml:space="preserve">rate (Fig. </w:t>
      </w:r>
      <w:r w:rsidR="00366992" w:rsidRPr="00366992">
        <w:rPr>
          <w:rFonts w:ascii="Arial" w:hAnsi="Arial" w:cs="Arial"/>
          <w:sz w:val="24"/>
          <w:szCs w:val="24"/>
          <w:lang w:eastAsia="en-GB"/>
        </w:rPr>
        <w:t>3</w:t>
      </w:r>
      <w:r w:rsidRPr="00366992">
        <w:rPr>
          <w:rFonts w:ascii="Arial" w:hAnsi="Arial" w:cs="Arial"/>
          <w:sz w:val="24"/>
          <w:szCs w:val="24"/>
          <w:lang w:eastAsia="en-GB"/>
        </w:rPr>
        <w:t xml:space="preserve">). </w:t>
      </w:r>
      <w:r w:rsidRPr="00E623D0">
        <w:rPr>
          <w:rFonts w:ascii="Arial" w:hAnsi="Arial" w:cs="Arial"/>
          <w:sz w:val="24"/>
          <w:szCs w:val="24"/>
          <w:lang w:eastAsia="en-GB"/>
        </w:rPr>
        <w:t xml:space="preserve">There was a reduction of 4% from 2014 to 2017. With the DNA rate being reduced in these 3-month quarters from 490 to 312. That is </w:t>
      </w:r>
      <w:r w:rsidR="00923F44">
        <w:rPr>
          <w:rFonts w:ascii="Arial" w:hAnsi="Arial" w:cs="Arial"/>
          <w:sz w:val="24"/>
          <w:szCs w:val="24"/>
          <w:lang w:eastAsia="en-GB"/>
        </w:rPr>
        <w:t>roughly</w:t>
      </w:r>
      <w:r w:rsidRPr="00E623D0">
        <w:rPr>
          <w:rFonts w:ascii="Arial" w:hAnsi="Arial" w:cs="Arial"/>
          <w:sz w:val="24"/>
          <w:szCs w:val="24"/>
          <w:lang w:eastAsia="en-GB"/>
        </w:rPr>
        <w:t xml:space="preserve"> a £30,000 pound saving for the ENT department.</w:t>
      </w:r>
    </w:p>
    <w:p w14:paraId="056D55EB" w14:textId="4E85D849" w:rsidR="008B5599" w:rsidRDefault="008B5599" w:rsidP="00C6452F">
      <w:pPr>
        <w:jc w:val="both"/>
        <w:rPr>
          <w:color w:val="000000" w:themeColor="text1"/>
        </w:rPr>
      </w:pPr>
    </w:p>
    <w:p w14:paraId="7FC74008" w14:textId="7F114B77" w:rsidR="008B5599" w:rsidRPr="008B5599" w:rsidRDefault="008B5599">
      <w:pPr>
        <w:rPr>
          <w:color w:val="000000" w:themeColor="text1"/>
        </w:rPr>
      </w:pPr>
      <w:r>
        <w:rPr>
          <w:noProof/>
        </w:rPr>
        <w:drawing>
          <wp:inline distT="0" distB="0" distL="0" distR="0" wp14:anchorId="5589060C" wp14:editId="0BE6A7FC">
            <wp:extent cx="5715000" cy="2598747"/>
            <wp:effectExtent l="0" t="0" r="0" b="11430"/>
            <wp:docPr id="1" name="Chart 1">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665AE8F" w14:textId="439AB3BF" w:rsidR="008B5599" w:rsidRPr="00E623D0" w:rsidRDefault="008B5599" w:rsidP="008B5599">
      <w:pPr>
        <w:jc w:val="center"/>
        <w:rPr>
          <w:rFonts w:ascii="Arial" w:hAnsi="Arial" w:cs="Arial"/>
          <w:b/>
          <w:bCs/>
          <w:sz w:val="24"/>
          <w:szCs w:val="24"/>
        </w:rPr>
      </w:pPr>
      <w:r w:rsidRPr="00E623D0">
        <w:rPr>
          <w:rFonts w:ascii="Arial" w:hAnsi="Arial" w:cs="Arial"/>
          <w:b/>
          <w:bCs/>
          <w:sz w:val="24"/>
          <w:szCs w:val="24"/>
        </w:rPr>
        <w:t xml:space="preserve">Fig. </w:t>
      </w:r>
      <w:r w:rsidR="00366992">
        <w:rPr>
          <w:rFonts w:ascii="Arial" w:hAnsi="Arial" w:cs="Arial"/>
          <w:b/>
          <w:bCs/>
          <w:sz w:val="24"/>
          <w:szCs w:val="24"/>
        </w:rPr>
        <w:t>3</w:t>
      </w:r>
    </w:p>
    <w:p w14:paraId="12D090CE" w14:textId="2681A1EB" w:rsidR="006E0C5F" w:rsidRPr="00E623D0" w:rsidRDefault="006E0C5F" w:rsidP="00C6452F">
      <w:pPr>
        <w:jc w:val="both"/>
        <w:rPr>
          <w:rFonts w:ascii="Arial" w:hAnsi="Arial" w:cs="Arial"/>
          <w:sz w:val="24"/>
          <w:szCs w:val="24"/>
        </w:rPr>
      </w:pPr>
      <w:r w:rsidRPr="00E623D0">
        <w:rPr>
          <w:rFonts w:ascii="Arial" w:hAnsi="Arial" w:cs="Arial"/>
          <w:sz w:val="24"/>
          <w:szCs w:val="24"/>
        </w:rPr>
        <w:t>The project rollout became more successful as time went on with the DNA rate for ATR averaging around the 5% mark between September 2018 and February 2020</w:t>
      </w:r>
      <w:r w:rsidR="00E623D0" w:rsidRPr="00E623D0">
        <w:rPr>
          <w:rFonts w:ascii="Arial" w:hAnsi="Arial" w:cs="Arial"/>
          <w:sz w:val="24"/>
          <w:szCs w:val="24"/>
        </w:rPr>
        <w:t xml:space="preserve"> for all specialities</w:t>
      </w:r>
      <w:r w:rsidRPr="00E623D0">
        <w:rPr>
          <w:rFonts w:ascii="Arial" w:hAnsi="Arial" w:cs="Arial"/>
          <w:sz w:val="24"/>
          <w:szCs w:val="24"/>
        </w:rPr>
        <w:t>. (</w:t>
      </w:r>
      <w:r w:rsidRPr="006B5608">
        <w:rPr>
          <w:rFonts w:ascii="Arial" w:hAnsi="Arial" w:cs="Arial"/>
          <w:sz w:val="24"/>
          <w:szCs w:val="24"/>
        </w:rPr>
        <w:t xml:space="preserve">Fig. </w:t>
      </w:r>
      <w:r w:rsidR="00366992" w:rsidRPr="006B5608">
        <w:rPr>
          <w:rFonts w:ascii="Arial" w:hAnsi="Arial" w:cs="Arial"/>
          <w:sz w:val="24"/>
          <w:szCs w:val="24"/>
        </w:rPr>
        <w:t>4</w:t>
      </w:r>
      <w:r w:rsidRPr="006B5608">
        <w:rPr>
          <w:rFonts w:ascii="Arial" w:hAnsi="Arial" w:cs="Arial"/>
          <w:sz w:val="24"/>
          <w:szCs w:val="24"/>
        </w:rPr>
        <w:t xml:space="preserve">) and (Fig. </w:t>
      </w:r>
      <w:r w:rsidR="00366992" w:rsidRPr="006B5608">
        <w:rPr>
          <w:rFonts w:ascii="Arial" w:hAnsi="Arial" w:cs="Arial"/>
          <w:sz w:val="24"/>
          <w:szCs w:val="24"/>
        </w:rPr>
        <w:t>5</w:t>
      </w:r>
      <w:r w:rsidRPr="006B5608">
        <w:rPr>
          <w:rFonts w:ascii="Arial" w:hAnsi="Arial" w:cs="Arial"/>
          <w:sz w:val="24"/>
          <w:szCs w:val="24"/>
        </w:rPr>
        <w:t xml:space="preserve">) </w:t>
      </w:r>
      <w:r w:rsidRPr="00E623D0">
        <w:rPr>
          <w:rFonts w:ascii="Arial" w:hAnsi="Arial" w:cs="Arial"/>
          <w:sz w:val="24"/>
          <w:szCs w:val="24"/>
        </w:rPr>
        <w:t xml:space="preserve">show that ATR had a considerable impact compared to outpatient appointments that </w:t>
      </w:r>
      <w:r w:rsidR="00923F44" w:rsidRPr="00E623D0">
        <w:rPr>
          <w:rFonts w:ascii="Arial" w:hAnsi="Arial" w:cs="Arial"/>
          <w:sz w:val="24"/>
          <w:szCs w:val="24"/>
        </w:rPr>
        <w:t>did not</w:t>
      </w:r>
      <w:r w:rsidRPr="00E623D0">
        <w:rPr>
          <w:rFonts w:ascii="Arial" w:hAnsi="Arial" w:cs="Arial"/>
          <w:sz w:val="24"/>
          <w:szCs w:val="24"/>
        </w:rPr>
        <w:t xml:space="preserve"> receive an ATR. The project manager stated that the non-text remind</w:t>
      </w:r>
      <w:r w:rsidR="00E623D0" w:rsidRPr="00E623D0">
        <w:rPr>
          <w:rFonts w:ascii="Arial" w:hAnsi="Arial" w:cs="Arial"/>
          <w:sz w:val="24"/>
          <w:szCs w:val="24"/>
        </w:rPr>
        <w:t>er</w:t>
      </w:r>
      <w:r w:rsidRPr="00E623D0">
        <w:rPr>
          <w:rFonts w:ascii="Arial" w:hAnsi="Arial" w:cs="Arial"/>
          <w:sz w:val="24"/>
          <w:szCs w:val="24"/>
        </w:rPr>
        <w:t>s DNA rate includes patients with no mobile number recorded and clinics that requested to be excluded for</w:t>
      </w:r>
      <w:r w:rsidR="00E623D0" w:rsidRPr="00E623D0">
        <w:rPr>
          <w:rFonts w:ascii="Arial" w:hAnsi="Arial" w:cs="Arial"/>
          <w:sz w:val="24"/>
          <w:szCs w:val="24"/>
        </w:rPr>
        <w:t xml:space="preserve"> a multitude of</w:t>
      </w:r>
      <w:r w:rsidRPr="00E623D0">
        <w:rPr>
          <w:rFonts w:ascii="Arial" w:hAnsi="Arial" w:cs="Arial"/>
          <w:sz w:val="24"/>
          <w:szCs w:val="24"/>
        </w:rPr>
        <w:t xml:space="preserve"> reasons.</w:t>
      </w:r>
    </w:p>
    <w:p w14:paraId="0E815369" w14:textId="77777777" w:rsidR="00FE65FF" w:rsidRDefault="00FE65FF" w:rsidP="00FE65FF">
      <w:r>
        <w:rPr>
          <w:noProof/>
        </w:rPr>
        <w:lastRenderedPageBreak/>
        <w:drawing>
          <wp:inline distT="0" distB="0" distL="0" distR="0" wp14:anchorId="3C3A234A" wp14:editId="66144D29">
            <wp:extent cx="5731510" cy="2876550"/>
            <wp:effectExtent l="0" t="0" r="2540" b="0"/>
            <wp:docPr id="2" name="Chart 2">
              <a:extLst xmlns:a="http://schemas.openxmlformats.org/drawingml/2006/main">
                <a:ext uri="{FF2B5EF4-FFF2-40B4-BE49-F238E27FC236}">
                  <a16:creationId xmlns:a16="http://schemas.microsoft.com/office/drawing/2014/main" id="{00000000-0008-0000-02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269A7C8" w14:textId="1EEF277C" w:rsidR="00FE65FF" w:rsidRPr="00E623D0" w:rsidRDefault="00FE65FF" w:rsidP="00FE65FF">
      <w:pPr>
        <w:jc w:val="center"/>
        <w:rPr>
          <w:rFonts w:ascii="Arial" w:hAnsi="Arial" w:cs="Arial"/>
          <w:b/>
          <w:bCs/>
          <w:sz w:val="24"/>
          <w:szCs w:val="24"/>
        </w:rPr>
      </w:pPr>
      <w:r w:rsidRPr="00E623D0">
        <w:rPr>
          <w:rFonts w:ascii="Arial" w:hAnsi="Arial" w:cs="Arial"/>
          <w:b/>
          <w:bCs/>
          <w:sz w:val="24"/>
          <w:szCs w:val="24"/>
        </w:rPr>
        <w:t xml:space="preserve">Fig. </w:t>
      </w:r>
      <w:r w:rsidR="006B5608">
        <w:rPr>
          <w:rFonts w:ascii="Arial" w:hAnsi="Arial" w:cs="Arial"/>
          <w:b/>
          <w:bCs/>
          <w:sz w:val="24"/>
          <w:szCs w:val="24"/>
        </w:rPr>
        <w:t>4</w:t>
      </w:r>
    </w:p>
    <w:p w14:paraId="7A5665D1" w14:textId="77777777" w:rsidR="00FE65FF" w:rsidRDefault="00FE65FF" w:rsidP="00FE65FF">
      <w:r>
        <w:rPr>
          <w:noProof/>
        </w:rPr>
        <w:drawing>
          <wp:inline distT="0" distB="0" distL="0" distR="0" wp14:anchorId="52D1D78F" wp14:editId="3AB2FA2B">
            <wp:extent cx="5731510" cy="2967355"/>
            <wp:effectExtent l="0" t="0" r="2540" b="4445"/>
            <wp:docPr id="3" name="Chart 3">
              <a:extLst xmlns:a="http://schemas.openxmlformats.org/drawingml/2006/main">
                <a:ext uri="{FF2B5EF4-FFF2-40B4-BE49-F238E27FC236}">
                  <a16:creationId xmlns:a16="http://schemas.microsoft.com/office/drawing/2014/main" id="{00000000-0008-0000-0200-0000DF64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F8CEBAD" w14:textId="0D8AC42C" w:rsidR="00FE65FF" w:rsidRPr="00E623D0" w:rsidRDefault="00FE65FF" w:rsidP="00FE65FF">
      <w:pPr>
        <w:jc w:val="center"/>
        <w:rPr>
          <w:rFonts w:ascii="Arial" w:hAnsi="Arial" w:cs="Arial"/>
          <w:b/>
          <w:bCs/>
          <w:sz w:val="24"/>
          <w:szCs w:val="24"/>
        </w:rPr>
      </w:pPr>
      <w:r w:rsidRPr="00E623D0">
        <w:rPr>
          <w:rFonts w:ascii="Arial" w:hAnsi="Arial" w:cs="Arial"/>
          <w:b/>
          <w:bCs/>
          <w:sz w:val="24"/>
          <w:szCs w:val="24"/>
        </w:rPr>
        <w:t xml:space="preserve">Fig. </w:t>
      </w:r>
      <w:r w:rsidR="006B5608">
        <w:rPr>
          <w:rFonts w:ascii="Arial" w:hAnsi="Arial" w:cs="Arial"/>
          <w:b/>
          <w:bCs/>
          <w:sz w:val="24"/>
          <w:szCs w:val="24"/>
        </w:rPr>
        <w:t>5</w:t>
      </w:r>
    </w:p>
    <w:p w14:paraId="5BBCA9C0" w14:textId="77777777" w:rsidR="00DE32D3" w:rsidRPr="00DE32D3" w:rsidRDefault="00DE32D3" w:rsidP="00C6452F">
      <w:pPr>
        <w:spacing w:before="100" w:beforeAutospacing="1" w:after="100" w:afterAutospacing="1" w:line="240" w:lineRule="auto"/>
        <w:jc w:val="both"/>
        <w:rPr>
          <w:rFonts w:ascii="Arial" w:eastAsia="Times New Roman" w:hAnsi="Arial" w:cs="Arial"/>
          <w:sz w:val="24"/>
          <w:szCs w:val="24"/>
          <w:lang w:eastAsia="en-GB"/>
        </w:rPr>
      </w:pPr>
      <w:r w:rsidRPr="00DE32D3">
        <w:rPr>
          <w:rFonts w:ascii="Arial" w:eastAsia="Times New Roman" w:hAnsi="Arial" w:cs="Arial"/>
          <w:sz w:val="24"/>
          <w:szCs w:val="24"/>
          <w:lang w:eastAsia="en-GB"/>
        </w:rPr>
        <w:t>The project manager believed that the increased improvement in the DNA rate for ATR was the awareness campaign they introduced, along with patients becoming more familiar with the ATR service. As a common complaint from patients at the launch, was the belief that ATR was a scam.</w:t>
      </w:r>
    </w:p>
    <w:p w14:paraId="4572DCB9" w14:textId="1EAB9A41" w:rsidR="00FE65FF" w:rsidRPr="006E3621" w:rsidRDefault="00FE65FF" w:rsidP="00C6452F">
      <w:pPr>
        <w:jc w:val="both"/>
        <w:rPr>
          <w:rFonts w:ascii="Arial" w:hAnsi="Arial" w:cs="Arial"/>
          <w:b/>
          <w:bCs/>
          <w:sz w:val="24"/>
          <w:szCs w:val="24"/>
        </w:rPr>
      </w:pPr>
      <w:r w:rsidRPr="006E3621">
        <w:rPr>
          <w:rFonts w:ascii="Arial" w:hAnsi="Arial" w:cs="Arial"/>
          <w:b/>
          <w:bCs/>
          <w:sz w:val="24"/>
          <w:szCs w:val="24"/>
        </w:rPr>
        <w:t xml:space="preserve">Increase in </w:t>
      </w:r>
      <w:r w:rsidR="00C35E62" w:rsidRPr="006E3621">
        <w:rPr>
          <w:rFonts w:ascii="Arial" w:hAnsi="Arial" w:cs="Arial"/>
          <w:b/>
          <w:bCs/>
          <w:sz w:val="24"/>
          <w:szCs w:val="24"/>
        </w:rPr>
        <w:t>RCR</w:t>
      </w:r>
    </w:p>
    <w:p w14:paraId="27BC9F4F" w14:textId="0900F9CA" w:rsidR="006E3621" w:rsidRPr="006E3621" w:rsidRDefault="006E3621" w:rsidP="00C6452F">
      <w:pPr>
        <w:jc w:val="both"/>
        <w:rPr>
          <w:rFonts w:ascii="Arial" w:hAnsi="Arial" w:cs="Arial"/>
          <w:sz w:val="24"/>
          <w:szCs w:val="24"/>
          <w:lang w:eastAsia="en-GB"/>
        </w:rPr>
      </w:pPr>
      <w:r w:rsidRPr="006E3621">
        <w:rPr>
          <w:rFonts w:ascii="Arial" w:hAnsi="Arial" w:cs="Arial"/>
          <w:sz w:val="24"/>
          <w:szCs w:val="24"/>
          <w:lang w:eastAsia="en-GB"/>
        </w:rPr>
        <w:t xml:space="preserve">An issue that </w:t>
      </w:r>
      <w:r w:rsidR="004E7816" w:rsidRPr="006E3621">
        <w:rPr>
          <w:rFonts w:ascii="Arial" w:hAnsi="Arial" w:cs="Arial"/>
          <w:sz w:val="24"/>
          <w:szCs w:val="24"/>
          <w:lang w:eastAsia="en-GB"/>
        </w:rPr>
        <w:t>became known</w:t>
      </w:r>
      <w:r w:rsidRPr="006E3621">
        <w:rPr>
          <w:rFonts w:ascii="Arial" w:hAnsi="Arial" w:cs="Arial"/>
          <w:sz w:val="24"/>
          <w:szCs w:val="24"/>
          <w:lang w:eastAsia="en-GB"/>
        </w:rPr>
        <w:t xml:space="preserve"> once the ATR system became operational was the volume of RCR. The Health Board refers to an appointment that patients </w:t>
      </w:r>
      <w:r w:rsidR="00923F44" w:rsidRPr="006E3621">
        <w:rPr>
          <w:rFonts w:ascii="Arial" w:hAnsi="Arial" w:cs="Arial"/>
          <w:sz w:val="24"/>
          <w:szCs w:val="24"/>
          <w:lang w:eastAsia="en-GB"/>
        </w:rPr>
        <w:t>cannot</w:t>
      </w:r>
      <w:r w:rsidRPr="006E3621">
        <w:rPr>
          <w:rFonts w:ascii="Arial" w:hAnsi="Arial" w:cs="Arial"/>
          <w:sz w:val="24"/>
          <w:szCs w:val="24"/>
          <w:lang w:eastAsia="en-GB"/>
        </w:rPr>
        <w:t xml:space="preserve"> attend with the slot not reutilised as a CNA (Could Not Attend). From interviews with </w:t>
      </w:r>
      <w:r w:rsidR="002F4F83">
        <w:rPr>
          <w:rFonts w:ascii="Arial" w:hAnsi="Arial" w:cs="Arial"/>
          <w:sz w:val="24"/>
          <w:szCs w:val="24"/>
          <w:lang w:eastAsia="en-GB"/>
        </w:rPr>
        <w:t xml:space="preserve">the </w:t>
      </w:r>
      <w:r w:rsidRPr="006E3621">
        <w:rPr>
          <w:rFonts w:ascii="Arial" w:hAnsi="Arial" w:cs="Arial"/>
          <w:sz w:val="24"/>
          <w:szCs w:val="24"/>
          <w:lang w:eastAsia="en-GB"/>
        </w:rPr>
        <w:t>directorate and the project manager, they believed that this showed the project was working</w:t>
      </w:r>
      <w:r w:rsidR="002F4F83">
        <w:rPr>
          <w:rFonts w:ascii="Arial" w:hAnsi="Arial" w:cs="Arial"/>
          <w:sz w:val="24"/>
          <w:szCs w:val="24"/>
          <w:lang w:eastAsia="en-GB"/>
        </w:rPr>
        <w:t>.</w:t>
      </w:r>
      <w:r w:rsidRPr="006E3621">
        <w:rPr>
          <w:rFonts w:ascii="Arial" w:hAnsi="Arial" w:cs="Arial"/>
          <w:sz w:val="24"/>
          <w:szCs w:val="24"/>
          <w:lang w:eastAsia="en-GB"/>
        </w:rPr>
        <w:t xml:space="preserve"> ATR was reducing the DNA rate, as it was releasing slots to be backfilled. </w:t>
      </w:r>
      <w:r w:rsidRPr="006E3621">
        <w:rPr>
          <w:rFonts w:ascii="Arial" w:hAnsi="Arial" w:cs="Arial"/>
          <w:sz w:val="24"/>
          <w:szCs w:val="24"/>
          <w:lang w:eastAsia="en-GB"/>
        </w:rPr>
        <w:lastRenderedPageBreak/>
        <w:t xml:space="preserve">However, there was no consideration of the increase in work for the PASO team having to backfill these slots. Especially as the slots were only getting released 10 days prior. Meaning that slots would have to be filled by telephone, rather than the quicker method of sending a letter. Creating an extra administration burden that </w:t>
      </w:r>
      <w:r w:rsidR="00923F44" w:rsidRPr="006E3621">
        <w:rPr>
          <w:rFonts w:ascii="Arial" w:hAnsi="Arial" w:cs="Arial"/>
          <w:sz w:val="24"/>
          <w:szCs w:val="24"/>
          <w:lang w:eastAsia="en-GB"/>
        </w:rPr>
        <w:t>did not</w:t>
      </w:r>
      <w:r w:rsidRPr="006E3621">
        <w:rPr>
          <w:rFonts w:ascii="Arial" w:hAnsi="Arial" w:cs="Arial"/>
          <w:sz w:val="24"/>
          <w:szCs w:val="24"/>
          <w:lang w:eastAsia="en-GB"/>
        </w:rPr>
        <w:t xml:space="preserve"> previously exist. (Fig. </w:t>
      </w:r>
      <w:r w:rsidR="00366992">
        <w:rPr>
          <w:rFonts w:ascii="Arial" w:hAnsi="Arial" w:cs="Arial"/>
          <w:sz w:val="24"/>
          <w:szCs w:val="24"/>
          <w:lang w:eastAsia="en-GB"/>
        </w:rPr>
        <w:t>6</w:t>
      </w:r>
      <w:r w:rsidRPr="006E3621">
        <w:rPr>
          <w:rFonts w:ascii="Arial" w:hAnsi="Arial" w:cs="Arial"/>
          <w:sz w:val="24"/>
          <w:szCs w:val="24"/>
          <w:lang w:eastAsia="en-GB"/>
        </w:rPr>
        <w:t xml:space="preserve">) and (Fig. </w:t>
      </w:r>
      <w:r w:rsidR="00366992">
        <w:rPr>
          <w:rFonts w:ascii="Arial" w:hAnsi="Arial" w:cs="Arial"/>
          <w:sz w:val="24"/>
          <w:szCs w:val="24"/>
          <w:lang w:eastAsia="en-GB"/>
        </w:rPr>
        <w:t>7)</w:t>
      </w:r>
      <w:r w:rsidRPr="006E3621">
        <w:rPr>
          <w:rFonts w:ascii="Arial" w:hAnsi="Arial" w:cs="Arial"/>
          <w:sz w:val="24"/>
          <w:szCs w:val="24"/>
          <w:lang w:eastAsia="en-GB"/>
        </w:rPr>
        <w:t xml:space="preserve"> show the number of RCR in Gastroenterology and ENT respectively </w:t>
      </w:r>
      <w:r w:rsidR="002F4F83">
        <w:rPr>
          <w:rFonts w:ascii="Arial" w:hAnsi="Arial" w:cs="Arial"/>
          <w:sz w:val="24"/>
          <w:szCs w:val="24"/>
          <w:lang w:eastAsia="en-GB"/>
        </w:rPr>
        <w:t>during</w:t>
      </w:r>
      <w:r w:rsidRPr="006E3621">
        <w:rPr>
          <w:rFonts w:ascii="Arial" w:hAnsi="Arial" w:cs="Arial"/>
          <w:sz w:val="24"/>
          <w:szCs w:val="24"/>
          <w:lang w:eastAsia="en-GB"/>
        </w:rPr>
        <w:t xml:space="preserve"> the period July to September 2019. This data shows the RCR increase 10 days prior to the appointment, with the highest number of RCR </w:t>
      </w:r>
      <w:r w:rsidR="00E726EC">
        <w:rPr>
          <w:rFonts w:ascii="Arial" w:hAnsi="Arial" w:cs="Arial"/>
          <w:sz w:val="24"/>
          <w:szCs w:val="24"/>
          <w:lang w:eastAsia="en-GB"/>
        </w:rPr>
        <w:t>received between</w:t>
      </w:r>
      <w:r w:rsidRPr="006E3621">
        <w:rPr>
          <w:rFonts w:ascii="Arial" w:hAnsi="Arial" w:cs="Arial"/>
          <w:sz w:val="24"/>
          <w:szCs w:val="24"/>
          <w:lang w:eastAsia="en-GB"/>
        </w:rPr>
        <w:t xml:space="preserve"> 4-7 days prior to their appointment.</w:t>
      </w:r>
    </w:p>
    <w:p w14:paraId="488E3389" w14:textId="77777777" w:rsidR="00FE65FF" w:rsidRDefault="00FE65FF" w:rsidP="00FE65FF">
      <w:r>
        <w:rPr>
          <w:noProof/>
        </w:rPr>
        <w:drawing>
          <wp:inline distT="0" distB="0" distL="0" distR="0" wp14:anchorId="3240FB78" wp14:editId="3D8D5747">
            <wp:extent cx="5731510" cy="3244132"/>
            <wp:effectExtent l="0" t="0" r="2540" b="0"/>
            <wp:docPr id="126" name="Chart 126">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25BDB93" w14:textId="0734E55C" w:rsidR="00FE65FF" w:rsidRPr="006E3621" w:rsidRDefault="00FE65FF" w:rsidP="00FE65FF">
      <w:pPr>
        <w:jc w:val="center"/>
        <w:rPr>
          <w:rFonts w:ascii="Arial" w:hAnsi="Arial" w:cs="Arial"/>
          <w:b/>
          <w:bCs/>
          <w:sz w:val="24"/>
          <w:szCs w:val="24"/>
        </w:rPr>
      </w:pPr>
      <w:r w:rsidRPr="006E3621">
        <w:rPr>
          <w:rFonts w:ascii="Arial" w:hAnsi="Arial" w:cs="Arial"/>
          <w:b/>
          <w:bCs/>
          <w:sz w:val="24"/>
          <w:szCs w:val="24"/>
        </w:rPr>
        <w:t xml:space="preserve">Fig. </w:t>
      </w:r>
      <w:r w:rsidR="00366992">
        <w:rPr>
          <w:rFonts w:ascii="Arial" w:hAnsi="Arial" w:cs="Arial"/>
          <w:b/>
          <w:bCs/>
          <w:sz w:val="24"/>
          <w:szCs w:val="24"/>
        </w:rPr>
        <w:t>6</w:t>
      </w:r>
    </w:p>
    <w:p w14:paraId="690350D8" w14:textId="77777777" w:rsidR="00FE65FF" w:rsidRPr="00EE6445" w:rsidRDefault="00FE65FF" w:rsidP="00FE65FF">
      <w:pPr>
        <w:jc w:val="center"/>
        <w:rPr>
          <w:rFonts w:ascii="Arial" w:hAnsi="Arial" w:cs="Arial"/>
          <w:b/>
          <w:bCs/>
        </w:rPr>
      </w:pPr>
      <w:r>
        <w:rPr>
          <w:noProof/>
        </w:rPr>
        <w:drawing>
          <wp:inline distT="0" distB="0" distL="0" distR="0" wp14:anchorId="3829B733" wp14:editId="06155750">
            <wp:extent cx="5731510" cy="3267987"/>
            <wp:effectExtent l="0" t="0" r="2540" b="8890"/>
            <wp:docPr id="127" name="Chart 127">
              <a:extLst xmlns:a="http://schemas.openxmlformats.org/drawingml/2006/main">
                <a:ext uri="{FF2B5EF4-FFF2-40B4-BE49-F238E27FC236}">
                  <a16:creationId xmlns:a16="http://schemas.microsoft.com/office/drawing/2014/main" id="{00000000-0008-0000-01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F416262" w14:textId="726A86C0" w:rsidR="00FE65FF" w:rsidRPr="006E3621" w:rsidRDefault="00FE65FF" w:rsidP="00FE65FF">
      <w:pPr>
        <w:jc w:val="center"/>
        <w:rPr>
          <w:rFonts w:ascii="Arial" w:hAnsi="Arial" w:cs="Arial"/>
          <w:b/>
          <w:bCs/>
          <w:sz w:val="24"/>
          <w:szCs w:val="24"/>
        </w:rPr>
      </w:pPr>
      <w:r w:rsidRPr="006E3621">
        <w:rPr>
          <w:rFonts w:ascii="Arial" w:hAnsi="Arial" w:cs="Arial"/>
          <w:b/>
          <w:bCs/>
          <w:sz w:val="24"/>
          <w:szCs w:val="24"/>
        </w:rPr>
        <w:t xml:space="preserve">Fig. </w:t>
      </w:r>
      <w:r w:rsidR="00366992">
        <w:rPr>
          <w:rFonts w:ascii="Arial" w:hAnsi="Arial" w:cs="Arial"/>
          <w:b/>
          <w:bCs/>
          <w:sz w:val="24"/>
          <w:szCs w:val="24"/>
        </w:rPr>
        <w:t>7</w:t>
      </w:r>
    </w:p>
    <w:p w14:paraId="6556A5BA" w14:textId="0110BCE8" w:rsidR="006E3621" w:rsidRPr="006E3621" w:rsidRDefault="006E3621" w:rsidP="00C6452F">
      <w:pPr>
        <w:jc w:val="both"/>
        <w:rPr>
          <w:rFonts w:ascii="Arial" w:hAnsi="Arial" w:cs="Arial"/>
          <w:sz w:val="24"/>
          <w:szCs w:val="24"/>
          <w:lang w:eastAsia="en-GB"/>
        </w:rPr>
      </w:pPr>
      <w:r w:rsidRPr="006E3621">
        <w:rPr>
          <w:rFonts w:ascii="Arial" w:hAnsi="Arial" w:cs="Arial"/>
          <w:sz w:val="24"/>
          <w:szCs w:val="24"/>
          <w:lang w:eastAsia="en-GB"/>
        </w:rPr>
        <w:lastRenderedPageBreak/>
        <w:t xml:space="preserve">The average time to fill a short notice slot is 13 minutes. C&amp;VUHB define a short notice slot </w:t>
      </w:r>
      <w:r w:rsidR="00E726EC">
        <w:rPr>
          <w:rFonts w:ascii="Arial" w:hAnsi="Arial" w:cs="Arial"/>
          <w:sz w:val="24"/>
          <w:szCs w:val="24"/>
          <w:lang w:eastAsia="en-GB"/>
        </w:rPr>
        <w:t>if it is an appointment</w:t>
      </w:r>
      <w:r w:rsidRPr="006E3621">
        <w:rPr>
          <w:rFonts w:ascii="Arial" w:hAnsi="Arial" w:cs="Arial"/>
          <w:sz w:val="24"/>
          <w:szCs w:val="24"/>
          <w:lang w:eastAsia="en-GB"/>
        </w:rPr>
        <w:t xml:space="preserve"> filled under 10 days. Table 1 shows the number of slots on average filled by each PASO in the period from February to March 2018. The data shows that the time to fill a slot in this period of 10 days and under has no coloration to the number of days available before the appointment. With only </w:t>
      </w:r>
      <w:r w:rsidR="0097442D">
        <w:rPr>
          <w:rFonts w:ascii="Arial" w:hAnsi="Arial" w:cs="Arial"/>
          <w:sz w:val="24"/>
          <w:szCs w:val="24"/>
          <w:lang w:eastAsia="en-GB"/>
        </w:rPr>
        <w:t xml:space="preserve">a </w:t>
      </w:r>
      <w:proofErr w:type="gramStart"/>
      <w:r w:rsidRPr="006E3621">
        <w:rPr>
          <w:rFonts w:ascii="Arial" w:hAnsi="Arial" w:cs="Arial"/>
          <w:sz w:val="24"/>
          <w:szCs w:val="24"/>
          <w:lang w:eastAsia="en-GB"/>
        </w:rPr>
        <w:t>0.2</w:t>
      </w:r>
      <w:r w:rsidR="00E726EC">
        <w:rPr>
          <w:rFonts w:ascii="Arial" w:hAnsi="Arial" w:cs="Arial"/>
          <w:sz w:val="24"/>
          <w:szCs w:val="24"/>
          <w:lang w:eastAsia="en-GB"/>
        </w:rPr>
        <w:t xml:space="preserve"> </w:t>
      </w:r>
      <w:r w:rsidRPr="006E3621">
        <w:rPr>
          <w:rFonts w:ascii="Arial" w:hAnsi="Arial" w:cs="Arial"/>
          <w:sz w:val="24"/>
          <w:szCs w:val="24"/>
          <w:lang w:eastAsia="en-GB"/>
        </w:rPr>
        <w:t>day</w:t>
      </w:r>
      <w:proofErr w:type="gramEnd"/>
      <w:r w:rsidRPr="006E3621">
        <w:rPr>
          <w:rFonts w:ascii="Arial" w:hAnsi="Arial" w:cs="Arial"/>
          <w:sz w:val="24"/>
          <w:szCs w:val="24"/>
          <w:lang w:eastAsia="en-GB"/>
        </w:rPr>
        <w:t xml:space="preserve"> difference, between the shortest and longest time it takes for appointments to be booked. Table 1 also shows no coloration between the average number of patients called and the number of days prior to the appointment. Therefore, there is no data to suggest there is an optimal time to call patients to book an outpatient appointment.</w:t>
      </w:r>
    </w:p>
    <w:tbl>
      <w:tblPr>
        <w:tblW w:w="9046" w:type="dxa"/>
        <w:tblLook w:val="04A0" w:firstRow="1" w:lastRow="0" w:firstColumn="1" w:lastColumn="0" w:noHBand="0" w:noVBand="1"/>
      </w:tblPr>
      <w:tblGrid>
        <w:gridCol w:w="1854"/>
        <w:gridCol w:w="1809"/>
        <w:gridCol w:w="2524"/>
        <w:gridCol w:w="2859"/>
      </w:tblGrid>
      <w:tr w:rsidR="00FE65FF" w:rsidRPr="005D43DF" w14:paraId="24BCE49B" w14:textId="77777777" w:rsidTr="002473B6">
        <w:trPr>
          <w:trHeight w:val="577"/>
        </w:trPr>
        <w:tc>
          <w:tcPr>
            <w:tcW w:w="9046" w:type="dxa"/>
            <w:gridSpan w:val="4"/>
            <w:tcBorders>
              <w:top w:val="nil"/>
              <w:left w:val="nil"/>
              <w:bottom w:val="nil"/>
              <w:right w:val="nil"/>
            </w:tcBorders>
            <w:shd w:val="clear" w:color="000000" w:fill="000000"/>
            <w:vAlign w:val="center"/>
            <w:hideMark/>
          </w:tcPr>
          <w:p w14:paraId="182197DB" w14:textId="2817BAD0" w:rsidR="00FE65FF" w:rsidRPr="002473B6" w:rsidRDefault="00FE65FF" w:rsidP="00330B52">
            <w:pPr>
              <w:spacing w:after="0" w:line="240" w:lineRule="auto"/>
              <w:jc w:val="center"/>
              <w:rPr>
                <w:rFonts w:ascii="Arial" w:eastAsia="Times New Roman" w:hAnsi="Arial" w:cs="Arial"/>
                <w:b/>
                <w:bCs/>
                <w:color w:val="FFFFFF"/>
                <w:lang w:eastAsia="en-GB"/>
              </w:rPr>
            </w:pPr>
            <w:r w:rsidRPr="002473B6">
              <w:rPr>
                <w:rFonts w:ascii="Arial" w:eastAsia="Times New Roman" w:hAnsi="Arial" w:cs="Arial"/>
                <w:b/>
                <w:bCs/>
                <w:color w:val="FFFFFF"/>
                <w:lang w:eastAsia="en-GB"/>
              </w:rPr>
              <w:t>Table 1 - Statistics on the number of patients called</w:t>
            </w:r>
          </w:p>
          <w:p w14:paraId="5BCB63B4" w14:textId="69F884C9" w:rsidR="00FE65FF" w:rsidRPr="002473B6" w:rsidRDefault="00FE65FF" w:rsidP="00330B52">
            <w:pPr>
              <w:spacing w:after="0" w:line="240" w:lineRule="auto"/>
              <w:jc w:val="center"/>
              <w:rPr>
                <w:rFonts w:ascii="Arial" w:eastAsia="Times New Roman" w:hAnsi="Arial" w:cs="Arial"/>
                <w:b/>
                <w:bCs/>
                <w:color w:val="FFFFFF"/>
                <w:lang w:eastAsia="en-GB"/>
              </w:rPr>
            </w:pPr>
            <w:r w:rsidRPr="002473B6">
              <w:rPr>
                <w:rFonts w:ascii="Arial" w:eastAsia="Times New Roman" w:hAnsi="Arial" w:cs="Arial"/>
                <w:b/>
                <w:bCs/>
                <w:color w:val="FFFFFF"/>
                <w:lang w:eastAsia="en-GB"/>
              </w:rPr>
              <w:t xml:space="preserve">between </w:t>
            </w:r>
            <w:r w:rsidR="006B42BC" w:rsidRPr="002473B6">
              <w:rPr>
                <w:rFonts w:ascii="Arial" w:eastAsia="Times New Roman" w:hAnsi="Arial" w:cs="Arial"/>
                <w:b/>
                <w:bCs/>
                <w:color w:val="FFFFFF"/>
                <w:lang w:eastAsia="en-GB"/>
              </w:rPr>
              <w:t>February</w:t>
            </w:r>
            <w:r w:rsidRPr="002473B6">
              <w:rPr>
                <w:rFonts w:ascii="Arial" w:eastAsia="Times New Roman" w:hAnsi="Arial" w:cs="Arial"/>
                <w:b/>
                <w:bCs/>
                <w:color w:val="FFFFFF"/>
                <w:lang w:eastAsia="en-GB"/>
              </w:rPr>
              <w:t xml:space="preserve"> 2018 - Mar</w:t>
            </w:r>
            <w:r w:rsidR="006B42BC" w:rsidRPr="002473B6">
              <w:rPr>
                <w:rFonts w:ascii="Arial" w:eastAsia="Times New Roman" w:hAnsi="Arial" w:cs="Arial"/>
                <w:b/>
                <w:bCs/>
                <w:color w:val="FFFFFF"/>
                <w:lang w:eastAsia="en-GB"/>
              </w:rPr>
              <w:t>ch</w:t>
            </w:r>
            <w:r w:rsidRPr="002473B6">
              <w:rPr>
                <w:rFonts w:ascii="Arial" w:eastAsia="Times New Roman" w:hAnsi="Arial" w:cs="Arial"/>
                <w:b/>
                <w:bCs/>
                <w:color w:val="FFFFFF"/>
                <w:lang w:eastAsia="en-GB"/>
              </w:rPr>
              <w:t xml:space="preserve"> 2018 per </w:t>
            </w:r>
            <w:r w:rsidR="00840AE2" w:rsidRPr="002473B6">
              <w:rPr>
                <w:rFonts w:ascii="Arial" w:eastAsia="Times New Roman" w:hAnsi="Arial" w:cs="Arial"/>
                <w:b/>
                <w:bCs/>
                <w:color w:val="FFFFFF"/>
                <w:lang w:eastAsia="en-GB"/>
              </w:rPr>
              <w:t>PASO.</w:t>
            </w:r>
          </w:p>
        </w:tc>
      </w:tr>
      <w:tr w:rsidR="00FE65FF" w:rsidRPr="005D43DF" w14:paraId="6EA2EA95" w14:textId="77777777" w:rsidTr="002473B6">
        <w:trPr>
          <w:trHeight w:val="846"/>
        </w:trPr>
        <w:tc>
          <w:tcPr>
            <w:tcW w:w="1854" w:type="dxa"/>
            <w:tcBorders>
              <w:top w:val="nil"/>
              <w:left w:val="nil"/>
              <w:bottom w:val="nil"/>
              <w:right w:val="nil"/>
            </w:tcBorders>
            <w:shd w:val="clear" w:color="000000" w:fill="D0CECE"/>
            <w:noWrap/>
            <w:vAlign w:val="bottom"/>
            <w:hideMark/>
          </w:tcPr>
          <w:p w14:paraId="7D9ADD94"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Time taken</w:t>
            </w:r>
          </w:p>
        </w:tc>
        <w:tc>
          <w:tcPr>
            <w:tcW w:w="1809" w:type="dxa"/>
            <w:tcBorders>
              <w:top w:val="nil"/>
              <w:left w:val="nil"/>
              <w:bottom w:val="nil"/>
              <w:right w:val="nil"/>
            </w:tcBorders>
            <w:shd w:val="clear" w:color="000000" w:fill="D0CECE"/>
            <w:vAlign w:val="bottom"/>
            <w:hideMark/>
          </w:tcPr>
          <w:p w14:paraId="39337DB6"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Number of appointment slots filled</w:t>
            </w:r>
          </w:p>
        </w:tc>
        <w:tc>
          <w:tcPr>
            <w:tcW w:w="2524" w:type="dxa"/>
            <w:tcBorders>
              <w:top w:val="nil"/>
              <w:left w:val="nil"/>
              <w:bottom w:val="nil"/>
              <w:right w:val="nil"/>
            </w:tcBorders>
            <w:shd w:val="clear" w:color="000000" w:fill="D0CECE"/>
            <w:vAlign w:val="bottom"/>
            <w:hideMark/>
          </w:tcPr>
          <w:p w14:paraId="076A8E34"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Average number of patients called</w:t>
            </w:r>
          </w:p>
        </w:tc>
        <w:tc>
          <w:tcPr>
            <w:tcW w:w="2859" w:type="dxa"/>
            <w:tcBorders>
              <w:top w:val="nil"/>
              <w:left w:val="nil"/>
              <w:bottom w:val="nil"/>
              <w:right w:val="nil"/>
            </w:tcBorders>
            <w:shd w:val="clear" w:color="000000" w:fill="D0CECE"/>
            <w:vAlign w:val="bottom"/>
            <w:hideMark/>
          </w:tcPr>
          <w:p w14:paraId="1DDE27A0"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Average number of days from appointment</w:t>
            </w:r>
          </w:p>
        </w:tc>
      </w:tr>
      <w:tr w:rsidR="00FE65FF" w:rsidRPr="005D43DF" w14:paraId="089C374B" w14:textId="77777777" w:rsidTr="002473B6">
        <w:trPr>
          <w:trHeight w:val="563"/>
        </w:trPr>
        <w:tc>
          <w:tcPr>
            <w:tcW w:w="1854" w:type="dxa"/>
            <w:tcBorders>
              <w:top w:val="nil"/>
              <w:left w:val="nil"/>
              <w:bottom w:val="nil"/>
              <w:right w:val="nil"/>
            </w:tcBorders>
            <w:shd w:val="clear" w:color="000000" w:fill="D0CECE"/>
            <w:vAlign w:val="bottom"/>
            <w:hideMark/>
          </w:tcPr>
          <w:p w14:paraId="7B0E3E93"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16 mins and over</w:t>
            </w:r>
          </w:p>
        </w:tc>
        <w:tc>
          <w:tcPr>
            <w:tcW w:w="1809" w:type="dxa"/>
            <w:tcBorders>
              <w:top w:val="nil"/>
              <w:left w:val="nil"/>
              <w:bottom w:val="nil"/>
              <w:right w:val="nil"/>
            </w:tcBorders>
            <w:shd w:val="clear" w:color="000000" w:fill="D0CECE"/>
            <w:noWrap/>
            <w:vAlign w:val="bottom"/>
            <w:hideMark/>
          </w:tcPr>
          <w:p w14:paraId="6C8395B2"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14.6</w:t>
            </w:r>
          </w:p>
        </w:tc>
        <w:tc>
          <w:tcPr>
            <w:tcW w:w="2524" w:type="dxa"/>
            <w:tcBorders>
              <w:top w:val="nil"/>
              <w:left w:val="nil"/>
              <w:bottom w:val="nil"/>
              <w:right w:val="nil"/>
            </w:tcBorders>
            <w:shd w:val="clear" w:color="000000" w:fill="D0CECE"/>
            <w:noWrap/>
            <w:vAlign w:val="bottom"/>
            <w:hideMark/>
          </w:tcPr>
          <w:p w14:paraId="0F12B717"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10.5</w:t>
            </w:r>
          </w:p>
        </w:tc>
        <w:tc>
          <w:tcPr>
            <w:tcW w:w="2859" w:type="dxa"/>
            <w:tcBorders>
              <w:top w:val="nil"/>
              <w:left w:val="nil"/>
              <w:bottom w:val="nil"/>
              <w:right w:val="nil"/>
            </w:tcBorders>
            <w:shd w:val="clear" w:color="000000" w:fill="D0CECE"/>
            <w:noWrap/>
            <w:vAlign w:val="bottom"/>
            <w:hideMark/>
          </w:tcPr>
          <w:p w14:paraId="5C06B6B5"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3.7</w:t>
            </w:r>
          </w:p>
        </w:tc>
      </w:tr>
      <w:tr w:rsidR="00FE65FF" w:rsidRPr="005D43DF" w14:paraId="3979FA4C" w14:textId="77777777" w:rsidTr="002473B6">
        <w:trPr>
          <w:trHeight w:val="281"/>
        </w:trPr>
        <w:tc>
          <w:tcPr>
            <w:tcW w:w="1854" w:type="dxa"/>
            <w:tcBorders>
              <w:top w:val="nil"/>
              <w:left w:val="nil"/>
              <w:bottom w:val="nil"/>
              <w:right w:val="nil"/>
            </w:tcBorders>
            <w:shd w:val="clear" w:color="000000" w:fill="D0CECE"/>
            <w:noWrap/>
            <w:vAlign w:val="bottom"/>
            <w:hideMark/>
          </w:tcPr>
          <w:p w14:paraId="6C01DD2F"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11-15 mins</w:t>
            </w:r>
          </w:p>
        </w:tc>
        <w:tc>
          <w:tcPr>
            <w:tcW w:w="1809" w:type="dxa"/>
            <w:tcBorders>
              <w:top w:val="nil"/>
              <w:left w:val="nil"/>
              <w:bottom w:val="nil"/>
              <w:right w:val="nil"/>
            </w:tcBorders>
            <w:shd w:val="clear" w:color="000000" w:fill="D0CECE"/>
            <w:noWrap/>
            <w:vAlign w:val="bottom"/>
            <w:hideMark/>
          </w:tcPr>
          <w:p w14:paraId="1E8F42F8"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9.3</w:t>
            </w:r>
          </w:p>
        </w:tc>
        <w:tc>
          <w:tcPr>
            <w:tcW w:w="2524" w:type="dxa"/>
            <w:tcBorders>
              <w:top w:val="nil"/>
              <w:left w:val="nil"/>
              <w:bottom w:val="nil"/>
              <w:right w:val="nil"/>
            </w:tcBorders>
            <w:shd w:val="clear" w:color="000000" w:fill="D0CECE"/>
            <w:noWrap/>
            <w:vAlign w:val="bottom"/>
            <w:hideMark/>
          </w:tcPr>
          <w:p w14:paraId="7908F756"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3.6</w:t>
            </w:r>
          </w:p>
        </w:tc>
        <w:tc>
          <w:tcPr>
            <w:tcW w:w="2859" w:type="dxa"/>
            <w:tcBorders>
              <w:top w:val="nil"/>
              <w:left w:val="nil"/>
              <w:bottom w:val="nil"/>
              <w:right w:val="nil"/>
            </w:tcBorders>
            <w:shd w:val="clear" w:color="000000" w:fill="D0CECE"/>
            <w:noWrap/>
            <w:vAlign w:val="bottom"/>
            <w:hideMark/>
          </w:tcPr>
          <w:p w14:paraId="680596E0"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3.5</w:t>
            </w:r>
          </w:p>
        </w:tc>
      </w:tr>
      <w:tr w:rsidR="00FE65FF" w:rsidRPr="005D43DF" w14:paraId="0FF2D7AB" w14:textId="77777777" w:rsidTr="002473B6">
        <w:trPr>
          <w:trHeight w:val="281"/>
        </w:trPr>
        <w:tc>
          <w:tcPr>
            <w:tcW w:w="1854" w:type="dxa"/>
            <w:tcBorders>
              <w:top w:val="nil"/>
              <w:left w:val="nil"/>
              <w:bottom w:val="nil"/>
              <w:right w:val="nil"/>
            </w:tcBorders>
            <w:shd w:val="clear" w:color="000000" w:fill="D0CECE"/>
            <w:noWrap/>
            <w:vAlign w:val="bottom"/>
            <w:hideMark/>
          </w:tcPr>
          <w:p w14:paraId="1784172B"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6-10 mins</w:t>
            </w:r>
          </w:p>
        </w:tc>
        <w:tc>
          <w:tcPr>
            <w:tcW w:w="1809" w:type="dxa"/>
            <w:tcBorders>
              <w:top w:val="nil"/>
              <w:left w:val="nil"/>
              <w:bottom w:val="nil"/>
              <w:right w:val="nil"/>
            </w:tcBorders>
            <w:shd w:val="clear" w:color="000000" w:fill="D0CECE"/>
            <w:noWrap/>
            <w:vAlign w:val="bottom"/>
            <w:hideMark/>
          </w:tcPr>
          <w:p w14:paraId="41799321"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10.6</w:t>
            </w:r>
          </w:p>
        </w:tc>
        <w:tc>
          <w:tcPr>
            <w:tcW w:w="2524" w:type="dxa"/>
            <w:tcBorders>
              <w:top w:val="nil"/>
              <w:left w:val="nil"/>
              <w:bottom w:val="nil"/>
              <w:right w:val="nil"/>
            </w:tcBorders>
            <w:shd w:val="clear" w:color="000000" w:fill="D0CECE"/>
            <w:noWrap/>
            <w:vAlign w:val="bottom"/>
            <w:hideMark/>
          </w:tcPr>
          <w:p w14:paraId="700E2FE7"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2</w:t>
            </w:r>
          </w:p>
        </w:tc>
        <w:tc>
          <w:tcPr>
            <w:tcW w:w="2859" w:type="dxa"/>
            <w:tcBorders>
              <w:top w:val="nil"/>
              <w:left w:val="nil"/>
              <w:bottom w:val="nil"/>
              <w:right w:val="nil"/>
            </w:tcBorders>
            <w:shd w:val="clear" w:color="000000" w:fill="D0CECE"/>
            <w:noWrap/>
            <w:vAlign w:val="bottom"/>
            <w:hideMark/>
          </w:tcPr>
          <w:p w14:paraId="6B50A5BB"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4.4</w:t>
            </w:r>
          </w:p>
        </w:tc>
      </w:tr>
      <w:tr w:rsidR="00FE65FF" w:rsidRPr="005D43DF" w14:paraId="06FA5ADB" w14:textId="77777777" w:rsidTr="002473B6">
        <w:trPr>
          <w:trHeight w:val="281"/>
        </w:trPr>
        <w:tc>
          <w:tcPr>
            <w:tcW w:w="1854" w:type="dxa"/>
            <w:tcBorders>
              <w:top w:val="nil"/>
              <w:left w:val="nil"/>
              <w:bottom w:val="nil"/>
              <w:right w:val="nil"/>
            </w:tcBorders>
            <w:shd w:val="clear" w:color="000000" w:fill="D0CECE"/>
            <w:noWrap/>
            <w:vAlign w:val="bottom"/>
            <w:hideMark/>
          </w:tcPr>
          <w:p w14:paraId="724881C7"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0-5 mins</w:t>
            </w:r>
          </w:p>
        </w:tc>
        <w:tc>
          <w:tcPr>
            <w:tcW w:w="1809" w:type="dxa"/>
            <w:tcBorders>
              <w:top w:val="nil"/>
              <w:left w:val="nil"/>
              <w:bottom w:val="nil"/>
              <w:right w:val="nil"/>
            </w:tcBorders>
            <w:shd w:val="clear" w:color="000000" w:fill="D0CECE"/>
            <w:noWrap/>
            <w:vAlign w:val="bottom"/>
            <w:hideMark/>
          </w:tcPr>
          <w:p w14:paraId="62A79425"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8</w:t>
            </w:r>
          </w:p>
        </w:tc>
        <w:tc>
          <w:tcPr>
            <w:tcW w:w="2524" w:type="dxa"/>
            <w:tcBorders>
              <w:top w:val="nil"/>
              <w:left w:val="nil"/>
              <w:bottom w:val="nil"/>
              <w:right w:val="nil"/>
            </w:tcBorders>
            <w:shd w:val="clear" w:color="000000" w:fill="D0CECE"/>
            <w:noWrap/>
            <w:vAlign w:val="bottom"/>
            <w:hideMark/>
          </w:tcPr>
          <w:p w14:paraId="51EB3C29"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2.4</w:t>
            </w:r>
          </w:p>
        </w:tc>
        <w:tc>
          <w:tcPr>
            <w:tcW w:w="2859" w:type="dxa"/>
            <w:tcBorders>
              <w:top w:val="nil"/>
              <w:left w:val="nil"/>
              <w:bottom w:val="nil"/>
              <w:right w:val="nil"/>
            </w:tcBorders>
            <w:shd w:val="clear" w:color="000000" w:fill="D0CECE"/>
            <w:noWrap/>
            <w:vAlign w:val="bottom"/>
            <w:hideMark/>
          </w:tcPr>
          <w:p w14:paraId="486FE03D"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3.5</w:t>
            </w:r>
          </w:p>
        </w:tc>
      </w:tr>
    </w:tbl>
    <w:p w14:paraId="2658221C" w14:textId="77777777" w:rsidR="002473B6" w:rsidRDefault="002473B6" w:rsidP="00FE65FF">
      <w:pPr>
        <w:rPr>
          <w:rFonts w:ascii="Arial" w:hAnsi="Arial" w:cs="Arial"/>
          <w:b/>
          <w:bCs/>
          <w:sz w:val="24"/>
          <w:szCs w:val="24"/>
        </w:rPr>
      </w:pPr>
    </w:p>
    <w:p w14:paraId="734D028B" w14:textId="55F4AB30" w:rsidR="00FE65FF" w:rsidRPr="006E3621" w:rsidRDefault="00840AE2" w:rsidP="00FE65FF">
      <w:pPr>
        <w:rPr>
          <w:rFonts w:ascii="Arial" w:hAnsi="Arial" w:cs="Arial"/>
          <w:b/>
          <w:bCs/>
          <w:sz w:val="24"/>
          <w:szCs w:val="24"/>
        </w:rPr>
      </w:pPr>
      <w:r w:rsidRPr="006E3621">
        <w:rPr>
          <w:rFonts w:ascii="Arial" w:hAnsi="Arial" w:cs="Arial"/>
          <w:b/>
          <w:bCs/>
          <w:sz w:val="24"/>
          <w:szCs w:val="24"/>
        </w:rPr>
        <w:t>PASO</w:t>
      </w:r>
    </w:p>
    <w:tbl>
      <w:tblPr>
        <w:tblW w:w="9072" w:type="dxa"/>
        <w:tblLook w:val="04A0" w:firstRow="1" w:lastRow="0" w:firstColumn="1" w:lastColumn="0" w:noHBand="0" w:noVBand="1"/>
      </w:tblPr>
      <w:tblGrid>
        <w:gridCol w:w="2478"/>
        <w:gridCol w:w="3061"/>
        <w:gridCol w:w="3533"/>
      </w:tblGrid>
      <w:tr w:rsidR="00FE65FF" w:rsidRPr="00234B9E" w14:paraId="58B27F30" w14:textId="77777777" w:rsidTr="00330B52">
        <w:trPr>
          <w:trHeight w:val="1125"/>
        </w:trPr>
        <w:tc>
          <w:tcPr>
            <w:tcW w:w="9072" w:type="dxa"/>
            <w:gridSpan w:val="3"/>
            <w:tcBorders>
              <w:top w:val="nil"/>
              <w:left w:val="nil"/>
              <w:bottom w:val="nil"/>
              <w:right w:val="nil"/>
            </w:tcBorders>
            <w:shd w:val="clear" w:color="000000" w:fill="000000"/>
            <w:vAlign w:val="center"/>
            <w:hideMark/>
          </w:tcPr>
          <w:p w14:paraId="04D1016C" w14:textId="44B0D762" w:rsidR="00330B52" w:rsidRPr="002473B6" w:rsidRDefault="00FE65FF" w:rsidP="00330B52">
            <w:pPr>
              <w:spacing w:after="0" w:line="240" w:lineRule="auto"/>
              <w:jc w:val="center"/>
              <w:rPr>
                <w:rFonts w:ascii="Arial" w:eastAsia="Times New Roman" w:hAnsi="Arial" w:cs="Arial"/>
                <w:b/>
                <w:bCs/>
                <w:color w:val="FFFFFF"/>
                <w:lang w:eastAsia="en-GB"/>
              </w:rPr>
            </w:pPr>
            <w:r w:rsidRPr="002473B6">
              <w:rPr>
                <w:rFonts w:ascii="Arial" w:eastAsia="Times New Roman" w:hAnsi="Arial" w:cs="Arial"/>
                <w:b/>
                <w:bCs/>
                <w:color w:val="FFFFFF"/>
                <w:lang w:eastAsia="en-GB"/>
              </w:rPr>
              <w:t xml:space="preserve">Table 2 - Statistics on number of </w:t>
            </w:r>
            <w:r w:rsidR="00840AE2" w:rsidRPr="002473B6">
              <w:rPr>
                <w:rFonts w:ascii="Arial" w:eastAsia="Times New Roman" w:hAnsi="Arial" w:cs="Arial"/>
                <w:b/>
                <w:bCs/>
                <w:color w:val="FFFFFF"/>
                <w:lang w:eastAsia="en-GB"/>
              </w:rPr>
              <w:t>PASO</w:t>
            </w:r>
            <w:r w:rsidRPr="002473B6">
              <w:rPr>
                <w:rFonts w:ascii="Arial" w:eastAsia="Times New Roman" w:hAnsi="Arial" w:cs="Arial"/>
                <w:b/>
                <w:bCs/>
                <w:color w:val="FFFFFF"/>
                <w:lang w:eastAsia="en-GB"/>
              </w:rPr>
              <w:t xml:space="preserve"> aware of the implementation of </w:t>
            </w:r>
            <w:r w:rsidR="00330B52" w:rsidRPr="002473B6">
              <w:rPr>
                <w:rFonts w:ascii="Arial" w:eastAsia="Times New Roman" w:hAnsi="Arial" w:cs="Arial"/>
                <w:b/>
                <w:bCs/>
                <w:color w:val="FFFFFF"/>
                <w:lang w:eastAsia="en-GB"/>
              </w:rPr>
              <w:t>ATR</w:t>
            </w:r>
            <w:r w:rsidRPr="002473B6">
              <w:rPr>
                <w:rFonts w:ascii="Arial" w:eastAsia="Times New Roman" w:hAnsi="Arial" w:cs="Arial"/>
                <w:b/>
                <w:bCs/>
                <w:color w:val="FFFFFF"/>
                <w:lang w:eastAsia="en-GB"/>
              </w:rPr>
              <w:t>.</w:t>
            </w:r>
          </w:p>
          <w:p w14:paraId="71B55D1D" w14:textId="77777777" w:rsidR="002473B6" w:rsidRDefault="00FE65FF" w:rsidP="002473B6">
            <w:pPr>
              <w:spacing w:after="0" w:line="240" w:lineRule="auto"/>
              <w:jc w:val="center"/>
              <w:rPr>
                <w:rFonts w:ascii="Arial" w:eastAsia="Times New Roman" w:hAnsi="Arial" w:cs="Arial"/>
                <w:b/>
                <w:bCs/>
                <w:color w:val="FFFFFF"/>
                <w:lang w:eastAsia="en-GB"/>
              </w:rPr>
            </w:pPr>
            <w:r w:rsidRPr="002473B6">
              <w:rPr>
                <w:rFonts w:ascii="Arial" w:eastAsia="Times New Roman" w:hAnsi="Arial" w:cs="Arial"/>
                <w:b/>
                <w:bCs/>
                <w:color w:val="FFFFFF"/>
                <w:lang w:eastAsia="en-GB"/>
              </w:rPr>
              <w:t>Using a scale of 1-5 with 5 representing full awareness</w:t>
            </w:r>
            <w:r w:rsidR="002473B6">
              <w:rPr>
                <w:rFonts w:ascii="Arial" w:eastAsia="Times New Roman" w:hAnsi="Arial" w:cs="Arial"/>
                <w:b/>
                <w:bCs/>
                <w:color w:val="FFFFFF"/>
                <w:lang w:eastAsia="en-GB"/>
              </w:rPr>
              <w:t xml:space="preserve"> </w:t>
            </w:r>
            <w:r w:rsidRPr="002473B6">
              <w:rPr>
                <w:rFonts w:ascii="Arial" w:eastAsia="Times New Roman" w:hAnsi="Arial" w:cs="Arial"/>
                <w:b/>
                <w:bCs/>
                <w:color w:val="FFFFFF"/>
                <w:lang w:eastAsia="en-GB"/>
              </w:rPr>
              <w:t xml:space="preserve">and </w:t>
            </w:r>
          </w:p>
          <w:p w14:paraId="6C6779A4" w14:textId="16DE8588" w:rsidR="00FE65FF" w:rsidRPr="002473B6" w:rsidRDefault="00FE65FF" w:rsidP="002473B6">
            <w:pPr>
              <w:spacing w:after="0" w:line="240" w:lineRule="auto"/>
              <w:jc w:val="center"/>
              <w:rPr>
                <w:rFonts w:ascii="Arial" w:eastAsia="Times New Roman" w:hAnsi="Arial" w:cs="Arial"/>
                <w:b/>
                <w:bCs/>
                <w:color w:val="FFFFFF"/>
                <w:lang w:eastAsia="en-GB"/>
              </w:rPr>
            </w:pPr>
            <w:r w:rsidRPr="002473B6">
              <w:rPr>
                <w:rFonts w:ascii="Arial" w:eastAsia="Times New Roman" w:hAnsi="Arial" w:cs="Arial"/>
                <w:b/>
                <w:bCs/>
                <w:color w:val="FFFFFF"/>
                <w:lang w:eastAsia="en-GB"/>
              </w:rPr>
              <w:t>1 representing no awareness at all</w:t>
            </w:r>
            <w:r w:rsidR="00840AE2" w:rsidRPr="002473B6">
              <w:rPr>
                <w:rFonts w:ascii="Arial" w:eastAsia="Times New Roman" w:hAnsi="Arial" w:cs="Arial"/>
                <w:b/>
                <w:bCs/>
                <w:color w:val="FFFFFF"/>
                <w:lang w:eastAsia="en-GB"/>
              </w:rPr>
              <w:t>.</w:t>
            </w:r>
          </w:p>
        </w:tc>
      </w:tr>
      <w:tr w:rsidR="00FE65FF" w:rsidRPr="00234B9E" w14:paraId="4EFF12F3" w14:textId="77777777" w:rsidTr="00A93EBE">
        <w:trPr>
          <w:trHeight w:val="300"/>
        </w:trPr>
        <w:tc>
          <w:tcPr>
            <w:tcW w:w="2478" w:type="dxa"/>
            <w:tcBorders>
              <w:top w:val="nil"/>
              <w:left w:val="nil"/>
              <w:bottom w:val="nil"/>
              <w:right w:val="nil"/>
            </w:tcBorders>
            <w:shd w:val="clear" w:color="000000" w:fill="D0CECE"/>
            <w:noWrap/>
            <w:vAlign w:val="bottom"/>
            <w:hideMark/>
          </w:tcPr>
          <w:p w14:paraId="52C642F5"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Awareness Scale</w:t>
            </w:r>
          </w:p>
        </w:tc>
        <w:tc>
          <w:tcPr>
            <w:tcW w:w="3061" w:type="dxa"/>
            <w:tcBorders>
              <w:top w:val="nil"/>
              <w:left w:val="nil"/>
              <w:bottom w:val="nil"/>
              <w:right w:val="nil"/>
            </w:tcBorders>
            <w:shd w:val="clear" w:color="000000" w:fill="D0CECE"/>
            <w:noWrap/>
            <w:vAlign w:val="bottom"/>
            <w:hideMark/>
          </w:tcPr>
          <w:p w14:paraId="1B0387C6" w14:textId="092CAC0C" w:rsidR="00FE65FF" w:rsidRPr="002473B6" w:rsidRDefault="00840AE2"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PASO</w:t>
            </w:r>
            <w:r w:rsidR="00FE65FF" w:rsidRPr="002473B6">
              <w:rPr>
                <w:rFonts w:ascii="Arial" w:eastAsia="Times New Roman" w:hAnsi="Arial" w:cs="Arial"/>
                <w:color w:val="000000"/>
                <w:lang w:eastAsia="en-GB"/>
              </w:rPr>
              <w:t xml:space="preserve"> Responses</w:t>
            </w:r>
          </w:p>
        </w:tc>
        <w:tc>
          <w:tcPr>
            <w:tcW w:w="3533" w:type="dxa"/>
            <w:tcBorders>
              <w:top w:val="nil"/>
              <w:left w:val="nil"/>
              <w:bottom w:val="nil"/>
              <w:right w:val="nil"/>
            </w:tcBorders>
            <w:shd w:val="clear" w:color="000000" w:fill="D0CECE"/>
            <w:noWrap/>
            <w:vAlign w:val="bottom"/>
            <w:hideMark/>
          </w:tcPr>
          <w:p w14:paraId="717C7771"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Percentage</w:t>
            </w:r>
          </w:p>
        </w:tc>
      </w:tr>
      <w:tr w:rsidR="00FE65FF" w:rsidRPr="00234B9E" w14:paraId="3BE05102" w14:textId="77777777" w:rsidTr="00A93EBE">
        <w:trPr>
          <w:trHeight w:val="300"/>
        </w:trPr>
        <w:tc>
          <w:tcPr>
            <w:tcW w:w="2478" w:type="dxa"/>
            <w:tcBorders>
              <w:top w:val="nil"/>
              <w:left w:val="nil"/>
              <w:bottom w:val="nil"/>
              <w:right w:val="nil"/>
            </w:tcBorders>
            <w:shd w:val="clear" w:color="000000" w:fill="D0CECE"/>
            <w:noWrap/>
            <w:vAlign w:val="bottom"/>
            <w:hideMark/>
          </w:tcPr>
          <w:p w14:paraId="2A86D982"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5</w:t>
            </w:r>
          </w:p>
        </w:tc>
        <w:tc>
          <w:tcPr>
            <w:tcW w:w="3061" w:type="dxa"/>
            <w:tcBorders>
              <w:top w:val="nil"/>
              <w:left w:val="nil"/>
              <w:bottom w:val="nil"/>
              <w:right w:val="nil"/>
            </w:tcBorders>
            <w:shd w:val="clear" w:color="000000" w:fill="D0CECE"/>
            <w:noWrap/>
            <w:vAlign w:val="bottom"/>
            <w:hideMark/>
          </w:tcPr>
          <w:p w14:paraId="125312EA"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2</w:t>
            </w:r>
          </w:p>
        </w:tc>
        <w:tc>
          <w:tcPr>
            <w:tcW w:w="3533" w:type="dxa"/>
            <w:tcBorders>
              <w:top w:val="nil"/>
              <w:left w:val="nil"/>
              <w:bottom w:val="nil"/>
              <w:right w:val="nil"/>
            </w:tcBorders>
            <w:shd w:val="clear" w:color="000000" w:fill="D0CECE"/>
            <w:noWrap/>
            <w:vAlign w:val="bottom"/>
            <w:hideMark/>
          </w:tcPr>
          <w:p w14:paraId="180967D0"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12.50%</w:t>
            </w:r>
          </w:p>
        </w:tc>
      </w:tr>
      <w:tr w:rsidR="00FE65FF" w:rsidRPr="00234B9E" w14:paraId="5EE90440" w14:textId="77777777" w:rsidTr="00A93EBE">
        <w:trPr>
          <w:trHeight w:val="300"/>
        </w:trPr>
        <w:tc>
          <w:tcPr>
            <w:tcW w:w="2478" w:type="dxa"/>
            <w:tcBorders>
              <w:top w:val="nil"/>
              <w:left w:val="nil"/>
              <w:bottom w:val="nil"/>
              <w:right w:val="nil"/>
            </w:tcBorders>
            <w:shd w:val="clear" w:color="000000" w:fill="D0CECE"/>
            <w:noWrap/>
            <w:vAlign w:val="bottom"/>
            <w:hideMark/>
          </w:tcPr>
          <w:p w14:paraId="27908747"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4</w:t>
            </w:r>
          </w:p>
        </w:tc>
        <w:tc>
          <w:tcPr>
            <w:tcW w:w="3061" w:type="dxa"/>
            <w:tcBorders>
              <w:top w:val="nil"/>
              <w:left w:val="nil"/>
              <w:bottom w:val="nil"/>
              <w:right w:val="nil"/>
            </w:tcBorders>
            <w:shd w:val="clear" w:color="000000" w:fill="D0CECE"/>
            <w:noWrap/>
            <w:vAlign w:val="bottom"/>
            <w:hideMark/>
          </w:tcPr>
          <w:p w14:paraId="6EA2888E"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0</w:t>
            </w:r>
          </w:p>
        </w:tc>
        <w:tc>
          <w:tcPr>
            <w:tcW w:w="3533" w:type="dxa"/>
            <w:tcBorders>
              <w:top w:val="nil"/>
              <w:left w:val="nil"/>
              <w:bottom w:val="nil"/>
              <w:right w:val="nil"/>
            </w:tcBorders>
            <w:shd w:val="clear" w:color="000000" w:fill="D0CECE"/>
            <w:noWrap/>
            <w:vAlign w:val="bottom"/>
            <w:hideMark/>
          </w:tcPr>
          <w:p w14:paraId="6C5DA0A6"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0%</w:t>
            </w:r>
          </w:p>
        </w:tc>
      </w:tr>
      <w:tr w:rsidR="00FE65FF" w:rsidRPr="00234B9E" w14:paraId="2BB8677C" w14:textId="77777777" w:rsidTr="00A93EBE">
        <w:trPr>
          <w:trHeight w:val="300"/>
        </w:trPr>
        <w:tc>
          <w:tcPr>
            <w:tcW w:w="2478" w:type="dxa"/>
            <w:tcBorders>
              <w:top w:val="nil"/>
              <w:left w:val="nil"/>
              <w:bottom w:val="nil"/>
              <w:right w:val="nil"/>
            </w:tcBorders>
            <w:shd w:val="clear" w:color="000000" w:fill="D0CECE"/>
            <w:noWrap/>
            <w:vAlign w:val="bottom"/>
            <w:hideMark/>
          </w:tcPr>
          <w:p w14:paraId="2C550682"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3</w:t>
            </w:r>
          </w:p>
        </w:tc>
        <w:tc>
          <w:tcPr>
            <w:tcW w:w="3061" w:type="dxa"/>
            <w:tcBorders>
              <w:top w:val="nil"/>
              <w:left w:val="nil"/>
              <w:bottom w:val="nil"/>
              <w:right w:val="nil"/>
            </w:tcBorders>
            <w:shd w:val="clear" w:color="000000" w:fill="D0CECE"/>
            <w:noWrap/>
            <w:vAlign w:val="bottom"/>
            <w:hideMark/>
          </w:tcPr>
          <w:p w14:paraId="54E77B59"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3</w:t>
            </w:r>
          </w:p>
        </w:tc>
        <w:tc>
          <w:tcPr>
            <w:tcW w:w="3533" w:type="dxa"/>
            <w:tcBorders>
              <w:top w:val="nil"/>
              <w:left w:val="nil"/>
              <w:bottom w:val="nil"/>
              <w:right w:val="nil"/>
            </w:tcBorders>
            <w:shd w:val="clear" w:color="000000" w:fill="D0CECE"/>
            <w:noWrap/>
            <w:vAlign w:val="bottom"/>
            <w:hideMark/>
          </w:tcPr>
          <w:p w14:paraId="4F73E22B"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18.75%</w:t>
            </w:r>
          </w:p>
        </w:tc>
      </w:tr>
      <w:tr w:rsidR="00FE65FF" w:rsidRPr="00234B9E" w14:paraId="2F685513" w14:textId="77777777" w:rsidTr="00A93EBE">
        <w:trPr>
          <w:trHeight w:val="300"/>
        </w:trPr>
        <w:tc>
          <w:tcPr>
            <w:tcW w:w="2478" w:type="dxa"/>
            <w:tcBorders>
              <w:top w:val="nil"/>
              <w:left w:val="nil"/>
              <w:bottom w:val="nil"/>
              <w:right w:val="nil"/>
            </w:tcBorders>
            <w:shd w:val="clear" w:color="000000" w:fill="D0CECE"/>
            <w:noWrap/>
            <w:vAlign w:val="bottom"/>
            <w:hideMark/>
          </w:tcPr>
          <w:p w14:paraId="5C66CE0C"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2</w:t>
            </w:r>
          </w:p>
        </w:tc>
        <w:tc>
          <w:tcPr>
            <w:tcW w:w="3061" w:type="dxa"/>
            <w:tcBorders>
              <w:top w:val="nil"/>
              <w:left w:val="nil"/>
              <w:bottom w:val="nil"/>
              <w:right w:val="nil"/>
            </w:tcBorders>
            <w:shd w:val="clear" w:color="000000" w:fill="D0CECE"/>
            <w:noWrap/>
            <w:vAlign w:val="bottom"/>
            <w:hideMark/>
          </w:tcPr>
          <w:p w14:paraId="6EFB7F91"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7</w:t>
            </w:r>
          </w:p>
        </w:tc>
        <w:tc>
          <w:tcPr>
            <w:tcW w:w="3533" w:type="dxa"/>
            <w:tcBorders>
              <w:top w:val="nil"/>
              <w:left w:val="nil"/>
              <w:bottom w:val="nil"/>
              <w:right w:val="nil"/>
            </w:tcBorders>
            <w:shd w:val="clear" w:color="000000" w:fill="D0CECE"/>
            <w:noWrap/>
            <w:vAlign w:val="bottom"/>
            <w:hideMark/>
          </w:tcPr>
          <w:p w14:paraId="4159DC61"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43.75%</w:t>
            </w:r>
          </w:p>
        </w:tc>
      </w:tr>
      <w:tr w:rsidR="00FE65FF" w:rsidRPr="00234B9E" w14:paraId="2B11378C" w14:textId="77777777" w:rsidTr="00A93EBE">
        <w:trPr>
          <w:trHeight w:val="300"/>
        </w:trPr>
        <w:tc>
          <w:tcPr>
            <w:tcW w:w="2478" w:type="dxa"/>
            <w:tcBorders>
              <w:top w:val="nil"/>
              <w:left w:val="nil"/>
              <w:bottom w:val="nil"/>
              <w:right w:val="nil"/>
            </w:tcBorders>
            <w:shd w:val="clear" w:color="000000" w:fill="D0CECE"/>
            <w:noWrap/>
            <w:vAlign w:val="bottom"/>
            <w:hideMark/>
          </w:tcPr>
          <w:p w14:paraId="50947997"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1</w:t>
            </w:r>
          </w:p>
        </w:tc>
        <w:tc>
          <w:tcPr>
            <w:tcW w:w="3061" w:type="dxa"/>
            <w:tcBorders>
              <w:top w:val="nil"/>
              <w:left w:val="nil"/>
              <w:bottom w:val="nil"/>
              <w:right w:val="nil"/>
            </w:tcBorders>
            <w:shd w:val="clear" w:color="000000" w:fill="D0CECE"/>
            <w:noWrap/>
            <w:vAlign w:val="bottom"/>
            <w:hideMark/>
          </w:tcPr>
          <w:p w14:paraId="6B097ED4"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4</w:t>
            </w:r>
          </w:p>
        </w:tc>
        <w:tc>
          <w:tcPr>
            <w:tcW w:w="3533" w:type="dxa"/>
            <w:tcBorders>
              <w:top w:val="nil"/>
              <w:left w:val="nil"/>
              <w:bottom w:val="nil"/>
              <w:right w:val="nil"/>
            </w:tcBorders>
            <w:shd w:val="clear" w:color="000000" w:fill="D0CECE"/>
            <w:noWrap/>
            <w:vAlign w:val="bottom"/>
            <w:hideMark/>
          </w:tcPr>
          <w:p w14:paraId="66537736" w14:textId="77777777" w:rsidR="00FE65FF" w:rsidRPr="002473B6" w:rsidRDefault="00FE65FF" w:rsidP="00A93EBE">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25%</w:t>
            </w:r>
          </w:p>
        </w:tc>
      </w:tr>
    </w:tbl>
    <w:p w14:paraId="4E8CC309" w14:textId="77777777" w:rsidR="00FE65FF" w:rsidRDefault="00FE65FF" w:rsidP="00FE65FF"/>
    <w:p w14:paraId="3BF460E3" w14:textId="45C234DF" w:rsidR="002473B6" w:rsidRDefault="000E08CB" w:rsidP="00C6452F">
      <w:pPr>
        <w:jc w:val="both"/>
        <w:rPr>
          <w:rFonts w:ascii="Arial" w:hAnsi="Arial" w:cs="Arial"/>
          <w:sz w:val="24"/>
          <w:szCs w:val="24"/>
          <w:lang w:eastAsia="en-GB"/>
        </w:rPr>
      </w:pPr>
      <w:r w:rsidRPr="000E08CB">
        <w:rPr>
          <w:rFonts w:ascii="Arial" w:hAnsi="Arial" w:cs="Arial"/>
          <w:sz w:val="24"/>
          <w:szCs w:val="24"/>
          <w:lang w:eastAsia="en-GB"/>
        </w:rPr>
        <w:t xml:space="preserve">From interviews and surveys done with the PASO team responsible for dealing with the RCR. They expressed there was no consideration for their team regarding the introduction of the ATR software. </w:t>
      </w:r>
      <w:r w:rsidR="006C346E">
        <w:rPr>
          <w:rFonts w:ascii="Arial" w:hAnsi="Arial" w:cs="Arial"/>
          <w:sz w:val="24"/>
          <w:szCs w:val="24"/>
          <w:lang w:eastAsia="en-GB"/>
        </w:rPr>
        <w:t>T</w:t>
      </w:r>
      <w:r w:rsidRPr="000E08CB">
        <w:rPr>
          <w:rFonts w:ascii="Arial" w:hAnsi="Arial" w:cs="Arial"/>
          <w:sz w:val="24"/>
          <w:szCs w:val="24"/>
          <w:lang w:eastAsia="en-GB"/>
        </w:rPr>
        <w:t>he PASO team fe</w:t>
      </w:r>
      <w:r w:rsidR="006C346E">
        <w:rPr>
          <w:rFonts w:ascii="Arial" w:hAnsi="Arial" w:cs="Arial"/>
          <w:sz w:val="24"/>
          <w:szCs w:val="24"/>
          <w:lang w:eastAsia="en-GB"/>
        </w:rPr>
        <w:t>lt</w:t>
      </w:r>
      <w:r w:rsidRPr="000E08CB">
        <w:rPr>
          <w:rFonts w:ascii="Arial" w:hAnsi="Arial" w:cs="Arial"/>
          <w:sz w:val="24"/>
          <w:szCs w:val="24"/>
          <w:lang w:eastAsia="en-GB"/>
        </w:rPr>
        <w:t xml:space="preserve"> managers only made them aware of the new system when it was being deployed. Table 2 shows that roughly </w:t>
      </w:r>
      <w:r w:rsidR="00EC124E">
        <w:rPr>
          <w:rFonts w:ascii="Arial" w:hAnsi="Arial" w:cs="Arial"/>
          <w:sz w:val="24"/>
          <w:szCs w:val="24"/>
          <w:lang w:eastAsia="en-GB"/>
        </w:rPr>
        <w:t xml:space="preserve">70% </w:t>
      </w:r>
      <w:r w:rsidRPr="000E08CB">
        <w:rPr>
          <w:rFonts w:ascii="Arial" w:hAnsi="Arial" w:cs="Arial"/>
          <w:sz w:val="24"/>
          <w:szCs w:val="24"/>
          <w:lang w:eastAsia="en-GB"/>
        </w:rPr>
        <w:t xml:space="preserve">of the PASO team surveyed were </w:t>
      </w:r>
      <w:r w:rsidR="00923F44" w:rsidRPr="000E08CB">
        <w:rPr>
          <w:rFonts w:ascii="Arial" w:hAnsi="Arial" w:cs="Arial"/>
          <w:sz w:val="24"/>
          <w:szCs w:val="24"/>
          <w:lang w:eastAsia="en-GB"/>
        </w:rPr>
        <w:t>unaware</w:t>
      </w:r>
      <w:r w:rsidRPr="000E08CB">
        <w:rPr>
          <w:rFonts w:ascii="Arial" w:hAnsi="Arial" w:cs="Arial"/>
          <w:sz w:val="24"/>
          <w:szCs w:val="24"/>
          <w:lang w:eastAsia="en-GB"/>
        </w:rPr>
        <w:t xml:space="preserve"> of the impending implementation of ATR. On the back of the vast majority, being unaware of the deployment of ATR. </w:t>
      </w:r>
      <w:r w:rsidR="00EC124E">
        <w:rPr>
          <w:rFonts w:ascii="Arial" w:hAnsi="Arial" w:cs="Arial"/>
          <w:sz w:val="24"/>
          <w:szCs w:val="24"/>
          <w:lang w:eastAsia="en-GB"/>
        </w:rPr>
        <w:t>75%</w:t>
      </w:r>
      <w:r w:rsidRPr="000E08CB">
        <w:rPr>
          <w:rFonts w:ascii="Arial" w:hAnsi="Arial" w:cs="Arial"/>
          <w:sz w:val="24"/>
          <w:szCs w:val="24"/>
          <w:lang w:eastAsia="en-GB"/>
        </w:rPr>
        <w:t xml:space="preserve"> of the PASO team surveyed believed that if they had been involved in the initial discussions, they would have </w:t>
      </w:r>
      <w:r w:rsidR="00923F44" w:rsidRPr="000E08CB">
        <w:rPr>
          <w:rFonts w:ascii="Arial" w:hAnsi="Arial" w:cs="Arial"/>
          <w:sz w:val="24"/>
          <w:szCs w:val="24"/>
          <w:lang w:eastAsia="en-GB"/>
        </w:rPr>
        <w:t>mentioned</w:t>
      </w:r>
      <w:r w:rsidRPr="000E08CB">
        <w:rPr>
          <w:rFonts w:ascii="Arial" w:hAnsi="Arial" w:cs="Arial"/>
          <w:sz w:val="24"/>
          <w:szCs w:val="24"/>
          <w:lang w:eastAsia="en-GB"/>
        </w:rPr>
        <w:t xml:space="preserve"> the flaw with the extra RCR. However, as these surveys and interviews </w:t>
      </w:r>
      <w:r w:rsidR="0097442D">
        <w:rPr>
          <w:rFonts w:ascii="Arial" w:hAnsi="Arial" w:cs="Arial"/>
          <w:sz w:val="24"/>
          <w:szCs w:val="24"/>
          <w:lang w:eastAsia="en-GB"/>
        </w:rPr>
        <w:t>have taken place after the</w:t>
      </w:r>
      <w:r w:rsidRPr="000E08CB">
        <w:rPr>
          <w:rFonts w:ascii="Arial" w:hAnsi="Arial" w:cs="Arial"/>
          <w:sz w:val="24"/>
          <w:szCs w:val="24"/>
          <w:lang w:eastAsia="en-GB"/>
        </w:rPr>
        <w:t xml:space="preserve"> rise in RCR, it needs to be considered that this might be down to hindsight bias. Hindsight bias is when people believe they knew it all along. In essence, it is the principle that the event is more predictable after the outcome has become known than it was before (</w:t>
      </w:r>
      <w:r w:rsidRPr="007A05E7">
        <w:rPr>
          <w:rFonts w:ascii="Arial" w:hAnsi="Arial" w:cs="Arial"/>
          <w:sz w:val="24"/>
          <w:szCs w:val="24"/>
          <w:lang w:eastAsia="en-GB"/>
        </w:rPr>
        <w:t>Roese and Vohs, 2012, p. 411).</w:t>
      </w:r>
    </w:p>
    <w:p w14:paraId="1455C832" w14:textId="0242138B" w:rsidR="00566016" w:rsidRPr="002473B6" w:rsidRDefault="002C4F7F" w:rsidP="002473B6">
      <w:pPr>
        <w:jc w:val="both"/>
        <w:rPr>
          <w:rFonts w:ascii="Arial" w:hAnsi="Arial" w:cs="Arial"/>
          <w:sz w:val="24"/>
          <w:szCs w:val="24"/>
          <w:lang w:eastAsia="en-GB"/>
        </w:rPr>
      </w:pPr>
      <w:r w:rsidRPr="00A90A61">
        <w:rPr>
          <w:rFonts w:ascii="Arial" w:hAnsi="Arial" w:cs="Arial"/>
          <w:b/>
          <w:bCs/>
          <w:sz w:val="24"/>
          <w:szCs w:val="24"/>
        </w:rPr>
        <w:lastRenderedPageBreak/>
        <w:t xml:space="preserve">Managers of </w:t>
      </w:r>
      <w:r w:rsidR="00A51B6B" w:rsidRPr="00A90A61">
        <w:rPr>
          <w:rFonts w:ascii="Arial" w:hAnsi="Arial" w:cs="Arial"/>
          <w:b/>
          <w:bCs/>
          <w:sz w:val="24"/>
          <w:szCs w:val="24"/>
        </w:rPr>
        <w:t xml:space="preserve">the </w:t>
      </w:r>
      <w:r w:rsidR="00840AE2" w:rsidRPr="00A90A61">
        <w:rPr>
          <w:rFonts w:ascii="Arial" w:hAnsi="Arial" w:cs="Arial"/>
          <w:b/>
          <w:bCs/>
          <w:sz w:val="24"/>
          <w:szCs w:val="24"/>
        </w:rPr>
        <w:t>PASO team.</w:t>
      </w:r>
    </w:p>
    <w:p w14:paraId="7EA0936B" w14:textId="77777777" w:rsidR="00C6452F" w:rsidRPr="00DB447A" w:rsidRDefault="00C6452F" w:rsidP="00C6452F">
      <w:pPr>
        <w:jc w:val="both"/>
        <w:rPr>
          <w:rFonts w:ascii="Arial" w:hAnsi="Arial" w:cs="Arial"/>
          <w:sz w:val="24"/>
          <w:szCs w:val="24"/>
          <w:lang w:eastAsia="en-GB"/>
        </w:rPr>
      </w:pPr>
      <w:r w:rsidRPr="00DB447A">
        <w:rPr>
          <w:rFonts w:ascii="Arial" w:hAnsi="Arial" w:cs="Arial"/>
          <w:sz w:val="24"/>
          <w:szCs w:val="24"/>
          <w:lang w:eastAsia="en-GB"/>
        </w:rPr>
        <w:t>During interactions with managers, the biggest issues that have arisen since the ATR system launch were with acceptance from the PASO team. As Table 3 shows, PASO acceptance, along with the increase in administration duties with actioning the RCR, were the biggest issues. The extra administration duties were a new issue not previously seen from the PASO interviews. Managers revealed the ATR system failed to achieve full automation. The managers everyday must action the received RCR from the previous 24 hours. With the RCR only being actioned once a day, it adds a delay for the slots to be reutilised.</w:t>
      </w:r>
    </w:p>
    <w:tbl>
      <w:tblPr>
        <w:tblW w:w="8920" w:type="dxa"/>
        <w:tblLook w:val="04A0" w:firstRow="1" w:lastRow="0" w:firstColumn="1" w:lastColumn="0" w:noHBand="0" w:noVBand="1"/>
      </w:tblPr>
      <w:tblGrid>
        <w:gridCol w:w="336"/>
        <w:gridCol w:w="4177"/>
        <w:gridCol w:w="336"/>
        <w:gridCol w:w="4177"/>
      </w:tblGrid>
      <w:tr w:rsidR="00271772" w:rsidRPr="00271772" w14:paraId="0619C774" w14:textId="77777777" w:rsidTr="00330B52">
        <w:trPr>
          <w:trHeight w:val="675"/>
        </w:trPr>
        <w:tc>
          <w:tcPr>
            <w:tcW w:w="8920" w:type="dxa"/>
            <w:gridSpan w:val="4"/>
            <w:tcBorders>
              <w:top w:val="nil"/>
              <w:left w:val="nil"/>
              <w:bottom w:val="nil"/>
              <w:right w:val="nil"/>
            </w:tcBorders>
            <w:shd w:val="clear" w:color="000000" w:fill="000000"/>
            <w:vAlign w:val="center"/>
            <w:hideMark/>
          </w:tcPr>
          <w:p w14:paraId="1D74BF96" w14:textId="77777777" w:rsidR="00025D2C" w:rsidRPr="002473B6" w:rsidRDefault="00271772" w:rsidP="00330B52">
            <w:pPr>
              <w:spacing w:after="0" w:line="240" w:lineRule="auto"/>
              <w:jc w:val="center"/>
              <w:rPr>
                <w:rFonts w:ascii="Arial" w:eastAsia="Times New Roman" w:hAnsi="Arial" w:cs="Arial"/>
                <w:b/>
                <w:bCs/>
                <w:color w:val="FFFFFF"/>
                <w:lang w:eastAsia="en-GB"/>
              </w:rPr>
            </w:pPr>
            <w:r w:rsidRPr="002473B6">
              <w:rPr>
                <w:rFonts w:ascii="Arial" w:eastAsia="Times New Roman" w:hAnsi="Arial" w:cs="Arial"/>
                <w:b/>
                <w:bCs/>
                <w:color w:val="FFFFFF"/>
                <w:lang w:eastAsia="en-GB"/>
              </w:rPr>
              <w:t xml:space="preserve">Table 3 - What are the biggest issues and benefits </w:t>
            </w:r>
          </w:p>
          <w:p w14:paraId="4CD7991D" w14:textId="3E56A7EB" w:rsidR="00271772" w:rsidRPr="002473B6" w:rsidRDefault="00271772" w:rsidP="00330B52">
            <w:pPr>
              <w:spacing w:after="0" w:line="240" w:lineRule="auto"/>
              <w:jc w:val="center"/>
              <w:rPr>
                <w:rFonts w:ascii="Arial" w:eastAsia="Times New Roman" w:hAnsi="Arial" w:cs="Arial"/>
                <w:b/>
                <w:bCs/>
                <w:color w:val="FFFFFF"/>
                <w:lang w:eastAsia="en-GB"/>
              </w:rPr>
            </w:pPr>
            <w:r w:rsidRPr="002473B6">
              <w:rPr>
                <w:rFonts w:ascii="Arial" w:eastAsia="Times New Roman" w:hAnsi="Arial" w:cs="Arial"/>
                <w:b/>
                <w:bCs/>
                <w:color w:val="FFFFFF"/>
                <w:lang w:eastAsia="en-GB"/>
              </w:rPr>
              <w:t xml:space="preserve">seen since the launch of </w:t>
            </w:r>
            <w:r w:rsidR="00330B52" w:rsidRPr="002473B6">
              <w:rPr>
                <w:rFonts w:ascii="Arial" w:eastAsia="Times New Roman" w:hAnsi="Arial" w:cs="Arial"/>
                <w:b/>
                <w:bCs/>
                <w:color w:val="FFFFFF"/>
                <w:lang w:eastAsia="en-GB"/>
              </w:rPr>
              <w:t>ATR</w:t>
            </w:r>
            <w:r w:rsidRPr="002473B6">
              <w:rPr>
                <w:rFonts w:ascii="Arial" w:eastAsia="Times New Roman" w:hAnsi="Arial" w:cs="Arial"/>
                <w:b/>
                <w:bCs/>
                <w:color w:val="FFFFFF"/>
                <w:lang w:eastAsia="en-GB"/>
              </w:rPr>
              <w:t>.</w:t>
            </w:r>
          </w:p>
        </w:tc>
      </w:tr>
      <w:tr w:rsidR="00271772" w:rsidRPr="00271772" w14:paraId="6FDD70AD" w14:textId="77777777" w:rsidTr="00271772">
        <w:trPr>
          <w:trHeight w:val="300"/>
        </w:trPr>
        <w:tc>
          <w:tcPr>
            <w:tcW w:w="4460" w:type="dxa"/>
            <w:gridSpan w:val="2"/>
            <w:tcBorders>
              <w:top w:val="nil"/>
              <w:left w:val="nil"/>
              <w:bottom w:val="nil"/>
              <w:right w:val="single" w:sz="8" w:space="0" w:color="000000"/>
            </w:tcBorders>
            <w:shd w:val="clear" w:color="000000" w:fill="D0CECE"/>
            <w:noWrap/>
            <w:vAlign w:val="center"/>
            <w:hideMark/>
          </w:tcPr>
          <w:p w14:paraId="26055F6B" w14:textId="77777777" w:rsidR="00271772" w:rsidRPr="002473B6" w:rsidRDefault="00271772" w:rsidP="00271772">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5 biggest issues</w:t>
            </w:r>
          </w:p>
        </w:tc>
        <w:tc>
          <w:tcPr>
            <w:tcW w:w="4460" w:type="dxa"/>
            <w:gridSpan w:val="2"/>
            <w:tcBorders>
              <w:top w:val="nil"/>
              <w:left w:val="nil"/>
              <w:bottom w:val="nil"/>
              <w:right w:val="nil"/>
            </w:tcBorders>
            <w:shd w:val="clear" w:color="000000" w:fill="D0CECE"/>
            <w:noWrap/>
            <w:vAlign w:val="center"/>
            <w:hideMark/>
          </w:tcPr>
          <w:p w14:paraId="372A6124" w14:textId="77777777" w:rsidR="00271772" w:rsidRPr="002473B6" w:rsidRDefault="00271772" w:rsidP="00271772">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5 biggest benefits</w:t>
            </w:r>
          </w:p>
        </w:tc>
      </w:tr>
      <w:tr w:rsidR="00271772" w:rsidRPr="00271772" w14:paraId="0D370D9A" w14:textId="77777777" w:rsidTr="005772A0">
        <w:trPr>
          <w:trHeight w:val="300"/>
        </w:trPr>
        <w:tc>
          <w:tcPr>
            <w:tcW w:w="180" w:type="dxa"/>
            <w:tcBorders>
              <w:top w:val="nil"/>
              <w:left w:val="nil"/>
              <w:bottom w:val="nil"/>
              <w:right w:val="nil"/>
            </w:tcBorders>
            <w:shd w:val="clear" w:color="000000" w:fill="D0CECE"/>
            <w:noWrap/>
            <w:vAlign w:val="center"/>
            <w:hideMark/>
          </w:tcPr>
          <w:p w14:paraId="1D388B72" w14:textId="77777777" w:rsidR="00271772" w:rsidRPr="002473B6" w:rsidRDefault="00271772" w:rsidP="00271772">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1</w:t>
            </w:r>
          </w:p>
        </w:tc>
        <w:tc>
          <w:tcPr>
            <w:tcW w:w="4280" w:type="dxa"/>
            <w:tcBorders>
              <w:top w:val="nil"/>
              <w:left w:val="nil"/>
              <w:bottom w:val="nil"/>
              <w:right w:val="nil"/>
            </w:tcBorders>
            <w:shd w:val="clear" w:color="000000" w:fill="D0CECE"/>
            <w:noWrap/>
            <w:vAlign w:val="center"/>
            <w:hideMark/>
          </w:tcPr>
          <w:p w14:paraId="1D4A4BCA" w14:textId="7C935923" w:rsidR="00271772" w:rsidRPr="002473B6" w:rsidRDefault="00840AE2" w:rsidP="005772A0">
            <w:pPr>
              <w:spacing w:after="0" w:line="240" w:lineRule="auto"/>
              <w:rPr>
                <w:rFonts w:ascii="Arial" w:eastAsia="Times New Roman" w:hAnsi="Arial" w:cs="Arial"/>
                <w:color w:val="000000"/>
                <w:lang w:eastAsia="en-GB"/>
              </w:rPr>
            </w:pPr>
            <w:r w:rsidRPr="002473B6">
              <w:rPr>
                <w:rFonts w:ascii="Arial" w:eastAsia="Times New Roman" w:hAnsi="Arial" w:cs="Arial"/>
                <w:color w:val="000000"/>
                <w:lang w:eastAsia="en-GB"/>
              </w:rPr>
              <w:t>PASO</w:t>
            </w:r>
            <w:r w:rsidR="00271772" w:rsidRPr="002473B6">
              <w:rPr>
                <w:rFonts w:ascii="Arial" w:eastAsia="Times New Roman" w:hAnsi="Arial" w:cs="Arial"/>
                <w:color w:val="000000"/>
                <w:lang w:eastAsia="en-GB"/>
              </w:rPr>
              <w:t xml:space="preserve"> acceptance</w:t>
            </w:r>
          </w:p>
        </w:tc>
        <w:tc>
          <w:tcPr>
            <w:tcW w:w="180" w:type="dxa"/>
            <w:tcBorders>
              <w:top w:val="nil"/>
              <w:left w:val="single" w:sz="8" w:space="0" w:color="auto"/>
              <w:bottom w:val="nil"/>
              <w:right w:val="nil"/>
            </w:tcBorders>
            <w:shd w:val="clear" w:color="000000" w:fill="D0CECE"/>
            <w:noWrap/>
            <w:vAlign w:val="center"/>
            <w:hideMark/>
          </w:tcPr>
          <w:p w14:paraId="464A40C6" w14:textId="77777777" w:rsidR="00271772" w:rsidRPr="002473B6" w:rsidRDefault="00271772" w:rsidP="005772A0">
            <w:pPr>
              <w:spacing w:after="0" w:line="240" w:lineRule="auto"/>
              <w:rPr>
                <w:rFonts w:ascii="Arial" w:eastAsia="Times New Roman" w:hAnsi="Arial" w:cs="Arial"/>
                <w:color w:val="000000"/>
                <w:lang w:eastAsia="en-GB"/>
              </w:rPr>
            </w:pPr>
            <w:r w:rsidRPr="002473B6">
              <w:rPr>
                <w:rFonts w:ascii="Arial" w:eastAsia="Times New Roman" w:hAnsi="Arial" w:cs="Arial"/>
                <w:color w:val="000000"/>
                <w:lang w:eastAsia="en-GB"/>
              </w:rPr>
              <w:t>1</w:t>
            </w:r>
          </w:p>
        </w:tc>
        <w:tc>
          <w:tcPr>
            <w:tcW w:w="4280" w:type="dxa"/>
            <w:tcBorders>
              <w:top w:val="nil"/>
              <w:left w:val="nil"/>
              <w:bottom w:val="nil"/>
              <w:right w:val="nil"/>
            </w:tcBorders>
            <w:shd w:val="clear" w:color="000000" w:fill="D0CECE"/>
            <w:noWrap/>
            <w:vAlign w:val="center"/>
            <w:hideMark/>
          </w:tcPr>
          <w:p w14:paraId="29A3D535" w14:textId="77777777" w:rsidR="00271772" w:rsidRPr="002473B6" w:rsidRDefault="00271772" w:rsidP="005772A0">
            <w:pPr>
              <w:spacing w:after="0" w:line="240" w:lineRule="auto"/>
              <w:rPr>
                <w:rFonts w:ascii="Arial" w:eastAsia="Times New Roman" w:hAnsi="Arial" w:cs="Arial"/>
                <w:color w:val="000000"/>
                <w:lang w:eastAsia="en-GB"/>
              </w:rPr>
            </w:pPr>
            <w:r w:rsidRPr="002473B6">
              <w:rPr>
                <w:rFonts w:ascii="Arial" w:eastAsia="Times New Roman" w:hAnsi="Arial" w:cs="Arial"/>
                <w:color w:val="000000"/>
                <w:lang w:eastAsia="en-GB"/>
              </w:rPr>
              <w:t>Reduction in DNA rate</w:t>
            </w:r>
          </w:p>
        </w:tc>
      </w:tr>
      <w:tr w:rsidR="00271772" w:rsidRPr="00271772" w14:paraId="138FE840" w14:textId="77777777" w:rsidTr="005772A0">
        <w:trPr>
          <w:trHeight w:val="855"/>
        </w:trPr>
        <w:tc>
          <w:tcPr>
            <w:tcW w:w="180" w:type="dxa"/>
            <w:tcBorders>
              <w:top w:val="nil"/>
              <w:left w:val="nil"/>
              <w:bottom w:val="nil"/>
              <w:right w:val="nil"/>
            </w:tcBorders>
            <w:shd w:val="clear" w:color="000000" w:fill="D0CECE"/>
            <w:noWrap/>
            <w:vAlign w:val="center"/>
            <w:hideMark/>
          </w:tcPr>
          <w:p w14:paraId="14117B07" w14:textId="77777777" w:rsidR="00271772" w:rsidRPr="002473B6" w:rsidRDefault="00271772" w:rsidP="00271772">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2</w:t>
            </w:r>
          </w:p>
        </w:tc>
        <w:tc>
          <w:tcPr>
            <w:tcW w:w="4280" w:type="dxa"/>
            <w:tcBorders>
              <w:top w:val="nil"/>
              <w:left w:val="nil"/>
              <w:bottom w:val="nil"/>
              <w:right w:val="nil"/>
            </w:tcBorders>
            <w:shd w:val="clear" w:color="000000" w:fill="D0CECE"/>
            <w:vAlign w:val="center"/>
            <w:hideMark/>
          </w:tcPr>
          <w:p w14:paraId="7DA98A37" w14:textId="4E949E8C" w:rsidR="00271772" w:rsidRPr="002473B6" w:rsidRDefault="00271772" w:rsidP="005772A0">
            <w:pPr>
              <w:pStyle w:val="NormalWeb"/>
              <w:rPr>
                <w:rFonts w:ascii="Arial" w:hAnsi="Arial" w:cs="Arial"/>
                <w:color w:val="000000"/>
                <w:sz w:val="22"/>
                <w:szCs w:val="22"/>
              </w:rPr>
            </w:pPr>
            <w:r w:rsidRPr="002473B6">
              <w:rPr>
                <w:rFonts w:ascii="Arial" w:hAnsi="Arial" w:cs="Arial"/>
                <w:color w:val="000000"/>
                <w:sz w:val="22"/>
                <w:szCs w:val="22"/>
              </w:rPr>
              <w:t xml:space="preserve">Extra administration </w:t>
            </w:r>
            <w:r w:rsidR="000C6B25" w:rsidRPr="002473B6">
              <w:rPr>
                <w:rFonts w:ascii="Arial" w:hAnsi="Arial" w:cs="Arial"/>
                <w:color w:val="000000"/>
                <w:sz w:val="22"/>
                <w:szCs w:val="22"/>
              </w:rPr>
              <w:t>duties (</w:t>
            </w:r>
            <w:r w:rsidRPr="002473B6">
              <w:rPr>
                <w:rFonts w:ascii="Arial" w:hAnsi="Arial" w:cs="Arial"/>
                <w:color w:val="000000"/>
                <w:sz w:val="22"/>
                <w:szCs w:val="22"/>
              </w:rPr>
              <w:t xml:space="preserve">actioning </w:t>
            </w:r>
            <w:r w:rsidR="000C6B25" w:rsidRPr="002473B6">
              <w:rPr>
                <w:rFonts w:ascii="Arial" w:hAnsi="Arial" w:cs="Arial"/>
                <w:sz w:val="22"/>
                <w:szCs w:val="22"/>
              </w:rPr>
              <w:t>RCR</w:t>
            </w:r>
            <w:r w:rsidRPr="002473B6">
              <w:rPr>
                <w:rFonts w:ascii="Arial" w:hAnsi="Arial" w:cs="Arial"/>
                <w:color w:val="000000"/>
                <w:sz w:val="22"/>
                <w:szCs w:val="22"/>
              </w:rPr>
              <w:t>).</w:t>
            </w:r>
          </w:p>
        </w:tc>
        <w:tc>
          <w:tcPr>
            <w:tcW w:w="180" w:type="dxa"/>
            <w:tcBorders>
              <w:top w:val="nil"/>
              <w:left w:val="single" w:sz="8" w:space="0" w:color="auto"/>
              <w:bottom w:val="nil"/>
              <w:right w:val="nil"/>
            </w:tcBorders>
            <w:shd w:val="clear" w:color="000000" w:fill="D0CECE"/>
            <w:noWrap/>
            <w:vAlign w:val="center"/>
            <w:hideMark/>
          </w:tcPr>
          <w:p w14:paraId="6C28558A" w14:textId="77777777" w:rsidR="00271772" w:rsidRPr="002473B6" w:rsidRDefault="00271772" w:rsidP="005772A0">
            <w:pPr>
              <w:spacing w:after="0" w:line="240" w:lineRule="auto"/>
              <w:rPr>
                <w:rFonts w:ascii="Arial" w:eastAsia="Times New Roman" w:hAnsi="Arial" w:cs="Arial"/>
                <w:color w:val="000000"/>
                <w:lang w:eastAsia="en-GB"/>
              </w:rPr>
            </w:pPr>
            <w:r w:rsidRPr="002473B6">
              <w:rPr>
                <w:rFonts w:ascii="Arial" w:eastAsia="Times New Roman" w:hAnsi="Arial" w:cs="Arial"/>
                <w:color w:val="000000"/>
                <w:lang w:eastAsia="en-GB"/>
              </w:rPr>
              <w:t>2</w:t>
            </w:r>
          </w:p>
        </w:tc>
        <w:tc>
          <w:tcPr>
            <w:tcW w:w="4280" w:type="dxa"/>
            <w:tcBorders>
              <w:top w:val="nil"/>
              <w:left w:val="nil"/>
              <w:bottom w:val="nil"/>
              <w:right w:val="nil"/>
            </w:tcBorders>
            <w:shd w:val="clear" w:color="000000" w:fill="D0CECE"/>
            <w:vAlign w:val="center"/>
            <w:hideMark/>
          </w:tcPr>
          <w:p w14:paraId="62668F2F" w14:textId="77777777" w:rsidR="00271772" w:rsidRPr="002473B6" w:rsidRDefault="00271772" w:rsidP="005772A0">
            <w:pPr>
              <w:spacing w:after="0" w:line="240" w:lineRule="auto"/>
              <w:rPr>
                <w:rFonts w:ascii="Arial" w:eastAsia="Times New Roman" w:hAnsi="Arial" w:cs="Arial"/>
                <w:color w:val="000000"/>
                <w:lang w:eastAsia="en-GB"/>
              </w:rPr>
            </w:pPr>
            <w:r w:rsidRPr="002473B6">
              <w:rPr>
                <w:rFonts w:ascii="Arial" w:eastAsia="Times New Roman" w:hAnsi="Arial" w:cs="Arial"/>
                <w:color w:val="000000"/>
                <w:lang w:eastAsia="en-GB"/>
              </w:rPr>
              <w:t>Better communication with patients</w:t>
            </w:r>
          </w:p>
        </w:tc>
      </w:tr>
      <w:tr w:rsidR="00271772" w:rsidRPr="00271772" w14:paraId="6E3D69FB" w14:textId="77777777" w:rsidTr="005772A0">
        <w:trPr>
          <w:trHeight w:val="855"/>
        </w:trPr>
        <w:tc>
          <w:tcPr>
            <w:tcW w:w="180" w:type="dxa"/>
            <w:tcBorders>
              <w:top w:val="nil"/>
              <w:left w:val="nil"/>
              <w:bottom w:val="nil"/>
              <w:right w:val="nil"/>
            </w:tcBorders>
            <w:shd w:val="clear" w:color="000000" w:fill="D0CECE"/>
            <w:noWrap/>
            <w:vAlign w:val="center"/>
            <w:hideMark/>
          </w:tcPr>
          <w:p w14:paraId="12CDA17D" w14:textId="77777777" w:rsidR="00271772" w:rsidRPr="002473B6" w:rsidRDefault="00271772" w:rsidP="00271772">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3</w:t>
            </w:r>
          </w:p>
        </w:tc>
        <w:tc>
          <w:tcPr>
            <w:tcW w:w="4280" w:type="dxa"/>
            <w:tcBorders>
              <w:top w:val="nil"/>
              <w:left w:val="nil"/>
              <w:bottom w:val="nil"/>
              <w:right w:val="nil"/>
            </w:tcBorders>
            <w:shd w:val="clear" w:color="000000" w:fill="D0CECE"/>
            <w:vAlign w:val="center"/>
            <w:hideMark/>
          </w:tcPr>
          <w:p w14:paraId="75B901C3" w14:textId="77777777" w:rsidR="00271772" w:rsidRPr="002473B6" w:rsidRDefault="00271772" w:rsidP="005772A0">
            <w:pPr>
              <w:spacing w:after="0" w:line="240" w:lineRule="auto"/>
              <w:rPr>
                <w:rFonts w:ascii="Arial" w:eastAsia="Times New Roman" w:hAnsi="Arial" w:cs="Arial"/>
                <w:color w:val="000000"/>
                <w:lang w:eastAsia="en-GB"/>
              </w:rPr>
            </w:pPr>
            <w:r w:rsidRPr="002473B6">
              <w:rPr>
                <w:rFonts w:ascii="Arial" w:eastAsia="Times New Roman" w:hAnsi="Arial" w:cs="Arial"/>
                <w:color w:val="000000"/>
                <w:lang w:eastAsia="en-GB"/>
              </w:rPr>
              <w:t>Other responses to text messages from patients (more time required to decipher).</w:t>
            </w:r>
          </w:p>
        </w:tc>
        <w:tc>
          <w:tcPr>
            <w:tcW w:w="180" w:type="dxa"/>
            <w:tcBorders>
              <w:top w:val="nil"/>
              <w:left w:val="single" w:sz="8" w:space="0" w:color="auto"/>
              <w:bottom w:val="nil"/>
              <w:right w:val="nil"/>
            </w:tcBorders>
            <w:shd w:val="clear" w:color="000000" w:fill="D0CECE"/>
            <w:noWrap/>
            <w:vAlign w:val="center"/>
            <w:hideMark/>
          </w:tcPr>
          <w:p w14:paraId="55858F5F" w14:textId="77777777" w:rsidR="00271772" w:rsidRPr="002473B6" w:rsidRDefault="00271772" w:rsidP="005772A0">
            <w:pPr>
              <w:spacing w:after="0" w:line="240" w:lineRule="auto"/>
              <w:rPr>
                <w:rFonts w:ascii="Arial" w:eastAsia="Times New Roman" w:hAnsi="Arial" w:cs="Arial"/>
                <w:color w:val="000000"/>
                <w:lang w:eastAsia="en-GB"/>
              </w:rPr>
            </w:pPr>
            <w:r w:rsidRPr="002473B6">
              <w:rPr>
                <w:rFonts w:ascii="Arial" w:eastAsia="Times New Roman" w:hAnsi="Arial" w:cs="Arial"/>
                <w:color w:val="000000"/>
                <w:lang w:eastAsia="en-GB"/>
              </w:rPr>
              <w:t>3</w:t>
            </w:r>
          </w:p>
        </w:tc>
        <w:tc>
          <w:tcPr>
            <w:tcW w:w="4280" w:type="dxa"/>
            <w:tcBorders>
              <w:top w:val="nil"/>
              <w:left w:val="nil"/>
              <w:bottom w:val="nil"/>
              <w:right w:val="nil"/>
            </w:tcBorders>
            <w:shd w:val="clear" w:color="000000" w:fill="D0CECE"/>
            <w:vAlign w:val="center"/>
            <w:hideMark/>
          </w:tcPr>
          <w:p w14:paraId="7FDA2153" w14:textId="77777777" w:rsidR="00271772" w:rsidRPr="002473B6" w:rsidRDefault="00271772" w:rsidP="005772A0">
            <w:pPr>
              <w:spacing w:after="0" w:line="240" w:lineRule="auto"/>
              <w:rPr>
                <w:rFonts w:ascii="Arial" w:eastAsia="Times New Roman" w:hAnsi="Arial" w:cs="Arial"/>
                <w:color w:val="000000"/>
                <w:lang w:eastAsia="en-GB"/>
              </w:rPr>
            </w:pPr>
            <w:r w:rsidRPr="002473B6">
              <w:rPr>
                <w:rFonts w:ascii="Arial" w:eastAsia="Times New Roman" w:hAnsi="Arial" w:cs="Arial"/>
                <w:color w:val="000000"/>
                <w:lang w:eastAsia="en-GB"/>
              </w:rPr>
              <w:t>Reduction in calls to ABC (to confirm appointment details).</w:t>
            </w:r>
          </w:p>
        </w:tc>
      </w:tr>
      <w:tr w:rsidR="00271772" w:rsidRPr="00271772" w14:paraId="4DF74267" w14:textId="77777777" w:rsidTr="005772A0">
        <w:trPr>
          <w:trHeight w:val="855"/>
        </w:trPr>
        <w:tc>
          <w:tcPr>
            <w:tcW w:w="180" w:type="dxa"/>
            <w:tcBorders>
              <w:top w:val="nil"/>
              <w:left w:val="nil"/>
              <w:bottom w:val="nil"/>
              <w:right w:val="nil"/>
            </w:tcBorders>
            <w:shd w:val="clear" w:color="000000" w:fill="D0CECE"/>
            <w:noWrap/>
            <w:vAlign w:val="center"/>
            <w:hideMark/>
          </w:tcPr>
          <w:p w14:paraId="4517B3B3" w14:textId="77777777" w:rsidR="00271772" w:rsidRPr="002473B6" w:rsidRDefault="00271772" w:rsidP="00271772">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4</w:t>
            </w:r>
          </w:p>
        </w:tc>
        <w:tc>
          <w:tcPr>
            <w:tcW w:w="4280" w:type="dxa"/>
            <w:tcBorders>
              <w:top w:val="nil"/>
              <w:left w:val="nil"/>
              <w:bottom w:val="nil"/>
              <w:right w:val="nil"/>
            </w:tcBorders>
            <w:shd w:val="clear" w:color="000000" w:fill="D0CECE"/>
            <w:noWrap/>
            <w:vAlign w:val="center"/>
            <w:hideMark/>
          </w:tcPr>
          <w:p w14:paraId="3955BB0F" w14:textId="77777777" w:rsidR="00271772" w:rsidRPr="002473B6" w:rsidRDefault="00271772" w:rsidP="005772A0">
            <w:pPr>
              <w:spacing w:after="0" w:line="240" w:lineRule="auto"/>
              <w:rPr>
                <w:rFonts w:ascii="Arial" w:eastAsia="Times New Roman" w:hAnsi="Arial" w:cs="Arial"/>
                <w:color w:val="000000"/>
                <w:lang w:eastAsia="en-GB"/>
              </w:rPr>
            </w:pPr>
            <w:r w:rsidRPr="002473B6">
              <w:rPr>
                <w:rFonts w:ascii="Arial" w:eastAsia="Times New Roman" w:hAnsi="Arial" w:cs="Arial"/>
                <w:color w:val="000000"/>
                <w:lang w:eastAsia="en-GB"/>
              </w:rPr>
              <w:t>Increased CNA rate.</w:t>
            </w:r>
          </w:p>
        </w:tc>
        <w:tc>
          <w:tcPr>
            <w:tcW w:w="180" w:type="dxa"/>
            <w:tcBorders>
              <w:top w:val="nil"/>
              <w:left w:val="single" w:sz="8" w:space="0" w:color="auto"/>
              <w:bottom w:val="nil"/>
              <w:right w:val="nil"/>
            </w:tcBorders>
            <w:shd w:val="clear" w:color="000000" w:fill="D0CECE"/>
            <w:noWrap/>
            <w:vAlign w:val="center"/>
            <w:hideMark/>
          </w:tcPr>
          <w:p w14:paraId="28F610E8" w14:textId="77777777" w:rsidR="00271772" w:rsidRPr="002473B6" w:rsidRDefault="00271772" w:rsidP="005772A0">
            <w:pPr>
              <w:spacing w:after="0" w:line="240" w:lineRule="auto"/>
              <w:rPr>
                <w:rFonts w:ascii="Arial" w:eastAsia="Times New Roman" w:hAnsi="Arial" w:cs="Arial"/>
                <w:color w:val="000000"/>
                <w:lang w:eastAsia="en-GB"/>
              </w:rPr>
            </w:pPr>
            <w:r w:rsidRPr="002473B6">
              <w:rPr>
                <w:rFonts w:ascii="Arial" w:eastAsia="Times New Roman" w:hAnsi="Arial" w:cs="Arial"/>
                <w:color w:val="000000"/>
                <w:lang w:eastAsia="en-GB"/>
              </w:rPr>
              <w:t>4</w:t>
            </w:r>
          </w:p>
        </w:tc>
        <w:tc>
          <w:tcPr>
            <w:tcW w:w="4280" w:type="dxa"/>
            <w:tcBorders>
              <w:top w:val="nil"/>
              <w:left w:val="nil"/>
              <w:bottom w:val="nil"/>
              <w:right w:val="nil"/>
            </w:tcBorders>
            <w:shd w:val="clear" w:color="000000" w:fill="D0CECE"/>
            <w:vAlign w:val="center"/>
            <w:hideMark/>
          </w:tcPr>
          <w:p w14:paraId="02F361B0" w14:textId="77777777" w:rsidR="00271772" w:rsidRPr="002473B6" w:rsidRDefault="00271772" w:rsidP="005772A0">
            <w:pPr>
              <w:spacing w:after="0" w:line="240" w:lineRule="auto"/>
              <w:rPr>
                <w:rFonts w:ascii="Arial" w:eastAsia="Times New Roman" w:hAnsi="Arial" w:cs="Arial"/>
                <w:color w:val="000000"/>
                <w:lang w:eastAsia="en-GB"/>
              </w:rPr>
            </w:pPr>
            <w:r w:rsidRPr="002473B6">
              <w:rPr>
                <w:rFonts w:ascii="Arial" w:eastAsia="Times New Roman" w:hAnsi="Arial" w:cs="Arial"/>
                <w:color w:val="000000"/>
                <w:lang w:eastAsia="en-GB"/>
              </w:rPr>
              <w:t>Reduction in time wastage of reception staff (waiting for DNA patients).</w:t>
            </w:r>
          </w:p>
        </w:tc>
      </w:tr>
      <w:tr w:rsidR="00271772" w:rsidRPr="00271772" w14:paraId="4E3C8DF5" w14:textId="77777777" w:rsidTr="005772A0">
        <w:trPr>
          <w:trHeight w:val="570"/>
        </w:trPr>
        <w:tc>
          <w:tcPr>
            <w:tcW w:w="180" w:type="dxa"/>
            <w:tcBorders>
              <w:top w:val="nil"/>
              <w:left w:val="nil"/>
              <w:bottom w:val="nil"/>
              <w:right w:val="nil"/>
            </w:tcBorders>
            <w:shd w:val="clear" w:color="000000" w:fill="D0CECE"/>
            <w:noWrap/>
            <w:vAlign w:val="center"/>
            <w:hideMark/>
          </w:tcPr>
          <w:p w14:paraId="21BB3C5E" w14:textId="77777777" w:rsidR="00271772" w:rsidRPr="002473B6" w:rsidRDefault="00271772" w:rsidP="00271772">
            <w:pPr>
              <w:spacing w:after="0" w:line="240" w:lineRule="auto"/>
              <w:jc w:val="center"/>
              <w:rPr>
                <w:rFonts w:ascii="Arial" w:eastAsia="Times New Roman" w:hAnsi="Arial" w:cs="Arial"/>
                <w:color w:val="000000"/>
                <w:lang w:eastAsia="en-GB"/>
              </w:rPr>
            </w:pPr>
            <w:r w:rsidRPr="002473B6">
              <w:rPr>
                <w:rFonts w:ascii="Arial" w:eastAsia="Times New Roman" w:hAnsi="Arial" w:cs="Arial"/>
                <w:color w:val="000000"/>
                <w:lang w:eastAsia="en-GB"/>
              </w:rPr>
              <w:t>5</w:t>
            </w:r>
          </w:p>
        </w:tc>
        <w:tc>
          <w:tcPr>
            <w:tcW w:w="4280" w:type="dxa"/>
            <w:tcBorders>
              <w:top w:val="nil"/>
              <w:left w:val="nil"/>
              <w:bottom w:val="nil"/>
              <w:right w:val="nil"/>
            </w:tcBorders>
            <w:shd w:val="clear" w:color="000000" w:fill="D0CECE"/>
            <w:vAlign w:val="center"/>
            <w:hideMark/>
          </w:tcPr>
          <w:p w14:paraId="2707AF8D" w14:textId="7AA3B700" w:rsidR="00271772" w:rsidRPr="002473B6" w:rsidRDefault="00271772" w:rsidP="005772A0">
            <w:pPr>
              <w:spacing w:after="0" w:line="240" w:lineRule="auto"/>
              <w:rPr>
                <w:rFonts w:ascii="Arial" w:eastAsia="Times New Roman" w:hAnsi="Arial" w:cs="Arial"/>
                <w:color w:val="000000"/>
                <w:lang w:eastAsia="en-GB"/>
              </w:rPr>
            </w:pPr>
            <w:r w:rsidRPr="002473B6">
              <w:rPr>
                <w:rFonts w:ascii="Arial" w:eastAsia="Times New Roman" w:hAnsi="Arial" w:cs="Arial"/>
                <w:color w:val="000000"/>
                <w:lang w:eastAsia="en-GB"/>
              </w:rPr>
              <w:t>Extra calls to the ABC (technology illiterate patients).</w:t>
            </w:r>
          </w:p>
        </w:tc>
        <w:tc>
          <w:tcPr>
            <w:tcW w:w="180" w:type="dxa"/>
            <w:tcBorders>
              <w:top w:val="nil"/>
              <w:left w:val="single" w:sz="8" w:space="0" w:color="auto"/>
              <w:bottom w:val="nil"/>
              <w:right w:val="nil"/>
            </w:tcBorders>
            <w:shd w:val="clear" w:color="000000" w:fill="D0CECE"/>
            <w:noWrap/>
            <w:vAlign w:val="center"/>
            <w:hideMark/>
          </w:tcPr>
          <w:p w14:paraId="6CE6800C" w14:textId="77777777" w:rsidR="00271772" w:rsidRPr="002473B6" w:rsidRDefault="00271772" w:rsidP="005772A0">
            <w:pPr>
              <w:spacing w:after="0" w:line="240" w:lineRule="auto"/>
              <w:rPr>
                <w:rFonts w:ascii="Arial" w:eastAsia="Times New Roman" w:hAnsi="Arial" w:cs="Arial"/>
                <w:color w:val="000000"/>
                <w:lang w:eastAsia="en-GB"/>
              </w:rPr>
            </w:pPr>
            <w:r w:rsidRPr="002473B6">
              <w:rPr>
                <w:rFonts w:ascii="Arial" w:eastAsia="Times New Roman" w:hAnsi="Arial" w:cs="Arial"/>
                <w:color w:val="000000"/>
                <w:lang w:eastAsia="en-GB"/>
              </w:rPr>
              <w:t>5</w:t>
            </w:r>
          </w:p>
        </w:tc>
        <w:tc>
          <w:tcPr>
            <w:tcW w:w="4280" w:type="dxa"/>
            <w:tcBorders>
              <w:top w:val="nil"/>
              <w:left w:val="nil"/>
              <w:bottom w:val="nil"/>
              <w:right w:val="nil"/>
            </w:tcBorders>
            <w:shd w:val="clear" w:color="000000" w:fill="D0CECE"/>
            <w:vAlign w:val="center"/>
            <w:hideMark/>
          </w:tcPr>
          <w:p w14:paraId="61CB45AB" w14:textId="77777777" w:rsidR="00271772" w:rsidRPr="002473B6" w:rsidRDefault="00271772" w:rsidP="005772A0">
            <w:pPr>
              <w:spacing w:after="0" w:line="240" w:lineRule="auto"/>
              <w:rPr>
                <w:rFonts w:ascii="Arial" w:eastAsia="Times New Roman" w:hAnsi="Arial" w:cs="Arial"/>
                <w:color w:val="000000"/>
                <w:lang w:eastAsia="en-GB"/>
              </w:rPr>
            </w:pPr>
            <w:r w:rsidRPr="002473B6">
              <w:rPr>
                <w:rFonts w:ascii="Arial" w:eastAsia="Times New Roman" w:hAnsi="Arial" w:cs="Arial"/>
                <w:color w:val="000000"/>
                <w:lang w:eastAsia="en-GB"/>
              </w:rPr>
              <w:t>Reduction in paper wastage (DNA letters).</w:t>
            </w:r>
          </w:p>
        </w:tc>
      </w:tr>
    </w:tbl>
    <w:p w14:paraId="0F3C8297" w14:textId="77777777" w:rsidR="00271772" w:rsidRDefault="00271772"/>
    <w:p w14:paraId="6DC044BB" w14:textId="324DE3EA" w:rsidR="005E21B2" w:rsidRDefault="00C6452F" w:rsidP="00535B4A">
      <w:pPr>
        <w:jc w:val="both"/>
        <w:rPr>
          <w:rFonts w:ascii="Arial" w:hAnsi="Arial" w:cs="Arial"/>
          <w:sz w:val="24"/>
          <w:szCs w:val="24"/>
          <w:lang w:eastAsia="en-GB"/>
        </w:rPr>
      </w:pPr>
      <w:bookmarkStart w:id="1" w:name="_Hlk97827897"/>
      <w:r w:rsidRPr="00535B4A">
        <w:rPr>
          <w:rFonts w:ascii="Arial" w:hAnsi="Arial" w:cs="Arial"/>
          <w:sz w:val="24"/>
          <w:szCs w:val="24"/>
          <w:lang w:eastAsia="en-GB"/>
        </w:rPr>
        <w:t>No full integration between healthcare communications and the in-house Patient Management System (PMS) leads to extra administration burden. With only the confirms automatically uploaded to the PMS</w:t>
      </w:r>
      <w:r>
        <w:rPr>
          <w:rFonts w:ascii="Arial" w:hAnsi="Arial" w:cs="Arial"/>
          <w:sz w:val="24"/>
          <w:szCs w:val="24"/>
          <w:lang w:eastAsia="en-GB"/>
        </w:rPr>
        <w:t xml:space="preserve"> (Fig. 8)</w:t>
      </w:r>
      <w:r w:rsidRPr="00535B4A">
        <w:rPr>
          <w:rFonts w:ascii="Arial" w:hAnsi="Arial" w:cs="Arial"/>
          <w:sz w:val="24"/>
          <w:szCs w:val="24"/>
          <w:lang w:eastAsia="en-GB"/>
        </w:rPr>
        <w:t>. The reports need to be actioned by a manager every day, requiring a higher banded staff member to deal with increased workloads. This reduces the money being saved</w:t>
      </w:r>
      <w:r>
        <w:rPr>
          <w:rFonts w:ascii="Arial" w:hAnsi="Arial" w:cs="Arial"/>
          <w:sz w:val="24"/>
          <w:szCs w:val="24"/>
          <w:lang w:eastAsia="en-GB"/>
        </w:rPr>
        <w:t xml:space="preserve"> by using a manager</w:t>
      </w:r>
      <w:r w:rsidRPr="00535B4A">
        <w:rPr>
          <w:rFonts w:ascii="Arial" w:hAnsi="Arial" w:cs="Arial"/>
          <w:sz w:val="24"/>
          <w:szCs w:val="24"/>
          <w:lang w:eastAsia="en-GB"/>
        </w:rPr>
        <w:t xml:space="preserve"> rather than a PASO team member actioning these reports. The extra administration requirement was also a factor for the other responses received from patients. Other responses refer to responses received that were not the designated confirm, cancel, or reschedule. The</w:t>
      </w:r>
      <w:r>
        <w:rPr>
          <w:rFonts w:ascii="Arial" w:hAnsi="Arial" w:cs="Arial"/>
          <w:sz w:val="24"/>
          <w:szCs w:val="24"/>
          <w:lang w:eastAsia="en-GB"/>
        </w:rPr>
        <w:t xml:space="preserve"> Other </w:t>
      </w:r>
      <w:r w:rsidRPr="00535B4A">
        <w:rPr>
          <w:rFonts w:ascii="Arial" w:hAnsi="Arial" w:cs="Arial"/>
          <w:sz w:val="24"/>
          <w:szCs w:val="24"/>
          <w:lang w:eastAsia="en-GB"/>
        </w:rPr>
        <w:t>responses need further investigation to decipher the response.</w:t>
      </w:r>
      <w:r>
        <w:rPr>
          <w:rFonts w:ascii="Arial" w:hAnsi="Arial" w:cs="Arial"/>
          <w:sz w:val="24"/>
          <w:szCs w:val="24"/>
          <w:lang w:eastAsia="en-GB"/>
        </w:rPr>
        <w:t xml:space="preserve"> </w:t>
      </w:r>
      <w:bookmarkEnd w:id="1"/>
    </w:p>
    <w:p w14:paraId="7CA5BA6E" w14:textId="77777777" w:rsidR="005E21B2" w:rsidRDefault="005E21B2" w:rsidP="00535B4A">
      <w:pPr>
        <w:jc w:val="both"/>
        <w:rPr>
          <w:rFonts w:ascii="Arial" w:hAnsi="Arial" w:cs="Arial"/>
          <w:noProof/>
          <w:sz w:val="24"/>
          <w:szCs w:val="24"/>
          <w:lang w:eastAsia="en-GB"/>
        </w:rPr>
      </w:pPr>
    </w:p>
    <w:p w14:paraId="58746890" w14:textId="0690D0C5" w:rsidR="000F4BCD" w:rsidRPr="00535B4A" w:rsidRDefault="00366992" w:rsidP="005E21B2">
      <w:pPr>
        <w:jc w:val="both"/>
        <w:rPr>
          <w:rFonts w:ascii="Arial" w:hAnsi="Arial" w:cs="Arial"/>
          <w:sz w:val="24"/>
          <w:szCs w:val="24"/>
          <w:lang w:eastAsia="en-GB"/>
        </w:rPr>
      </w:pPr>
      <w:r>
        <w:rPr>
          <w:rFonts w:ascii="Arial" w:hAnsi="Arial" w:cs="Arial"/>
          <w:noProof/>
          <w:sz w:val="24"/>
          <w:szCs w:val="24"/>
          <w:lang w:eastAsia="en-GB"/>
        </w:rPr>
        <w:lastRenderedPageBreak/>
        <w:drawing>
          <wp:inline distT="0" distB="0" distL="0" distR="0" wp14:anchorId="0B6A2FCD" wp14:editId="730C0AA6">
            <wp:extent cx="5712873" cy="7552690"/>
            <wp:effectExtent l="19050" t="19050" r="21590" b="10160"/>
            <wp:docPr id="450" name="Picture 450"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Picture 450" descr="Diagram, text&#10;&#10;Description automatically generated"/>
                    <pic:cNvPicPr/>
                  </pic:nvPicPr>
                  <pic:blipFill rotWithShape="1">
                    <a:blip r:embed="rId21">
                      <a:extLst>
                        <a:ext uri="{28A0092B-C50C-407E-A947-70E740481C1C}">
                          <a14:useLocalDpi xmlns:a14="http://schemas.microsoft.com/office/drawing/2010/main" val="0"/>
                        </a:ext>
                      </a:extLst>
                    </a:blip>
                    <a:srcRect t="1369"/>
                    <a:stretch/>
                  </pic:blipFill>
                  <pic:spPr bwMode="auto">
                    <a:xfrm>
                      <a:off x="0" y="0"/>
                      <a:ext cx="5728919" cy="7573904"/>
                    </a:xfrm>
                    <a:prstGeom prst="rect">
                      <a:avLst/>
                    </a:prstGeom>
                    <a:ln w="12700">
                      <a:solidFill>
                        <a:schemeClr val="bg2"/>
                      </a:solidFill>
                    </a:ln>
                    <a:extLst>
                      <a:ext uri="{53640926-AAD7-44D8-BBD7-CCE9431645EC}">
                        <a14:shadowObscured xmlns:a14="http://schemas.microsoft.com/office/drawing/2010/main"/>
                      </a:ext>
                    </a:extLst>
                  </pic:spPr>
                </pic:pic>
              </a:graphicData>
            </a:graphic>
          </wp:inline>
        </w:drawing>
      </w:r>
    </w:p>
    <w:p w14:paraId="457E81D9" w14:textId="1FBA5A26" w:rsidR="002473B6" w:rsidRDefault="00366992" w:rsidP="005E21B2">
      <w:pPr>
        <w:jc w:val="center"/>
        <w:rPr>
          <w:rFonts w:ascii="Arial" w:hAnsi="Arial" w:cs="Arial"/>
          <w:b/>
          <w:bCs/>
          <w:sz w:val="24"/>
          <w:szCs w:val="24"/>
        </w:rPr>
      </w:pPr>
      <w:r>
        <w:rPr>
          <w:rFonts w:ascii="Arial" w:hAnsi="Arial" w:cs="Arial"/>
          <w:b/>
          <w:bCs/>
          <w:sz w:val="24"/>
          <w:szCs w:val="24"/>
        </w:rPr>
        <w:t>Fig. 8</w:t>
      </w:r>
    </w:p>
    <w:p w14:paraId="6C007D53" w14:textId="77777777" w:rsidR="002473B6" w:rsidRDefault="002473B6">
      <w:pPr>
        <w:rPr>
          <w:rFonts w:ascii="Arial" w:hAnsi="Arial" w:cs="Arial"/>
          <w:b/>
          <w:bCs/>
          <w:sz w:val="24"/>
          <w:szCs w:val="24"/>
        </w:rPr>
      </w:pPr>
    </w:p>
    <w:p w14:paraId="24A09572" w14:textId="77777777" w:rsidR="002473B6" w:rsidRDefault="002473B6">
      <w:pPr>
        <w:rPr>
          <w:rFonts w:ascii="Arial" w:hAnsi="Arial" w:cs="Arial"/>
          <w:b/>
          <w:bCs/>
          <w:sz w:val="24"/>
          <w:szCs w:val="24"/>
        </w:rPr>
      </w:pPr>
    </w:p>
    <w:p w14:paraId="6097CA04" w14:textId="77777777" w:rsidR="002473B6" w:rsidRDefault="002473B6">
      <w:pPr>
        <w:rPr>
          <w:rFonts w:ascii="Arial" w:hAnsi="Arial" w:cs="Arial"/>
          <w:b/>
          <w:bCs/>
          <w:sz w:val="24"/>
          <w:szCs w:val="24"/>
        </w:rPr>
      </w:pPr>
    </w:p>
    <w:p w14:paraId="793E09B0" w14:textId="77777777" w:rsidR="00C6452F" w:rsidRPr="00535B4A" w:rsidRDefault="00C6452F" w:rsidP="00C6452F">
      <w:pPr>
        <w:jc w:val="both"/>
        <w:rPr>
          <w:rFonts w:ascii="Arial" w:hAnsi="Arial" w:cs="Arial"/>
          <w:b/>
          <w:bCs/>
          <w:sz w:val="24"/>
          <w:szCs w:val="24"/>
        </w:rPr>
      </w:pPr>
      <w:r w:rsidRPr="37A859E9">
        <w:rPr>
          <w:rFonts w:ascii="Arial" w:hAnsi="Arial" w:cs="Arial"/>
          <w:b/>
          <w:bCs/>
          <w:sz w:val="24"/>
          <w:szCs w:val="24"/>
        </w:rPr>
        <w:lastRenderedPageBreak/>
        <w:t>Clinicians and Directorates</w:t>
      </w:r>
    </w:p>
    <w:p w14:paraId="5C06A48A" w14:textId="77777777" w:rsidR="00C6452F" w:rsidRPr="00535B4A" w:rsidRDefault="00C6452F" w:rsidP="00C6452F">
      <w:pPr>
        <w:jc w:val="both"/>
        <w:rPr>
          <w:rFonts w:ascii="Arial" w:hAnsi="Arial" w:cs="Arial"/>
          <w:sz w:val="24"/>
          <w:szCs w:val="24"/>
          <w:lang w:eastAsia="en-GB"/>
        </w:rPr>
      </w:pPr>
      <w:r w:rsidRPr="37A859E9">
        <w:rPr>
          <w:rFonts w:ascii="Arial" w:hAnsi="Arial" w:cs="Arial"/>
          <w:sz w:val="24"/>
          <w:szCs w:val="24"/>
          <w:lang w:eastAsia="en-GB"/>
        </w:rPr>
        <w:t xml:space="preserve">From interviews conducted with clinicians and directorates, the consensus showed that they were extremely happy with ATR as it allowed for more patients to be seen and waiting lists to be reduced (Fig 9). As the slots could be reutilised and the time of the clinicians was not being wasted by waiting for patients who are not attending, improving productivity. This was to be expected, as the clinicians and their teams were not processing the ATR or dealing with the fallout of the RCR and the backfilling of slots. The only negative comment to come out of the process was that the patients on the clinic lists are being replaced at short notice. This is likely to </w:t>
      </w:r>
      <w:r>
        <w:rPr>
          <w:rFonts w:ascii="Arial" w:hAnsi="Arial" w:cs="Arial"/>
          <w:sz w:val="24"/>
          <w:szCs w:val="24"/>
          <w:lang w:eastAsia="en-GB"/>
        </w:rPr>
        <w:t>lead to an</w:t>
      </w:r>
      <w:r w:rsidRPr="37A859E9">
        <w:rPr>
          <w:rFonts w:ascii="Arial" w:hAnsi="Arial" w:cs="Arial"/>
          <w:sz w:val="24"/>
          <w:szCs w:val="24"/>
          <w:lang w:eastAsia="en-GB"/>
        </w:rPr>
        <w:t xml:space="preserve"> increase in RCR.</w:t>
      </w:r>
    </w:p>
    <w:p w14:paraId="1E907DE7" w14:textId="215B319C" w:rsidR="005135D9" w:rsidRDefault="005135D9">
      <w:r>
        <w:rPr>
          <w:noProof/>
        </w:rPr>
        <w:drawing>
          <wp:inline distT="0" distB="0" distL="0" distR="0" wp14:anchorId="55D99A93" wp14:editId="5D1A3C23">
            <wp:extent cx="5715000" cy="2143125"/>
            <wp:effectExtent l="0" t="0" r="0" b="9525"/>
            <wp:docPr id="123" name="Chart 123">
              <a:extLst xmlns:a="http://schemas.openxmlformats.org/drawingml/2006/main">
                <a:ext uri="{FF2B5EF4-FFF2-40B4-BE49-F238E27FC236}">
                  <a16:creationId xmlns:a16="http://schemas.microsoft.com/office/drawing/2014/main" id="{2A290DE8-A3F6-4B75-82AB-53BC4E426F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28AE3D8" w14:textId="10734203" w:rsidR="005135D9" w:rsidRPr="00535B4A" w:rsidRDefault="005135D9" w:rsidP="005135D9">
      <w:pPr>
        <w:jc w:val="center"/>
        <w:rPr>
          <w:rFonts w:ascii="Arial" w:hAnsi="Arial" w:cs="Arial"/>
          <w:b/>
          <w:bCs/>
          <w:sz w:val="24"/>
          <w:szCs w:val="24"/>
        </w:rPr>
      </w:pPr>
      <w:r w:rsidRPr="00535B4A">
        <w:rPr>
          <w:rFonts w:ascii="Arial" w:hAnsi="Arial" w:cs="Arial"/>
          <w:b/>
          <w:bCs/>
          <w:sz w:val="24"/>
          <w:szCs w:val="24"/>
        </w:rPr>
        <w:t xml:space="preserve">Fig. </w:t>
      </w:r>
      <w:r w:rsidR="00366992">
        <w:rPr>
          <w:rFonts w:ascii="Arial" w:hAnsi="Arial" w:cs="Arial"/>
          <w:b/>
          <w:bCs/>
          <w:sz w:val="24"/>
          <w:szCs w:val="24"/>
        </w:rPr>
        <w:t>9</w:t>
      </w:r>
    </w:p>
    <w:p w14:paraId="73E27D92" w14:textId="77777777" w:rsidR="00C6452F" w:rsidRPr="00361968" w:rsidRDefault="00C6452F" w:rsidP="00C6452F">
      <w:pPr>
        <w:jc w:val="both"/>
        <w:rPr>
          <w:rFonts w:ascii="Arial" w:hAnsi="Arial" w:cs="Arial"/>
          <w:sz w:val="24"/>
          <w:szCs w:val="24"/>
          <w:lang w:eastAsia="en-GB"/>
        </w:rPr>
      </w:pPr>
      <w:r w:rsidRPr="00361968">
        <w:rPr>
          <w:rFonts w:ascii="Arial" w:hAnsi="Arial" w:cs="Arial"/>
          <w:sz w:val="24"/>
          <w:szCs w:val="24"/>
          <w:lang w:eastAsia="en-GB"/>
        </w:rPr>
        <w:t xml:space="preserve">The Immunology directorate stated that they want the suspended ATR system to be turned back on as soon as possible. The reason for this stance was several issues in recent months with their DNA rate, with one clinic having a DNA rate of </w:t>
      </w:r>
      <w:r>
        <w:rPr>
          <w:rFonts w:ascii="Arial" w:hAnsi="Arial" w:cs="Arial"/>
          <w:sz w:val="24"/>
          <w:szCs w:val="24"/>
          <w:lang w:eastAsia="en-GB"/>
        </w:rPr>
        <w:t>50%</w:t>
      </w:r>
      <w:r w:rsidRPr="00361968">
        <w:rPr>
          <w:rFonts w:ascii="Arial" w:hAnsi="Arial" w:cs="Arial"/>
          <w:sz w:val="24"/>
          <w:szCs w:val="24"/>
          <w:lang w:eastAsia="en-GB"/>
        </w:rPr>
        <w:t>. When they audited to find the reason, the consensus was the patient had either forgotten they had an appointment or were unaware. The ATR system solves both issues.</w:t>
      </w:r>
    </w:p>
    <w:p w14:paraId="52F8326A" w14:textId="77777777" w:rsidR="00C6452F" w:rsidRPr="00361968" w:rsidRDefault="00C6452F" w:rsidP="00C6452F">
      <w:pPr>
        <w:jc w:val="both"/>
        <w:rPr>
          <w:rFonts w:ascii="Arial" w:hAnsi="Arial" w:cs="Arial"/>
          <w:sz w:val="24"/>
          <w:szCs w:val="24"/>
          <w:lang w:eastAsia="en-GB"/>
        </w:rPr>
      </w:pPr>
      <w:r w:rsidRPr="00361968">
        <w:rPr>
          <w:rFonts w:ascii="Arial" w:hAnsi="Arial" w:cs="Arial"/>
          <w:sz w:val="24"/>
          <w:szCs w:val="24"/>
          <w:lang w:eastAsia="en-GB"/>
        </w:rPr>
        <w:t xml:space="preserve">The consensus between clinicians and directorates was there could be improvements to ATR. By using ATR in further ways, such as sending information related to appointments. Such as reminding patients to not </w:t>
      </w:r>
      <w:r>
        <w:rPr>
          <w:rFonts w:ascii="Arial" w:hAnsi="Arial" w:cs="Arial"/>
          <w:sz w:val="24"/>
          <w:szCs w:val="24"/>
          <w:lang w:eastAsia="en-GB"/>
        </w:rPr>
        <w:t>eat or drink</w:t>
      </w:r>
      <w:r w:rsidRPr="00361968">
        <w:rPr>
          <w:rFonts w:ascii="Arial" w:hAnsi="Arial" w:cs="Arial"/>
          <w:sz w:val="24"/>
          <w:szCs w:val="24"/>
          <w:lang w:eastAsia="en-GB"/>
        </w:rPr>
        <w:t xml:space="preserve"> before an appointment that needs bloods taken. </w:t>
      </w:r>
    </w:p>
    <w:p w14:paraId="2E5E90F5" w14:textId="77777777" w:rsidR="002473B6" w:rsidRDefault="002473B6">
      <w:pPr>
        <w:rPr>
          <w:rFonts w:ascii="Arial" w:hAnsi="Arial" w:cs="Arial"/>
          <w:b/>
          <w:bCs/>
          <w:sz w:val="24"/>
          <w:szCs w:val="24"/>
        </w:rPr>
      </w:pPr>
    </w:p>
    <w:p w14:paraId="7D23D269" w14:textId="77777777" w:rsidR="002473B6" w:rsidRDefault="002473B6">
      <w:pPr>
        <w:rPr>
          <w:rFonts w:ascii="Arial" w:hAnsi="Arial" w:cs="Arial"/>
          <w:b/>
          <w:bCs/>
          <w:sz w:val="24"/>
          <w:szCs w:val="24"/>
        </w:rPr>
      </w:pPr>
    </w:p>
    <w:p w14:paraId="167D3A09" w14:textId="77777777" w:rsidR="002473B6" w:rsidRDefault="002473B6">
      <w:pPr>
        <w:rPr>
          <w:rFonts w:ascii="Arial" w:hAnsi="Arial" w:cs="Arial"/>
          <w:b/>
          <w:bCs/>
          <w:sz w:val="24"/>
          <w:szCs w:val="24"/>
        </w:rPr>
      </w:pPr>
    </w:p>
    <w:p w14:paraId="676134DC" w14:textId="77777777" w:rsidR="002473B6" w:rsidRDefault="002473B6">
      <w:pPr>
        <w:rPr>
          <w:rFonts w:ascii="Arial" w:hAnsi="Arial" w:cs="Arial"/>
          <w:b/>
          <w:bCs/>
          <w:sz w:val="24"/>
          <w:szCs w:val="24"/>
        </w:rPr>
      </w:pPr>
    </w:p>
    <w:p w14:paraId="037960C8" w14:textId="77777777" w:rsidR="002473B6" w:rsidRDefault="002473B6">
      <w:pPr>
        <w:rPr>
          <w:rFonts w:ascii="Arial" w:hAnsi="Arial" w:cs="Arial"/>
          <w:b/>
          <w:bCs/>
          <w:sz w:val="24"/>
          <w:szCs w:val="24"/>
        </w:rPr>
      </w:pPr>
    </w:p>
    <w:p w14:paraId="45B1213D" w14:textId="77777777" w:rsidR="002473B6" w:rsidRDefault="002473B6">
      <w:pPr>
        <w:rPr>
          <w:rFonts w:ascii="Arial" w:hAnsi="Arial" w:cs="Arial"/>
          <w:b/>
          <w:bCs/>
          <w:sz w:val="24"/>
          <w:szCs w:val="24"/>
        </w:rPr>
      </w:pPr>
    </w:p>
    <w:p w14:paraId="52421FC4" w14:textId="77777777" w:rsidR="002473B6" w:rsidRDefault="002473B6">
      <w:pPr>
        <w:rPr>
          <w:rFonts w:ascii="Arial" w:hAnsi="Arial" w:cs="Arial"/>
          <w:b/>
          <w:bCs/>
          <w:sz w:val="24"/>
          <w:szCs w:val="24"/>
        </w:rPr>
      </w:pPr>
    </w:p>
    <w:p w14:paraId="47045405" w14:textId="77777777" w:rsidR="002473B6" w:rsidRDefault="002473B6">
      <w:pPr>
        <w:rPr>
          <w:rFonts w:ascii="Arial" w:hAnsi="Arial" w:cs="Arial"/>
          <w:b/>
          <w:bCs/>
          <w:sz w:val="24"/>
          <w:szCs w:val="24"/>
        </w:rPr>
      </w:pPr>
    </w:p>
    <w:p w14:paraId="56F2FC96" w14:textId="4DC9851C" w:rsidR="00A7521C" w:rsidRPr="00361968" w:rsidRDefault="002C4F7F">
      <w:pPr>
        <w:rPr>
          <w:rFonts w:ascii="Arial" w:hAnsi="Arial" w:cs="Arial"/>
          <w:b/>
          <w:bCs/>
          <w:sz w:val="24"/>
          <w:szCs w:val="24"/>
        </w:rPr>
      </w:pPr>
      <w:r w:rsidRPr="00361968">
        <w:rPr>
          <w:rFonts w:ascii="Arial" w:hAnsi="Arial" w:cs="Arial"/>
          <w:b/>
          <w:bCs/>
          <w:sz w:val="24"/>
          <w:szCs w:val="24"/>
        </w:rPr>
        <w:lastRenderedPageBreak/>
        <w:t>Patients</w:t>
      </w:r>
    </w:p>
    <w:p w14:paraId="2E4ECE55" w14:textId="77777777" w:rsidR="006650A1" w:rsidRDefault="006650A1" w:rsidP="006650A1">
      <w:r w:rsidRPr="00C63622">
        <w:rPr>
          <w:noProof/>
        </w:rPr>
        <w:drawing>
          <wp:inline distT="0" distB="0" distL="0" distR="0" wp14:anchorId="775AF24E" wp14:editId="770E816F">
            <wp:extent cx="5714365" cy="2362200"/>
            <wp:effectExtent l="0" t="0" r="635"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04E4FDF" w14:textId="6AB8BC07" w:rsidR="006650A1" w:rsidRPr="00361968" w:rsidRDefault="006650A1" w:rsidP="006650A1">
      <w:pPr>
        <w:jc w:val="center"/>
        <w:rPr>
          <w:rFonts w:ascii="Arial" w:hAnsi="Arial" w:cs="Arial"/>
          <w:b/>
          <w:bCs/>
          <w:sz w:val="24"/>
          <w:szCs w:val="24"/>
        </w:rPr>
      </w:pPr>
      <w:r w:rsidRPr="00361968">
        <w:rPr>
          <w:rFonts w:ascii="Arial" w:hAnsi="Arial" w:cs="Arial"/>
          <w:b/>
          <w:bCs/>
          <w:sz w:val="24"/>
          <w:szCs w:val="24"/>
        </w:rPr>
        <w:t xml:space="preserve">Fig. </w:t>
      </w:r>
      <w:r w:rsidR="00366992">
        <w:rPr>
          <w:rFonts w:ascii="Arial" w:hAnsi="Arial" w:cs="Arial"/>
          <w:b/>
          <w:bCs/>
          <w:sz w:val="24"/>
          <w:szCs w:val="24"/>
        </w:rPr>
        <w:t>10</w:t>
      </w:r>
    </w:p>
    <w:p w14:paraId="2B9C493E" w14:textId="77777777" w:rsidR="006650A1" w:rsidRDefault="006650A1" w:rsidP="006650A1">
      <w:r w:rsidRPr="002C4F7F">
        <w:rPr>
          <w:noProof/>
        </w:rPr>
        <w:drawing>
          <wp:inline distT="0" distB="0" distL="0" distR="0" wp14:anchorId="4FE1DFEF" wp14:editId="4C0B8E7E">
            <wp:extent cx="5715000" cy="2297927"/>
            <wp:effectExtent l="0" t="0" r="0" b="762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5B29A9B" w14:textId="24EEBA5B" w:rsidR="006650A1" w:rsidRPr="00361968" w:rsidRDefault="006650A1" w:rsidP="006650A1">
      <w:pPr>
        <w:jc w:val="center"/>
        <w:rPr>
          <w:rFonts w:ascii="Arial" w:hAnsi="Arial" w:cs="Arial"/>
          <w:b/>
          <w:bCs/>
          <w:sz w:val="24"/>
          <w:szCs w:val="24"/>
        </w:rPr>
      </w:pPr>
      <w:r w:rsidRPr="00361968">
        <w:rPr>
          <w:rFonts w:ascii="Arial" w:hAnsi="Arial" w:cs="Arial"/>
          <w:b/>
          <w:bCs/>
          <w:sz w:val="24"/>
          <w:szCs w:val="24"/>
        </w:rPr>
        <w:t xml:space="preserve">Fig. </w:t>
      </w:r>
      <w:r w:rsidR="00366992">
        <w:rPr>
          <w:rFonts w:ascii="Arial" w:hAnsi="Arial" w:cs="Arial"/>
          <w:b/>
          <w:bCs/>
          <w:sz w:val="24"/>
          <w:szCs w:val="24"/>
        </w:rPr>
        <w:t>11</w:t>
      </w:r>
    </w:p>
    <w:p w14:paraId="5D9BE838" w14:textId="77777777" w:rsidR="00C6452F" w:rsidRPr="00E24DFA" w:rsidRDefault="00C6452F" w:rsidP="00C6452F">
      <w:pPr>
        <w:jc w:val="both"/>
        <w:rPr>
          <w:rFonts w:ascii="Arial" w:hAnsi="Arial" w:cs="Arial"/>
          <w:sz w:val="24"/>
          <w:szCs w:val="24"/>
          <w:lang w:eastAsia="en-GB"/>
        </w:rPr>
      </w:pPr>
      <w:r w:rsidRPr="37A859E9">
        <w:rPr>
          <w:rFonts w:ascii="Arial" w:hAnsi="Arial" w:cs="Arial"/>
          <w:sz w:val="24"/>
          <w:szCs w:val="24"/>
          <w:lang w:eastAsia="en-GB"/>
        </w:rPr>
        <w:t>Patient satisfaction is a key element in introducing any new IT system that involves patient participation. If patients were not happy with introducing the ATR system, it would fail. It was key to the strategy that patient engagement was involved. Through patient engagement in 2016 and 2020 on patient communications preferences, it showed satisfaction in patient communication of outpatient appointments increased by 18% (Fig. 10 and 11). This shows that since C&amp;VUHB introduced text notifications, patients are increasingly happy with the communication they are receiving.</w:t>
      </w:r>
    </w:p>
    <w:p w14:paraId="4128A62D" w14:textId="77777777" w:rsidR="00C6452F" w:rsidRPr="00E24DFA" w:rsidRDefault="00C6452F" w:rsidP="00C6452F">
      <w:pPr>
        <w:jc w:val="both"/>
        <w:rPr>
          <w:rFonts w:ascii="Arial" w:hAnsi="Arial" w:cs="Arial"/>
          <w:sz w:val="24"/>
          <w:szCs w:val="24"/>
          <w:lang w:eastAsia="en-GB"/>
        </w:rPr>
      </w:pPr>
      <w:r w:rsidRPr="37A859E9">
        <w:rPr>
          <w:rFonts w:ascii="Arial" w:hAnsi="Arial" w:cs="Arial"/>
          <w:sz w:val="24"/>
          <w:szCs w:val="24"/>
          <w:lang w:eastAsia="en-GB"/>
        </w:rPr>
        <w:t>Furthering the link in patients’ satisfaction being improved by ATR is the statistics on patients’ preferred method of reminders for appointments. 2020, which saw a shift to text messages being the preferred method, increasing by almost 18% (Fig. 12 and 13). The reduction in patient preferences towards email and telephone reminders compounds the shift towards text messages. With patients’ preferences for telephone reminders being reduced by 4%, from 2016 to 2020.</w:t>
      </w:r>
    </w:p>
    <w:p w14:paraId="19FD8FA6" w14:textId="370B41BF" w:rsidR="00A7521C" w:rsidRDefault="00D52D23" w:rsidP="00460633">
      <w:pPr>
        <w:rPr>
          <w:b/>
          <w:bCs/>
        </w:rPr>
      </w:pPr>
      <w:r w:rsidRPr="00D52D23">
        <w:rPr>
          <w:b/>
          <w:bCs/>
          <w:noProof/>
        </w:rPr>
        <w:lastRenderedPageBreak/>
        <w:drawing>
          <wp:inline distT="0" distB="0" distL="0" distR="0" wp14:anchorId="0B1F1774" wp14:editId="353AE74A">
            <wp:extent cx="5714365" cy="2646045"/>
            <wp:effectExtent l="0" t="0" r="635" b="190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5E61314" w14:textId="456FD76E" w:rsidR="00D52D23" w:rsidRPr="00BF71D8" w:rsidRDefault="00D52D23" w:rsidP="00D52D23">
      <w:pPr>
        <w:jc w:val="center"/>
        <w:rPr>
          <w:rFonts w:ascii="Arial" w:hAnsi="Arial" w:cs="Arial"/>
          <w:b/>
          <w:bCs/>
          <w:sz w:val="24"/>
          <w:szCs w:val="24"/>
        </w:rPr>
      </w:pPr>
      <w:r w:rsidRPr="00BF71D8">
        <w:rPr>
          <w:rFonts w:ascii="Arial" w:hAnsi="Arial" w:cs="Arial"/>
          <w:b/>
          <w:bCs/>
          <w:sz w:val="24"/>
          <w:szCs w:val="24"/>
        </w:rPr>
        <w:t xml:space="preserve">Fig. </w:t>
      </w:r>
      <w:r w:rsidR="00366992">
        <w:rPr>
          <w:rFonts w:ascii="Arial" w:hAnsi="Arial" w:cs="Arial"/>
          <w:b/>
          <w:bCs/>
          <w:sz w:val="24"/>
          <w:szCs w:val="24"/>
        </w:rPr>
        <w:t>12</w:t>
      </w:r>
    </w:p>
    <w:p w14:paraId="3EBC24E2" w14:textId="369809EC" w:rsidR="00E4091F" w:rsidRDefault="00E4091F" w:rsidP="00460633">
      <w:pPr>
        <w:rPr>
          <w:b/>
          <w:bCs/>
        </w:rPr>
      </w:pPr>
      <w:r w:rsidRPr="00E4091F">
        <w:rPr>
          <w:b/>
          <w:bCs/>
          <w:noProof/>
        </w:rPr>
        <w:drawing>
          <wp:inline distT="0" distB="0" distL="0" distR="0" wp14:anchorId="01C177C8" wp14:editId="1D441B05">
            <wp:extent cx="5714365" cy="2628900"/>
            <wp:effectExtent l="0" t="0" r="635"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6114CF3" w14:textId="3518551E" w:rsidR="00D52D23" w:rsidRPr="00BF71D8" w:rsidRDefault="00D52D23" w:rsidP="00D52D23">
      <w:pPr>
        <w:jc w:val="center"/>
        <w:rPr>
          <w:rFonts w:ascii="Arial" w:hAnsi="Arial" w:cs="Arial"/>
          <w:b/>
          <w:bCs/>
          <w:sz w:val="24"/>
          <w:szCs w:val="24"/>
        </w:rPr>
      </w:pPr>
      <w:r w:rsidRPr="00BF71D8">
        <w:rPr>
          <w:rFonts w:ascii="Arial" w:hAnsi="Arial" w:cs="Arial"/>
          <w:b/>
          <w:bCs/>
          <w:sz w:val="24"/>
          <w:szCs w:val="24"/>
        </w:rPr>
        <w:t xml:space="preserve">Fig. </w:t>
      </w:r>
      <w:r w:rsidR="00366992">
        <w:rPr>
          <w:rFonts w:ascii="Arial" w:hAnsi="Arial" w:cs="Arial"/>
          <w:b/>
          <w:bCs/>
          <w:sz w:val="24"/>
          <w:szCs w:val="24"/>
        </w:rPr>
        <w:t>13</w:t>
      </w:r>
    </w:p>
    <w:p w14:paraId="613A3A16" w14:textId="77777777" w:rsidR="00C6452F" w:rsidRPr="00BF71D8" w:rsidRDefault="00C6452F" w:rsidP="00C6452F">
      <w:pPr>
        <w:jc w:val="both"/>
        <w:rPr>
          <w:rFonts w:ascii="Arial" w:hAnsi="Arial" w:cs="Arial"/>
          <w:sz w:val="24"/>
          <w:szCs w:val="24"/>
          <w:lang w:eastAsia="en-GB"/>
        </w:rPr>
      </w:pPr>
      <w:r w:rsidRPr="37A859E9">
        <w:rPr>
          <w:rFonts w:ascii="Arial" w:hAnsi="Arial" w:cs="Arial"/>
          <w:sz w:val="24"/>
          <w:szCs w:val="24"/>
          <w:lang w:eastAsia="en-GB"/>
        </w:rPr>
        <w:t>A factor to come from the patient engagement was that patients’ preferred method of scheduling an appointment had also increased by 18% for text messages (Fig. 14 and 15). With a reduction in the other preferred methods, including a letter in the post, text messages are close to being the joint preferred method. This shows that ATR is working for patients as they see them not only as a method for reminders but as a preferred method of communication with C&amp;VUHB.</w:t>
      </w:r>
    </w:p>
    <w:p w14:paraId="4E1FE398" w14:textId="43121962" w:rsidR="00D52D23" w:rsidRDefault="00D52D23" w:rsidP="00D52D23">
      <w:pPr>
        <w:jc w:val="center"/>
        <w:rPr>
          <w:b/>
          <w:bCs/>
        </w:rPr>
      </w:pPr>
      <w:r w:rsidRPr="00D52D23">
        <w:rPr>
          <w:b/>
          <w:bCs/>
          <w:noProof/>
        </w:rPr>
        <w:lastRenderedPageBreak/>
        <w:drawing>
          <wp:inline distT="0" distB="0" distL="0" distR="0" wp14:anchorId="286490CE" wp14:editId="5471D1AA">
            <wp:extent cx="5695950" cy="2952115"/>
            <wp:effectExtent l="0" t="0" r="0" b="63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E51604A" w14:textId="69210D1A" w:rsidR="00D52D23" w:rsidRPr="006B5608" w:rsidRDefault="00D52D23" w:rsidP="00D52D23">
      <w:pPr>
        <w:jc w:val="center"/>
        <w:rPr>
          <w:rFonts w:ascii="Arial" w:hAnsi="Arial" w:cs="Arial"/>
          <w:b/>
          <w:bCs/>
          <w:sz w:val="24"/>
          <w:szCs w:val="24"/>
        </w:rPr>
      </w:pPr>
      <w:r w:rsidRPr="006B5608">
        <w:rPr>
          <w:rFonts w:ascii="Arial" w:hAnsi="Arial" w:cs="Arial"/>
          <w:b/>
          <w:bCs/>
          <w:sz w:val="24"/>
          <w:szCs w:val="24"/>
        </w:rPr>
        <w:t xml:space="preserve">Fig. </w:t>
      </w:r>
      <w:r w:rsidR="006B5608" w:rsidRPr="006B5608">
        <w:rPr>
          <w:rFonts w:ascii="Arial" w:hAnsi="Arial" w:cs="Arial"/>
          <w:b/>
          <w:bCs/>
          <w:sz w:val="24"/>
          <w:szCs w:val="24"/>
        </w:rPr>
        <w:t>14</w:t>
      </w:r>
    </w:p>
    <w:p w14:paraId="5D5F6710" w14:textId="77777777" w:rsidR="00D52D23" w:rsidRDefault="00D52D23" w:rsidP="00D52D23">
      <w:pPr>
        <w:jc w:val="center"/>
        <w:rPr>
          <w:b/>
          <w:bCs/>
        </w:rPr>
      </w:pPr>
    </w:p>
    <w:p w14:paraId="7F9641CF" w14:textId="6275CEE5" w:rsidR="00D52D23" w:rsidRDefault="00D52D23" w:rsidP="00D52D23">
      <w:pPr>
        <w:jc w:val="center"/>
        <w:rPr>
          <w:b/>
          <w:bCs/>
        </w:rPr>
      </w:pPr>
      <w:r w:rsidRPr="00D52D23">
        <w:rPr>
          <w:b/>
          <w:bCs/>
          <w:noProof/>
        </w:rPr>
        <w:drawing>
          <wp:inline distT="0" distB="0" distL="0" distR="0" wp14:anchorId="5C8F24EB" wp14:editId="403547EA">
            <wp:extent cx="5767070" cy="2663825"/>
            <wp:effectExtent l="0" t="0" r="5080" b="317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2E7AACE" w14:textId="4F0B427D" w:rsidR="00D52D23" w:rsidRPr="006B5608" w:rsidRDefault="00D52D23" w:rsidP="00D52D23">
      <w:pPr>
        <w:jc w:val="center"/>
        <w:rPr>
          <w:rFonts w:ascii="Arial" w:hAnsi="Arial" w:cs="Arial"/>
          <w:b/>
          <w:bCs/>
          <w:sz w:val="24"/>
          <w:szCs w:val="24"/>
        </w:rPr>
      </w:pPr>
      <w:r w:rsidRPr="006B5608">
        <w:rPr>
          <w:rFonts w:ascii="Arial" w:hAnsi="Arial" w:cs="Arial"/>
          <w:b/>
          <w:bCs/>
          <w:sz w:val="24"/>
          <w:szCs w:val="24"/>
        </w:rPr>
        <w:t xml:space="preserve">Fig. </w:t>
      </w:r>
      <w:r w:rsidR="006B5608" w:rsidRPr="006B5608">
        <w:rPr>
          <w:rFonts w:ascii="Arial" w:hAnsi="Arial" w:cs="Arial"/>
          <w:b/>
          <w:bCs/>
          <w:sz w:val="24"/>
          <w:szCs w:val="24"/>
        </w:rPr>
        <w:t>15</w:t>
      </w:r>
    </w:p>
    <w:p w14:paraId="740DFEA1" w14:textId="77777777" w:rsidR="00C6452F" w:rsidRPr="004857AF" w:rsidRDefault="00C6452F" w:rsidP="00C6452F">
      <w:pPr>
        <w:jc w:val="both"/>
        <w:rPr>
          <w:rFonts w:ascii="Arial" w:hAnsi="Arial" w:cs="Arial"/>
          <w:sz w:val="24"/>
          <w:szCs w:val="24"/>
          <w:lang w:eastAsia="en-GB"/>
        </w:rPr>
      </w:pPr>
      <w:r w:rsidRPr="37A859E9">
        <w:rPr>
          <w:rFonts w:ascii="Arial" w:hAnsi="Arial" w:cs="Arial"/>
          <w:sz w:val="24"/>
          <w:szCs w:val="24"/>
          <w:lang w:eastAsia="en-GB"/>
        </w:rPr>
        <w:t>An interesting note from (Fig 14) and (Fig. 15) is telephone calls are the patient’s preferred method for scheduling appointments. Telephone calls have decreased to 5% in 2020 from 11% in 2016. This bringing to light the issues that were stated by the PASO team regarding the booking of empty slots through RCR because of ATR. With increased appointments being booked at short notice using the method of a telephone call, a service is being provided using a method of fourth choice for patients. Which could be a factor in the increased time to backfill an appointment slot.</w:t>
      </w:r>
    </w:p>
    <w:p w14:paraId="1428285A" w14:textId="77777777" w:rsidR="002473B6" w:rsidRDefault="002473B6" w:rsidP="00460633">
      <w:pPr>
        <w:rPr>
          <w:rFonts w:ascii="Arial" w:hAnsi="Arial" w:cs="Arial"/>
          <w:b/>
          <w:bCs/>
          <w:sz w:val="24"/>
          <w:szCs w:val="24"/>
          <w:u w:val="single"/>
        </w:rPr>
      </w:pPr>
    </w:p>
    <w:p w14:paraId="3B9DB43A" w14:textId="77777777" w:rsidR="00366992" w:rsidRDefault="00366992" w:rsidP="00460633">
      <w:pPr>
        <w:rPr>
          <w:rFonts w:ascii="Arial" w:hAnsi="Arial" w:cs="Arial"/>
          <w:b/>
          <w:bCs/>
          <w:sz w:val="24"/>
          <w:szCs w:val="24"/>
          <w:u w:val="single"/>
        </w:rPr>
      </w:pPr>
    </w:p>
    <w:p w14:paraId="48279AC6" w14:textId="77777777" w:rsidR="00C6452F" w:rsidRPr="004865E0" w:rsidRDefault="00C6452F" w:rsidP="00C6452F">
      <w:pPr>
        <w:jc w:val="both"/>
        <w:rPr>
          <w:rFonts w:ascii="Arial" w:hAnsi="Arial" w:cs="Arial"/>
          <w:b/>
          <w:bCs/>
          <w:sz w:val="28"/>
          <w:szCs w:val="28"/>
          <w:u w:val="single"/>
        </w:rPr>
      </w:pPr>
      <w:r w:rsidRPr="004865E0">
        <w:rPr>
          <w:rFonts w:ascii="Arial" w:hAnsi="Arial" w:cs="Arial"/>
          <w:b/>
          <w:bCs/>
          <w:sz w:val="28"/>
          <w:szCs w:val="28"/>
          <w:u w:val="single"/>
        </w:rPr>
        <w:lastRenderedPageBreak/>
        <w:t>Discussion</w:t>
      </w:r>
    </w:p>
    <w:p w14:paraId="3269730D" w14:textId="77777777" w:rsidR="00C6452F" w:rsidRPr="00690721" w:rsidRDefault="00C6452F" w:rsidP="00C6452F">
      <w:pPr>
        <w:jc w:val="both"/>
        <w:rPr>
          <w:rFonts w:ascii="Arial" w:hAnsi="Arial" w:cs="Arial"/>
          <w:b/>
          <w:bCs/>
          <w:sz w:val="24"/>
          <w:szCs w:val="24"/>
        </w:rPr>
      </w:pPr>
      <w:r w:rsidRPr="00690721">
        <w:rPr>
          <w:rFonts w:ascii="Arial" w:hAnsi="Arial" w:cs="Arial"/>
          <w:b/>
          <w:bCs/>
          <w:sz w:val="24"/>
          <w:szCs w:val="24"/>
        </w:rPr>
        <w:t>FITT Framework Analysis</w:t>
      </w:r>
    </w:p>
    <w:p w14:paraId="126F7A64" w14:textId="77777777" w:rsidR="00C6452F" w:rsidRDefault="00C6452F" w:rsidP="00C6452F">
      <w:pPr>
        <w:jc w:val="both"/>
        <w:rPr>
          <w:rFonts w:ascii="Arial" w:hAnsi="Arial" w:cs="Arial"/>
          <w:sz w:val="24"/>
          <w:szCs w:val="24"/>
          <w:highlight w:val="yellow"/>
          <w:lang w:eastAsia="en-GB"/>
        </w:rPr>
      </w:pPr>
      <w:r w:rsidRPr="37A859E9">
        <w:rPr>
          <w:rFonts w:ascii="Arial" w:hAnsi="Arial" w:cs="Arial"/>
          <w:sz w:val="24"/>
          <w:szCs w:val="24"/>
          <w:lang w:eastAsia="en-GB"/>
        </w:rPr>
        <w:t xml:space="preserve">By using the FITT framework for clinicians and the reduction of the DNA rate through ATR, the project’s aim is a success (Fig. 16). With the DNA rate reduced and averaging at just over 5%, the technology and task were achieving at a sufficient level. To achieve optimal adoption, the rate of DNAs needs to be under 5%. ATR did not achieve the DNA rate of 5%, but the ATR did significantly reduce the DNA rate overall, so was accomplishing a sufficient level of adoption. Clinicians along with directorates were happy with ATR as more patients were being seen and reducing waiting list times. </w:t>
      </w:r>
      <w:r w:rsidRPr="006C249E">
        <w:rPr>
          <w:rFonts w:ascii="Arial" w:hAnsi="Arial" w:cs="Arial"/>
          <w:sz w:val="24"/>
          <w:szCs w:val="24"/>
          <w:lang w:eastAsia="en-GB"/>
        </w:rPr>
        <w:t>The fit between technology and the individual did not achieve optimal integration because of an increase in late changes to the clinician’s clinic.</w:t>
      </w:r>
    </w:p>
    <w:p w14:paraId="59B6F870" w14:textId="77777777" w:rsidR="00C6452F" w:rsidRPr="00A61248" w:rsidRDefault="00C6452F" w:rsidP="00C6452F">
      <w:pPr>
        <w:jc w:val="both"/>
        <w:rPr>
          <w:rFonts w:ascii="Arial" w:hAnsi="Arial" w:cs="Arial"/>
          <w:sz w:val="24"/>
          <w:szCs w:val="24"/>
          <w:lang w:eastAsia="en-GB"/>
        </w:rPr>
      </w:pPr>
      <w:r>
        <w:rPr>
          <w:noProof/>
        </w:rPr>
        <w:drawing>
          <wp:inline distT="0" distB="0" distL="0" distR="0" wp14:anchorId="22D479C7" wp14:editId="4C5089D4">
            <wp:extent cx="5731510" cy="1991360"/>
            <wp:effectExtent l="0" t="0" r="2540" b="8890"/>
            <wp:docPr id="454" name="Picture 45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1991360"/>
                    </a:xfrm>
                    <a:prstGeom prst="rect">
                      <a:avLst/>
                    </a:prstGeom>
                  </pic:spPr>
                </pic:pic>
              </a:graphicData>
            </a:graphic>
          </wp:inline>
        </w:drawing>
      </w:r>
    </w:p>
    <w:p w14:paraId="5B65BDAC" w14:textId="77777777" w:rsidR="00C6452F" w:rsidRPr="00D17BE0" w:rsidRDefault="00C6452F" w:rsidP="00C6452F">
      <w:pPr>
        <w:jc w:val="both"/>
        <w:rPr>
          <w:rFonts w:ascii="Arial" w:hAnsi="Arial" w:cs="Arial"/>
          <w:sz w:val="24"/>
          <w:szCs w:val="24"/>
          <w:lang w:eastAsia="en-GB"/>
        </w:rPr>
      </w:pPr>
      <w:r w:rsidRPr="37A859E9">
        <w:rPr>
          <w:rFonts w:ascii="Arial" w:hAnsi="Arial" w:cs="Arial"/>
          <w:sz w:val="24"/>
          <w:szCs w:val="24"/>
          <w:lang w:eastAsia="en-GB"/>
        </w:rPr>
        <w:t xml:space="preserve">FITT framework achieved optimal adoption when looking at the project from the eyes of patients (Fig. 17). By looking at the objective of improving communication with patients, C&amp;VUHB can see the project as successful. Patients’ preference for reminders is overwhelmingly in favour of ATR. Making optimal levels achieved for </w:t>
      </w:r>
      <w:r>
        <w:rPr>
          <w:rFonts w:ascii="Arial" w:hAnsi="Arial" w:cs="Arial"/>
          <w:sz w:val="24"/>
          <w:szCs w:val="24"/>
          <w:lang w:eastAsia="en-GB"/>
        </w:rPr>
        <w:t xml:space="preserve">the fit between </w:t>
      </w:r>
      <w:r w:rsidRPr="006C249E">
        <w:rPr>
          <w:rFonts w:ascii="Arial" w:hAnsi="Arial" w:cs="Arial"/>
          <w:sz w:val="24"/>
          <w:szCs w:val="24"/>
          <w:lang w:eastAsia="en-GB"/>
        </w:rPr>
        <w:t>individual to task and individual to technology.</w:t>
      </w:r>
      <w:r w:rsidRPr="37A859E9">
        <w:rPr>
          <w:rFonts w:ascii="Arial" w:hAnsi="Arial" w:cs="Arial"/>
          <w:sz w:val="24"/>
          <w:szCs w:val="24"/>
          <w:lang w:eastAsia="en-GB"/>
        </w:rPr>
        <w:t xml:space="preserve"> However, it is only sufficient levels between the task and technology because staff are only dealing with patient responses once every 24 hours. Leading to a delay in actioning patients’ requests. </w:t>
      </w:r>
    </w:p>
    <w:p w14:paraId="692A5948" w14:textId="77777777" w:rsidR="00C6452F" w:rsidRPr="00D96BD7" w:rsidRDefault="00C6452F" w:rsidP="00C6452F">
      <w:pPr>
        <w:jc w:val="both"/>
        <w:rPr>
          <w:rFonts w:ascii="Arial" w:hAnsi="Arial" w:cs="Arial"/>
          <w:sz w:val="24"/>
          <w:szCs w:val="24"/>
          <w:lang w:eastAsia="en-GB"/>
        </w:rPr>
      </w:pPr>
      <w:r>
        <w:rPr>
          <w:noProof/>
        </w:rPr>
        <w:drawing>
          <wp:inline distT="0" distB="0" distL="0" distR="0" wp14:anchorId="48C46F3E" wp14:editId="32EC8693">
            <wp:extent cx="5731510" cy="2002790"/>
            <wp:effectExtent l="0" t="0" r="2540" b="0"/>
            <wp:docPr id="453" name="Picture 45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2002790"/>
                    </a:xfrm>
                    <a:prstGeom prst="rect">
                      <a:avLst/>
                    </a:prstGeom>
                  </pic:spPr>
                </pic:pic>
              </a:graphicData>
            </a:graphic>
          </wp:inline>
        </w:drawing>
      </w:r>
    </w:p>
    <w:p w14:paraId="18B00B48" w14:textId="77777777" w:rsidR="00C6452F" w:rsidRDefault="00C6452F" w:rsidP="00C6452F">
      <w:pPr>
        <w:jc w:val="both"/>
        <w:rPr>
          <w:rFonts w:ascii="Arial" w:hAnsi="Arial" w:cs="Arial"/>
          <w:b/>
          <w:bCs/>
          <w:sz w:val="24"/>
          <w:szCs w:val="24"/>
          <w:lang w:eastAsia="en-GB"/>
        </w:rPr>
      </w:pPr>
    </w:p>
    <w:p w14:paraId="34AD80C1" w14:textId="77777777" w:rsidR="00C6452F" w:rsidRDefault="00C6452F" w:rsidP="00C6452F">
      <w:pPr>
        <w:jc w:val="both"/>
        <w:rPr>
          <w:rFonts w:ascii="Arial" w:hAnsi="Arial" w:cs="Arial"/>
          <w:b/>
          <w:bCs/>
          <w:sz w:val="24"/>
          <w:szCs w:val="24"/>
          <w:lang w:eastAsia="en-GB"/>
        </w:rPr>
      </w:pPr>
    </w:p>
    <w:p w14:paraId="7F313D68" w14:textId="77777777" w:rsidR="00C6452F" w:rsidRDefault="00C6452F" w:rsidP="00C6452F">
      <w:pPr>
        <w:jc w:val="both"/>
        <w:rPr>
          <w:rFonts w:ascii="Arial" w:hAnsi="Arial" w:cs="Arial"/>
          <w:b/>
          <w:bCs/>
          <w:sz w:val="24"/>
          <w:szCs w:val="24"/>
          <w:lang w:eastAsia="en-GB"/>
        </w:rPr>
      </w:pPr>
    </w:p>
    <w:p w14:paraId="1F0DC20F" w14:textId="77777777" w:rsidR="00C6452F" w:rsidRPr="007C5E0C" w:rsidRDefault="00C6452F" w:rsidP="00C6452F">
      <w:pPr>
        <w:jc w:val="both"/>
        <w:rPr>
          <w:rFonts w:ascii="Arial" w:hAnsi="Arial" w:cs="Arial"/>
          <w:b/>
          <w:bCs/>
          <w:sz w:val="24"/>
          <w:szCs w:val="24"/>
          <w:lang w:eastAsia="en-GB"/>
        </w:rPr>
      </w:pPr>
      <w:bookmarkStart w:id="2" w:name="_Hlk95920327"/>
      <w:bookmarkStart w:id="3" w:name="_Hlk95915113"/>
      <w:r w:rsidRPr="007C5E0C">
        <w:rPr>
          <w:rFonts w:ascii="Arial" w:hAnsi="Arial" w:cs="Arial"/>
          <w:b/>
          <w:bCs/>
          <w:sz w:val="24"/>
          <w:szCs w:val="24"/>
          <w:lang w:eastAsia="en-GB"/>
        </w:rPr>
        <w:lastRenderedPageBreak/>
        <w:t>Integrating COM-B</w:t>
      </w:r>
    </w:p>
    <w:p w14:paraId="6DDA75EA" w14:textId="77777777" w:rsidR="00C6452F" w:rsidRPr="007C5E0C" w:rsidRDefault="00C6452F" w:rsidP="00C6452F">
      <w:pPr>
        <w:jc w:val="both"/>
        <w:rPr>
          <w:rFonts w:ascii="Arial" w:hAnsi="Arial" w:cs="Arial"/>
          <w:sz w:val="24"/>
          <w:szCs w:val="24"/>
          <w:lang w:eastAsia="en-GB"/>
        </w:rPr>
      </w:pPr>
      <w:r w:rsidRPr="007C5E0C">
        <w:rPr>
          <w:rFonts w:ascii="Arial" w:hAnsi="Arial" w:cs="Arial"/>
          <w:sz w:val="24"/>
          <w:szCs w:val="24"/>
          <w:lang w:eastAsia="en-GB"/>
        </w:rPr>
        <w:t>A factor that came out from discussions with managers was the issues with user acceptance from the PASO team with the new technology. From the evidence gathered through interviews with the PASO team, it backed the managers’ assumptions. However, it also showed that staff who had been in post for longer than 5 years thought there was no need for new processes and were less likely to accept change. Staff who had worked in the role for under 5 years were more likely to accept recent technology. By using Capabilities, Opportunities, Motivations, Behaviour (COM-B) model</w:t>
      </w:r>
      <w:r>
        <w:rPr>
          <w:rFonts w:ascii="Arial" w:hAnsi="Arial" w:cs="Arial"/>
          <w:sz w:val="24"/>
          <w:szCs w:val="24"/>
          <w:lang w:eastAsia="en-GB"/>
        </w:rPr>
        <w:t xml:space="preserve"> </w:t>
      </w:r>
      <w:r w:rsidRPr="007C5E0C">
        <w:rPr>
          <w:rFonts w:ascii="Arial" w:hAnsi="Arial" w:cs="Arial"/>
          <w:sz w:val="24"/>
          <w:szCs w:val="24"/>
          <w:lang w:eastAsia="en-GB"/>
        </w:rPr>
        <w:t>it revealed that there are underlying issues for why acceptance is lower in longer tenured staff and how the FITT framework can help discover these issues.</w:t>
      </w:r>
    </w:p>
    <w:p w14:paraId="70EA823F" w14:textId="77777777" w:rsidR="00C6452F" w:rsidRPr="007C5E0C" w:rsidRDefault="00C6452F" w:rsidP="00C6452F">
      <w:pPr>
        <w:jc w:val="both"/>
        <w:rPr>
          <w:rFonts w:ascii="Arial" w:hAnsi="Arial" w:cs="Arial"/>
          <w:sz w:val="24"/>
          <w:szCs w:val="24"/>
          <w:lang w:eastAsia="en-GB"/>
        </w:rPr>
      </w:pPr>
      <w:r w:rsidRPr="007C5E0C">
        <w:rPr>
          <w:rFonts w:ascii="Arial" w:hAnsi="Arial" w:cs="Arial"/>
          <w:sz w:val="24"/>
          <w:szCs w:val="24"/>
          <w:lang w:eastAsia="en-GB"/>
        </w:rPr>
        <w:t>The COM-B model is an all-encompassing model to capture the aspects that affect behaviour change (</w:t>
      </w:r>
      <w:proofErr w:type="spellStart"/>
      <w:r w:rsidRPr="007C5E0C">
        <w:rPr>
          <w:rFonts w:ascii="Arial" w:hAnsi="Arial" w:cs="Arial"/>
          <w:sz w:val="24"/>
          <w:szCs w:val="24"/>
          <w:lang w:eastAsia="en-GB"/>
        </w:rPr>
        <w:t>Keyworth</w:t>
      </w:r>
      <w:proofErr w:type="spellEnd"/>
      <w:r w:rsidRPr="007C5E0C">
        <w:rPr>
          <w:rFonts w:ascii="Arial" w:hAnsi="Arial" w:cs="Arial"/>
          <w:sz w:val="24"/>
          <w:szCs w:val="24"/>
          <w:lang w:eastAsia="en-GB"/>
        </w:rPr>
        <w:t xml:space="preserve"> et al., 2020, p. 475). In the COM-B model, the parts capability, opportunity, and motivation interacted to produce the behaviour which in turn affects the three areas (Michie, van </w:t>
      </w:r>
      <w:proofErr w:type="spellStart"/>
      <w:r w:rsidRPr="007C5E0C">
        <w:rPr>
          <w:rFonts w:ascii="Arial" w:hAnsi="Arial" w:cs="Arial"/>
          <w:sz w:val="24"/>
          <w:szCs w:val="24"/>
          <w:lang w:eastAsia="en-GB"/>
        </w:rPr>
        <w:t>Stralen</w:t>
      </w:r>
      <w:proofErr w:type="spellEnd"/>
      <w:r w:rsidRPr="007C5E0C">
        <w:rPr>
          <w:rFonts w:ascii="Arial" w:hAnsi="Arial" w:cs="Arial"/>
          <w:sz w:val="24"/>
          <w:szCs w:val="24"/>
          <w:lang w:eastAsia="en-GB"/>
        </w:rPr>
        <w:t xml:space="preserve">, and West, 2011, p. 4). COM-B defines capability as having the physical and psychological capability with the task concerned. Opportunity are the factors that lie outside the individual that prompt or make the behaviour possible. Motivation are things that energise an individual, emote responses and address behaviour (Michie, van </w:t>
      </w:r>
      <w:proofErr w:type="spellStart"/>
      <w:r w:rsidRPr="007C5E0C">
        <w:rPr>
          <w:rFonts w:ascii="Arial" w:hAnsi="Arial" w:cs="Arial"/>
          <w:sz w:val="24"/>
          <w:szCs w:val="24"/>
          <w:lang w:eastAsia="en-GB"/>
        </w:rPr>
        <w:t>Stralen</w:t>
      </w:r>
      <w:proofErr w:type="spellEnd"/>
      <w:r w:rsidRPr="007C5E0C">
        <w:rPr>
          <w:rFonts w:ascii="Arial" w:hAnsi="Arial" w:cs="Arial"/>
          <w:sz w:val="24"/>
          <w:szCs w:val="24"/>
          <w:lang w:eastAsia="en-GB"/>
        </w:rPr>
        <w:t xml:space="preserve">, and West, 2011, p. 4). Capability, opportunity, and motivation are all needed to produce behavioural change (Gould et al., 2015, p. 3), with the model not prioritising any factor and all having equal status (Michie, van </w:t>
      </w:r>
      <w:proofErr w:type="spellStart"/>
      <w:r w:rsidRPr="007C5E0C">
        <w:rPr>
          <w:rFonts w:ascii="Arial" w:hAnsi="Arial" w:cs="Arial"/>
          <w:sz w:val="24"/>
          <w:szCs w:val="24"/>
          <w:lang w:eastAsia="en-GB"/>
        </w:rPr>
        <w:t>Stralen</w:t>
      </w:r>
      <w:proofErr w:type="spellEnd"/>
      <w:r w:rsidRPr="007C5E0C">
        <w:rPr>
          <w:rFonts w:ascii="Arial" w:hAnsi="Arial" w:cs="Arial"/>
          <w:sz w:val="24"/>
          <w:szCs w:val="24"/>
          <w:lang w:eastAsia="en-GB"/>
        </w:rPr>
        <w:t xml:space="preserve">, and West, 2011, p. 4). However, even though they are equal, it can identify how changing elements could affect the required resolution (Michie, van </w:t>
      </w:r>
      <w:proofErr w:type="spellStart"/>
      <w:r w:rsidRPr="007C5E0C">
        <w:rPr>
          <w:rFonts w:ascii="Arial" w:hAnsi="Arial" w:cs="Arial"/>
          <w:sz w:val="24"/>
          <w:szCs w:val="24"/>
          <w:lang w:eastAsia="en-GB"/>
        </w:rPr>
        <w:t>Stralen</w:t>
      </w:r>
      <w:proofErr w:type="spellEnd"/>
      <w:r w:rsidRPr="007C5E0C">
        <w:rPr>
          <w:rFonts w:ascii="Arial" w:hAnsi="Arial" w:cs="Arial"/>
          <w:sz w:val="24"/>
          <w:szCs w:val="24"/>
          <w:lang w:eastAsia="en-GB"/>
        </w:rPr>
        <w:t>, and West, 2011, p. 4).</w:t>
      </w:r>
    </w:p>
    <w:p w14:paraId="6F93AEFC" w14:textId="77777777" w:rsidR="00C6452F" w:rsidRPr="007C5E0C" w:rsidRDefault="00C6452F" w:rsidP="00C6452F">
      <w:pPr>
        <w:jc w:val="both"/>
        <w:rPr>
          <w:rFonts w:ascii="Arial" w:hAnsi="Arial" w:cs="Arial"/>
          <w:sz w:val="24"/>
          <w:szCs w:val="24"/>
          <w:lang w:eastAsia="en-GB"/>
        </w:rPr>
      </w:pPr>
      <w:r w:rsidRPr="007C5E0C">
        <w:rPr>
          <w:rFonts w:ascii="Arial" w:hAnsi="Arial" w:cs="Arial"/>
          <w:sz w:val="24"/>
          <w:szCs w:val="24"/>
          <w:lang w:eastAsia="en-GB"/>
        </w:rPr>
        <w:t>By using COM-B with the results of the interviews with the PASO team, it has shown that the reason for the issue is likely to be motivation. The staff’s motivation has dwindled from multiple innovative technology solutions or products being introduced and failing. Therefore, staff that had been in post for a shorter amount of time were less disillusioned as they have been less exposed to previous IT project failures.</w:t>
      </w:r>
    </w:p>
    <w:p w14:paraId="0FACDC61" w14:textId="77777777" w:rsidR="00C6452F" w:rsidRPr="007C5E0C" w:rsidRDefault="00C6452F" w:rsidP="00C6452F">
      <w:pPr>
        <w:jc w:val="both"/>
        <w:rPr>
          <w:rFonts w:ascii="Arial" w:hAnsi="Arial" w:cs="Arial"/>
          <w:sz w:val="24"/>
          <w:szCs w:val="24"/>
          <w:lang w:eastAsia="en-GB"/>
        </w:rPr>
      </w:pPr>
      <w:r w:rsidRPr="007C5E0C">
        <w:rPr>
          <w:rFonts w:ascii="Arial" w:hAnsi="Arial" w:cs="Arial"/>
          <w:sz w:val="24"/>
          <w:szCs w:val="24"/>
          <w:lang w:eastAsia="en-GB"/>
        </w:rPr>
        <w:t>By using the FITT framework with COM-B, it is easy to establish an issue with the deployment of the ATR system. As one of the key factors in the individual section of fit is flexibility and openness to new ways of working by the user (</w:t>
      </w:r>
      <w:proofErr w:type="spellStart"/>
      <w:r w:rsidRPr="007C5E0C">
        <w:rPr>
          <w:rFonts w:ascii="Arial" w:hAnsi="Arial" w:cs="Arial"/>
          <w:sz w:val="24"/>
          <w:szCs w:val="24"/>
          <w:lang w:eastAsia="en-GB"/>
        </w:rPr>
        <w:t>Ammenwerth</w:t>
      </w:r>
      <w:proofErr w:type="spellEnd"/>
      <w:r w:rsidRPr="007C5E0C">
        <w:rPr>
          <w:rFonts w:ascii="Arial" w:hAnsi="Arial" w:cs="Arial"/>
          <w:sz w:val="24"/>
          <w:szCs w:val="24"/>
          <w:lang w:eastAsia="en-GB"/>
        </w:rPr>
        <w:t xml:space="preserve">, </w:t>
      </w:r>
      <w:proofErr w:type="spellStart"/>
      <w:r w:rsidRPr="007C5E0C">
        <w:rPr>
          <w:rFonts w:ascii="Arial" w:hAnsi="Arial" w:cs="Arial"/>
          <w:sz w:val="24"/>
          <w:szCs w:val="24"/>
          <w:lang w:eastAsia="en-GB"/>
        </w:rPr>
        <w:t>Iller</w:t>
      </w:r>
      <w:proofErr w:type="spellEnd"/>
      <w:r w:rsidRPr="007C5E0C">
        <w:rPr>
          <w:rFonts w:ascii="Arial" w:hAnsi="Arial" w:cs="Arial"/>
          <w:sz w:val="24"/>
          <w:szCs w:val="24"/>
          <w:lang w:eastAsia="en-GB"/>
        </w:rPr>
        <w:t>, and Mahler, 2006, p. 4). Without user openness to new ways of working, it was likely the project would fail. As (Fig. 18) shows, there was a lack of user openness to introducing ATR. The modern technology compounded this, creating an extra administration burden. Where the PASO team viewed ATR as an extra task being added, that has no benefit to them. Rather than seeing how it benefits the trust and patients.</w:t>
      </w:r>
    </w:p>
    <w:p w14:paraId="758F3F31" w14:textId="77777777" w:rsidR="00C6452F" w:rsidRDefault="00C6452F" w:rsidP="00C6452F">
      <w:pPr>
        <w:jc w:val="both"/>
        <w:rPr>
          <w:rFonts w:ascii="Arial" w:hAnsi="Arial" w:cs="Arial"/>
          <w:sz w:val="24"/>
          <w:szCs w:val="24"/>
          <w:lang w:eastAsia="en-GB"/>
        </w:rPr>
      </w:pPr>
      <w:r>
        <w:rPr>
          <w:noProof/>
        </w:rPr>
        <w:lastRenderedPageBreak/>
        <w:drawing>
          <wp:inline distT="0" distB="0" distL="0" distR="0" wp14:anchorId="36F38234" wp14:editId="36D6E5B3">
            <wp:extent cx="5731510" cy="1985645"/>
            <wp:effectExtent l="0" t="0" r="2540" b="0"/>
            <wp:docPr id="452" name="Picture 45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1985645"/>
                    </a:xfrm>
                    <a:prstGeom prst="rect">
                      <a:avLst/>
                    </a:prstGeom>
                  </pic:spPr>
                </pic:pic>
              </a:graphicData>
            </a:graphic>
          </wp:inline>
        </w:drawing>
      </w:r>
      <w:bookmarkEnd w:id="2"/>
      <w:bookmarkEnd w:id="3"/>
    </w:p>
    <w:p w14:paraId="13781F5C" w14:textId="77777777" w:rsidR="00C6452F" w:rsidRPr="00E63690" w:rsidRDefault="00C6452F" w:rsidP="00C6452F">
      <w:pPr>
        <w:jc w:val="both"/>
        <w:rPr>
          <w:rFonts w:ascii="Arial" w:hAnsi="Arial" w:cs="Arial"/>
          <w:sz w:val="24"/>
          <w:szCs w:val="24"/>
          <w:lang w:eastAsia="en-GB"/>
        </w:rPr>
      </w:pPr>
      <w:r w:rsidRPr="007C5E0C">
        <w:rPr>
          <w:rFonts w:ascii="Arial" w:hAnsi="Arial" w:cs="Arial"/>
          <w:sz w:val="24"/>
          <w:szCs w:val="24"/>
          <w:lang w:eastAsia="en-GB"/>
        </w:rPr>
        <w:t>By understanding the complexities of user acceptance, it is easier to put in place mechanisms to negate these issues.</w:t>
      </w:r>
      <w:r w:rsidRPr="37A859E9">
        <w:rPr>
          <w:rFonts w:ascii="Arial" w:hAnsi="Arial" w:cs="Arial"/>
          <w:sz w:val="24"/>
          <w:szCs w:val="24"/>
          <w:lang w:eastAsia="en-GB"/>
        </w:rPr>
        <w:t xml:space="preserve"> These could be investing in training sessions or parting knowledge to the individual users, such as on the key aspects and benefits of the ATR booking system (</w:t>
      </w:r>
      <w:proofErr w:type="spellStart"/>
      <w:r w:rsidRPr="37A859E9">
        <w:rPr>
          <w:rFonts w:ascii="Arial" w:hAnsi="Arial" w:cs="Arial"/>
          <w:sz w:val="24"/>
          <w:szCs w:val="24"/>
        </w:rPr>
        <w:t>Ammenwerth</w:t>
      </w:r>
      <w:proofErr w:type="spellEnd"/>
      <w:r w:rsidRPr="37A859E9">
        <w:rPr>
          <w:rFonts w:ascii="Arial" w:hAnsi="Arial" w:cs="Arial"/>
          <w:sz w:val="24"/>
          <w:szCs w:val="24"/>
        </w:rPr>
        <w:t xml:space="preserve">, </w:t>
      </w:r>
      <w:proofErr w:type="spellStart"/>
      <w:r w:rsidRPr="37A859E9">
        <w:rPr>
          <w:rFonts w:ascii="Arial" w:hAnsi="Arial" w:cs="Arial"/>
          <w:sz w:val="24"/>
          <w:szCs w:val="24"/>
        </w:rPr>
        <w:t>Iller</w:t>
      </w:r>
      <w:proofErr w:type="spellEnd"/>
      <w:r w:rsidRPr="37A859E9">
        <w:rPr>
          <w:rFonts w:ascii="Arial" w:hAnsi="Arial" w:cs="Arial"/>
          <w:sz w:val="24"/>
          <w:szCs w:val="24"/>
        </w:rPr>
        <w:t>, and Mahler</w:t>
      </w:r>
      <w:r w:rsidRPr="37A859E9">
        <w:rPr>
          <w:rFonts w:ascii="Arial" w:hAnsi="Arial" w:cs="Arial"/>
          <w:sz w:val="24"/>
          <w:szCs w:val="24"/>
          <w:lang w:eastAsia="en-GB"/>
        </w:rPr>
        <w:t>, 2006, p.11). This could include sessions on reducing the DNA rate, leading to the saving of money for the trust. With, discussions also taken place about why ATR will differ from other failed products to garner user support. By investing in training sessions such as webinars and showing the benefits, will allow for users to feel more at ease with the new software. As fear of the unknown is one of the oldest and strongest fears (</w:t>
      </w:r>
      <w:proofErr w:type="spellStart"/>
      <w:r w:rsidRPr="37A859E9">
        <w:rPr>
          <w:rFonts w:ascii="Arial" w:hAnsi="Arial" w:cs="Arial"/>
          <w:sz w:val="24"/>
          <w:szCs w:val="24"/>
          <w:lang w:eastAsia="en-GB"/>
        </w:rPr>
        <w:t>Carelton</w:t>
      </w:r>
      <w:proofErr w:type="spellEnd"/>
      <w:r w:rsidRPr="37A859E9">
        <w:rPr>
          <w:rFonts w:ascii="Arial" w:hAnsi="Arial" w:cs="Arial"/>
          <w:sz w:val="24"/>
          <w:szCs w:val="24"/>
          <w:lang w:eastAsia="en-GB"/>
        </w:rPr>
        <w:t>, 2016, p. 11).</w:t>
      </w:r>
    </w:p>
    <w:p w14:paraId="0257B6E9" w14:textId="77777777" w:rsidR="00C6452F" w:rsidRPr="008E5FEF" w:rsidRDefault="00C6452F" w:rsidP="00C6452F">
      <w:pPr>
        <w:jc w:val="both"/>
        <w:rPr>
          <w:rFonts w:ascii="Arial" w:hAnsi="Arial" w:cs="Arial"/>
          <w:b/>
          <w:bCs/>
          <w:sz w:val="24"/>
          <w:szCs w:val="24"/>
        </w:rPr>
      </w:pPr>
      <w:r w:rsidRPr="008E5FEF">
        <w:rPr>
          <w:rFonts w:ascii="Arial" w:hAnsi="Arial" w:cs="Arial"/>
          <w:b/>
          <w:bCs/>
          <w:sz w:val="24"/>
          <w:szCs w:val="24"/>
        </w:rPr>
        <w:t>Limitations of FITT</w:t>
      </w:r>
    </w:p>
    <w:p w14:paraId="7A10BBBE" w14:textId="77777777" w:rsidR="00C6452F" w:rsidRPr="008E5FEF" w:rsidRDefault="00C6452F" w:rsidP="00C6452F">
      <w:pPr>
        <w:jc w:val="both"/>
        <w:rPr>
          <w:rFonts w:ascii="Arial" w:hAnsi="Arial" w:cs="Arial"/>
          <w:sz w:val="24"/>
          <w:szCs w:val="24"/>
        </w:rPr>
      </w:pPr>
      <w:r w:rsidRPr="37A859E9">
        <w:rPr>
          <w:rFonts w:ascii="Arial" w:hAnsi="Arial" w:cs="Arial"/>
          <w:sz w:val="24"/>
          <w:szCs w:val="24"/>
        </w:rPr>
        <w:t>The FITT framework has its limitations. By trying to be simplistic, it will only show the surface of a product’s implementation if only used for the project’s aim (Fig. 16). By only focusing on one or two of the factors of success, it can overgeneralise the intricate nature of an organisation that the IT solution is being introduced to (</w:t>
      </w:r>
      <w:proofErr w:type="spellStart"/>
      <w:r w:rsidRPr="37A859E9">
        <w:rPr>
          <w:rFonts w:ascii="Arial" w:hAnsi="Arial" w:cs="Arial"/>
          <w:sz w:val="24"/>
          <w:szCs w:val="24"/>
        </w:rPr>
        <w:t>Tsiknakis</w:t>
      </w:r>
      <w:proofErr w:type="spellEnd"/>
      <w:r w:rsidRPr="37A859E9">
        <w:rPr>
          <w:rFonts w:ascii="Arial" w:hAnsi="Arial" w:cs="Arial"/>
          <w:sz w:val="24"/>
          <w:szCs w:val="24"/>
        </w:rPr>
        <w:t xml:space="preserve"> and </w:t>
      </w:r>
      <w:proofErr w:type="spellStart"/>
      <w:r w:rsidRPr="37A859E9">
        <w:rPr>
          <w:rFonts w:ascii="Arial" w:hAnsi="Arial" w:cs="Arial"/>
          <w:sz w:val="24"/>
          <w:szCs w:val="24"/>
        </w:rPr>
        <w:t>Kouroubali</w:t>
      </w:r>
      <w:proofErr w:type="spellEnd"/>
      <w:r w:rsidRPr="37A859E9">
        <w:rPr>
          <w:rFonts w:ascii="Arial" w:hAnsi="Arial" w:cs="Arial"/>
          <w:sz w:val="24"/>
          <w:szCs w:val="24"/>
        </w:rPr>
        <w:t>, 2008, p. 50).</w:t>
      </w:r>
    </w:p>
    <w:p w14:paraId="6EFF6394" w14:textId="77777777" w:rsidR="00C6452F" w:rsidRPr="00BD14F1" w:rsidRDefault="00C6452F" w:rsidP="00C6452F">
      <w:pPr>
        <w:jc w:val="both"/>
        <w:rPr>
          <w:rFonts w:ascii="Arial" w:hAnsi="Arial" w:cs="Arial"/>
          <w:sz w:val="24"/>
          <w:szCs w:val="24"/>
        </w:rPr>
      </w:pPr>
      <w:r w:rsidRPr="00BD14F1">
        <w:rPr>
          <w:rFonts w:ascii="Arial" w:hAnsi="Arial" w:cs="Arial"/>
          <w:sz w:val="24"/>
          <w:szCs w:val="24"/>
        </w:rPr>
        <w:t>Another limitation of FITT is the lack of consideration for the macroenvironments, unlike the Technology, People, Organisation and Macroenvironmental (TPOM) framework. Like FITT, the TPOM elements do not outrank each other (</w:t>
      </w:r>
      <w:proofErr w:type="spellStart"/>
      <w:r w:rsidRPr="00BD14F1">
        <w:rPr>
          <w:rFonts w:ascii="Arial" w:hAnsi="Arial" w:cs="Arial"/>
          <w:sz w:val="24"/>
          <w:szCs w:val="24"/>
        </w:rPr>
        <w:t>Cresswell</w:t>
      </w:r>
      <w:proofErr w:type="spellEnd"/>
      <w:r w:rsidRPr="00BD14F1">
        <w:rPr>
          <w:rFonts w:ascii="Arial" w:hAnsi="Arial" w:cs="Arial"/>
          <w:sz w:val="24"/>
          <w:szCs w:val="24"/>
        </w:rPr>
        <w:t>, Williams, and Sheikh, 2020, p 5). The technology and people of TPOM can compare to those of technology and the individual. With organisation and macroenvironmental different elements. The organisation looks at, for example, leadership and management or resources (</w:t>
      </w:r>
      <w:proofErr w:type="spellStart"/>
      <w:r w:rsidRPr="00BD14F1">
        <w:rPr>
          <w:rFonts w:ascii="Arial" w:hAnsi="Arial" w:cs="Arial"/>
          <w:sz w:val="24"/>
          <w:szCs w:val="24"/>
        </w:rPr>
        <w:t>Cresswell</w:t>
      </w:r>
      <w:proofErr w:type="spellEnd"/>
      <w:r w:rsidRPr="00BD14F1">
        <w:rPr>
          <w:rFonts w:ascii="Arial" w:hAnsi="Arial" w:cs="Arial"/>
          <w:sz w:val="24"/>
          <w:szCs w:val="24"/>
        </w:rPr>
        <w:t xml:space="preserve">, </w:t>
      </w:r>
      <w:proofErr w:type="gramStart"/>
      <w:r w:rsidRPr="00BD14F1">
        <w:rPr>
          <w:rFonts w:ascii="Arial" w:hAnsi="Arial" w:cs="Arial"/>
          <w:sz w:val="24"/>
          <w:szCs w:val="24"/>
        </w:rPr>
        <w:t>Williams</w:t>
      </w:r>
      <w:proofErr w:type="gramEnd"/>
      <w:r w:rsidRPr="00BD14F1">
        <w:rPr>
          <w:rFonts w:ascii="Arial" w:hAnsi="Arial" w:cs="Arial"/>
          <w:sz w:val="24"/>
          <w:szCs w:val="24"/>
        </w:rPr>
        <w:t xml:space="preserve"> and Sheikh, 2020, p 4). With macroenvironmental representing elements such as professional groups, vendors or measuring impact (</w:t>
      </w:r>
      <w:proofErr w:type="spellStart"/>
      <w:r w:rsidRPr="00BD14F1">
        <w:rPr>
          <w:rFonts w:ascii="Arial" w:hAnsi="Arial" w:cs="Arial"/>
          <w:sz w:val="24"/>
          <w:szCs w:val="24"/>
        </w:rPr>
        <w:t>Cresswell</w:t>
      </w:r>
      <w:proofErr w:type="spellEnd"/>
      <w:r w:rsidRPr="00BD14F1">
        <w:rPr>
          <w:rFonts w:ascii="Arial" w:hAnsi="Arial" w:cs="Arial"/>
          <w:sz w:val="24"/>
          <w:szCs w:val="24"/>
        </w:rPr>
        <w:t xml:space="preserve">, </w:t>
      </w:r>
      <w:proofErr w:type="gramStart"/>
      <w:r w:rsidRPr="00BD14F1">
        <w:rPr>
          <w:rFonts w:ascii="Arial" w:hAnsi="Arial" w:cs="Arial"/>
          <w:sz w:val="24"/>
          <w:szCs w:val="24"/>
        </w:rPr>
        <w:t>Williams</w:t>
      </w:r>
      <w:proofErr w:type="gramEnd"/>
      <w:r w:rsidRPr="00BD14F1">
        <w:rPr>
          <w:rFonts w:ascii="Arial" w:hAnsi="Arial" w:cs="Arial"/>
          <w:sz w:val="24"/>
          <w:szCs w:val="24"/>
        </w:rPr>
        <w:t xml:space="preserve"> and Sheikh, 2020, p 4).</w:t>
      </w:r>
    </w:p>
    <w:p w14:paraId="569C29C3" w14:textId="77777777" w:rsidR="00C6452F" w:rsidRPr="00BD14F1" w:rsidRDefault="00C6452F" w:rsidP="00C6452F">
      <w:pPr>
        <w:jc w:val="both"/>
        <w:rPr>
          <w:rFonts w:ascii="Arial" w:hAnsi="Arial" w:cs="Arial"/>
          <w:sz w:val="24"/>
          <w:szCs w:val="24"/>
        </w:rPr>
      </w:pPr>
      <w:r w:rsidRPr="00BD14F1">
        <w:rPr>
          <w:rFonts w:ascii="Arial" w:hAnsi="Arial" w:cs="Arial"/>
          <w:sz w:val="24"/>
          <w:szCs w:val="24"/>
        </w:rPr>
        <w:t>TPOM, like FITT, does not cover every factor. But it is likely to improve success by encouraging consideration of the key factors that influence outcomes (</w:t>
      </w:r>
      <w:proofErr w:type="spellStart"/>
      <w:r w:rsidRPr="00BD14F1">
        <w:rPr>
          <w:rFonts w:ascii="Arial" w:hAnsi="Arial" w:cs="Arial"/>
          <w:sz w:val="24"/>
          <w:szCs w:val="24"/>
        </w:rPr>
        <w:t>Cresswell</w:t>
      </w:r>
      <w:proofErr w:type="spellEnd"/>
      <w:r w:rsidRPr="00BD14F1">
        <w:rPr>
          <w:rFonts w:ascii="Arial" w:hAnsi="Arial" w:cs="Arial"/>
          <w:sz w:val="24"/>
          <w:szCs w:val="24"/>
        </w:rPr>
        <w:t xml:space="preserve">, </w:t>
      </w:r>
      <w:proofErr w:type="gramStart"/>
      <w:r w:rsidRPr="00BD14F1">
        <w:rPr>
          <w:rFonts w:ascii="Arial" w:hAnsi="Arial" w:cs="Arial"/>
          <w:sz w:val="24"/>
          <w:szCs w:val="24"/>
        </w:rPr>
        <w:t>Williams</w:t>
      </w:r>
      <w:proofErr w:type="gramEnd"/>
      <w:r w:rsidRPr="00BD14F1">
        <w:rPr>
          <w:rFonts w:ascii="Arial" w:hAnsi="Arial" w:cs="Arial"/>
          <w:sz w:val="24"/>
          <w:szCs w:val="24"/>
        </w:rPr>
        <w:t xml:space="preserve"> and Sheikh, 2020, p. 7). However, like many frameworks, TPOM forgets to account for the connection between social and technological dimensions of change (</w:t>
      </w:r>
      <w:proofErr w:type="spellStart"/>
      <w:r w:rsidRPr="00BD14F1">
        <w:rPr>
          <w:rFonts w:ascii="Arial" w:hAnsi="Arial" w:cs="Arial"/>
          <w:sz w:val="24"/>
          <w:szCs w:val="24"/>
        </w:rPr>
        <w:t>Cresswell</w:t>
      </w:r>
      <w:proofErr w:type="spellEnd"/>
      <w:r w:rsidRPr="00BD14F1">
        <w:rPr>
          <w:rFonts w:ascii="Arial" w:hAnsi="Arial" w:cs="Arial"/>
          <w:sz w:val="24"/>
          <w:szCs w:val="24"/>
        </w:rPr>
        <w:t xml:space="preserve">, </w:t>
      </w:r>
      <w:proofErr w:type="gramStart"/>
      <w:r w:rsidRPr="00BD14F1">
        <w:rPr>
          <w:rFonts w:ascii="Arial" w:hAnsi="Arial" w:cs="Arial"/>
          <w:sz w:val="24"/>
          <w:szCs w:val="24"/>
        </w:rPr>
        <w:t>Williams</w:t>
      </w:r>
      <w:proofErr w:type="gramEnd"/>
      <w:r w:rsidRPr="00BD14F1">
        <w:rPr>
          <w:rFonts w:ascii="Arial" w:hAnsi="Arial" w:cs="Arial"/>
          <w:sz w:val="24"/>
          <w:szCs w:val="24"/>
        </w:rPr>
        <w:t xml:space="preserve"> and Sheikh, 2020, p. 7). The evaluation of other frameworks is the building blocks of TPOM. Therefore, TPOM could incorporate the FITT Framework.</w:t>
      </w:r>
    </w:p>
    <w:p w14:paraId="3FFB0790" w14:textId="77777777" w:rsidR="00C6452F" w:rsidRPr="0096474A" w:rsidRDefault="00C6452F" w:rsidP="00C6452F">
      <w:pPr>
        <w:jc w:val="both"/>
        <w:rPr>
          <w:rFonts w:ascii="Arial" w:hAnsi="Arial" w:cs="Arial"/>
          <w:sz w:val="24"/>
          <w:szCs w:val="24"/>
          <w:lang w:eastAsia="en-GB"/>
        </w:rPr>
      </w:pPr>
      <w:r w:rsidRPr="0096474A">
        <w:rPr>
          <w:rFonts w:ascii="Arial" w:hAnsi="Arial" w:cs="Arial"/>
          <w:sz w:val="24"/>
          <w:szCs w:val="24"/>
          <w:lang w:eastAsia="en-GB"/>
        </w:rPr>
        <w:lastRenderedPageBreak/>
        <w:t>The TPOM framework can assist in the decision making in moving from reactive to a proactive strategy. Which helps with quicker decisions. TPOM is likely to be more beneficial when looking at larger projects that affect multiple areas, such as health board wide or national projects.</w:t>
      </w:r>
    </w:p>
    <w:p w14:paraId="1C5E0478" w14:textId="77777777" w:rsidR="00C6452F" w:rsidRPr="0096474A" w:rsidRDefault="00C6452F" w:rsidP="00C6452F">
      <w:pPr>
        <w:jc w:val="both"/>
        <w:rPr>
          <w:rFonts w:ascii="Arial" w:hAnsi="Arial" w:cs="Arial"/>
          <w:b/>
          <w:bCs/>
          <w:sz w:val="24"/>
          <w:szCs w:val="24"/>
        </w:rPr>
      </w:pPr>
      <w:r w:rsidRPr="0096474A">
        <w:rPr>
          <w:rFonts w:ascii="Arial" w:hAnsi="Arial" w:cs="Arial"/>
          <w:b/>
          <w:bCs/>
          <w:sz w:val="24"/>
          <w:szCs w:val="24"/>
        </w:rPr>
        <w:t>Conclusion</w:t>
      </w:r>
    </w:p>
    <w:p w14:paraId="5DDE2B4F" w14:textId="77777777" w:rsidR="00C6452F" w:rsidRPr="0096474A" w:rsidRDefault="00C6452F" w:rsidP="00C6452F">
      <w:pPr>
        <w:jc w:val="both"/>
        <w:rPr>
          <w:rFonts w:ascii="Arial" w:hAnsi="Arial" w:cs="Arial"/>
          <w:sz w:val="24"/>
          <w:szCs w:val="24"/>
        </w:rPr>
      </w:pPr>
      <w:r w:rsidRPr="37A859E9">
        <w:rPr>
          <w:rFonts w:ascii="Arial" w:hAnsi="Arial" w:cs="Arial"/>
          <w:sz w:val="24"/>
          <w:szCs w:val="24"/>
        </w:rPr>
        <w:t>The FITT framework helped in successfully structuring the retrospective analysis of the ATR system within C&amp;VUHB. Through the evidence gathered using the FITT framework, there was a discovery of issues and barriers to full IT adoption of the ATR system. These included issues with seamless care for the EM.</w:t>
      </w:r>
    </w:p>
    <w:p w14:paraId="2F306CFD" w14:textId="77777777" w:rsidR="00C6452F" w:rsidRPr="002F2625" w:rsidRDefault="00C6452F" w:rsidP="00C6452F">
      <w:pPr>
        <w:jc w:val="both"/>
        <w:rPr>
          <w:rFonts w:ascii="Arial" w:hAnsi="Arial" w:cs="Arial"/>
          <w:sz w:val="24"/>
          <w:szCs w:val="24"/>
        </w:rPr>
      </w:pPr>
      <w:r w:rsidRPr="37A859E9">
        <w:rPr>
          <w:rFonts w:ascii="Arial" w:hAnsi="Arial" w:cs="Arial"/>
          <w:sz w:val="24"/>
          <w:szCs w:val="24"/>
        </w:rPr>
        <w:t>The biggest barrier discovered was the increase in RCR and the PASO team issue with accepting the new system. The framework highlights the believed reduction in administration duties through introducing the EM. This was incorrect and the duties either shifted to a new task or increased.</w:t>
      </w:r>
    </w:p>
    <w:p w14:paraId="6FD1DFFA" w14:textId="77777777" w:rsidR="00C6452F" w:rsidRPr="00146851" w:rsidRDefault="00C6452F" w:rsidP="00C6452F">
      <w:pPr>
        <w:jc w:val="both"/>
        <w:rPr>
          <w:rFonts w:ascii="Arial" w:hAnsi="Arial" w:cs="Arial"/>
          <w:sz w:val="24"/>
          <w:szCs w:val="24"/>
          <w:lang w:eastAsia="en-GB"/>
        </w:rPr>
      </w:pPr>
      <w:r w:rsidRPr="00146851">
        <w:rPr>
          <w:rFonts w:ascii="Arial" w:hAnsi="Arial" w:cs="Arial"/>
          <w:sz w:val="24"/>
          <w:szCs w:val="24"/>
          <w:lang w:eastAsia="en-GB"/>
        </w:rPr>
        <w:t>Another factor that was not considered in initial implementation was the CNA rate. As the results established that the time to fill slots increases when under 10 days because of patients being called by telephone rather than letter. The new intervention could lead to more slots not being filled. Recording of data on the CNA rate did not take place. So, the benefits of reducing the DNA rate might have not been as effective as shown. The CNA rate could have increased. Therefore, time slots could still have gone unused.</w:t>
      </w:r>
    </w:p>
    <w:p w14:paraId="618A7141" w14:textId="77777777" w:rsidR="00C6452F" w:rsidRPr="00146851" w:rsidRDefault="00C6452F" w:rsidP="00C6452F">
      <w:pPr>
        <w:jc w:val="both"/>
        <w:rPr>
          <w:rFonts w:ascii="Arial" w:hAnsi="Arial" w:cs="Arial"/>
          <w:sz w:val="24"/>
          <w:szCs w:val="24"/>
        </w:rPr>
      </w:pPr>
      <w:r w:rsidRPr="00146851">
        <w:rPr>
          <w:rFonts w:ascii="Arial" w:hAnsi="Arial" w:cs="Arial"/>
          <w:sz w:val="24"/>
          <w:szCs w:val="24"/>
        </w:rPr>
        <w:t xml:space="preserve">Until C&amp;VUHB look at RCR, seamless care of the automated ATR system will be unlikely. The FITT framework can help improve the success of seamless care as </w:t>
      </w:r>
      <w:r w:rsidRPr="0098013C">
        <w:rPr>
          <w:rFonts w:ascii="Arial" w:hAnsi="Arial" w:cs="Arial"/>
          <w:sz w:val="24"/>
          <w:szCs w:val="24"/>
        </w:rPr>
        <w:t>management can directly influence the attributes of task, individual and technology (</w:t>
      </w:r>
      <w:proofErr w:type="spellStart"/>
      <w:r w:rsidRPr="0098013C">
        <w:rPr>
          <w:rFonts w:ascii="Arial" w:hAnsi="Arial" w:cs="Arial"/>
          <w:sz w:val="24"/>
          <w:szCs w:val="24"/>
        </w:rPr>
        <w:t>Ammenwerth</w:t>
      </w:r>
      <w:proofErr w:type="spellEnd"/>
      <w:r w:rsidRPr="0098013C">
        <w:rPr>
          <w:rFonts w:ascii="Arial" w:hAnsi="Arial" w:cs="Arial"/>
          <w:sz w:val="24"/>
          <w:szCs w:val="24"/>
        </w:rPr>
        <w:t xml:space="preserve">, </w:t>
      </w:r>
      <w:proofErr w:type="spellStart"/>
      <w:r w:rsidRPr="0098013C">
        <w:rPr>
          <w:rFonts w:ascii="Arial" w:hAnsi="Arial" w:cs="Arial"/>
          <w:sz w:val="24"/>
          <w:szCs w:val="24"/>
        </w:rPr>
        <w:t>Iller</w:t>
      </w:r>
      <w:proofErr w:type="spellEnd"/>
      <w:r w:rsidRPr="0098013C">
        <w:rPr>
          <w:rFonts w:ascii="Arial" w:hAnsi="Arial" w:cs="Arial"/>
          <w:sz w:val="24"/>
          <w:szCs w:val="24"/>
        </w:rPr>
        <w:t>, and Mahler</w:t>
      </w:r>
      <w:r w:rsidRPr="0098013C">
        <w:rPr>
          <w:rFonts w:ascii="Arial" w:hAnsi="Arial" w:cs="Arial"/>
          <w:sz w:val="24"/>
          <w:szCs w:val="24"/>
          <w:lang w:eastAsia="en-GB"/>
        </w:rPr>
        <w:t>, 2006</w:t>
      </w:r>
      <w:r w:rsidRPr="0098013C">
        <w:rPr>
          <w:rFonts w:ascii="Arial" w:hAnsi="Arial" w:cs="Arial"/>
          <w:sz w:val="24"/>
          <w:szCs w:val="24"/>
        </w:rPr>
        <w:t>, p. 4). An example of this is a software update may influence both the fit between task and technology (</w:t>
      </w:r>
      <w:proofErr w:type="spellStart"/>
      <w:r w:rsidRPr="0098013C">
        <w:rPr>
          <w:rFonts w:ascii="Arial" w:hAnsi="Arial" w:cs="Arial"/>
          <w:sz w:val="24"/>
          <w:szCs w:val="24"/>
        </w:rPr>
        <w:t>Ammenwerth</w:t>
      </w:r>
      <w:proofErr w:type="spellEnd"/>
      <w:r w:rsidRPr="0098013C">
        <w:rPr>
          <w:rFonts w:ascii="Arial" w:hAnsi="Arial" w:cs="Arial"/>
          <w:sz w:val="24"/>
          <w:szCs w:val="24"/>
        </w:rPr>
        <w:t xml:space="preserve">, </w:t>
      </w:r>
      <w:proofErr w:type="spellStart"/>
      <w:r w:rsidRPr="0098013C">
        <w:rPr>
          <w:rFonts w:ascii="Arial" w:hAnsi="Arial" w:cs="Arial"/>
          <w:sz w:val="24"/>
          <w:szCs w:val="24"/>
        </w:rPr>
        <w:t>Iller</w:t>
      </w:r>
      <w:proofErr w:type="spellEnd"/>
      <w:r w:rsidRPr="0098013C">
        <w:rPr>
          <w:rFonts w:ascii="Arial" w:hAnsi="Arial" w:cs="Arial"/>
          <w:sz w:val="24"/>
          <w:szCs w:val="24"/>
        </w:rPr>
        <w:t>, and Mahler</w:t>
      </w:r>
      <w:r w:rsidRPr="0098013C">
        <w:rPr>
          <w:rFonts w:ascii="Arial" w:hAnsi="Arial" w:cs="Arial"/>
          <w:sz w:val="24"/>
          <w:szCs w:val="24"/>
          <w:lang w:eastAsia="en-GB"/>
        </w:rPr>
        <w:t>, 2006</w:t>
      </w:r>
      <w:r w:rsidRPr="0098013C">
        <w:rPr>
          <w:rFonts w:ascii="Arial" w:hAnsi="Arial" w:cs="Arial"/>
          <w:sz w:val="24"/>
          <w:szCs w:val="24"/>
        </w:rPr>
        <w:t>, p. 5). Which could allow appointments to be booked by PASO staff through manual text messaging, the preferred option behind appointment letters. Or it could schedule the first ATR to be sent with a bigger interval from the appointment, as an example, 14 days prior. Allowing the slots to be backfilled by letter when released through RCR. Training sessions for users may also improve the fit between technology and individuals (</w:t>
      </w:r>
      <w:proofErr w:type="spellStart"/>
      <w:r w:rsidRPr="0098013C">
        <w:rPr>
          <w:rFonts w:ascii="Arial" w:hAnsi="Arial" w:cs="Arial"/>
          <w:sz w:val="24"/>
          <w:szCs w:val="24"/>
        </w:rPr>
        <w:t>Ammenwerth</w:t>
      </w:r>
      <w:proofErr w:type="spellEnd"/>
      <w:r w:rsidRPr="0098013C">
        <w:rPr>
          <w:rFonts w:ascii="Arial" w:hAnsi="Arial" w:cs="Arial"/>
          <w:sz w:val="24"/>
          <w:szCs w:val="24"/>
        </w:rPr>
        <w:t xml:space="preserve">, </w:t>
      </w:r>
      <w:proofErr w:type="spellStart"/>
      <w:r w:rsidRPr="0098013C">
        <w:rPr>
          <w:rFonts w:ascii="Arial" w:hAnsi="Arial" w:cs="Arial"/>
          <w:sz w:val="24"/>
          <w:szCs w:val="24"/>
        </w:rPr>
        <w:t>Iller</w:t>
      </w:r>
      <w:proofErr w:type="spellEnd"/>
      <w:r w:rsidRPr="0098013C">
        <w:rPr>
          <w:rFonts w:ascii="Arial" w:hAnsi="Arial" w:cs="Arial"/>
          <w:sz w:val="24"/>
          <w:szCs w:val="24"/>
        </w:rPr>
        <w:t>, and Mahler</w:t>
      </w:r>
      <w:r w:rsidRPr="0098013C">
        <w:rPr>
          <w:rFonts w:ascii="Arial" w:hAnsi="Arial" w:cs="Arial"/>
          <w:sz w:val="24"/>
          <w:szCs w:val="24"/>
          <w:lang w:eastAsia="en-GB"/>
        </w:rPr>
        <w:t>, 2006</w:t>
      </w:r>
      <w:r w:rsidRPr="0098013C">
        <w:rPr>
          <w:rFonts w:ascii="Arial" w:hAnsi="Arial" w:cs="Arial"/>
          <w:sz w:val="24"/>
          <w:szCs w:val="24"/>
        </w:rPr>
        <w:t>, p. 5). </w:t>
      </w:r>
    </w:p>
    <w:p w14:paraId="1727B923" w14:textId="77777777" w:rsidR="00C6452F" w:rsidRPr="00146851" w:rsidRDefault="00C6452F" w:rsidP="00C6452F">
      <w:pPr>
        <w:jc w:val="both"/>
        <w:rPr>
          <w:rFonts w:ascii="Arial" w:hAnsi="Arial" w:cs="Arial"/>
          <w:sz w:val="24"/>
          <w:szCs w:val="24"/>
          <w:lang w:eastAsia="en-GB"/>
        </w:rPr>
      </w:pPr>
      <w:r w:rsidRPr="00146851">
        <w:rPr>
          <w:rFonts w:ascii="Arial" w:hAnsi="Arial" w:cs="Arial"/>
          <w:sz w:val="24"/>
          <w:szCs w:val="24"/>
          <w:lang w:eastAsia="en-GB"/>
        </w:rPr>
        <w:t>Even with the barriers to seamless care with the ATR System the value to outpatient appointments is clear. There has been a reduction in DNA rate, saving the C&amp;VUHB money and improving the happiness of clinicians, directorates, and patients.</w:t>
      </w:r>
    </w:p>
    <w:p w14:paraId="106E9AC2" w14:textId="5F644199" w:rsidR="004C1B28" w:rsidRDefault="00C6452F" w:rsidP="00C6452F">
      <w:pPr>
        <w:jc w:val="both"/>
        <w:rPr>
          <w:rFonts w:ascii="Arial" w:hAnsi="Arial" w:cs="Arial"/>
          <w:sz w:val="24"/>
          <w:szCs w:val="24"/>
        </w:rPr>
      </w:pPr>
      <w:r w:rsidRPr="00146851">
        <w:rPr>
          <w:rFonts w:ascii="Arial" w:hAnsi="Arial" w:cs="Arial"/>
          <w:sz w:val="24"/>
          <w:szCs w:val="24"/>
        </w:rPr>
        <w:t>By using FITT framework retrospectively, it is easy to see how C&amp;VUHB can make improvements to future IT projects implementation. By engaging more with the low-level staff likely to be using the software in their daily jobs will help improve staff support and feel a part of the decision process. This will also help in achieving closer results to ‘work is done’ rather than ‘work as imagined.’ It is also essential that training material and tutorials take place. While keeping staff in the loop with the project’s deployments. This will help in reducing staff feeling alienated and help conquer technology illiterate staff.</w:t>
      </w:r>
    </w:p>
    <w:p w14:paraId="3003ED47" w14:textId="58CC2B36" w:rsidR="00620528" w:rsidRPr="000F5506" w:rsidRDefault="00620528" w:rsidP="00620528">
      <w:pPr>
        <w:pStyle w:val="NormalWeb"/>
        <w:shd w:val="clear" w:color="auto" w:fill="FFFFFF"/>
        <w:spacing w:before="0" w:beforeAutospacing="0" w:after="173" w:afterAutospacing="0"/>
        <w:ind w:left="450" w:hanging="450"/>
        <w:rPr>
          <w:rFonts w:ascii="Arial" w:hAnsi="Arial" w:cs="Arial"/>
          <w:b/>
          <w:bCs/>
          <w:u w:val="single"/>
        </w:rPr>
      </w:pPr>
      <w:r w:rsidRPr="000F5506">
        <w:rPr>
          <w:rFonts w:ascii="Arial" w:hAnsi="Arial" w:cs="Arial"/>
          <w:b/>
          <w:bCs/>
          <w:u w:val="single"/>
        </w:rPr>
        <w:lastRenderedPageBreak/>
        <w:t>References</w:t>
      </w:r>
      <w:r w:rsidR="002C074F">
        <w:rPr>
          <w:rFonts w:ascii="Arial" w:hAnsi="Arial" w:cs="Arial"/>
          <w:b/>
          <w:bCs/>
          <w:u w:val="single"/>
        </w:rPr>
        <w:t>:</w:t>
      </w:r>
    </w:p>
    <w:p w14:paraId="21B28939" w14:textId="77777777" w:rsidR="00620528" w:rsidRPr="00714D4B" w:rsidRDefault="00620528" w:rsidP="00620528">
      <w:pPr>
        <w:pStyle w:val="NormalWeb"/>
        <w:shd w:val="clear" w:color="auto" w:fill="FFFFFF"/>
        <w:spacing w:before="0" w:beforeAutospacing="0" w:after="173" w:afterAutospacing="0"/>
        <w:ind w:left="450" w:hanging="450"/>
        <w:rPr>
          <w:rFonts w:ascii="Arial" w:hAnsi="Arial" w:cs="Arial"/>
          <w:shd w:val="clear" w:color="auto" w:fill="FFFFFF"/>
        </w:rPr>
      </w:pPr>
      <w:proofErr w:type="spellStart"/>
      <w:r w:rsidRPr="00714D4B">
        <w:rPr>
          <w:rFonts w:ascii="Arial" w:hAnsi="Arial" w:cs="Arial"/>
        </w:rPr>
        <w:t>Ammenwerth</w:t>
      </w:r>
      <w:proofErr w:type="spellEnd"/>
      <w:r w:rsidRPr="00714D4B">
        <w:rPr>
          <w:rFonts w:ascii="Arial" w:hAnsi="Arial" w:cs="Arial"/>
        </w:rPr>
        <w:t xml:space="preserve">, E., </w:t>
      </w:r>
      <w:proofErr w:type="spellStart"/>
      <w:r w:rsidRPr="00714D4B">
        <w:rPr>
          <w:rFonts w:ascii="Arial" w:hAnsi="Arial" w:cs="Arial"/>
        </w:rPr>
        <w:t>Iller</w:t>
      </w:r>
      <w:proofErr w:type="spellEnd"/>
      <w:r w:rsidRPr="00714D4B">
        <w:rPr>
          <w:rFonts w:ascii="Arial" w:hAnsi="Arial" w:cs="Arial"/>
        </w:rPr>
        <w:t>, C. and Mahler, C. (2006), ‘IT-adoption and the interaction of task, technology and individuals: a fit framework and a case study’</w:t>
      </w:r>
      <w:r w:rsidRPr="00714D4B">
        <w:rPr>
          <w:rFonts w:ascii="Arial" w:hAnsi="Arial" w:cs="Arial"/>
          <w:i/>
          <w:iCs/>
        </w:rPr>
        <w:t xml:space="preserve">, BMC medical informatics and decision making; BMC Med Inform </w:t>
      </w:r>
      <w:proofErr w:type="spellStart"/>
      <w:r w:rsidRPr="00714D4B">
        <w:rPr>
          <w:rFonts w:ascii="Arial" w:hAnsi="Arial" w:cs="Arial"/>
          <w:i/>
          <w:iCs/>
        </w:rPr>
        <w:t>Decis</w:t>
      </w:r>
      <w:proofErr w:type="spellEnd"/>
      <w:r w:rsidRPr="00714D4B">
        <w:rPr>
          <w:rFonts w:ascii="Arial" w:hAnsi="Arial" w:cs="Arial"/>
          <w:i/>
          <w:iCs/>
        </w:rPr>
        <w:t xml:space="preserve"> </w:t>
      </w:r>
      <w:proofErr w:type="spellStart"/>
      <w:r w:rsidRPr="00714D4B">
        <w:rPr>
          <w:rFonts w:ascii="Arial" w:hAnsi="Arial" w:cs="Arial"/>
          <w:i/>
          <w:iCs/>
        </w:rPr>
        <w:t>Mak</w:t>
      </w:r>
      <w:proofErr w:type="spellEnd"/>
      <w:r w:rsidRPr="00714D4B">
        <w:rPr>
          <w:rFonts w:ascii="Arial" w:hAnsi="Arial" w:cs="Arial"/>
          <w:i/>
          <w:iCs/>
        </w:rPr>
        <w:t>, </w:t>
      </w:r>
      <w:r w:rsidRPr="00714D4B">
        <w:rPr>
          <w:rFonts w:ascii="Arial" w:hAnsi="Arial" w:cs="Arial"/>
        </w:rPr>
        <w:t xml:space="preserve">6(1), pp. 3. DOI: </w:t>
      </w:r>
      <w:r w:rsidRPr="00714D4B">
        <w:rPr>
          <w:rFonts w:ascii="Arial" w:hAnsi="Arial" w:cs="Arial"/>
          <w:shd w:val="clear" w:color="auto" w:fill="FFFFFF"/>
        </w:rPr>
        <w:t>10.1186/1472-6947-6-3</w:t>
      </w:r>
    </w:p>
    <w:p w14:paraId="59470DAC" w14:textId="77777777" w:rsidR="00620528" w:rsidRPr="00714D4B" w:rsidRDefault="00620528" w:rsidP="00620528">
      <w:pPr>
        <w:pStyle w:val="NormalWeb"/>
        <w:shd w:val="clear" w:color="auto" w:fill="FFFFFF"/>
        <w:spacing w:before="0" w:beforeAutospacing="0" w:after="173" w:afterAutospacing="0"/>
        <w:ind w:left="450" w:hanging="450"/>
        <w:rPr>
          <w:rFonts w:ascii="Arial" w:hAnsi="Arial" w:cs="Arial"/>
        </w:rPr>
      </w:pPr>
      <w:r w:rsidRPr="00714D4B">
        <w:rPr>
          <w:rFonts w:ascii="Arial" w:hAnsi="Arial" w:cs="Arial"/>
          <w:shd w:val="clear" w:color="auto" w:fill="FFFFFF"/>
        </w:rPr>
        <w:t>Carleton, R.N. (2016), ‘Fear of the unknown: One fear to rule them all?’</w:t>
      </w:r>
      <w:r w:rsidRPr="00714D4B">
        <w:rPr>
          <w:rFonts w:ascii="Arial" w:hAnsi="Arial" w:cs="Arial"/>
          <w:i/>
          <w:iCs/>
          <w:shd w:val="clear" w:color="auto" w:fill="FFFFFF"/>
        </w:rPr>
        <w:t xml:space="preserve">, Journal of anxiety disorders; J Anxiety </w:t>
      </w:r>
      <w:proofErr w:type="spellStart"/>
      <w:r w:rsidRPr="00714D4B">
        <w:rPr>
          <w:rFonts w:ascii="Arial" w:hAnsi="Arial" w:cs="Arial"/>
          <w:i/>
          <w:iCs/>
          <w:shd w:val="clear" w:color="auto" w:fill="FFFFFF"/>
        </w:rPr>
        <w:t>Disord</w:t>
      </w:r>
      <w:proofErr w:type="spellEnd"/>
      <w:r w:rsidRPr="00714D4B">
        <w:rPr>
          <w:rFonts w:ascii="Arial" w:hAnsi="Arial" w:cs="Arial"/>
          <w:i/>
          <w:iCs/>
          <w:shd w:val="clear" w:color="auto" w:fill="FFFFFF"/>
        </w:rPr>
        <w:t>, </w:t>
      </w:r>
      <w:r w:rsidRPr="00714D4B">
        <w:rPr>
          <w:rFonts w:ascii="Arial" w:hAnsi="Arial" w:cs="Arial"/>
          <w:shd w:val="clear" w:color="auto" w:fill="FFFFFF"/>
        </w:rPr>
        <w:t>41, pp. 5-21. DOI: 10.1016/j.janxdis.2016.03.011</w:t>
      </w:r>
    </w:p>
    <w:p w14:paraId="15E461A5" w14:textId="77777777" w:rsidR="00620528" w:rsidRPr="00714D4B" w:rsidRDefault="00620528" w:rsidP="00620528">
      <w:pPr>
        <w:pStyle w:val="NormalWeb"/>
        <w:shd w:val="clear" w:color="auto" w:fill="FFFFFF"/>
        <w:spacing w:before="0" w:beforeAutospacing="0" w:after="173" w:afterAutospacing="0"/>
        <w:ind w:left="450" w:hanging="450"/>
        <w:rPr>
          <w:rFonts w:ascii="Arial" w:hAnsi="Arial" w:cs="Arial"/>
        </w:rPr>
      </w:pPr>
      <w:r w:rsidRPr="00714D4B">
        <w:rPr>
          <w:rFonts w:ascii="Arial" w:hAnsi="Arial" w:cs="Arial"/>
        </w:rPr>
        <w:t xml:space="preserve">Cho, H., Flynn, G., Saylor, M., </w:t>
      </w:r>
      <w:proofErr w:type="spellStart"/>
      <w:r w:rsidRPr="00714D4B">
        <w:rPr>
          <w:rFonts w:ascii="Arial" w:hAnsi="Arial" w:cs="Arial"/>
        </w:rPr>
        <w:t>Gradilla</w:t>
      </w:r>
      <w:proofErr w:type="spellEnd"/>
      <w:r w:rsidRPr="00714D4B">
        <w:rPr>
          <w:rFonts w:ascii="Arial" w:hAnsi="Arial" w:cs="Arial"/>
        </w:rPr>
        <w:t xml:space="preserve">, M. and </w:t>
      </w:r>
      <w:proofErr w:type="spellStart"/>
      <w:r w:rsidRPr="00714D4B">
        <w:rPr>
          <w:rFonts w:ascii="Arial" w:hAnsi="Arial" w:cs="Arial"/>
        </w:rPr>
        <w:t>Schnall</w:t>
      </w:r>
      <w:proofErr w:type="spellEnd"/>
      <w:r w:rsidRPr="00714D4B">
        <w:rPr>
          <w:rFonts w:ascii="Arial" w:hAnsi="Arial" w:cs="Arial"/>
        </w:rPr>
        <w:t>, R. (2019), ‘Use of the FITT framework to understand patients’ experiences using a real-time medication monitoring pill bottle linked to a mobile-based HIV self-management app: A qualitative study’</w:t>
      </w:r>
      <w:r w:rsidRPr="00714D4B">
        <w:rPr>
          <w:rFonts w:ascii="Arial" w:hAnsi="Arial" w:cs="Arial"/>
          <w:i/>
          <w:iCs/>
        </w:rPr>
        <w:t>, International journal of medical informatics (Shannon, Ireland); Int J Med Inform, </w:t>
      </w:r>
      <w:r w:rsidRPr="00714D4B">
        <w:rPr>
          <w:rFonts w:ascii="Arial" w:hAnsi="Arial" w:cs="Arial"/>
        </w:rPr>
        <w:t xml:space="preserve">131, pp. 103949. DOI: </w:t>
      </w:r>
      <w:r w:rsidRPr="00714D4B">
        <w:rPr>
          <w:rFonts w:ascii="Arial" w:hAnsi="Arial" w:cs="Arial"/>
          <w:shd w:val="clear" w:color="auto" w:fill="FFFFFF"/>
        </w:rPr>
        <w:t>10.1016/j.ijmedinf.2019.08.009</w:t>
      </w:r>
    </w:p>
    <w:p w14:paraId="7582A877" w14:textId="77777777" w:rsidR="00620528" w:rsidRPr="00714D4B" w:rsidRDefault="00620528" w:rsidP="00620528">
      <w:pPr>
        <w:pStyle w:val="NormalWeb"/>
        <w:shd w:val="clear" w:color="auto" w:fill="FFFFFF"/>
        <w:spacing w:before="0" w:beforeAutospacing="0" w:after="173" w:afterAutospacing="0"/>
        <w:ind w:left="450" w:hanging="450"/>
        <w:rPr>
          <w:rFonts w:ascii="Arial" w:hAnsi="Arial" w:cs="Arial"/>
        </w:rPr>
      </w:pPr>
      <w:r w:rsidRPr="00714D4B">
        <w:rPr>
          <w:rFonts w:ascii="Arial" w:hAnsi="Arial" w:cs="Arial"/>
        </w:rPr>
        <w:t xml:space="preserve">Chung, K., </w:t>
      </w:r>
      <w:proofErr w:type="spellStart"/>
      <w:r w:rsidRPr="00714D4B">
        <w:rPr>
          <w:rFonts w:ascii="Arial" w:hAnsi="Arial" w:cs="Arial"/>
        </w:rPr>
        <w:t>Stobie</w:t>
      </w:r>
      <w:proofErr w:type="spellEnd"/>
      <w:r w:rsidRPr="00714D4B">
        <w:rPr>
          <w:rFonts w:ascii="Arial" w:hAnsi="Arial" w:cs="Arial"/>
        </w:rPr>
        <w:t xml:space="preserve">, P., </w:t>
      </w:r>
      <w:proofErr w:type="spellStart"/>
      <w:r w:rsidRPr="00714D4B">
        <w:rPr>
          <w:rFonts w:ascii="Arial" w:hAnsi="Arial" w:cs="Arial"/>
        </w:rPr>
        <w:t>Travlos</w:t>
      </w:r>
      <w:proofErr w:type="spellEnd"/>
      <w:r w:rsidRPr="00714D4B">
        <w:rPr>
          <w:rFonts w:ascii="Arial" w:hAnsi="Arial" w:cs="Arial"/>
        </w:rPr>
        <w:t>, R., Francis, J. and Francisco, J. (2016), ‘Reducing DNA Rates to the Outpatient Cardiology Department: The Challenges Faced at Sir Charles Gairdner Hospital’</w:t>
      </w:r>
      <w:r w:rsidRPr="00714D4B">
        <w:rPr>
          <w:rFonts w:ascii="Arial" w:hAnsi="Arial" w:cs="Arial"/>
          <w:i/>
          <w:iCs/>
        </w:rPr>
        <w:t>, Heart, lung &amp; circulation, </w:t>
      </w:r>
      <w:r w:rsidRPr="00714D4B">
        <w:rPr>
          <w:rFonts w:ascii="Arial" w:hAnsi="Arial" w:cs="Arial"/>
        </w:rPr>
        <w:t xml:space="preserve">25, pp. S320-S321. DOI: </w:t>
      </w:r>
      <w:r w:rsidRPr="00714D4B">
        <w:rPr>
          <w:rFonts w:ascii="Arial" w:hAnsi="Arial" w:cs="Arial"/>
          <w:shd w:val="clear" w:color="auto" w:fill="FFFFFF"/>
        </w:rPr>
        <w:t>10.1016/j.hlc.2016.06.760</w:t>
      </w:r>
    </w:p>
    <w:p w14:paraId="3085DFE8" w14:textId="77777777" w:rsidR="00620528" w:rsidRPr="00714D4B" w:rsidRDefault="00620528" w:rsidP="00620528">
      <w:pPr>
        <w:pStyle w:val="NormalWeb"/>
        <w:shd w:val="clear" w:color="auto" w:fill="FFFFFF"/>
        <w:spacing w:before="0" w:beforeAutospacing="0" w:after="173" w:afterAutospacing="0"/>
        <w:ind w:left="450" w:hanging="450"/>
        <w:rPr>
          <w:rFonts w:ascii="Arial" w:hAnsi="Arial" w:cs="Arial"/>
        </w:rPr>
      </w:pPr>
      <w:proofErr w:type="spellStart"/>
      <w:r w:rsidRPr="00714D4B">
        <w:rPr>
          <w:rFonts w:ascii="Arial" w:hAnsi="Arial" w:cs="Arial"/>
        </w:rPr>
        <w:t>Cresswell</w:t>
      </w:r>
      <w:proofErr w:type="spellEnd"/>
      <w:r w:rsidRPr="00714D4B">
        <w:rPr>
          <w:rFonts w:ascii="Arial" w:hAnsi="Arial" w:cs="Arial"/>
        </w:rPr>
        <w:t>, K., Williams, R. and Sheikh, A. (2020), ‘Developing and Applying a Formative Evaluation Framework for Health Information Technology Implementations: Qualitative Investigation’</w:t>
      </w:r>
      <w:r w:rsidRPr="00714D4B">
        <w:rPr>
          <w:rFonts w:ascii="Arial" w:hAnsi="Arial" w:cs="Arial"/>
          <w:i/>
          <w:iCs/>
        </w:rPr>
        <w:t>, Journal of medical Internet research; J Med Internet Res, </w:t>
      </w:r>
      <w:r w:rsidRPr="00714D4B">
        <w:rPr>
          <w:rFonts w:ascii="Arial" w:hAnsi="Arial" w:cs="Arial"/>
        </w:rPr>
        <w:t xml:space="preserve">22(6), pp. e15068. DOI: </w:t>
      </w:r>
      <w:r w:rsidRPr="00714D4B">
        <w:rPr>
          <w:rFonts w:ascii="Arial" w:hAnsi="Arial" w:cs="Arial"/>
          <w:shd w:val="clear" w:color="auto" w:fill="FFFFFF"/>
        </w:rPr>
        <w:t>10.2196/15068</w:t>
      </w:r>
    </w:p>
    <w:p w14:paraId="1AEB98BB" w14:textId="77777777" w:rsidR="00620528" w:rsidRPr="00714D4B" w:rsidRDefault="00620528" w:rsidP="00620528">
      <w:pPr>
        <w:pStyle w:val="NormalWeb"/>
        <w:shd w:val="clear" w:color="auto" w:fill="FFFFFF"/>
        <w:spacing w:before="0" w:beforeAutospacing="0" w:after="173" w:afterAutospacing="0"/>
        <w:ind w:left="450" w:hanging="450"/>
        <w:rPr>
          <w:rFonts w:ascii="Arial" w:hAnsi="Arial" w:cs="Arial"/>
        </w:rPr>
      </w:pPr>
      <w:r w:rsidRPr="00714D4B">
        <w:rPr>
          <w:rFonts w:ascii="Arial" w:hAnsi="Arial" w:cs="Arial"/>
        </w:rPr>
        <w:t>Deutsch, E.S. (2017), ‘Bridging the Gap between Work-as-Imagined and</w:t>
      </w:r>
      <w:r w:rsidRPr="00714D4B">
        <w:rPr>
          <w:rFonts w:ascii="Arial" w:hAnsi="Arial" w:cs="Arial"/>
        </w:rPr>
        <w:br/>
        <w:t>Work-as-Done’</w:t>
      </w:r>
      <w:r w:rsidRPr="00714D4B">
        <w:rPr>
          <w:rFonts w:ascii="Arial" w:hAnsi="Arial" w:cs="Arial"/>
          <w:i/>
          <w:iCs/>
        </w:rPr>
        <w:t>, Pennsylvania Patient Safety Advisory, </w:t>
      </w:r>
      <w:r w:rsidRPr="00714D4B">
        <w:rPr>
          <w:rFonts w:ascii="Arial" w:hAnsi="Arial" w:cs="Arial"/>
        </w:rPr>
        <w:t>14(2), pp. 80-83. Available at: </w:t>
      </w:r>
      <w:hyperlink r:id="rId32" w:tgtFrame="_blank" w:history="1">
        <w:r w:rsidRPr="00714D4B">
          <w:rPr>
            <w:rStyle w:val="Hyperlink"/>
            <w:rFonts w:ascii="Arial" w:hAnsi="Arial" w:cs="Arial"/>
          </w:rPr>
          <w:t>https://collections.nlm.nih.gov/master/borndig/101711396/201706_80.pdf</w:t>
        </w:r>
      </w:hyperlink>
      <w:r w:rsidRPr="00714D4B">
        <w:rPr>
          <w:rFonts w:ascii="Arial" w:hAnsi="Arial" w:cs="Arial"/>
        </w:rPr>
        <w:t>. (Accessed: 17/02/2022)</w:t>
      </w:r>
    </w:p>
    <w:p w14:paraId="5B4F026B" w14:textId="77777777" w:rsidR="00620528" w:rsidRPr="00714D4B" w:rsidRDefault="00620528" w:rsidP="00620528">
      <w:pPr>
        <w:pStyle w:val="NormalWeb"/>
        <w:shd w:val="clear" w:color="auto" w:fill="FFFFFF"/>
        <w:spacing w:before="0" w:beforeAutospacing="0" w:after="173" w:afterAutospacing="0"/>
        <w:ind w:left="450" w:hanging="450"/>
        <w:rPr>
          <w:rFonts w:ascii="Arial" w:hAnsi="Arial" w:cs="Arial"/>
        </w:rPr>
      </w:pPr>
      <w:r w:rsidRPr="00714D4B">
        <w:rPr>
          <w:rFonts w:ascii="Arial" w:hAnsi="Arial" w:cs="Arial"/>
        </w:rPr>
        <w:t xml:space="preserve">Ericsson, (2021), </w:t>
      </w:r>
      <w:r w:rsidRPr="00714D4B">
        <w:rPr>
          <w:rFonts w:ascii="Arial" w:hAnsi="Arial" w:cs="Arial"/>
          <w:i/>
          <w:iCs/>
        </w:rPr>
        <w:t>Ericsson Mobility Report,</w:t>
      </w:r>
      <w:r w:rsidRPr="00714D4B">
        <w:rPr>
          <w:rFonts w:ascii="Arial" w:hAnsi="Arial" w:cs="Arial"/>
        </w:rPr>
        <w:t xml:space="preserve"> Available at: </w:t>
      </w:r>
      <w:hyperlink r:id="rId33" w:history="1">
        <w:r w:rsidRPr="00714D4B">
          <w:rPr>
            <w:rStyle w:val="Hyperlink"/>
            <w:rFonts w:ascii="Arial" w:hAnsi="Arial" w:cs="Arial"/>
          </w:rPr>
          <w:t>Ericsson Mobility Report November 2021</w:t>
        </w:r>
      </w:hyperlink>
      <w:r w:rsidRPr="00714D4B">
        <w:rPr>
          <w:rFonts w:ascii="Arial" w:hAnsi="Arial" w:cs="Arial"/>
        </w:rPr>
        <w:t xml:space="preserve"> (Accessed: 12/02/2022)</w:t>
      </w:r>
    </w:p>
    <w:p w14:paraId="011C9D77" w14:textId="77777777" w:rsidR="00620528" w:rsidRPr="00714D4B" w:rsidRDefault="00620528" w:rsidP="00620528">
      <w:pPr>
        <w:pStyle w:val="NormalWeb"/>
        <w:shd w:val="clear" w:color="auto" w:fill="FFFFFF"/>
        <w:spacing w:before="0" w:beforeAutospacing="0" w:after="173" w:afterAutospacing="0"/>
        <w:ind w:left="450" w:hanging="450"/>
        <w:rPr>
          <w:rFonts w:ascii="Arial" w:hAnsi="Arial" w:cs="Arial"/>
        </w:rPr>
      </w:pPr>
      <w:proofErr w:type="spellStart"/>
      <w:r w:rsidRPr="00714D4B">
        <w:rPr>
          <w:rFonts w:ascii="Arial" w:hAnsi="Arial" w:cs="Arial"/>
        </w:rPr>
        <w:t>Feldacker</w:t>
      </w:r>
      <w:proofErr w:type="spellEnd"/>
      <w:r w:rsidRPr="00714D4B">
        <w:rPr>
          <w:rFonts w:ascii="Arial" w:hAnsi="Arial" w:cs="Arial"/>
        </w:rPr>
        <w:t xml:space="preserve">, C., </w:t>
      </w:r>
      <w:proofErr w:type="spellStart"/>
      <w:r w:rsidRPr="00714D4B">
        <w:rPr>
          <w:rFonts w:ascii="Arial" w:hAnsi="Arial" w:cs="Arial"/>
        </w:rPr>
        <w:t>Murenje</w:t>
      </w:r>
      <w:proofErr w:type="spellEnd"/>
      <w:r w:rsidRPr="00714D4B">
        <w:rPr>
          <w:rFonts w:ascii="Arial" w:hAnsi="Arial" w:cs="Arial"/>
        </w:rPr>
        <w:t xml:space="preserve">, V., Barnhart, S., </w:t>
      </w:r>
      <w:proofErr w:type="spellStart"/>
      <w:r w:rsidRPr="00714D4B">
        <w:rPr>
          <w:rFonts w:ascii="Arial" w:hAnsi="Arial" w:cs="Arial"/>
        </w:rPr>
        <w:t>Xaba</w:t>
      </w:r>
      <w:proofErr w:type="spellEnd"/>
      <w:r w:rsidRPr="00714D4B">
        <w:rPr>
          <w:rFonts w:ascii="Arial" w:hAnsi="Arial" w:cs="Arial"/>
        </w:rPr>
        <w:t xml:space="preserve">, S., </w:t>
      </w:r>
      <w:proofErr w:type="spellStart"/>
      <w:r w:rsidRPr="00714D4B">
        <w:rPr>
          <w:rFonts w:ascii="Arial" w:hAnsi="Arial" w:cs="Arial"/>
        </w:rPr>
        <w:t>Makunike-Chikwinya</w:t>
      </w:r>
      <w:proofErr w:type="spellEnd"/>
      <w:r w:rsidRPr="00714D4B">
        <w:rPr>
          <w:rFonts w:ascii="Arial" w:hAnsi="Arial" w:cs="Arial"/>
        </w:rPr>
        <w:t xml:space="preserve">, B., Holeman, I. and </w:t>
      </w:r>
      <w:proofErr w:type="spellStart"/>
      <w:r w:rsidRPr="00714D4B">
        <w:rPr>
          <w:rFonts w:ascii="Arial" w:hAnsi="Arial" w:cs="Arial"/>
        </w:rPr>
        <w:t>Tshimanga</w:t>
      </w:r>
      <w:proofErr w:type="spellEnd"/>
      <w:r w:rsidRPr="00714D4B">
        <w:rPr>
          <w:rFonts w:ascii="Arial" w:hAnsi="Arial" w:cs="Arial"/>
        </w:rPr>
        <w:t>, M. (2019), ‘Reducing provider workload while preserving patient safety via a two-way texting intervention in Zimbabwe's voluntary medical male circumcision program: study protocol for an un-blinded, prospective, non-inferiority, randomized controlled trial’</w:t>
      </w:r>
      <w:r w:rsidRPr="00714D4B">
        <w:rPr>
          <w:rFonts w:ascii="Arial" w:hAnsi="Arial" w:cs="Arial"/>
          <w:i/>
          <w:iCs/>
        </w:rPr>
        <w:t>, Trials, </w:t>
      </w:r>
      <w:r w:rsidRPr="00714D4B">
        <w:rPr>
          <w:rFonts w:ascii="Arial" w:hAnsi="Arial" w:cs="Arial"/>
        </w:rPr>
        <w:t xml:space="preserve">20(1), pp. 451. DOI: </w:t>
      </w:r>
      <w:r w:rsidRPr="00714D4B">
        <w:rPr>
          <w:rFonts w:ascii="Arial" w:hAnsi="Arial" w:cs="Arial"/>
          <w:shd w:val="clear" w:color="auto" w:fill="FFFFFF"/>
        </w:rPr>
        <w:t>10.1186/s13063-019-3470-9</w:t>
      </w:r>
    </w:p>
    <w:p w14:paraId="41D1827F" w14:textId="77777777" w:rsidR="00620528" w:rsidRPr="00714D4B" w:rsidRDefault="00620528" w:rsidP="00620528">
      <w:pPr>
        <w:pStyle w:val="NormalWeb"/>
        <w:shd w:val="clear" w:color="auto" w:fill="FFFFFF"/>
        <w:spacing w:before="0" w:beforeAutospacing="0" w:after="173" w:afterAutospacing="0"/>
        <w:ind w:left="450" w:hanging="450"/>
        <w:rPr>
          <w:rFonts w:ascii="Arial" w:hAnsi="Arial" w:cs="Arial"/>
        </w:rPr>
      </w:pPr>
      <w:r w:rsidRPr="00714D4B">
        <w:rPr>
          <w:rFonts w:ascii="Arial" w:hAnsi="Arial" w:cs="Arial"/>
        </w:rPr>
        <w:t>Gould, G.S., Bar-</w:t>
      </w:r>
      <w:proofErr w:type="spellStart"/>
      <w:r w:rsidRPr="00714D4B">
        <w:rPr>
          <w:rFonts w:ascii="Arial" w:hAnsi="Arial" w:cs="Arial"/>
        </w:rPr>
        <w:t>Zeev</w:t>
      </w:r>
      <w:proofErr w:type="spellEnd"/>
      <w:r w:rsidRPr="00714D4B">
        <w:rPr>
          <w:rFonts w:ascii="Arial" w:hAnsi="Arial" w:cs="Arial"/>
        </w:rPr>
        <w:t xml:space="preserve">, Y., </w:t>
      </w:r>
      <w:proofErr w:type="spellStart"/>
      <w:r w:rsidRPr="00714D4B">
        <w:rPr>
          <w:rFonts w:ascii="Arial" w:hAnsi="Arial" w:cs="Arial"/>
        </w:rPr>
        <w:t>Bovill</w:t>
      </w:r>
      <w:proofErr w:type="spellEnd"/>
      <w:r w:rsidRPr="00714D4B">
        <w:rPr>
          <w:rFonts w:ascii="Arial" w:hAnsi="Arial" w:cs="Arial"/>
        </w:rPr>
        <w:t xml:space="preserve">, M., Atkins, L., </w:t>
      </w:r>
      <w:proofErr w:type="spellStart"/>
      <w:r w:rsidRPr="00714D4B">
        <w:rPr>
          <w:rFonts w:ascii="Arial" w:hAnsi="Arial" w:cs="Arial"/>
        </w:rPr>
        <w:t>Gruppetta</w:t>
      </w:r>
      <w:proofErr w:type="spellEnd"/>
      <w:r w:rsidRPr="00714D4B">
        <w:rPr>
          <w:rFonts w:ascii="Arial" w:hAnsi="Arial" w:cs="Arial"/>
        </w:rPr>
        <w:t xml:space="preserve">, M., Clarke, M.J. and </w:t>
      </w:r>
      <w:proofErr w:type="spellStart"/>
      <w:r w:rsidRPr="00714D4B">
        <w:rPr>
          <w:rFonts w:ascii="Arial" w:hAnsi="Arial" w:cs="Arial"/>
        </w:rPr>
        <w:t>Bonevski</w:t>
      </w:r>
      <w:proofErr w:type="spellEnd"/>
      <w:r w:rsidRPr="00714D4B">
        <w:rPr>
          <w:rFonts w:ascii="Arial" w:hAnsi="Arial" w:cs="Arial"/>
        </w:rPr>
        <w:t>, B. (2017), ‘Designing an implementation intervention with the Behaviour Change Wheel for health provider smoking cessation care for Australian Indigenous pregnant women’</w:t>
      </w:r>
      <w:r w:rsidRPr="00714D4B">
        <w:rPr>
          <w:rFonts w:ascii="Arial" w:hAnsi="Arial" w:cs="Arial"/>
          <w:i/>
          <w:iCs/>
        </w:rPr>
        <w:t xml:space="preserve">, Implementation </w:t>
      </w:r>
      <w:proofErr w:type="gramStart"/>
      <w:r w:rsidRPr="00714D4B">
        <w:rPr>
          <w:rFonts w:ascii="Arial" w:hAnsi="Arial" w:cs="Arial"/>
          <w:i/>
          <w:iCs/>
        </w:rPr>
        <w:t>science :</w:t>
      </w:r>
      <w:proofErr w:type="gramEnd"/>
      <w:r w:rsidRPr="00714D4B">
        <w:rPr>
          <w:rFonts w:ascii="Arial" w:hAnsi="Arial" w:cs="Arial"/>
          <w:i/>
          <w:iCs/>
        </w:rPr>
        <w:t xml:space="preserve"> IS; Implement Sci, </w:t>
      </w:r>
      <w:r w:rsidRPr="00714D4B">
        <w:rPr>
          <w:rFonts w:ascii="Arial" w:hAnsi="Arial" w:cs="Arial"/>
        </w:rPr>
        <w:t xml:space="preserve">12(1), pp. 114. DOI: </w:t>
      </w:r>
      <w:r w:rsidRPr="00714D4B">
        <w:rPr>
          <w:rFonts w:ascii="Arial" w:hAnsi="Arial" w:cs="Arial"/>
          <w:shd w:val="clear" w:color="auto" w:fill="FFFFFF"/>
        </w:rPr>
        <w:t>10.1186/s13012-017-0645-1</w:t>
      </w:r>
    </w:p>
    <w:p w14:paraId="1D8818AF" w14:textId="77777777" w:rsidR="00620528" w:rsidRPr="00714D4B" w:rsidRDefault="00620528" w:rsidP="00620528">
      <w:pPr>
        <w:pStyle w:val="NormalWeb"/>
        <w:shd w:val="clear" w:color="auto" w:fill="FFFFFF"/>
        <w:spacing w:before="0" w:beforeAutospacing="0" w:after="173" w:afterAutospacing="0"/>
        <w:ind w:left="450" w:hanging="450"/>
        <w:rPr>
          <w:rFonts w:ascii="Arial" w:hAnsi="Arial" w:cs="Arial"/>
        </w:rPr>
      </w:pPr>
      <w:proofErr w:type="spellStart"/>
      <w:r w:rsidRPr="00714D4B">
        <w:rPr>
          <w:rFonts w:ascii="Arial" w:hAnsi="Arial" w:cs="Arial"/>
        </w:rPr>
        <w:t>Honekamp</w:t>
      </w:r>
      <w:proofErr w:type="spellEnd"/>
      <w:r w:rsidRPr="00714D4B">
        <w:rPr>
          <w:rFonts w:ascii="Arial" w:hAnsi="Arial" w:cs="Arial"/>
        </w:rPr>
        <w:t>, W. and Ostermann, H. (2011), ‘Evaluation of a prototype health information system using the FITT framework’</w:t>
      </w:r>
      <w:r w:rsidRPr="00714D4B">
        <w:rPr>
          <w:rFonts w:ascii="Arial" w:hAnsi="Arial" w:cs="Arial"/>
          <w:i/>
          <w:iCs/>
        </w:rPr>
        <w:t>, Informatics in primary care; Inform Prim Care, </w:t>
      </w:r>
      <w:r w:rsidRPr="00714D4B">
        <w:rPr>
          <w:rFonts w:ascii="Arial" w:hAnsi="Arial" w:cs="Arial"/>
        </w:rPr>
        <w:t xml:space="preserve">19(1), pp. 47-49. DOI: </w:t>
      </w:r>
      <w:r w:rsidRPr="00714D4B">
        <w:rPr>
          <w:rFonts w:ascii="Arial" w:hAnsi="Arial" w:cs="Arial"/>
          <w:shd w:val="clear" w:color="auto" w:fill="FFFFFF"/>
        </w:rPr>
        <w:t>10.14236/</w:t>
      </w:r>
      <w:proofErr w:type="gramStart"/>
      <w:r w:rsidRPr="00714D4B">
        <w:rPr>
          <w:rFonts w:ascii="Arial" w:hAnsi="Arial" w:cs="Arial"/>
          <w:shd w:val="clear" w:color="auto" w:fill="FFFFFF"/>
        </w:rPr>
        <w:t>jhi.v</w:t>
      </w:r>
      <w:proofErr w:type="gramEnd"/>
      <w:r w:rsidRPr="00714D4B">
        <w:rPr>
          <w:rFonts w:ascii="Arial" w:hAnsi="Arial" w:cs="Arial"/>
          <w:shd w:val="clear" w:color="auto" w:fill="FFFFFF"/>
        </w:rPr>
        <w:t>19i1.793</w:t>
      </w:r>
    </w:p>
    <w:p w14:paraId="0927A8A6" w14:textId="77777777" w:rsidR="00620528" w:rsidRPr="00714D4B" w:rsidRDefault="00620528" w:rsidP="00620528">
      <w:pPr>
        <w:pStyle w:val="NormalWeb"/>
        <w:shd w:val="clear" w:color="auto" w:fill="FFFFFF"/>
        <w:spacing w:before="0" w:beforeAutospacing="0" w:after="173" w:afterAutospacing="0"/>
        <w:ind w:left="450" w:hanging="450"/>
        <w:rPr>
          <w:rFonts w:ascii="Arial" w:hAnsi="Arial" w:cs="Arial"/>
        </w:rPr>
      </w:pPr>
      <w:proofErr w:type="spellStart"/>
      <w:r w:rsidRPr="00714D4B">
        <w:rPr>
          <w:rFonts w:ascii="Arial" w:hAnsi="Arial" w:cs="Arial"/>
        </w:rPr>
        <w:lastRenderedPageBreak/>
        <w:t>Keyworth</w:t>
      </w:r>
      <w:proofErr w:type="spellEnd"/>
      <w:r w:rsidRPr="00714D4B">
        <w:rPr>
          <w:rFonts w:ascii="Arial" w:hAnsi="Arial" w:cs="Arial"/>
        </w:rPr>
        <w:t xml:space="preserve">, C., </w:t>
      </w:r>
      <w:proofErr w:type="spellStart"/>
      <w:r w:rsidRPr="00714D4B">
        <w:rPr>
          <w:rFonts w:ascii="Arial" w:hAnsi="Arial" w:cs="Arial"/>
        </w:rPr>
        <w:t>Epton</w:t>
      </w:r>
      <w:proofErr w:type="spellEnd"/>
      <w:r w:rsidRPr="00714D4B">
        <w:rPr>
          <w:rFonts w:ascii="Arial" w:hAnsi="Arial" w:cs="Arial"/>
        </w:rPr>
        <w:t xml:space="preserve">, T., Goldthorpe, J., </w:t>
      </w:r>
      <w:proofErr w:type="spellStart"/>
      <w:r w:rsidRPr="00714D4B">
        <w:rPr>
          <w:rFonts w:ascii="Arial" w:hAnsi="Arial" w:cs="Arial"/>
        </w:rPr>
        <w:t>Calam</w:t>
      </w:r>
      <w:proofErr w:type="spellEnd"/>
      <w:r w:rsidRPr="00714D4B">
        <w:rPr>
          <w:rFonts w:ascii="Arial" w:hAnsi="Arial" w:cs="Arial"/>
        </w:rPr>
        <w:t>, R. and Armitage, C.J. (2020), ‘Acceptability, reliability, and validity of a brief measure of capabilities, opportunities, and motivations (‘COM</w:t>
      </w:r>
      <w:r w:rsidRPr="00714D4B">
        <w:rPr>
          <w:rFonts w:ascii="Cambria Math" w:hAnsi="Cambria Math" w:cs="Cambria Math"/>
        </w:rPr>
        <w:t>‐</w:t>
      </w:r>
      <w:r w:rsidRPr="00714D4B">
        <w:rPr>
          <w:rFonts w:ascii="Arial" w:hAnsi="Arial" w:cs="Arial"/>
        </w:rPr>
        <w:t>B’)’</w:t>
      </w:r>
      <w:r w:rsidRPr="00714D4B">
        <w:rPr>
          <w:rFonts w:ascii="Arial" w:hAnsi="Arial" w:cs="Arial"/>
          <w:i/>
          <w:iCs/>
        </w:rPr>
        <w:t xml:space="preserve">, British journal of health psychology; Br J Health </w:t>
      </w:r>
      <w:proofErr w:type="spellStart"/>
      <w:r w:rsidRPr="00714D4B">
        <w:rPr>
          <w:rFonts w:ascii="Arial" w:hAnsi="Arial" w:cs="Arial"/>
          <w:i/>
          <w:iCs/>
        </w:rPr>
        <w:t>Psychol</w:t>
      </w:r>
      <w:proofErr w:type="spellEnd"/>
      <w:r w:rsidRPr="00714D4B">
        <w:rPr>
          <w:rFonts w:ascii="Arial" w:hAnsi="Arial" w:cs="Arial"/>
          <w:i/>
          <w:iCs/>
        </w:rPr>
        <w:t>, </w:t>
      </w:r>
      <w:r w:rsidRPr="00714D4B">
        <w:rPr>
          <w:rFonts w:ascii="Arial" w:hAnsi="Arial" w:cs="Arial"/>
        </w:rPr>
        <w:t xml:space="preserve">25(3), pp. 474-501. DOI: </w:t>
      </w:r>
      <w:r w:rsidRPr="00714D4B">
        <w:rPr>
          <w:rFonts w:ascii="Arial" w:hAnsi="Arial" w:cs="Arial"/>
          <w:shd w:val="clear" w:color="auto" w:fill="FFFFFF"/>
        </w:rPr>
        <w:t>10.1111/bjhp.12417</w:t>
      </w:r>
    </w:p>
    <w:p w14:paraId="517DAF30" w14:textId="77777777" w:rsidR="00620528" w:rsidRPr="00714D4B" w:rsidRDefault="00620528" w:rsidP="00620528">
      <w:pPr>
        <w:pStyle w:val="NormalWeb"/>
        <w:shd w:val="clear" w:color="auto" w:fill="FFFFFF"/>
        <w:spacing w:before="0" w:beforeAutospacing="0" w:after="173" w:afterAutospacing="0"/>
        <w:ind w:left="450" w:hanging="450"/>
        <w:rPr>
          <w:rFonts w:ascii="Arial" w:hAnsi="Arial" w:cs="Arial"/>
        </w:rPr>
      </w:pPr>
      <w:proofErr w:type="spellStart"/>
      <w:r w:rsidRPr="00714D4B">
        <w:rPr>
          <w:rFonts w:ascii="Arial" w:hAnsi="Arial" w:cs="Arial"/>
        </w:rPr>
        <w:t>Kiruparan</w:t>
      </w:r>
      <w:proofErr w:type="spellEnd"/>
      <w:r w:rsidRPr="00714D4B">
        <w:rPr>
          <w:rFonts w:ascii="Arial" w:hAnsi="Arial" w:cs="Arial"/>
        </w:rPr>
        <w:t xml:space="preserve">, P., </w:t>
      </w:r>
      <w:proofErr w:type="spellStart"/>
      <w:r w:rsidRPr="00714D4B">
        <w:rPr>
          <w:rFonts w:ascii="Arial" w:hAnsi="Arial" w:cs="Arial"/>
        </w:rPr>
        <w:t>Kiruparan</w:t>
      </w:r>
      <w:proofErr w:type="spellEnd"/>
      <w:r w:rsidRPr="00714D4B">
        <w:rPr>
          <w:rFonts w:ascii="Arial" w:hAnsi="Arial" w:cs="Arial"/>
        </w:rPr>
        <w:t>, N. and Debnath, D. (2020), ‘Impact of pre-appointment contact and short message service alerts in reducing 'Did Not Attend' (DNA) rate on rapid access new patient breast clinics: a DGH perspective’</w:t>
      </w:r>
      <w:r w:rsidRPr="00714D4B">
        <w:rPr>
          <w:rFonts w:ascii="Arial" w:hAnsi="Arial" w:cs="Arial"/>
          <w:i/>
          <w:iCs/>
        </w:rPr>
        <w:t xml:space="preserve">, BMC health services research; BMC Health </w:t>
      </w:r>
      <w:proofErr w:type="spellStart"/>
      <w:r w:rsidRPr="00714D4B">
        <w:rPr>
          <w:rFonts w:ascii="Arial" w:hAnsi="Arial" w:cs="Arial"/>
          <w:i/>
          <w:iCs/>
        </w:rPr>
        <w:t>Serv</w:t>
      </w:r>
      <w:proofErr w:type="spellEnd"/>
      <w:r w:rsidRPr="00714D4B">
        <w:rPr>
          <w:rFonts w:ascii="Arial" w:hAnsi="Arial" w:cs="Arial"/>
          <w:i/>
          <w:iCs/>
        </w:rPr>
        <w:t xml:space="preserve"> Res, </w:t>
      </w:r>
      <w:r w:rsidRPr="00714D4B">
        <w:rPr>
          <w:rFonts w:ascii="Arial" w:hAnsi="Arial" w:cs="Arial"/>
        </w:rPr>
        <w:t xml:space="preserve">20(1), pp. 757.DOI: </w:t>
      </w:r>
      <w:r w:rsidRPr="00714D4B">
        <w:rPr>
          <w:rFonts w:ascii="Arial" w:hAnsi="Arial" w:cs="Arial"/>
          <w:shd w:val="clear" w:color="auto" w:fill="FFFFFF"/>
        </w:rPr>
        <w:t>10.1186/s12913-020-05627-2</w:t>
      </w:r>
    </w:p>
    <w:p w14:paraId="5DB697D5" w14:textId="77777777" w:rsidR="00620528" w:rsidRPr="00714D4B" w:rsidRDefault="00620528" w:rsidP="00620528">
      <w:pPr>
        <w:pStyle w:val="NormalWeb"/>
        <w:shd w:val="clear" w:color="auto" w:fill="FFFFFF"/>
        <w:spacing w:before="0" w:beforeAutospacing="0" w:after="173" w:afterAutospacing="0"/>
        <w:ind w:left="450" w:hanging="450"/>
        <w:rPr>
          <w:rFonts w:ascii="Arial" w:hAnsi="Arial" w:cs="Arial"/>
        </w:rPr>
      </w:pPr>
      <w:r w:rsidRPr="00714D4B">
        <w:rPr>
          <w:rFonts w:ascii="Arial" w:hAnsi="Arial" w:cs="Arial"/>
        </w:rPr>
        <w:t xml:space="preserve">Linde, D.S., Andersen, M.S., </w:t>
      </w:r>
      <w:proofErr w:type="spellStart"/>
      <w:r w:rsidRPr="00714D4B">
        <w:rPr>
          <w:rFonts w:ascii="Arial" w:hAnsi="Arial" w:cs="Arial"/>
        </w:rPr>
        <w:t>Mwaiselage</w:t>
      </w:r>
      <w:proofErr w:type="spellEnd"/>
      <w:r w:rsidRPr="00714D4B">
        <w:rPr>
          <w:rFonts w:ascii="Arial" w:hAnsi="Arial" w:cs="Arial"/>
        </w:rPr>
        <w:t xml:space="preserve">, J., </w:t>
      </w:r>
      <w:proofErr w:type="spellStart"/>
      <w:r w:rsidRPr="00714D4B">
        <w:rPr>
          <w:rFonts w:ascii="Arial" w:hAnsi="Arial" w:cs="Arial"/>
        </w:rPr>
        <w:t>Manongi</w:t>
      </w:r>
      <w:proofErr w:type="spellEnd"/>
      <w:r w:rsidRPr="00714D4B">
        <w:rPr>
          <w:rFonts w:ascii="Arial" w:hAnsi="Arial" w:cs="Arial"/>
        </w:rPr>
        <w:t xml:space="preserve">, R., </w:t>
      </w:r>
      <w:proofErr w:type="spellStart"/>
      <w:r w:rsidRPr="00714D4B">
        <w:rPr>
          <w:rFonts w:ascii="Arial" w:hAnsi="Arial" w:cs="Arial"/>
        </w:rPr>
        <w:t>Kjaer</w:t>
      </w:r>
      <w:proofErr w:type="spellEnd"/>
      <w:r w:rsidRPr="00714D4B">
        <w:rPr>
          <w:rFonts w:ascii="Arial" w:hAnsi="Arial" w:cs="Arial"/>
        </w:rPr>
        <w:t>, S.K. and Rasch, V. (2020), ‘Effectiveness of One-Way Text Messaging on Attendance to Follow-Up Cervical Cancer Screening Among Human Papillomavirus-Positive Tanzanian Women (Connected2Care): Parallel-Group Randomized Controlled Trial’</w:t>
      </w:r>
      <w:r w:rsidRPr="00714D4B">
        <w:rPr>
          <w:rFonts w:ascii="Arial" w:hAnsi="Arial" w:cs="Arial"/>
          <w:i/>
          <w:iCs/>
        </w:rPr>
        <w:t>, Journal of medical Internet research; J Med Internet Res, </w:t>
      </w:r>
      <w:r w:rsidRPr="00714D4B">
        <w:rPr>
          <w:rFonts w:ascii="Arial" w:hAnsi="Arial" w:cs="Arial"/>
        </w:rPr>
        <w:t xml:space="preserve">22(4), pp. e15863. DOI: </w:t>
      </w:r>
      <w:r w:rsidRPr="00714D4B">
        <w:rPr>
          <w:rFonts w:ascii="Arial" w:hAnsi="Arial" w:cs="Arial"/>
          <w:shd w:val="clear" w:color="auto" w:fill="FFFFFF"/>
        </w:rPr>
        <w:t>10.2196/15863</w:t>
      </w:r>
    </w:p>
    <w:p w14:paraId="40EBA696" w14:textId="77777777" w:rsidR="00620528" w:rsidRPr="00714D4B" w:rsidRDefault="00620528" w:rsidP="00620528">
      <w:pPr>
        <w:pStyle w:val="NormalWeb"/>
        <w:shd w:val="clear" w:color="auto" w:fill="FFFFFF"/>
        <w:spacing w:before="0" w:beforeAutospacing="0" w:after="173" w:afterAutospacing="0"/>
        <w:ind w:left="450" w:hanging="450"/>
        <w:rPr>
          <w:rFonts w:ascii="Arial" w:hAnsi="Arial" w:cs="Arial"/>
        </w:rPr>
      </w:pPr>
      <w:r w:rsidRPr="00714D4B">
        <w:rPr>
          <w:rFonts w:ascii="Arial" w:hAnsi="Arial" w:cs="Arial"/>
        </w:rPr>
        <w:t xml:space="preserve">Michie, S., van </w:t>
      </w:r>
      <w:proofErr w:type="spellStart"/>
      <w:r w:rsidRPr="00714D4B">
        <w:rPr>
          <w:rFonts w:ascii="Arial" w:hAnsi="Arial" w:cs="Arial"/>
        </w:rPr>
        <w:t>Stralen</w:t>
      </w:r>
      <w:proofErr w:type="spellEnd"/>
      <w:r w:rsidRPr="00714D4B">
        <w:rPr>
          <w:rFonts w:ascii="Arial" w:hAnsi="Arial" w:cs="Arial"/>
        </w:rPr>
        <w:t>, M.M. and West, R. (2011), ‘The behaviour change wheel: a new method for characterising and designing behaviour change interventions’</w:t>
      </w:r>
      <w:r w:rsidRPr="00714D4B">
        <w:rPr>
          <w:rFonts w:ascii="Arial" w:hAnsi="Arial" w:cs="Arial"/>
          <w:i/>
          <w:iCs/>
        </w:rPr>
        <w:t>, Implementation science : IS, </w:t>
      </w:r>
      <w:r w:rsidRPr="00714D4B">
        <w:rPr>
          <w:rFonts w:ascii="Arial" w:hAnsi="Arial" w:cs="Arial"/>
        </w:rPr>
        <w:t xml:space="preserve">6. Available at: </w:t>
      </w:r>
      <w:hyperlink r:id="rId34" w:history="1">
        <w:r w:rsidRPr="00714D4B">
          <w:rPr>
            <w:rStyle w:val="Hyperlink"/>
            <w:rFonts w:ascii="Arial" w:hAnsi="Arial" w:cs="Arial"/>
          </w:rPr>
          <w:t>The behaviour change wheel: A new method for characterising and designing behaviour change interventions - ProQuest</w:t>
        </w:r>
      </w:hyperlink>
      <w:r w:rsidRPr="00714D4B">
        <w:rPr>
          <w:rFonts w:ascii="Arial" w:hAnsi="Arial" w:cs="Arial"/>
        </w:rPr>
        <w:t xml:space="preserve"> (Accessed: 24/02/22)</w:t>
      </w:r>
    </w:p>
    <w:p w14:paraId="2B62AB06" w14:textId="77777777" w:rsidR="00620528" w:rsidRPr="00714D4B" w:rsidRDefault="00620528" w:rsidP="00620528">
      <w:pPr>
        <w:pStyle w:val="NormalWeb"/>
        <w:shd w:val="clear" w:color="auto" w:fill="FFFFFF"/>
        <w:spacing w:before="0" w:beforeAutospacing="0" w:after="173" w:afterAutospacing="0"/>
        <w:ind w:left="450" w:hanging="450"/>
        <w:rPr>
          <w:rFonts w:ascii="Arial" w:hAnsi="Arial" w:cs="Arial"/>
          <w:shd w:val="clear" w:color="auto" w:fill="FFFFFF"/>
        </w:rPr>
      </w:pPr>
      <w:r w:rsidRPr="00714D4B">
        <w:rPr>
          <w:rFonts w:ascii="Arial" w:hAnsi="Arial" w:cs="Arial"/>
        </w:rPr>
        <w:t xml:space="preserve">Nilsson, L., </w:t>
      </w:r>
      <w:proofErr w:type="spellStart"/>
      <w:r w:rsidRPr="00714D4B">
        <w:rPr>
          <w:rFonts w:ascii="Arial" w:hAnsi="Arial" w:cs="Arial"/>
        </w:rPr>
        <w:t>Hellström</w:t>
      </w:r>
      <w:proofErr w:type="spellEnd"/>
      <w:r w:rsidRPr="00714D4B">
        <w:rPr>
          <w:rFonts w:ascii="Arial" w:hAnsi="Arial" w:cs="Arial"/>
        </w:rPr>
        <w:t xml:space="preserve">, A., </w:t>
      </w:r>
      <w:proofErr w:type="spellStart"/>
      <w:r w:rsidRPr="00714D4B">
        <w:rPr>
          <w:rFonts w:ascii="Arial" w:hAnsi="Arial" w:cs="Arial"/>
        </w:rPr>
        <w:t>Wennerberg</w:t>
      </w:r>
      <w:proofErr w:type="spellEnd"/>
      <w:r w:rsidRPr="00714D4B">
        <w:rPr>
          <w:rFonts w:ascii="Arial" w:hAnsi="Arial" w:cs="Arial"/>
        </w:rPr>
        <w:t xml:space="preserve">, C., </w:t>
      </w:r>
      <w:proofErr w:type="spellStart"/>
      <w:r w:rsidRPr="00714D4B">
        <w:rPr>
          <w:rFonts w:ascii="Arial" w:hAnsi="Arial" w:cs="Arial"/>
        </w:rPr>
        <w:t>Ekstedt</w:t>
      </w:r>
      <w:proofErr w:type="spellEnd"/>
      <w:r w:rsidRPr="00714D4B">
        <w:rPr>
          <w:rFonts w:ascii="Arial" w:hAnsi="Arial" w:cs="Arial"/>
        </w:rPr>
        <w:t xml:space="preserve">, M. and </w:t>
      </w:r>
      <w:proofErr w:type="spellStart"/>
      <w:r w:rsidRPr="00714D4B">
        <w:rPr>
          <w:rFonts w:ascii="Arial" w:hAnsi="Arial" w:cs="Arial"/>
        </w:rPr>
        <w:t>Schildmeijer</w:t>
      </w:r>
      <w:proofErr w:type="spellEnd"/>
      <w:r w:rsidRPr="00714D4B">
        <w:rPr>
          <w:rFonts w:ascii="Arial" w:hAnsi="Arial" w:cs="Arial"/>
        </w:rPr>
        <w:t>, K. (2020), ‘Patients’ experiences of using an e-Health tool for self-management support after prostate cancer surgery: a deductive interview study explained through the FITT framework’</w:t>
      </w:r>
      <w:r w:rsidRPr="00714D4B">
        <w:rPr>
          <w:rFonts w:ascii="Arial" w:hAnsi="Arial" w:cs="Arial"/>
          <w:i/>
          <w:iCs/>
        </w:rPr>
        <w:t>, BMJ open; BMJ Open, </w:t>
      </w:r>
      <w:r w:rsidRPr="00714D4B">
        <w:rPr>
          <w:rFonts w:ascii="Arial" w:hAnsi="Arial" w:cs="Arial"/>
        </w:rPr>
        <w:t xml:space="preserve">10(6), pp. e035024. DOI: </w:t>
      </w:r>
      <w:r w:rsidRPr="00714D4B">
        <w:rPr>
          <w:rFonts w:ascii="Arial" w:hAnsi="Arial" w:cs="Arial"/>
          <w:shd w:val="clear" w:color="auto" w:fill="FFFFFF"/>
        </w:rPr>
        <w:t>10.1136/bmjopen-2019-035024</w:t>
      </w:r>
    </w:p>
    <w:p w14:paraId="0347D98E" w14:textId="77777777" w:rsidR="00620528" w:rsidRPr="00714D4B" w:rsidRDefault="00620528" w:rsidP="00620528">
      <w:pPr>
        <w:pStyle w:val="NormalWeb"/>
        <w:shd w:val="clear" w:color="auto" w:fill="FFFFFF"/>
        <w:spacing w:before="0" w:beforeAutospacing="0" w:after="173" w:afterAutospacing="0"/>
        <w:ind w:left="450" w:hanging="450"/>
        <w:rPr>
          <w:rFonts w:ascii="Arial" w:hAnsi="Arial" w:cs="Arial"/>
        </w:rPr>
      </w:pPr>
      <w:r w:rsidRPr="00714D4B">
        <w:rPr>
          <w:rFonts w:ascii="Arial" w:hAnsi="Arial" w:cs="Arial"/>
          <w:shd w:val="clear" w:color="auto" w:fill="FFFFFF"/>
        </w:rPr>
        <w:t xml:space="preserve">Ofcom, (2022), </w:t>
      </w:r>
      <w:r w:rsidRPr="00714D4B">
        <w:rPr>
          <w:rFonts w:ascii="Arial" w:hAnsi="Arial" w:cs="Arial"/>
          <w:i/>
          <w:iCs/>
        </w:rPr>
        <w:t xml:space="preserve">Telecommunications Market Data Update Q3 2021 </w:t>
      </w:r>
      <w:r w:rsidRPr="00714D4B">
        <w:rPr>
          <w:rFonts w:ascii="Arial" w:hAnsi="Arial" w:cs="Arial"/>
        </w:rPr>
        <w:t xml:space="preserve">Available at: </w:t>
      </w:r>
      <w:hyperlink r:id="rId35" w:history="1">
        <w:r w:rsidRPr="00714D4B">
          <w:rPr>
            <w:rStyle w:val="Hyperlink"/>
            <w:rFonts w:ascii="Arial" w:hAnsi="Arial" w:cs="Arial"/>
          </w:rPr>
          <w:t>Q3 2021 Telecoms Data Update (ofcom.org.uk)</w:t>
        </w:r>
      </w:hyperlink>
      <w:r w:rsidRPr="00714D4B">
        <w:rPr>
          <w:rFonts w:ascii="Arial" w:hAnsi="Arial" w:cs="Arial"/>
        </w:rPr>
        <w:t xml:space="preserve"> (Accessed: 12/02/2022)</w:t>
      </w:r>
    </w:p>
    <w:p w14:paraId="7671BDED" w14:textId="77777777" w:rsidR="00620528" w:rsidRPr="00714D4B" w:rsidRDefault="00620528" w:rsidP="00620528">
      <w:pPr>
        <w:pStyle w:val="NormalWeb"/>
        <w:shd w:val="clear" w:color="auto" w:fill="FFFFFF"/>
        <w:spacing w:before="0" w:beforeAutospacing="0" w:after="173" w:afterAutospacing="0"/>
        <w:ind w:left="450" w:hanging="450"/>
        <w:rPr>
          <w:rFonts w:ascii="Arial" w:hAnsi="Arial" w:cs="Arial"/>
        </w:rPr>
      </w:pPr>
      <w:proofErr w:type="spellStart"/>
      <w:r w:rsidRPr="00714D4B">
        <w:rPr>
          <w:rFonts w:ascii="Arial" w:hAnsi="Arial" w:cs="Arial"/>
        </w:rPr>
        <w:t>Prudden</w:t>
      </w:r>
      <w:proofErr w:type="spellEnd"/>
      <w:r w:rsidRPr="00714D4B">
        <w:rPr>
          <w:rFonts w:ascii="Arial" w:hAnsi="Arial" w:cs="Arial"/>
        </w:rPr>
        <w:t xml:space="preserve">, G. (2021), ‘Quality improvement project exploring the factors in non-attendance at an NHS musculoskeletal </w:t>
      </w:r>
      <w:proofErr w:type="gramStart"/>
      <w:r w:rsidRPr="00714D4B">
        <w:rPr>
          <w:rFonts w:ascii="Arial" w:hAnsi="Arial" w:cs="Arial"/>
        </w:rPr>
        <w:t>outpatients</w:t>
      </w:r>
      <w:proofErr w:type="gramEnd"/>
      <w:r w:rsidRPr="00714D4B">
        <w:rPr>
          <w:rFonts w:ascii="Arial" w:hAnsi="Arial" w:cs="Arial"/>
        </w:rPr>
        <w:t xml:space="preserve"> department’</w:t>
      </w:r>
      <w:r w:rsidRPr="00714D4B">
        <w:rPr>
          <w:rFonts w:ascii="Arial" w:hAnsi="Arial" w:cs="Arial"/>
          <w:i/>
          <w:iCs/>
        </w:rPr>
        <w:t>, Physiotherapy, </w:t>
      </w:r>
      <w:r w:rsidRPr="00714D4B">
        <w:rPr>
          <w:rFonts w:ascii="Arial" w:hAnsi="Arial" w:cs="Arial"/>
        </w:rPr>
        <w:t xml:space="preserve">113, pp. e151-e152. DOI: </w:t>
      </w:r>
      <w:r w:rsidRPr="00714D4B">
        <w:rPr>
          <w:rFonts w:ascii="Arial" w:hAnsi="Arial" w:cs="Arial"/>
          <w:shd w:val="clear" w:color="auto" w:fill="FFFFFF"/>
        </w:rPr>
        <w:t>10.1016/j.physio.2021.10.149</w:t>
      </w:r>
    </w:p>
    <w:p w14:paraId="049026CA" w14:textId="77777777" w:rsidR="00620528" w:rsidRPr="00714D4B" w:rsidRDefault="00620528" w:rsidP="00620528">
      <w:pPr>
        <w:pStyle w:val="NormalWeb"/>
        <w:shd w:val="clear" w:color="auto" w:fill="FFFFFF"/>
        <w:spacing w:before="0" w:beforeAutospacing="0" w:after="173" w:afterAutospacing="0"/>
        <w:ind w:left="450" w:hanging="450"/>
        <w:rPr>
          <w:rFonts w:ascii="Arial" w:hAnsi="Arial" w:cs="Arial"/>
        </w:rPr>
      </w:pPr>
      <w:proofErr w:type="spellStart"/>
      <w:r w:rsidRPr="00714D4B">
        <w:rPr>
          <w:rFonts w:ascii="Arial" w:hAnsi="Arial" w:cs="Arial"/>
        </w:rPr>
        <w:t>Robotham</w:t>
      </w:r>
      <w:proofErr w:type="spellEnd"/>
      <w:r w:rsidRPr="00714D4B">
        <w:rPr>
          <w:rFonts w:ascii="Arial" w:hAnsi="Arial" w:cs="Arial"/>
        </w:rPr>
        <w:t xml:space="preserve">, D., </w:t>
      </w:r>
      <w:proofErr w:type="spellStart"/>
      <w:r w:rsidRPr="00714D4B">
        <w:rPr>
          <w:rFonts w:ascii="Arial" w:hAnsi="Arial" w:cs="Arial"/>
        </w:rPr>
        <w:t>Satkunanathan</w:t>
      </w:r>
      <w:proofErr w:type="spellEnd"/>
      <w:r w:rsidRPr="00714D4B">
        <w:rPr>
          <w:rFonts w:ascii="Arial" w:hAnsi="Arial" w:cs="Arial"/>
        </w:rPr>
        <w:t>, S., Reynolds, J., Stahl, D. and Wykes, T. (2016), ‘Using digital notifications to improve attendance in clinic: systematic review and meta-analysis’</w:t>
      </w:r>
      <w:r w:rsidRPr="00714D4B">
        <w:rPr>
          <w:rFonts w:ascii="Arial" w:hAnsi="Arial" w:cs="Arial"/>
          <w:i/>
          <w:iCs/>
        </w:rPr>
        <w:t>, BMJ open; BMJ Open, </w:t>
      </w:r>
      <w:r w:rsidRPr="00714D4B">
        <w:rPr>
          <w:rFonts w:ascii="Arial" w:hAnsi="Arial" w:cs="Arial"/>
        </w:rPr>
        <w:t xml:space="preserve">6(10), pp. e012116. DOI: </w:t>
      </w:r>
      <w:r w:rsidRPr="00714D4B">
        <w:rPr>
          <w:rFonts w:ascii="Arial" w:hAnsi="Arial" w:cs="Arial"/>
          <w:shd w:val="clear" w:color="auto" w:fill="FFFFFF"/>
        </w:rPr>
        <w:t>10.1136/bmjopen-2016-012116</w:t>
      </w:r>
    </w:p>
    <w:p w14:paraId="292CB6FA" w14:textId="77777777" w:rsidR="00620528" w:rsidRPr="00714D4B" w:rsidRDefault="00620528" w:rsidP="00620528">
      <w:pPr>
        <w:pStyle w:val="NormalWeb"/>
        <w:shd w:val="clear" w:color="auto" w:fill="FFFFFF"/>
        <w:spacing w:before="0" w:beforeAutospacing="0" w:after="173" w:afterAutospacing="0"/>
        <w:ind w:left="450" w:hanging="450"/>
        <w:rPr>
          <w:rFonts w:ascii="Arial" w:hAnsi="Arial" w:cs="Arial"/>
        </w:rPr>
      </w:pPr>
      <w:proofErr w:type="spellStart"/>
      <w:r w:rsidRPr="00714D4B">
        <w:rPr>
          <w:rFonts w:ascii="Arial" w:hAnsi="Arial" w:cs="Arial"/>
        </w:rPr>
        <w:t>Roese</w:t>
      </w:r>
      <w:proofErr w:type="spellEnd"/>
      <w:r w:rsidRPr="00714D4B">
        <w:rPr>
          <w:rFonts w:ascii="Arial" w:hAnsi="Arial" w:cs="Arial"/>
        </w:rPr>
        <w:t xml:space="preserve">, N.J. and </w:t>
      </w:r>
      <w:proofErr w:type="spellStart"/>
      <w:r w:rsidRPr="00714D4B">
        <w:rPr>
          <w:rFonts w:ascii="Arial" w:hAnsi="Arial" w:cs="Arial"/>
        </w:rPr>
        <w:t>Vohs</w:t>
      </w:r>
      <w:proofErr w:type="spellEnd"/>
      <w:r w:rsidRPr="00714D4B">
        <w:rPr>
          <w:rFonts w:ascii="Arial" w:hAnsi="Arial" w:cs="Arial"/>
        </w:rPr>
        <w:t>, K.D. (2012), ‘Hindsight Bias’</w:t>
      </w:r>
      <w:r w:rsidRPr="00714D4B">
        <w:rPr>
          <w:rFonts w:ascii="Arial" w:hAnsi="Arial" w:cs="Arial"/>
          <w:i/>
          <w:iCs/>
        </w:rPr>
        <w:t xml:space="preserve">, Perspectives on psychological science; </w:t>
      </w:r>
      <w:proofErr w:type="spellStart"/>
      <w:r w:rsidRPr="00714D4B">
        <w:rPr>
          <w:rFonts w:ascii="Arial" w:hAnsi="Arial" w:cs="Arial"/>
          <w:i/>
          <w:iCs/>
        </w:rPr>
        <w:t>Perspect</w:t>
      </w:r>
      <w:proofErr w:type="spellEnd"/>
      <w:r w:rsidRPr="00714D4B">
        <w:rPr>
          <w:rFonts w:ascii="Arial" w:hAnsi="Arial" w:cs="Arial"/>
          <w:i/>
          <w:iCs/>
        </w:rPr>
        <w:t xml:space="preserve"> </w:t>
      </w:r>
      <w:proofErr w:type="spellStart"/>
      <w:r w:rsidRPr="00714D4B">
        <w:rPr>
          <w:rFonts w:ascii="Arial" w:hAnsi="Arial" w:cs="Arial"/>
          <w:i/>
          <w:iCs/>
        </w:rPr>
        <w:t>Psychol</w:t>
      </w:r>
      <w:proofErr w:type="spellEnd"/>
      <w:r w:rsidRPr="00714D4B">
        <w:rPr>
          <w:rFonts w:ascii="Arial" w:hAnsi="Arial" w:cs="Arial"/>
          <w:i/>
          <w:iCs/>
        </w:rPr>
        <w:t xml:space="preserve"> Sci, </w:t>
      </w:r>
      <w:r w:rsidRPr="00714D4B">
        <w:rPr>
          <w:rFonts w:ascii="Arial" w:hAnsi="Arial" w:cs="Arial"/>
        </w:rPr>
        <w:t xml:space="preserve">7(5), pp. 411-426. DOI: </w:t>
      </w:r>
      <w:r w:rsidRPr="00714D4B">
        <w:rPr>
          <w:rFonts w:ascii="Arial" w:hAnsi="Arial" w:cs="Arial"/>
          <w:shd w:val="clear" w:color="auto" w:fill="FFFFFF"/>
        </w:rPr>
        <w:t>10.1177/1745691612454303</w:t>
      </w:r>
    </w:p>
    <w:p w14:paraId="33745303" w14:textId="77777777" w:rsidR="00620528" w:rsidRPr="00714D4B" w:rsidRDefault="00620528" w:rsidP="00620528">
      <w:pPr>
        <w:pStyle w:val="NormalWeb"/>
        <w:shd w:val="clear" w:color="auto" w:fill="FFFFFF"/>
        <w:spacing w:before="0" w:beforeAutospacing="0" w:after="173" w:afterAutospacing="0"/>
        <w:ind w:left="450" w:hanging="450"/>
        <w:rPr>
          <w:rFonts w:ascii="Arial" w:hAnsi="Arial" w:cs="Arial"/>
        </w:rPr>
      </w:pPr>
      <w:proofErr w:type="spellStart"/>
      <w:r w:rsidRPr="00714D4B">
        <w:rPr>
          <w:rFonts w:ascii="Arial" w:hAnsi="Arial" w:cs="Arial"/>
        </w:rPr>
        <w:t>Schubel</w:t>
      </w:r>
      <w:proofErr w:type="spellEnd"/>
      <w:r w:rsidRPr="00714D4B">
        <w:rPr>
          <w:rFonts w:ascii="Arial" w:hAnsi="Arial" w:cs="Arial"/>
        </w:rPr>
        <w:t xml:space="preserve">, L., Stein, L., Barrientos, R.R., </w:t>
      </w:r>
      <w:proofErr w:type="spellStart"/>
      <w:r w:rsidRPr="00714D4B">
        <w:rPr>
          <w:rFonts w:ascii="Arial" w:hAnsi="Arial" w:cs="Arial"/>
        </w:rPr>
        <w:t>Valdiviezo</w:t>
      </w:r>
      <w:proofErr w:type="spellEnd"/>
      <w:r w:rsidRPr="00714D4B">
        <w:rPr>
          <w:rFonts w:ascii="Arial" w:hAnsi="Arial" w:cs="Arial"/>
        </w:rPr>
        <w:t xml:space="preserve">, C., Townsend, M., </w:t>
      </w:r>
      <w:proofErr w:type="spellStart"/>
      <w:r w:rsidRPr="00714D4B">
        <w:rPr>
          <w:rFonts w:ascii="Arial" w:hAnsi="Arial" w:cs="Arial"/>
        </w:rPr>
        <w:t>Basch</w:t>
      </w:r>
      <w:proofErr w:type="spellEnd"/>
      <w:r w:rsidRPr="00714D4B">
        <w:rPr>
          <w:rFonts w:ascii="Arial" w:hAnsi="Arial" w:cs="Arial"/>
        </w:rPr>
        <w:t xml:space="preserve">, P., Weintraub, W., Hettinger, Z., </w:t>
      </w:r>
      <w:proofErr w:type="spellStart"/>
      <w:r w:rsidRPr="00714D4B">
        <w:rPr>
          <w:rFonts w:ascii="Arial" w:hAnsi="Arial" w:cs="Arial"/>
        </w:rPr>
        <w:t>Laccay</w:t>
      </w:r>
      <w:proofErr w:type="spellEnd"/>
      <w:r w:rsidRPr="00714D4B">
        <w:rPr>
          <w:rFonts w:ascii="Arial" w:hAnsi="Arial" w:cs="Arial"/>
        </w:rPr>
        <w:t>, C., Chaney, K. and Miller, K. (2019), ‘Bridging the gap: Workflow analysis evaluating ‘work-as-imagined’ versus ‘work-as-done’ for cardiac risk calculation’</w:t>
      </w:r>
      <w:r w:rsidRPr="00714D4B">
        <w:rPr>
          <w:rFonts w:ascii="Arial" w:hAnsi="Arial" w:cs="Arial"/>
          <w:i/>
          <w:iCs/>
        </w:rPr>
        <w:t>, Proceedings of the Human Factors and Ergonomics Society Annual Meeting, </w:t>
      </w:r>
      <w:r w:rsidRPr="00714D4B">
        <w:rPr>
          <w:rFonts w:ascii="Arial" w:hAnsi="Arial" w:cs="Arial"/>
        </w:rPr>
        <w:t xml:space="preserve">63(1), pp. 767-771. DOI: </w:t>
      </w:r>
      <w:r w:rsidRPr="00714D4B">
        <w:rPr>
          <w:rFonts w:ascii="Arial" w:hAnsi="Arial" w:cs="Arial"/>
          <w:shd w:val="clear" w:color="auto" w:fill="FFFFFF"/>
        </w:rPr>
        <w:t>10.1177/1071181319631288</w:t>
      </w:r>
    </w:p>
    <w:p w14:paraId="10A16ACA" w14:textId="77777777" w:rsidR="00620528" w:rsidRPr="00714D4B" w:rsidRDefault="00620528" w:rsidP="00620528">
      <w:pPr>
        <w:pStyle w:val="NormalWeb"/>
        <w:shd w:val="clear" w:color="auto" w:fill="FFFFFF"/>
        <w:spacing w:before="0" w:beforeAutospacing="0" w:after="173" w:afterAutospacing="0"/>
        <w:ind w:left="450" w:hanging="450"/>
        <w:rPr>
          <w:rFonts w:ascii="Arial" w:hAnsi="Arial" w:cs="Arial"/>
        </w:rPr>
      </w:pPr>
      <w:proofErr w:type="spellStart"/>
      <w:r w:rsidRPr="00714D4B">
        <w:rPr>
          <w:rFonts w:ascii="Arial" w:hAnsi="Arial" w:cs="Arial"/>
        </w:rPr>
        <w:lastRenderedPageBreak/>
        <w:t>Torjesen</w:t>
      </w:r>
      <w:proofErr w:type="spellEnd"/>
      <w:r w:rsidRPr="00714D4B">
        <w:rPr>
          <w:rFonts w:ascii="Arial" w:hAnsi="Arial" w:cs="Arial"/>
        </w:rPr>
        <w:t>, I. (2015), ‘Patients will be told cost of missed appointments and may be charged’</w:t>
      </w:r>
      <w:r w:rsidRPr="00714D4B">
        <w:rPr>
          <w:rFonts w:ascii="Arial" w:hAnsi="Arial" w:cs="Arial"/>
          <w:i/>
          <w:iCs/>
        </w:rPr>
        <w:t xml:space="preserve">, </w:t>
      </w:r>
      <w:proofErr w:type="gramStart"/>
      <w:r w:rsidRPr="00714D4B">
        <w:rPr>
          <w:rFonts w:ascii="Arial" w:hAnsi="Arial" w:cs="Arial"/>
          <w:i/>
          <w:iCs/>
        </w:rPr>
        <w:t>BMJ :</w:t>
      </w:r>
      <w:proofErr w:type="gramEnd"/>
      <w:r w:rsidRPr="00714D4B">
        <w:rPr>
          <w:rFonts w:ascii="Arial" w:hAnsi="Arial" w:cs="Arial"/>
          <w:i/>
          <w:iCs/>
        </w:rPr>
        <w:t xml:space="preserve"> British Medical Journal; BMJ, </w:t>
      </w:r>
      <w:r w:rsidRPr="00714D4B">
        <w:rPr>
          <w:rFonts w:ascii="Arial" w:hAnsi="Arial" w:cs="Arial"/>
        </w:rPr>
        <w:t xml:space="preserve">351, pp. h3663.DOI: </w:t>
      </w:r>
      <w:r w:rsidRPr="00714D4B">
        <w:rPr>
          <w:rFonts w:ascii="Arial" w:hAnsi="Arial" w:cs="Arial"/>
          <w:shd w:val="clear" w:color="auto" w:fill="FFFFFF"/>
        </w:rPr>
        <w:t>10.1136/bmj.h3663</w:t>
      </w:r>
    </w:p>
    <w:p w14:paraId="1B8A92EA" w14:textId="77777777" w:rsidR="00620528" w:rsidRPr="00714D4B" w:rsidRDefault="00620528" w:rsidP="00620528">
      <w:pPr>
        <w:pStyle w:val="NormalWeb"/>
        <w:shd w:val="clear" w:color="auto" w:fill="FFFFFF"/>
        <w:spacing w:before="0" w:beforeAutospacing="0" w:after="173" w:afterAutospacing="0"/>
        <w:ind w:left="450" w:hanging="450"/>
        <w:rPr>
          <w:rFonts w:ascii="Arial" w:hAnsi="Arial" w:cs="Arial"/>
        </w:rPr>
      </w:pPr>
      <w:proofErr w:type="spellStart"/>
      <w:r w:rsidRPr="00714D4B">
        <w:rPr>
          <w:rFonts w:ascii="Arial" w:hAnsi="Arial" w:cs="Arial"/>
        </w:rPr>
        <w:t>Tsiknakis</w:t>
      </w:r>
      <w:proofErr w:type="spellEnd"/>
      <w:r w:rsidRPr="00714D4B">
        <w:rPr>
          <w:rFonts w:ascii="Arial" w:hAnsi="Arial" w:cs="Arial"/>
        </w:rPr>
        <w:t xml:space="preserve">, M. and </w:t>
      </w:r>
      <w:proofErr w:type="spellStart"/>
      <w:r w:rsidRPr="00714D4B">
        <w:rPr>
          <w:rFonts w:ascii="Arial" w:hAnsi="Arial" w:cs="Arial"/>
        </w:rPr>
        <w:t>Kouroubali</w:t>
      </w:r>
      <w:proofErr w:type="spellEnd"/>
      <w:r w:rsidRPr="00714D4B">
        <w:rPr>
          <w:rFonts w:ascii="Arial" w:hAnsi="Arial" w:cs="Arial"/>
        </w:rPr>
        <w:t>, A. (2008), ‘Organizational factors affecting successful adoption of innovative eHealth services: A case study employing the FITT framework’</w:t>
      </w:r>
      <w:r w:rsidRPr="00714D4B">
        <w:rPr>
          <w:rFonts w:ascii="Arial" w:hAnsi="Arial" w:cs="Arial"/>
          <w:i/>
          <w:iCs/>
        </w:rPr>
        <w:t>, International journal of medical informatics (Shannon, Ireland); Int J Med Inform, </w:t>
      </w:r>
      <w:r w:rsidRPr="00714D4B">
        <w:rPr>
          <w:rFonts w:ascii="Arial" w:hAnsi="Arial" w:cs="Arial"/>
        </w:rPr>
        <w:t xml:space="preserve">78(1), pp. 39-52. DOI: </w:t>
      </w:r>
      <w:r w:rsidRPr="00714D4B">
        <w:rPr>
          <w:rFonts w:ascii="Arial" w:hAnsi="Arial" w:cs="Arial"/>
          <w:shd w:val="clear" w:color="auto" w:fill="FFFFFF"/>
        </w:rPr>
        <w:t>10.1016/j.ijmedinf.2008.07.001</w:t>
      </w:r>
    </w:p>
    <w:p w14:paraId="2E32D215" w14:textId="77777777" w:rsidR="00620528" w:rsidRPr="00714D4B" w:rsidRDefault="00620528" w:rsidP="00620528">
      <w:pPr>
        <w:rPr>
          <w:rFonts w:ascii="Arial" w:hAnsi="Arial" w:cs="Arial"/>
          <w:sz w:val="24"/>
          <w:szCs w:val="24"/>
        </w:rPr>
      </w:pPr>
      <w:r w:rsidRPr="00714D4B">
        <w:rPr>
          <w:rFonts w:ascii="Arial" w:hAnsi="Arial" w:cs="Arial"/>
          <w:sz w:val="24"/>
          <w:szCs w:val="24"/>
        </w:rPr>
        <w:tab/>
      </w:r>
    </w:p>
    <w:p w14:paraId="243568D8" w14:textId="77777777" w:rsidR="00620528" w:rsidRPr="00222676" w:rsidRDefault="00620528" w:rsidP="00C6452F">
      <w:pPr>
        <w:jc w:val="both"/>
      </w:pPr>
    </w:p>
    <w:sectPr w:rsidR="00620528" w:rsidRPr="00222676">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D9481" w14:textId="77777777" w:rsidR="0005506F" w:rsidRDefault="0005506F" w:rsidP="002C074F">
      <w:pPr>
        <w:spacing w:after="0" w:line="240" w:lineRule="auto"/>
      </w:pPr>
      <w:r>
        <w:separator/>
      </w:r>
    </w:p>
  </w:endnote>
  <w:endnote w:type="continuationSeparator" w:id="0">
    <w:p w14:paraId="1F782B1F" w14:textId="77777777" w:rsidR="0005506F" w:rsidRDefault="0005506F" w:rsidP="002C07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8350555"/>
      <w:docPartObj>
        <w:docPartGallery w:val="Page Numbers (Bottom of Page)"/>
        <w:docPartUnique/>
      </w:docPartObj>
    </w:sdtPr>
    <w:sdtEndPr>
      <w:rPr>
        <w:noProof/>
      </w:rPr>
    </w:sdtEndPr>
    <w:sdtContent>
      <w:p w14:paraId="45DFB120" w14:textId="1EC7E2C0" w:rsidR="002C074F" w:rsidRDefault="002C07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6DCFEC" w14:textId="77777777" w:rsidR="002C074F" w:rsidRDefault="002C07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CFA86" w14:textId="77777777" w:rsidR="0005506F" w:rsidRDefault="0005506F" w:rsidP="002C074F">
      <w:pPr>
        <w:spacing w:after="0" w:line="240" w:lineRule="auto"/>
      </w:pPr>
      <w:r>
        <w:separator/>
      </w:r>
    </w:p>
  </w:footnote>
  <w:footnote w:type="continuationSeparator" w:id="0">
    <w:p w14:paraId="5CA0B2A0" w14:textId="77777777" w:rsidR="0005506F" w:rsidRDefault="0005506F" w:rsidP="002C07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7172F" w14:textId="77777777" w:rsidR="002C074F" w:rsidRPr="002C074F" w:rsidRDefault="002C074F">
    <w:pPr>
      <w:pStyle w:val="Header"/>
      <w:rPr>
        <w:rFonts w:ascii="Arial" w:hAnsi="Arial" w:cs="Arial"/>
        <w:color w:val="000000"/>
      </w:rPr>
    </w:pPr>
    <w:r w:rsidRPr="002C074F">
      <w:rPr>
        <w:rFonts w:ascii="Arial" w:hAnsi="Arial" w:cs="Arial"/>
        <w:color w:val="000000"/>
      </w:rPr>
      <w:t xml:space="preserve">Jonathan Davies – 2112927 </w:t>
    </w:r>
  </w:p>
  <w:p w14:paraId="58C27852" w14:textId="2AC27787" w:rsidR="002C074F" w:rsidRPr="002C074F" w:rsidRDefault="002C074F">
    <w:pPr>
      <w:pStyle w:val="Header"/>
      <w:rPr>
        <w:rFonts w:ascii="Arial" w:hAnsi="Arial" w:cs="Arial"/>
      </w:rPr>
    </w:pPr>
    <w:r w:rsidRPr="002C074F">
      <w:rPr>
        <w:rFonts w:ascii="Arial" w:hAnsi="Arial" w:cs="Arial"/>
        <w:color w:val="000000"/>
      </w:rPr>
      <w:t xml:space="preserve">The Digital Professional for Health and Care (BMDS7000) - </w:t>
    </w:r>
    <w:r w:rsidRPr="002C074F">
      <w:rPr>
        <w:rFonts w:ascii="Arial" w:hAnsi="Arial" w:cs="Arial"/>
      </w:rPr>
      <w:t>Application Functionality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C50DB3"/>
    <w:multiLevelType w:val="hybridMultilevel"/>
    <w:tmpl w:val="88D27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6F5E8F"/>
    <w:multiLevelType w:val="hybridMultilevel"/>
    <w:tmpl w:val="A9709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FF068D"/>
    <w:multiLevelType w:val="hybridMultilevel"/>
    <w:tmpl w:val="E682C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8B1"/>
    <w:rsid w:val="00003697"/>
    <w:rsid w:val="00004792"/>
    <w:rsid w:val="00010D0C"/>
    <w:rsid w:val="0001115A"/>
    <w:rsid w:val="00025D2C"/>
    <w:rsid w:val="000339BA"/>
    <w:rsid w:val="0003564E"/>
    <w:rsid w:val="00041A20"/>
    <w:rsid w:val="000454AF"/>
    <w:rsid w:val="00046659"/>
    <w:rsid w:val="00047170"/>
    <w:rsid w:val="00052F60"/>
    <w:rsid w:val="0005506F"/>
    <w:rsid w:val="00056C0B"/>
    <w:rsid w:val="00057CD5"/>
    <w:rsid w:val="00074A2F"/>
    <w:rsid w:val="00075242"/>
    <w:rsid w:val="00085FA3"/>
    <w:rsid w:val="00086122"/>
    <w:rsid w:val="00096CCA"/>
    <w:rsid w:val="00097591"/>
    <w:rsid w:val="000B0CCD"/>
    <w:rsid w:val="000B3B4B"/>
    <w:rsid w:val="000C1997"/>
    <w:rsid w:val="000C4B16"/>
    <w:rsid w:val="000C6B25"/>
    <w:rsid w:val="000D0661"/>
    <w:rsid w:val="000D2211"/>
    <w:rsid w:val="000D25A3"/>
    <w:rsid w:val="000D58C5"/>
    <w:rsid w:val="000D6E78"/>
    <w:rsid w:val="000E08CB"/>
    <w:rsid w:val="000E72EF"/>
    <w:rsid w:val="000F4BCD"/>
    <w:rsid w:val="000F6671"/>
    <w:rsid w:val="00102305"/>
    <w:rsid w:val="00114A46"/>
    <w:rsid w:val="00114BE1"/>
    <w:rsid w:val="001156F6"/>
    <w:rsid w:val="001162FD"/>
    <w:rsid w:val="00122F8B"/>
    <w:rsid w:val="001302C9"/>
    <w:rsid w:val="00130B4F"/>
    <w:rsid w:val="00133E4B"/>
    <w:rsid w:val="001403F0"/>
    <w:rsid w:val="00146851"/>
    <w:rsid w:val="0014758B"/>
    <w:rsid w:val="001532AA"/>
    <w:rsid w:val="00153BBA"/>
    <w:rsid w:val="001739BF"/>
    <w:rsid w:val="0017511C"/>
    <w:rsid w:val="001758B4"/>
    <w:rsid w:val="00183419"/>
    <w:rsid w:val="00183741"/>
    <w:rsid w:val="00184230"/>
    <w:rsid w:val="001A148F"/>
    <w:rsid w:val="001A18DA"/>
    <w:rsid w:val="001A37BD"/>
    <w:rsid w:val="001A3CC4"/>
    <w:rsid w:val="001B023B"/>
    <w:rsid w:val="001B46B7"/>
    <w:rsid w:val="001B4801"/>
    <w:rsid w:val="001D555F"/>
    <w:rsid w:val="001D6848"/>
    <w:rsid w:val="001E3175"/>
    <w:rsid w:val="001E522A"/>
    <w:rsid w:val="001F6F29"/>
    <w:rsid w:val="0021011F"/>
    <w:rsid w:val="0021085C"/>
    <w:rsid w:val="0021492D"/>
    <w:rsid w:val="00214C70"/>
    <w:rsid w:val="00222676"/>
    <w:rsid w:val="002248CE"/>
    <w:rsid w:val="00234B9E"/>
    <w:rsid w:val="0024069F"/>
    <w:rsid w:val="002473B6"/>
    <w:rsid w:val="0025205A"/>
    <w:rsid w:val="00265A38"/>
    <w:rsid w:val="00271772"/>
    <w:rsid w:val="002718D8"/>
    <w:rsid w:val="00284A1F"/>
    <w:rsid w:val="00286C6B"/>
    <w:rsid w:val="00292EA0"/>
    <w:rsid w:val="002A28E8"/>
    <w:rsid w:val="002A48F2"/>
    <w:rsid w:val="002B27BE"/>
    <w:rsid w:val="002C074F"/>
    <w:rsid w:val="002C1C21"/>
    <w:rsid w:val="002C3F3A"/>
    <w:rsid w:val="002C4F7F"/>
    <w:rsid w:val="002F2625"/>
    <w:rsid w:val="002F4F83"/>
    <w:rsid w:val="0030365E"/>
    <w:rsid w:val="003057E6"/>
    <w:rsid w:val="0032291B"/>
    <w:rsid w:val="00330B52"/>
    <w:rsid w:val="00332762"/>
    <w:rsid w:val="00350721"/>
    <w:rsid w:val="00361968"/>
    <w:rsid w:val="00366992"/>
    <w:rsid w:val="00374504"/>
    <w:rsid w:val="00386F2F"/>
    <w:rsid w:val="00390BEB"/>
    <w:rsid w:val="0039229D"/>
    <w:rsid w:val="003A7FE2"/>
    <w:rsid w:val="003B18C6"/>
    <w:rsid w:val="003B75B7"/>
    <w:rsid w:val="003C012A"/>
    <w:rsid w:val="003C0F97"/>
    <w:rsid w:val="003D1A14"/>
    <w:rsid w:val="003D2603"/>
    <w:rsid w:val="003E7850"/>
    <w:rsid w:val="00412857"/>
    <w:rsid w:val="00413974"/>
    <w:rsid w:val="0043581A"/>
    <w:rsid w:val="00435833"/>
    <w:rsid w:val="00436E0A"/>
    <w:rsid w:val="00446805"/>
    <w:rsid w:val="004544BD"/>
    <w:rsid w:val="00455911"/>
    <w:rsid w:val="00460633"/>
    <w:rsid w:val="004668B8"/>
    <w:rsid w:val="00485623"/>
    <w:rsid w:val="004857AF"/>
    <w:rsid w:val="004865E0"/>
    <w:rsid w:val="004A39E9"/>
    <w:rsid w:val="004B4112"/>
    <w:rsid w:val="004C1B28"/>
    <w:rsid w:val="004C5D43"/>
    <w:rsid w:val="004C636E"/>
    <w:rsid w:val="004C746F"/>
    <w:rsid w:val="004E5ECD"/>
    <w:rsid w:val="004E6D8F"/>
    <w:rsid w:val="004E7816"/>
    <w:rsid w:val="004E7B4C"/>
    <w:rsid w:val="004F62C7"/>
    <w:rsid w:val="00506163"/>
    <w:rsid w:val="00512CF4"/>
    <w:rsid w:val="005135D9"/>
    <w:rsid w:val="00513C0C"/>
    <w:rsid w:val="00515750"/>
    <w:rsid w:val="00516509"/>
    <w:rsid w:val="00523845"/>
    <w:rsid w:val="005275F1"/>
    <w:rsid w:val="00530110"/>
    <w:rsid w:val="00531C0A"/>
    <w:rsid w:val="00533B39"/>
    <w:rsid w:val="00535B4A"/>
    <w:rsid w:val="00553EB2"/>
    <w:rsid w:val="005562AE"/>
    <w:rsid w:val="00565A80"/>
    <w:rsid w:val="00566016"/>
    <w:rsid w:val="00566FC0"/>
    <w:rsid w:val="00574AE6"/>
    <w:rsid w:val="005772A0"/>
    <w:rsid w:val="005772B2"/>
    <w:rsid w:val="00585C4D"/>
    <w:rsid w:val="005A0E3F"/>
    <w:rsid w:val="005A12B7"/>
    <w:rsid w:val="005A3797"/>
    <w:rsid w:val="005A4100"/>
    <w:rsid w:val="005A7B21"/>
    <w:rsid w:val="005B107C"/>
    <w:rsid w:val="005C29C9"/>
    <w:rsid w:val="005C59D8"/>
    <w:rsid w:val="005C60C0"/>
    <w:rsid w:val="005C7F57"/>
    <w:rsid w:val="005D2D46"/>
    <w:rsid w:val="005D43DF"/>
    <w:rsid w:val="005D792D"/>
    <w:rsid w:val="005E21B2"/>
    <w:rsid w:val="005E2407"/>
    <w:rsid w:val="005E5850"/>
    <w:rsid w:val="005F0B83"/>
    <w:rsid w:val="006016E1"/>
    <w:rsid w:val="00620528"/>
    <w:rsid w:val="00621816"/>
    <w:rsid w:val="00623383"/>
    <w:rsid w:val="00634A7A"/>
    <w:rsid w:val="00643824"/>
    <w:rsid w:val="00647733"/>
    <w:rsid w:val="00653F5B"/>
    <w:rsid w:val="00657FD7"/>
    <w:rsid w:val="006650A1"/>
    <w:rsid w:val="0068272B"/>
    <w:rsid w:val="00683087"/>
    <w:rsid w:val="00690721"/>
    <w:rsid w:val="00697263"/>
    <w:rsid w:val="0069796F"/>
    <w:rsid w:val="006A7B2E"/>
    <w:rsid w:val="006B296A"/>
    <w:rsid w:val="006B42BC"/>
    <w:rsid w:val="006B5608"/>
    <w:rsid w:val="006C346E"/>
    <w:rsid w:val="006D08E9"/>
    <w:rsid w:val="006D3DC6"/>
    <w:rsid w:val="006D5136"/>
    <w:rsid w:val="006D7B95"/>
    <w:rsid w:val="006E0C5F"/>
    <w:rsid w:val="006E2932"/>
    <w:rsid w:val="006E3621"/>
    <w:rsid w:val="006F3361"/>
    <w:rsid w:val="00704409"/>
    <w:rsid w:val="00704532"/>
    <w:rsid w:val="0071733A"/>
    <w:rsid w:val="00723CAB"/>
    <w:rsid w:val="007247DC"/>
    <w:rsid w:val="00725DC4"/>
    <w:rsid w:val="00726A0D"/>
    <w:rsid w:val="0073636C"/>
    <w:rsid w:val="00736EF8"/>
    <w:rsid w:val="00737334"/>
    <w:rsid w:val="00744333"/>
    <w:rsid w:val="007508F3"/>
    <w:rsid w:val="007643CD"/>
    <w:rsid w:val="00767B79"/>
    <w:rsid w:val="007762CA"/>
    <w:rsid w:val="00780722"/>
    <w:rsid w:val="007830DE"/>
    <w:rsid w:val="00785CFA"/>
    <w:rsid w:val="007905EF"/>
    <w:rsid w:val="007928F1"/>
    <w:rsid w:val="00795C3E"/>
    <w:rsid w:val="007A05E7"/>
    <w:rsid w:val="007A2107"/>
    <w:rsid w:val="007A540F"/>
    <w:rsid w:val="007A661A"/>
    <w:rsid w:val="007A7FF6"/>
    <w:rsid w:val="007B5788"/>
    <w:rsid w:val="007B74BE"/>
    <w:rsid w:val="007D03A9"/>
    <w:rsid w:val="007D43A4"/>
    <w:rsid w:val="007E74F3"/>
    <w:rsid w:val="007F7024"/>
    <w:rsid w:val="0080474C"/>
    <w:rsid w:val="00824BCA"/>
    <w:rsid w:val="00833E8B"/>
    <w:rsid w:val="00835065"/>
    <w:rsid w:val="00835D58"/>
    <w:rsid w:val="00840AE2"/>
    <w:rsid w:val="0084299A"/>
    <w:rsid w:val="00842BFF"/>
    <w:rsid w:val="00847D72"/>
    <w:rsid w:val="008559D1"/>
    <w:rsid w:val="008639F9"/>
    <w:rsid w:val="00865C1C"/>
    <w:rsid w:val="00881CD4"/>
    <w:rsid w:val="0088408E"/>
    <w:rsid w:val="0089001A"/>
    <w:rsid w:val="00890039"/>
    <w:rsid w:val="008955C1"/>
    <w:rsid w:val="008A5C9F"/>
    <w:rsid w:val="008B5599"/>
    <w:rsid w:val="008C359F"/>
    <w:rsid w:val="008D24DB"/>
    <w:rsid w:val="008D3CA7"/>
    <w:rsid w:val="008D5AFC"/>
    <w:rsid w:val="008E5E8E"/>
    <w:rsid w:val="008E5FEF"/>
    <w:rsid w:val="00901EF3"/>
    <w:rsid w:val="00913BEC"/>
    <w:rsid w:val="009219CA"/>
    <w:rsid w:val="00923F44"/>
    <w:rsid w:val="00925947"/>
    <w:rsid w:val="00925C1D"/>
    <w:rsid w:val="009328B7"/>
    <w:rsid w:val="009333DD"/>
    <w:rsid w:val="0093460F"/>
    <w:rsid w:val="009465E1"/>
    <w:rsid w:val="00954CA0"/>
    <w:rsid w:val="009605E5"/>
    <w:rsid w:val="00961AE1"/>
    <w:rsid w:val="00961B29"/>
    <w:rsid w:val="0096474A"/>
    <w:rsid w:val="009673CA"/>
    <w:rsid w:val="0097442D"/>
    <w:rsid w:val="0098013C"/>
    <w:rsid w:val="00980297"/>
    <w:rsid w:val="0098357E"/>
    <w:rsid w:val="00983C3C"/>
    <w:rsid w:val="00987A19"/>
    <w:rsid w:val="0099034F"/>
    <w:rsid w:val="00993A0E"/>
    <w:rsid w:val="009A5B47"/>
    <w:rsid w:val="009C11AF"/>
    <w:rsid w:val="009C499B"/>
    <w:rsid w:val="009D348D"/>
    <w:rsid w:val="009D3C7C"/>
    <w:rsid w:val="009D56A3"/>
    <w:rsid w:val="009E528F"/>
    <w:rsid w:val="009F0CE3"/>
    <w:rsid w:val="00A02ADA"/>
    <w:rsid w:val="00A04166"/>
    <w:rsid w:val="00A0695C"/>
    <w:rsid w:val="00A31B21"/>
    <w:rsid w:val="00A34C78"/>
    <w:rsid w:val="00A51B6B"/>
    <w:rsid w:val="00A541A1"/>
    <w:rsid w:val="00A57FEB"/>
    <w:rsid w:val="00A61248"/>
    <w:rsid w:val="00A64185"/>
    <w:rsid w:val="00A6681E"/>
    <w:rsid w:val="00A677FC"/>
    <w:rsid w:val="00A7521C"/>
    <w:rsid w:val="00A84F5D"/>
    <w:rsid w:val="00A85864"/>
    <w:rsid w:val="00A86682"/>
    <w:rsid w:val="00A90A61"/>
    <w:rsid w:val="00A93E4D"/>
    <w:rsid w:val="00AB0974"/>
    <w:rsid w:val="00AB5C38"/>
    <w:rsid w:val="00AD7884"/>
    <w:rsid w:val="00AF6AD5"/>
    <w:rsid w:val="00B07721"/>
    <w:rsid w:val="00B07B1E"/>
    <w:rsid w:val="00B146CC"/>
    <w:rsid w:val="00B245B9"/>
    <w:rsid w:val="00B377C6"/>
    <w:rsid w:val="00B45CBD"/>
    <w:rsid w:val="00B50CF0"/>
    <w:rsid w:val="00B52188"/>
    <w:rsid w:val="00B610E3"/>
    <w:rsid w:val="00B6357A"/>
    <w:rsid w:val="00B657AE"/>
    <w:rsid w:val="00B7083E"/>
    <w:rsid w:val="00B71048"/>
    <w:rsid w:val="00B85355"/>
    <w:rsid w:val="00BA1105"/>
    <w:rsid w:val="00BA5CE6"/>
    <w:rsid w:val="00BB0839"/>
    <w:rsid w:val="00BB38D5"/>
    <w:rsid w:val="00BC26BE"/>
    <w:rsid w:val="00BD14F1"/>
    <w:rsid w:val="00BD5FD1"/>
    <w:rsid w:val="00BF2D2B"/>
    <w:rsid w:val="00BF6225"/>
    <w:rsid w:val="00BF6B2D"/>
    <w:rsid w:val="00BF71D8"/>
    <w:rsid w:val="00C07F1C"/>
    <w:rsid w:val="00C223A4"/>
    <w:rsid w:val="00C23883"/>
    <w:rsid w:val="00C34D08"/>
    <w:rsid w:val="00C35E62"/>
    <w:rsid w:val="00C51615"/>
    <w:rsid w:val="00C5341F"/>
    <w:rsid w:val="00C53598"/>
    <w:rsid w:val="00C54717"/>
    <w:rsid w:val="00C63622"/>
    <w:rsid w:val="00C63626"/>
    <w:rsid w:val="00C6452F"/>
    <w:rsid w:val="00C8238C"/>
    <w:rsid w:val="00C85909"/>
    <w:rsid w:val="00C91900"/>
    <w:rsid w:val="00C94122"/>
    <w:rsid w:val="00C94ECB"/>
    <w:rsid w:val="00CA128A"/>
    <w:rsid w:val="00CB11C9"/>
    <w:rsid w:val="00CB2B15"/>
    <w:rsid w:val="00CB7E0E"/>
    <w:rsid w:val="00CC1A63"/>
    <w:rsid w:val="00CC5B63"/>
    <w:rsid w:val="00CD1442"/>
    <w:rsid w:val="00CD3486"/>
    <w:rsid w:val="00CD4833"/>
    <w:rsid w:val="00CE74E1"/>
    <w:rsid w:val="00D009C7"/>
    <w:rsid w:val="00D05554"/>
    <w:rsid w:val="00D14C57"/>
    <w:rsid w:val="00D17BE0"/>
    <w:rsid w:val="00D20314"/>
    <w:rsid w:val="00D2118C"/>
    <w:rsid w:val="00D21C3C"/>
    <w:rsid w:val="00D30BFE"/>
    <w:rsid w:val="00D30E09"/>
    <w:rsid w:val="00D528B1"/>
    <w:rsid w:val="00D52D23"/>
    <w:rsid w:val="00D532D2"/>
    <w:rsid w:val="00D60CAE"/>
    <w:rsid w:val="00D673CD"/>
    <w:rsid w:val="00D776A8"/>
    <w:rsid w:val="00D841F2"/>
    <w:rsid w:val="00D85CC8"/>
    <w:rsid w:val="00D87689"/>
    <w:rsid w:val="00D9059E"/>
    <w:rsid w:val="00D930F3"/>
    <w:rsid w:val="00D95026"/>
    <w:rsid w:val="00D96BD7"/>
    <w:rsid w:val="00DA42E1"/>
    <w:rsid w:val="00DB447A"/>
    <w:rsid w:val="00DC0DDC"/>
    <w:rsid w:val="00DC3A7D"/>
    <w:rsid w:val="00DD35EB"/>
    <w:rsid w:val="00DD56A3"/>
    <w:rsid w:val="00DD64D5"/>
    <w:rsid w:val="00DD7988"/>
    <w:rsid w:val="00DE21EE"/>
    <w:rsid w:val="00DE32D3"/>
    <w:rsid w:val="00E0203B"/>
    <w:rsid w:val="00E11AC3"/>
    <w:rsid w:val="00E16D42"/>
    <w:rsid w:val="00E24DFA"/>
    <w:rsid w:val="00E322D3"/>
    <w:rsid w:val="00E352BB"/>
    <w:rsid w:val="00E4091F"/>
    <w:rsid w:val="00E51D6B"/>
    <w:rsid w:val="00E54BE0"/>
    <w:rsid w:val="00E623D0"/>
    <w:rsid w:val="00E63690"/>
    <w:rsid w:val="00E71353"/>
    <w:rsid w:val="00E726EC"/>
    <w:rsid w:val="00E807D9"/>
    <w:rsid w:val="00E8449A"/>
    <w:rsid w:val="00E90657"/>
    <w:rsid w:val="00EA22D4"/>
    <w:rsid w:val="00EA4642"/>
    <w:rsid w:val="00EB1220"/>
    <w:rsid w:val="00EC124E"/>
    <w:rsid w:val="00EC14CC"/>
    <w:rsid w:val="00EC2BD6"/>
    <w:rsid w:val="00EC4192"/>
    <w:rsid w:val="00EE4D0B"/>
    <w:rsid w:val="00EE6445"/>
    <w:rsid w:val="00EE71B7"/>
    <w:rsid w:val="00EE727F"/>
    <w:rsid w:val="00EF345A"/>
    <w:rsid w:val="00EF67FE"/>
    <w:rsid w:val="00F001B3"/>
    <w:rsid w:val="00F0231F"/>
    <w:rsid w:val="00F02418"/>
    <w:rsid w:val="00F03AD3"/>
    <w:rsid w:val="00F07CDF"/>
    <w:rsid w:val="00F1416A"/>
    <w:rsid w:val="00F20376"/>
    <w:rsid w:val="00F24CCD"/>
    <w:rsid w:val="00F31805"/>
    <w:rsid w:val="00F41DAE"/>
    <w:rsid w:val="00F4212E"/>
    <w:rsid w:val="00F44FCC"/>
    <w:rsid w:val="00F510DB"/>
    <w:rsid w:val="00F523B5"/>
    <w:rsid w:val="00F604E3"/>
    <w:rsid w:val="00F67D7E"/>
    <w:rsid w:val="00F70DBA"/>
    <w:rsid w:val="00F968C7"/>
    <w:rsid w:val="00F97AC9"/>
    <w:rsid w:val="00FA2E27"/>
    <w:rsid w:val="00FB716F"/>
    <w:rsid w:val="00FC1790"/>
    <w:rsid w:val="00FC362A"/>
    <w:rsid w:val="00FD1F0B"/>
    <w:rsid w:val="00FE65FF"/>
    <w:rsid w:val="00FE7BCF"/>
    <w:rsid w:val="00FF19FD"/>
    <w:rsid w:val="00FF24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13639F"/>
  <w15:chartTrackingRefBased/>
  <w15:docId w15:val="{53CC6F27-33BB-4A34-8083-87CCACB5E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66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0974"/>
    <w:pPr>
      <w:ind w:left="720"/>
      <w:contextualSpacing/>
    </w:pPr>
  </w:style>
  <w:style w:type="paragraph" w:styleId="NormalWeb">
    <w:name w:val="Normal (Web)"/>
    <w:basedOn w:val="Normal"/>
    <w:uiPriority w:val="99"/>
    <w:unhideWhenUsed/>
    <w:rsid w:val="001834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20528"/>
    <w:rPr>
      <w:color w:val="0000FF"/>
      <w:u w:val="single"/>
    </w:rPr>
  </w:style>
  <w:style w:type="paragraph" w:styleId="Header">
    <w:name w:val="header"/>
    <w:basedOn w:val="Normal"/>
    <w:link w:val="HeaderChar"/>
    <w:uiPriority w:val="99"/>
    <w:unhideWhenUsed/>
    <w:rsid w:val="002C07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074F"/>
  </w:style>
  <w:style w:type="paragraph" w:styleId="Footer">
    <w:name w:val="footer"/>
    <w:basedOn w:val="Normal"/>
    <w:link w:val="FooterChar"/>
    <w:uiPriority w:val="99"/>
    <w:unhideWhenUsed/>
    <w:rsid w:val="002C07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074F"/>
  </w:style>
  <w:style w:type="character" w:customStyle="1" w:styleId="Heading1Char">
    <w:name w:val="Heading 1 Char"/>
    <w:basedOn w:val="DefaultParagraphFont"/>
    <w:link w:val="Heading1"/>
    <w:uiPriority w:val="9"/>
    <w:rsid w:val="00A8668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1065">
      <w:bodyDiv w:val="1"/>
      <w:marLeft w:val="0"/>
      <w:marRight w:val="0"/>
      <w:marTop w:val="0"/>
      <w:marBottom w:val="0"/>
      <w:divBdr>
        <w:top w:val="none" w:sz="0" w:space="0" w:color="auto"/>
        <w:left w:val="none" w:sz="0" w:space="0" w:color="auto"/>
        <w:bottom w:val="none" w:sz="0" w:space="0" w:color="auto"/>
        <w:right w:val="none" w:sz="0" w:space="0" w:color="auto"/>
      </w:divBdr>
    </w:div>
    <w:div w:id="23408570">
      <w:bodyDiv w:val="1"/>
      <w:marLeft w:val="0"/>
      <w:marRight w:val="0"/>
      <w:marTop w:val="0"/>
      <w:marBottom w:val="0"/>
      <w:divBdr>
        <w:top w:val="none" w:sz="0" w:space="0" w:color="auto"/>
        <w:left w:val="none" w:sz="0" w:space="0" w:color="auto"/>
        <w:bottom w:val="none" w:sz="0" w:space="0" w:color="auto"/>
        <w:right w:val="none" w:sz="0" w:space="0" w:color="auto"/>
      </w:divBdr>
    </w:div>
    <w:div w:id="31157433">
      <w:bodyDiv w:val="1"/>
      <w:marLeft w:val="0"/>
      <w:marRight w:val="0"/>
      <w:marTop w:val="0"/>
      <w:marBottom w:val="0"/>
      <w:divBdr>
        <w:top w:val="none" w:sz="0" w:space="0" w:color="auto"/>
        <w:left w:val="none" w:sz="0" w:space="0" w:color="auto"/>
        <w:bottom w:val="none" w:sz="0" w:space="0" w:color="auto"/>
        <w:right w:val="none" w:sz="0" w:space="0" w:color="auto"/>
      </w:divBdr>
    </w:div>
    <w:div w:id="41364883">
      <w:bodyDiv w:val="1"/>
      <w:marLeft w:val="0"/>
      <w:marRight w:val="0"/>
      <w:marTop w:val="0"/>
      <w:marBottom w:val="0"/>
      <w:divBdr>
        <w:top w:val="none" w:sz="0" w:space="0" w:color="auto"/>
        <w:left w:val="none" w:sz="0" w:space="0" w:color="auto"/>
        <w:bottom w:val="none" w:sz="0" w:space="0" w:color="auto"/>
        <w:right w:val="none" w:sz="0" w:space="0" w:color="auto"/>
      </w:divBdr>
    </w:div>
    <w:div w:id="52002232">
      <w:bodyDiv w:val="1"/>
      <w:marLeft w:val="0"/>
      <w:marRight w:val="0"/>
      <w:marTop w:val="0"/>
      <w:marBottom w:val="0"/>
      <w:divBdr>
        <w:top w:val="none" w:sz="0" w:space="0" w:color="auto"/>
        <w:left w:val="none" w:sz="0" w:space="0" w:color="auto"/>
        <w:bottom w:val="none" w:sz="0" w:space="0" w:color="auto"/>
        <w:right w:val="none" w:sz="0" w:space="0" w:color="auto"/>
      </w:divBdr>
    </w:div>
    <w:div w:id="57629074">
      <w:bodyDiv w:val="1"/>
      <w:marLeft w:val="0"/>
      <w:marRight w:val="0"/>
      <w:marTop w:val="0"/>
      <w:marBottom w:val="0"/>
      <w:divBdr>
        <w:top w:val="none" w:sz="0" w:space="0" w:color="auto"/>
        <w:left w:val="none" w:sz="0" w:space="0" w:color="auto"/>
        <w:bottom w:val="none" w:sz="0" w:space="0" w:color="auto"/>
        <w:right w:val="none" w:sz="0" w:space="0" w:color="auto"/>
      </w:divBdr>
    </w:div>
    <w:div w:id="72825407">
      <w:bodyDiv w:val="1"/>
      <w:marLeft w:val="0"/>
      <w:marRight w:val="0"/>
      <w:marTop w:val="0"/>
      <w:marBottom w:val="0"/>
      <w:divBdr>
        <w:top w:val="none" w:sz="0" w:space="0" w:color="auto"/>
        <w:left w:val="none" w:sz="0" w:space="0" w:color="auto"/>
        <w:bottom w:val="none" w:sz="0" w:space="0" w:color="auto"/>
        <w:right w:val="none" w:sz="0" w:space="0" w:color="auto"/>
      </w:divBdr>
    </w:div>
    <w:div w:id="86313577">
      <w:bodyDiv w:val="1"/>
      <w:marLeft w:val="0"/>
      <w:marRight w:val="0"/>
      <w:marTop w:val="0"/>
      <w:marBottom w:val="0"/>
      <w:divBdr>
        <w:top w:val="none" w:sz="0" w:space="0" w:color="auto"/>
        <w:left w:val="none" w:sz="0" w:space="0" w:color="auto"/>
        <w:bottom w:val="none" w:sz="0" w:space="0" w:color="auto"/>
        <w:right w:val="none" w:sz="0" w:space="0" w:color="auto"/>
      </w:divBdr>
    </w:div>
    <w:div w:id="100535339">
      <w:bodyDiv w:val="1"/>
      <w:marLeft w:val="0"/>
      <w:marRight w:val="0"/>
      <w:marTop w:val="0"/>
      <w:marBottom w:val="0"/>
      <w:divBdr>
        <w:top w:val="none" w:sz="0" w:space="0" w:color="auto"/>
        <w:left w:val="none" w:sz="0" w:space="0" w:color="auto"/>
        <w:bottom w:val="none" w:sz="0" w:space="0" w:color="auto"/>
        <w:right w:val="none" w:sz="0" w:space="0" w:color="auto"/>
      </w:divBdr>
    </w:div>
    <w:div w:id="127286085">
      <w:bodyDiv w:val="1"/>
      <w:marLeft w:val="0"/>
      <w:marRight w:val="0"/>
      <w:marTop w:val="0"/>
      <w:marBottom w:val="0"/>
      <w:divBdr>
        <w:top w:val="none" w:sz="0" w:space="0" w:color="auto"/>
        <w:left w:val="none" w:sz="0" w:space="0" w:color="auto"/>
        <w:bottom w:val="none" w:sz="0" w:space="0" w:color="auto"/>
        <w:right w:val="none" w:sz="0" w:space="0" w:color="auto"/>
      </w:divBdr>
    </w:div>
    <w:div w:id="155003816">
      <w:bodyDiv w:val="1"/>
      <w:marLeft w:val="0"/>
      <w:marRight w:val="0"/>
      <w:marTop w:val="0"/>
      <w:marBottom w:val="0"/>
      <w:divBdr>
        <w:top w:val="none" w:sz="0" w:space="0" w:color="auto"/>
        <w:left w:val="none" w:sz="0" w:space="0" w:color="auto"/>
        <w:bottom w:val="none" w:sz="0" w:space="0" w:color="auto"/>
        <w:right w:val="none" w:sz="0" w:space="0" w:color="auto"/>
      </w:divBdr>
    </w:div>
    <w:div w:id="195041871">
      <w:bodyDiv w:val="1"/>
      <w:marLeft w:val="0"/>
      <w:marRight w:val="0"/>
      <w:marTop w:val="0"/>
      <w:marBottom w:val="0"/>
      <w:divBdr>
        <w:top w:val="none" w:sz="0" w:space="0" w:color="auto"/>
        <w:left w:val="none" w:sz="0" w:space="0" w:color="auto"/>
        <w:bottom w:val="none" w:sz="0" w:space="0" w:color="auto"/>
        <w:right w:val="none" w:sz="0" w:space="0" w:color="auto"/>
      </w:divBdr>
    </w:div>
    <w:div w:id="198472204">
      <w:bodyDiv w:val="1"/>
      <w:marLeft w:val="0"/>
      <w:marRight w:val="0"/>
      <w:marTop w:val="0"/>
      <w:marBottom w:val="0"/>
      <w:divBdr>
        <w:top w:val="none" w:sz="0" w:space="0" w:color="auto"/>
        <w:left w:val="none" w:sz="0" w:space="0" w:color="auto"/>
        <w:bottom w:val="none" w:sz="0" w:space="0" w:color="auto"/>
        <w:right w:val="none" w:sz="0" w:space="0" w:color="auto"/>
      </w:divBdr>
    </w:div>
    <w:div w:id="276917047">
      <w:bodyDiv w:val="1"/>
      <w:marLeft w:val="0"/>
      <w:marRight w:val="0"/>
      <w:marTop w:val="0"/>
      <w:marBottom w:val="0"/>
      <w:divBdr>
        <w:top w:val="none" w:sz="0" w:space="0" w:color="auto"/>
        <w:left w:val="none" w:sz="0" w:space="0" w:color="auto"/>
        <w:bottom w:val="none" w:sz="0" w:space="0" w:color="auto"/>
        <w:right w:val="none" w:sz="0" w:space="0" w:color="auto"/>
      </w:divBdr>
    </w:div>
    <w:div w:id="283342071">
      <w:bodyDiv w:val="1"/>
      <w:marLeft w:val="0"/>
      <w:marRight w:val="0"/>
      <w:marTop w:val="0"/>
      <w:marBottom w:val="0"/>
      <w:divBdr>
        <w:top w:val="none" w:sz="0" w:space="0" w:color="auto"/>
        <w:left w:val="none" w:sz="0" w:space="0" w:color="auto"/>
        <w:bottom w:val="none" w:sz="0" w:space="0" w:color="auto"/>
        <w:right w:val="none" w:sz="0" w:space="0" w:color="auto"/>
      </w:divBdr>
    </w:div>
    <w:div w:id="295961936">
      <w:bodyDiv w:val="1"/>
      <w:marLeft w:val="0"/>
      <w:marRight w:val="0"/>
      <w:marTop w:val="0"/>
      <w:marBottom w:val="0"/>
      <w:divBdr>
        <w:top w:val="none" w:sz="0" w:space="0" w:color="auto"/>
        <w:left w:val="none" w:sz="0" w:space="0" w:color="auto"/>
        <w:bottom w:val="none" w:sz="0" w:space="0" w:color="auto"/>
        <w:right w:val="none" w:sz="0" w:space="0" w:color="auto"/>
      </w:divBdr>
    </w:div>
    <w:div w:id="299963185">
      <w:bodyDiv w:val="1"/>
      <w:marLeft w:val="0"/>
      <w:marRight w:val="0"/>
      <w:marTop w:val="0"/>
      <w:marBottom w:val="0"/>
      <w:divBdr>
        <w:top w:val="none" w:sz="0" w:space="0" w:color="auto"/>
        <w:left w:val="none" w:sz="0" w:space="0" w:color="auto"/>
        <w:bottom w:val="none" w:sz="0" w:space="0" w:color="auto"/>
        <w:right w:val="none" w:sz="0" w:space="0" w:color="auto"/>
      </w:divBdr>
    </w:div>
    <w:div w:id="394595774">
      <w:bodyDiv w:val="1"/>
      <w:marLeft w:val="0"/>
      <w:marRight w:val="0"/>
      <w:marTop w:val="0"/>
      <w:marBottom w:val="0"/>
      <w:divBdr>
        <w:top w:val="none" w:sz="0" w:space="0" w:color="auto"/>
        <w:left w:val="none" w:sz="0" w:space="0" w:color="auto"/>
        <w:bottom w:val="none" w:sz="0" w:space="0" w:color="auto"/>
        <w:right w:val="none" w:sz="0" w:space="0" w:color="auto"/>
      </w:divBdr>
    </w:div>
    <w:div w:id="400064082">
      <w:bodyDiv w:val="1"/>
      <w:marLeft w:val="0"/>
      <w:marRight w:val="0"/>
      <w:marTop w:val="0"/>
      <w:marBottom w:val="0"/>
      <w:divBdr>
        <w:top w:val="none" w:sz="0" w:space="0" w:color="auto"/>
        <w:left w:val="none" w:sz="0" w:space="0" w:color="auto"/>
        <w:bottom w:val="none" w:sz="0" w:space="0" w:color="auto"/>
        <w:right w:val="none" w:sz="0" w:space="0" w:color="auto"/>
      </w:divBdr>
    </w:div>
    <w:div w:id="434835322">
      <w:bodyDiv w:val="1"/>
      <w:marLeft w:val="0"/>
      <w:marRight w:val="0"/>
      <w:marTop w:val="0"/>
      <w:marBottom w:val="0"/>
      <w:divBdr>
        <w:top w:val="none" w:sz="0" w:space="0" w:color="auto"/>
        <w:left w:val="none" w:sz="0" w:space="0" w:color="auto"/>
        <w:bottom w:val="none" w:sz="0" w:space="0" w:color="auto"/>
        <w:right w:val="none" w:sz="0" w:space="0" w:color="auto"/>
      </w:divBdr>
    </w:div>
    <w:div w:id="436488740">
      <w:bodyDiv w:val="1"/>
      <w:marLeft w:val="0"/>
      <w:marRight w:val="0"/>
      <w:marTop w:val="0"/>
      <w:marBottom w:val="0"/>
      <w:divBdr>
        <w:top w:val="none" w:sz="0" w:space="0" w:color="auto"/>
        <w:left w:val="none" w:sz="0" w:space="0" w:color="auto"/>
        <w:bottom w:val="none" w:sz="0" w:space="0" w:color="auto"/>
        <w:right w:val="none" w:sz="0" w:space="0" w:color="auto"/>
      </w:divBdr>
    </w:div>
    <w:div w:id="442655989">
      <w:bodyDiv w:val="1"/>
      <w:marLeft w:val="0"/>
      <w:marRight w:val="0"/>
      <w:marTop w:val="0"/>
      <w:marBottom w:val="0"/>
      <w:divBdr>
        <w:top w:val="none" w:sz="0" w:space="0" w:color="auto"/>
        <w:left w:val="none" w:sz="0" w:space="0" w:color="auto"/>
        <w:bottom w:val="none" w:sz="0" w:space="0" w:color="auto"/>
        <w:right w:val="none" w:sz="0" w:space="0" w:color="auto"/>
      </w:divBdr>
    </w:div>
    <w:div w:id="442773260">
      <w:bodyDiv w:val="1"/>
      <w:marLeft w:val="0"/>
      <w:marRight w:val="0"/>
      <w:marTop w:val="0"/>
      <w:marBottom w:val="0"/>
      <w:divBdr>
        <w:top w:val="none" w:sz="0" w:space="0" w:color="auto"/>
        <w:left w:val="none" w:sz="0" w:space="0" w:color="auto"/>
        <w:bottom w:val="none" w:sz="0" w:space="0" w:color="auto"/>
        <w:right w:val="none" w:sz="0" w:space="0" w:color="auto"/>
      </w:divBdr>
    </w:div>
    <w:div w:id="462232500">
      <w:bodyDiv w:val="1"/>
      <w:marLeft w:val="0"/>
      <w:marRight w:val="0"/>
      <w:marTop w:val="0"/>
      <w:marBottom w:val="0"/>
      <w:divBdr>
        <w:top w:val="none" w:sz="0" w:space="0" w:color="auto"/>
        <w:left w:val="none" w:sz="0" w:space="0" w:color="auto"/>
        <w:bottom w:val="none" w:sz="0" w:space="0" w:color="auto"/>
        <w:right w:val="none" w:sz="0" w:space="0" w:color="auto"/>
      </w:divBdr>
    </w:div>
    <w:div w:id="499545599">
      <w:bodyDiv w:val="1"/>
      <w:marLeft w:val="0"/>
      <w:marRight w:val="0"/>
      <w:marTop w:val="0"/>
      <w:marBottom w:val="0"/>
      <w:divBdr>
        <w:top w:val="none" w:sz="0" w:space="0" w:color="auto"/>
        <w:left w:val="none" w:sz="0" w:space="0" w:color="auto"/>
        <w:bottom w:val="none" w:sz="0" w:space="0" w:color="auto"/>
        <w:right w:val="none" w:sz="0" w:space="0" w:color="auto"/>
      </w:divBdr>
    </w:div>
    <w:div w:id="514618718">
      <w:bodyDiv w:val="1"/>
      <w:marLeft w:val="0"/>
      <w:marRight w:val="0"/>
      <w:marTop w:val="0"/>
      <w:marBottom w:val="0"/>
      <w:divBdr>
        <w:top w:val="none" w:sz="0" w:space="0" w:color="auto"/>
        <w:left w:val="none" w:sz="0" w:space="0" w:color="auto"/>
        <w:bottom w:val="none" w:sz="0" w:space="0" w:color="auto"/>
        <w:right w:val="none" w:sz="0" w:space="0" w:color="auto"/>
      </w:divBdr>
    </w:div>
    <w:div w:id="518740320">
      <w:bodyDiv w:val="1"/>
      <w:marLeft w:val="0"/>
      <w:marRight w:val="0"/>
      <w:marTop w:val="0"/>
      <w:marBottom w:val="0"/>
      <w:divBdr>
        <w:top w:val="none" w:sz="0" w:space="0" w:color="auto"/>
        <w:left w:val="none" w:sz="0" w:space="0" w:color="auto"/>
        <w:bottom w:val="none" w:sz="0" w:space="0" w:color="auto"/>
        <w:right w:val="none" w:sz="0" w:space="0" w:color="auto"/>
      </w:divBdr>
    </w:div>
    <w:div w:id="521019862">
      <w:bodyDiv w:val="1"/>
      <w:marLeft w:val="0"/>
      <w:marRight w:val="0"/>
      <w:marTop w:val="0"/>
      <w:marBottom w:val="0"/>
      <w:divBdr>
        <w:top w:val="none" w:sz="0" w:space="0" w:color="auto"/>
        <w:left w:val="none" w:sz="0" w:space="0" w:color="auto"/>
        <w:bottom w:val="none" w:sz="0" w:space="0" w:color="auto"/>
        <w:right w:val="none" w:sz="0" w:space="0" w:color="auto"/>
      </w:divBdr>
    </w:div>
    <w:div w:id="562716943">
      <w:bodyDiv w:val="1"/>
      <w:marLeft w:val="0"/>
      <w:marRight w:val="0"/>
      <w:marTop w:val="0"/>
      <w:marBottom w:val="0"/>
      <w:divBdr>
        <w:top w:val="none" w:sz="0" w:space="0" w:color="auto"/>
        <w:left w:val="none" w:sz="0" w:space="0" w:color="auto"/>
        <w:bottom w:val="none" w:sz="0" w:space="0" w:color="auto"/>
        <w:right w:val="none" w:sz="0" w:space="0" w:color="auto"/>
      </w:divBdr>
    </w:div>
    <w:div w:id="602029144">
      <w:bodyDiv w:val="1"/>
      <w:marLeft w:val="0"/>
      <w:marRight w:val="0"/>
      <w:marTop w:val="0"/>
      <w:marBottom w:val="0"/>
      <w:divBdr>
        <w:top w:val="none" w:sz="0" w:space="0" w:color="auto"/>
        <w:left w:val="none" w:sz="0" w:space="0" w:color="auto"/>
        <w:bottom w:val="none" w:sz="0" w:space="0" w:color="auto"/>
        <w:right w:val="none" w:sz="0" w:space="0" w:color="auto"/>
      </w:divBdr>
    </w:div>
    <w:div w:id="617377974">
      <w:bodyDiv w:val="1"/>
      <w:marLeft w:val="0"/>
      <w:marRight w:val="0"/>
      <w:marTop w:val="0"/>
      <w:marBottom w:val="0"/>
      <w:divBdr>
        <w:top w:val="none" w:sz="0" w:space="0" w:color="auto"/>
        <w:left w:val="none" w:sz="0" w:space="0" w:color="auto"/>
        <w:bottom w:val="none" w:sz="0" w:space="0" w:color="auto"/>
        <w:right w:val="none" w:sz="0" w:space="0" w:color="auto"/>
      </w:divBdr>
    </w:div>
    <w:div w:id="620037616">
      <w:bodyDiv w:val="1"/>
      <w:marLeft w:val="0"/>
      <w:marRight w:val="0"/>
      <w:marTop w:val="0"/>
      <w:marBottom w:val="0"/>
      <w:divBdr>
        <w:top w:val="none" w:sz="0" w:space="0" w:color="auto"/>
        <w:left w:val="none" w:sz="0" w:space="0" w:color="auto"/>
        <w:bottom w:val="none" w:sz="0" w:space="0" w:color="auto"/>
        <w:right w:val="none" w:sz="0" w:space="0" w:color="auto"/>
      </w:divBdr>
    </w:div>
    <w:div w:id="621688681">
      <w:bodyDiv w:val="1"/>
      <w:marLeft w:val="0"/>
      <w:marRight w:val="0"/>
      <w:marTop w:val="0"/>
      <w:marBottom w:val="0"/>
      <w:divBdr>
        <w:top w:val="none" w:sz="0" w:space="0" w:color="auto"/>
        <w:left w:val="none" w:sz="0" w:space="0" w:color="auto"/>
        <w:bottom w:val="none" w:sz="0" w:space="0" w:color="auto"/>
        <w:right w:val="none" w:sz="0" w:space="0" w:color="auto"/>
      </w:divBdr>
    </w:div>
    <w:div w:id="673072611">
      <w:bodyDiv w:val="1"/>
      <w:marLeft w:val="0"/>
      <w:marRight w:val="0"/>
      <w:marTop w:val="0"/>
      <w:marBottom w:val="0"/>
      <w:divBdr>
        <w:top w:val="none" w:sz="0" w:space="0" w:color="auto"/>
        <w:left w:val="none" w:sz="0" w:space="0" w:color="auto"/>
        <w:bottom w:val="none" w:sz="0" w:space="0" w:color="auto"/>
        <w:right w:val="none" w:sz="0" w:space="0" w:color="auto"/>
      </w:divBdr>
    </w:div>
    <w:div w:id="698049794">
      <w:bodyDiv w:val="1"/>
      <w:marLeft w:val="0"/>
      <w:marRight w:val="0"/>
      <w:marTop w:val="0"/>
      <w:marBottom w:val="0"/>
      <w:divBdr>
        <w:top w:val="none" w:sz="0" w:space="0" w:color="auto"/>
        <w:left w:val="none" w:sz="0" w:space="0" w:color="auto"/>
        <w:bottom w:val="none" w:sz="0" w:space="0" w:color="auto"/>
        <w:right w:val="none" w:sz="0" w:space="0" w:color="auto"/>
      </w:divBdr>
    </w:div>
    <w:div w:id="703137968">
      <w:bodyDiv w:val="1"/>
      <w:marLeft w:val="0"/>
      <w:marRight w:val="0"/>
      <w:marTop w:val="0"/>
      <w:marBottom w:val="0"/>
      <w:divBdr>
        <w:top w:val="none" w:sz="0" w:space="0" w:color="auto"/>
        <w:left w:val="none" w:sz="0" w:space="0" w:color="auto"/>
        <w:bottom w:val="none" w:sz="0" w:space="0" w:color="auto"/>
        <w:right w:val="none" w:sz="0" w:space="0" w:color="auto"/>
      </w:divBdr>
    </w:div>
    <w:div w:id="708066935">
      <w:bodyDiv w:val="1"/>
      <w:marLeft w:val="0"/>
      <w:marRight w:val="0"/>
      <w:marTop w:val="0"/>
      <w:marBottom w:val="0"/>
      <w:divBdr>
        <w:top w:val="none" w:sz="0" w:space="0" w:color="auto"/>
        <w:left w:val="none" w:sz="0" w:space="0" w:color="auto"/>
        <w:bottom w:val="none" w:sz="0" w:space="0" w:color="auto"/>
        <w:right w:val="none" w:sz="0" w:space="0" w:color="auto"/>
      </w:divBdr>
    </w:div>
    <w:div w:id="715352291">
      <w:bodyDiv w:val="1"/>
      <w:marLeft w:val="0"/>
      <w:marRight w:val="0"/>
      <w:marTop w:val="0"/>
      <w:marBottom w:val="0"/>
      <w:divBdr>
        <w:top w:val="none" w:sz="0" w:space="0" w:color="auto"/>
        <w:left w:val="none" w:sz="0" w:space="0" w:color="auto"/>
        <w:bottom w:val="none" w:sz="0" w:space="0" w:color="auto"/>
        <w:right w:val="none" w:sz="0" w:space="0" w:color="auto"/>
      </w:divBdr>
    </w:div>
    <w:div w:id="719213273">
      <w:bodyDiv w:val="1"/>
      <w:marLeft w:val="0"/>
      <w:marRight w:val="0"/>
      <w:marTop w:val="0"/>
      <w:marBottom w:val="0"/>
      <w:divBdr>
        <w:top w:val="none" w:sz="0" w:space="0" w:color="auto"/>
        <w:left w:val="none" w:sz="0" w:space="0" w:color="auto"/>
        <w:bottom w:val="none" w:sz="0" w:space="0" w:color="auto"/>
        <w:right w:val="none" w:sz="0" w:space="0" w:color="auto"/>
      </w:divBdr>
    </w:div>
    <w:div w:id="736978769">
      <w:bodyDiv w:val="1"/>
      <w:marLeft w:val="0"/>
      <w:marRight w:val="0"/>
      <w:marTop w:val="0"/>
      <w:marBottom w:val="0"/>
      <w:divBdr>
        <w:top w:val="none" w:sz="0" w:space="0" w:color="auto"/>
        <w:left w:val="none" w:sz="0" w:space="0" w:color="auto"/>
        <w:bottom w:val="none" w:sz="0" w:space="0" w:color="auto"/>
        <w:right w:val="none" w:sz="0" w:space="0" w:color="auto"/>
      </w:divBdr>
    </w:div>
    <w:div w:id="750854506">
      <w:bodyDiv w:val="1"/>
      <w:marLeft w:val="0"/>
      <w:marRight w:val="0"/>
      <w:marTop w:val="0"/>
      <w:marBottom w:val="0"/>
      <w:divBdr>
        <w:top w:val="none" w:sz="0" w:space="0" w:color="auto"/>
        <w:left w:val="none" w:sz="0" w:space="0" w:color="auto"/>
        <w:bottom w:val="none" w:sz="0" w:space="0" w:color="auto"/>
        <w:right w:val="none" w:sz="0" w:space="0" w:color="auto"/>
      </w:divBdr>
    </w:div>
    <w:div w:id="752121304">
      <w:bodyDiv w:val="1"/>
      <w:marLeft w:val="0"/>
      <w:marRight w:val="0"/>
      <w:marTop w:val="0"/>
      <w:marBottom w:val="0"/>
      <w:divBdr>
        <w:top w:val="none" w:sz="0" w:space="0" w:color="auto"/>
        <w:left w:val="none" w:sz="0" w:space="0" w:color="auto"/>
        <w:bottom w:val="none" w:sz="0" w:space="0" w:color="auto"/>
        <w:right w:val="none" w:sz="0" w:space="0" w:color="auto"/>
      </w:divBdr>
    </w:div>
    <w:div w:id="752581847">
      <w:bodyDiv w:val="1"/>
      <w:marLeft w:val="0"/>
      <w:marRight w:val="0"/>
      <w:marTop w:val="0"/>
      <w:marBottom w:val="0"/>
      <w:divBdr>
        <w:top w:val="none" w:sz="0" w:space="0" w:color="auto"/>
        <w:left w:val="none" w:sz="0" w:space="0" w:color="auto"/>
        <w:bottom w:val="none" w:sz="0" w:space="0" w:color="auto"/>
        <w:right w:val="none" w:sz="0" w:space="0" w:color="auto"/>
      </w:divBdr>
    </w:div>
    <w:div w:id="780950744">
      <w:bodyDiv w:val="1"/>
      <w:marLeft w:val="0"/>
      <w:marRight w:val="0"/>
      <w:marTop w:val="0"/>
      <w:marBottom w:val="0"/>
      <w:divBdr>
        <w:top w:val="none" w:sz="0" w:space="0" w:color="auto"/>
        <w:left w:val="none" w:sz="0" w:space="0" w:color="auto"/>
        <w:bottom w:val="none" w:sz="0" w:space="0" w:color="auto"/>
        <w:right w:val="none" w:sz="0" w:space="0" w:color="auto"/>
      </w:divBdr>
    </w:div>
    <w:div w:id="792553615">
      <w:bodyDiv w:val="1"/>
      <w:marLeft w:val="0"/>
      <w:marRight w:val="0"/>
      <w:marTop w:val="0"/>
      <w:marBottom w:val="0"/>
      <w:divBdr>
        <w:top w:val="none" w:sz="0" w:space="0" w:color="auto"/>
        <w:left w:val="none" w:sz="0" w:space="0" w:color="auto"/>
        <w:bottom w:val="none" w:sz="0" w:space="0" w:color="auto"/>
        <w:right w:val="none" w:sz="0" w:space="0" w:color="auto"/>
      </w:divBdr>
    </w:div>
    <w:div w:id="815147940">
      <w:bodyDiv w:val="1"/>
      <w:marLeft w:val="0"/>
      <w:marRight w:val="0"/>
      <w:marTop w:val="0"/>
      <w:marBottom w:val="0"/>
      <w:divBdr>
        <w:top w:val="none" w:sz="0" w:space="0" w:color="auto"/>
        <w:left w:val="none" w:sz="0" w:space="0" w:color="auto"/>
        <w:bottom w:val="none" w:sz="0" w:space="0" w:color="auto"/>
        <w:right w:val="none" w:sz="0" w:space="0" w:color="auto"/>
      </w:divBdr>
    </w:div>
    <w:div w:id="816532472">
      <w:bodyDiv w:val="1"/>
      <w:marLeft w:val="0"/>
      <w:marRight w:val="0"/>
      <w:marTop w:val="0"/>
      <w:marBottom w:val="0"/>
      <w:divBdr>
        <w:top w:val="none" w:sz="0" w:space="0" w:color="auto"/>
        <w:left w:val="none" w:sz="0" w:space="0" w:color="auto"/>
        <w:bottom w:val="none" w:sz="0" w:space="0" w:color="auto"/>
        <w:right w:val="none" w:sz="0" w:space="0" w:color="auto"/>
      </w:divBdr>
    </w:div>
    <w:div w:id="842936921">
      <w:bodyDiv w:val="1"/>
      <w:marLeft w:val="0"/>
      <w:marRight w:val="0"/>
      <w:marTop w:val="0"/>
      <w:marBottom w:val="0"/>
      <w:divBdr>
        <w:top w:val="none" w:sz="0" w:space="0" w:color="auto"/>
        <w:left w:val="none" w:sz="0" w:space="0" w:color="auto"/>
        <w:bottom w:val="none" w:sz="0" w:space="0" w:color="auto"/>
        <w:right w:val="none" w:sz="0" w:space="0" w:color="auto"/>
      </w:divBdr>
    </w:div>
    <w:div w:id="843203911">
      <w:bodyDiv w:val="1"/>
      <w:marLeft w:val="0"/>
      <w:marRight w:val="0"/>
      <w:marTop w:val="0"/>
      <w:marBottom w:val="0"/>
      <w:divBdr>
        <w:top w:val="none" w:sz="0" w:space="0" w:color="auto"/>
        <w:left w:val="none" w:sz="0" w:space="0" w:color="auto"/>
        <w:bottom w:val="none" w:sz="0" w:space="0" w:color="auto"/>
        <w:right w:val="none" w:sz="0" w:space="0" w:color="auto"/>
      </w:divBdr>
    </w:div>
    <w:div w:id="848720291">
      <w:bodyDiv w:val="1"/>
      <w:marLeft w:val="0"/>
      <w:marRight w:val="0"/>
      <w:marTop w:val="0"/>
      <w:marBottom w:val="0"/>
      <w:divBdr>
        <w:top w:val="none" w:sz="0" w:space="0" w:color="auto"/>
        <w:left w:val="none" w:sz="0" w:space="0" w:color="auto"/>
        <w:bottom w:val="none" w:sz="0" w:space="0" w:color="auto"/>
        <w:right w:val="none" w:sz="0" w:space="0" w:color="auto"/>
      </w:divBdr>
    </w:div>
    <w:div w:id="871306697">
      <w:bodyDiv w:val="1"/>
      <w:marLeft w:val="0"/>
      <w:marRight w:val="0"/>
      <w:marTop w:val="0"/>
      <w:marBottom w:val="0"/>
      <w:divBdr>
        <w:top w:val="none" w:sz="0" w:space="0" w:color="auto"/>
        <w:left w:val="none" w:sz="0" w:space="0" w:color="auto"/>
        <w:bottom w:val="none" w:sz="0" w:space="0" w:color="auto"/>
        <w:right w:val="none" w:sz="0" w:space="0" w:color="auto"/>
      </w:divBdr>
    </w:div>
    <w:div w:id="909995829">
      <w:bodyDiv w:val="1"/>
      <w:marLeft w:val="0"/>
      <w:marRight w:val="0"/>
      <w:marTop w:val="0"/>
      <w:marBottom w:val="0"/>
      <w:divBdr>
        <w:top w:val="none" w:sz="0" w:space="0" w:color="auto"/>
        <w:left w:val="none" w:sz="0" w:space="0" w:color="auto"/>
        <w:bottom w:val="none" w:sz="0" w:space="0" w:color="auto"/>
        <w:right w:val="none" w:sz="0" w:space="0" w:color="auto"/>
      </w:divBdr>
    </w:div>
    <w:div w:id="928540244">
      <w:bodyDiv w:val="1"/>
      <w:marLeft w:val="0"/>
      <w:marRight w:val="0"/>
      <w:marTop w:val="0"/>
      <w:marBottom w:val="0"/>
      <w:divBdr>
        <w:top w:val="none" w:sz="0" w:space="0" w:color="auto"/>
        <w:left w:val="none" w:sz="0" w:space="0" w:color="auto"/>
        <w:bottom w:val="none" w:sz="0" w:space="0" w:color="auto"/>
        <w:right w:val="none" w:sz="0" w:space="0" w:color="auto"/>
      </w:divBdr>
    </w:div>
    <w:div w:id="968322415">
      <w:bodyDiv w:val="1"/>
      <w:marLeft w:val="0"/>
      <w:marRight w:val="0"/>
      <w:marTop w:val="0"/>
      <w:marBottom w:val="0"/>
      <w:divBdr>
        <w:top w:val="none" w:sz="0" w:space="0" w:color="auto"/>
        <w:left w:val="none" w:sz="0" w:space="0" w:color="auto"/>
        <w:bottom w:val="none" w:sz="0" w:space="0" w:color="auto"/>
        <w:right w:val="none" w:sz="0" w:space="0" w:color="auto"/>
      </w:divBdr>
    </w:div>
    <w:div w:id="995959916">
      <w:bodyDiv w:val="1"/>
      <w:marLeft w:val="0"/>
      <w:marRight w:val="0"/>
      <w:marTop w:val="0"/>
      <w:marBottom w:val="0"/>
      <w:divBdr>
        <w:top w:val="none" w:sz="0" w:space="0" w:color="auto"/>
        <w:left w:val="none" w:sz="0" w:space="0" w:color="auto"/>
        <w:bottom w:val="none" w:sz="0" w:space="0" w:color="auto"/>
        <w:right w:val="none" w:sz="0" w:space="0" w:color="auto"/>
      </w:divBdr>
    </w:div>
    <w:div w:id="1054308351">
      <w:bodyDiv w:val="1"/>
      <w:marLeft w:val="0"/>
      <w:marRight w:val="0"/>
      <w:marTop w:val="0"/>
      <w:marBottom w:val="0"/>
      <w:divBdr>
        <w:top w:val="none" w:sz="0" w:space="0" w:color="auto"/>
        <w:left w:val="none" w:sz="0" w:space="0" w:color="auto"/>
        <w:bottom w:val="none" w:sz="0" w:space="0" w:color="auto"/>
        <w:right w:val="none" w:sz="0" w:space="0" w:color="auto"/>
      </w:divBdr>
    </w:div>
    <w:div w:id="1080296867">
      <w:bodyDiv w:val="1"/>
      <w:marLeft w:val="0"/>
      <w:marRight w:val="0"/>
      <w:marTop w:val="0"/>
      <w:marBottom w:val="0"/>
      <w:divBdr>
        <w:top w:val="none" w:sz="0" w:space="0" w:color="auto"/>
        <w:left w:val="none" w:sz="0" w:space="0" w:color="auto"/>
        <w:bottom w:val="none" w:sz="0" w:space="0" w:color="auto"/>
        <w:right w:val="none" w:sz="0" w:space="0" w:color="auto"/>
      </w:divBdr>
    </w:div>
    <w:div w:id="1082989969">
      <w:bodyDiv w:val="1"/>
      <w:marLeft w:val="0"/>
      <w:marRight w:val="0"/>
      <w:marTop w:val="0"/>
      <w:marBottom w:val="0"/>
      <w:divBdr>
        <w:top w:val="none" w:sz="0" w:space="0" w:color="auto"/>
        <w:left w:val="none" w:sz="0" w:space="0" w:color="auto"/>
        <w:bottom w:val="none" w:sz="0" w:space="0" w:color="auto"/>
        <w:right w:val="none" w:sz="0" w:space="0" w:color="auto"/>
      </w:divBdr>
    </w:div>
    <w:div w:id="1121991904">
      <w:bodyDiv w:val="1"/>
      <w:marLeft w:val="0"/>
      <w:marRight w:val="0"/>
      <w:marTop w:val="0"/>
      <w:marBottom w:val="0"/>
      <w:divBdr>
        <w:top w:val="none" w:sz="0" w:space="0" w:color="auto"/>
        <w:left w:val="none" w:sz="0" w:space="0" w:color="auto"/>
        <w:bottom w:val="none" w:sz="0" w:space="0" w:color="auto"/>
        <w:right w:val="none" w:sz="0" w:space="0" w:color="auto"/>
      </w:divBdr>
    </w:div>
    <w:div w:id="1148207124">
      <w:bodyDiv w:val="1"/>
      <w:marLeft w:val="0"/>
      <w:marRight w:val="0"/>
      <w:marTop w:val="0"/>
      <w:marBottom w:val="0"/>
      <w:divBdr>
        <w:top w:val="none" w:sz="0" w:space="0" w:color="auto"/>
        <w:left w:val="none" w:sz="0" w:space="0" w:color="auto"/>
        <w:bottom w:val="none" w:sz="0" w:space="0" w:color="auto"/>
        <w:right w:val="none" w:sz="0" w:space="0" w:color="auto"/>
      </w:divBdr>
    </w:div>
    <w:div w:id="1165437946">
      <w:bodyDiv w:val="1"/>
      <w:marLeft w:val="0"/>
      <w:marRight w:val="0"/>
      <w:marTop w:val="0"/>
      <w:marBottom w:val="0"/>
      <w:divBdr>
        <w:top w:val="none" w:sz="0" w:space="0" w:color="auto"/>
        <w:left w:val="none" w:sz="0" w:space="0" w:color="auto"/>
        <w:bottom w:val="none" w:sz="0" w:space="0" w:color="auto"/>
        <w:right w:val="none" w:sz="0" w:space="0" w:color="auto"/>
      </w:divBdr>
    </w:div>
    <w:div w:id="1171335297">
      <w:bodyDiv w:val="1"/>
      <w:marLeft w:val="0"/>
      <w:marRight w:val="0"/>
      <w:marTop w:val="0"/>
      <w:marBottom w:val="0"/>
      <w:divBdr>
        <w:top w:val="none" w:sz="0" w:space="0" w:color="auto"/>
        <w:left w:val="none" w:sz="0" w:space="0" w:color="auto"/>
        <w:bottom w:val="none" w:sz="0" w:space="0" w:color="auto"/>
        <w:right w:val="none" w:sz="0" w:space="0" w:color="auto"/>
      </w:divBdr>
    </w:div>
    <w:div w:id="1229028029">
      <w:bodyDiv w:val="1"/>
      <w:marLeft w:val="0"/>
      <w:marRight w:val="0"/>
      <w:marTop w:val="0"/>
      <w:marBottom w:val="0"/>
      <w:divBdr>
        <w:top w:val="none" w:sz="0" w:space="0" w:color="auto"/>
        <w:left w:val="none" w:sz="0" w:space="0" w:color="auto"/>
        <w:bottom w:val="none" w:sz="0" w:space="0" w:color="auto"/>
        <w:right w:val="none" w:sz="0" w:space="0" w:color="auto"/>
      </w:divBdr>
    </w:div>
    <w:div w:id="1235162197">
      <w:bodyDiv w:val="1"/>
      <w:marLeft w:val="0"/>
      <w:marRight w:val="0"/>
      <w:marTop w:val="0"/>
      <w:marBottom w:val="0"/>
      <w:divBdr>
        <w:top w:val="none" w:sz="0" w:space="0" w:color="auto"/>
        <w:left w:val="none" w:sz="0" w:space="0" w:color="auto"/>
        <w:bottom w:val="none" w:sz="0" w:space="0" w:color="auto"/>
        <w:right w:val="none" w:sz="0" w:space="0" w:color="auto"/>
      </w:divBdr>
    </w:div>
    <w:div w:id="1267691620">
      <w:bodyDiv w:val="1"/>
      <w:marLeft w:val="0"/>
      <w:marRight w:val="0"/>
      <w:marTop w:val="0"/>
      <w:marBottom w:val="0"/>
      <w:divBdr>
        <w:top w:val="none" w:sz="0" w:space="0" w:color="auto"/>
        <w:left w:val="none" w:sz="0" w:space="0" w:color="auto"/>
        <w:bottom w:val="none" w:sz="0" w:space="0" w:color="auto"/>
        <w:right w:val="none" w:sz="0" w:space="0" w:color="auto"/>
      </w:divBdr>
    </w:div>
    <w:div w:id="1282833724">
      <w:bodyDiv w:val="1"/>
      <w:marLeft w:val="0"/>
      <w:marRight w:val="0"/>
      <w:marTop w:val="0"/>
      <w:marBottom w:val="0"/>
      <w:divBdr>
        <w:top w:val="none" w:sz="0" w:space="0" w:color="auto"/>
        <w:left w:val="none" w:sz="0" w:space="0" w:color="auto"/>
        <w:bottom w:val="none" w:sz="0" w:space="0" w:color="auto"/>
        <w:right w:val="none" w:sz="0" w:space="0" w:color="auto"/>
      </w:divBdr>
    </w:div>
    <w:div w:id="1284339224">
      <w:bodyDiv w:val="1"/>
      <w:marLeft w:val="0"/>
      <w:marRight w:val="0"/>
      <w:marTop w:val="0"/>
      <w:marBottom w:val="0"/>
      <w:divBdr>
        <w:top w:val="none" w:sz="0" w:space="0" w:color="auto"/>
        <w:left w:val="none" w:sz="0" w:space="0" w:color="auto"/>
        <w:bottom w:val="none" w:sz="0" w:space="0" w:color="auto"/>
        <w:right w:val="none" w:sz="0" w:space="0" w:color="auto"/>
      </w:divBdr>
    </w:div>
    <w:div w:id="1286084175">
      <w:bodyDiv w:val="1"/>
      <w:marLeft w:val="0"/>
      <w:marRight w:val="0"/>
      <w:marTop w:val="0"/>
      <w:marBottom w:val="0"/>
      <w:divBdr>
        <w:top w:val="none" w:sz="0" w:space="0" w:color="auto"/>
        <w:left w:val="none" w:sz="0" w:space="0" w:color="auto"/>
        <w:bottom w:val="none" w:sz="0" w:space="0" w:color="auto"/>
        <w:right w:val="none" w:sz="0" w:space="0" w:color="auto"/>
      </w:divBdr>
    </w:div>
    <w:div w:id="1292204790">
      <w:bodyDiv w:val="1"/>
      <w:marLeft w:val="0"/>
      <w:marRight w:val="0"/>
      <w:marTop w:val="0"/>
      <w:marBottom w:val="0"/>
      <w:divBdr>
        <w:top w:val="none" w:sz="0" w:space="0" w:color="auto"/>
        <w:left w:val="none" w:sz="0" w:space="0" w:color="auto"/>
        <w:bottom w:val="none" w:sz="0" w:space="0" w:color="auto"/>
        <w:right w:val="none" w:sz="0" w:space="0" w:color="auto"/>
      </w:divBdr>
    </w:div>
    <w:div w:id="1319109748">
      <w:bodyDiv w:val="1"/>
      <w:marLeft w:val="0"/>
      <w:marRight w:val="0"/>
      <w:marTop w:val="0"/>
      <w:marBottom w:val="0"/>
      <w:divBdr>
        <w:top w:val="none" w:sz="0" w:space="0" w:color="auto"/>
        <w:left w:val="none" w:sz="0" w:space="0" w:color="auto"/>
        <w:bottom w:val="none" w:sz="0" w:space="0" w:color="auto"/>
        <w:right w:val="none" w:sz="0" w:space="0" w:color="auto"/>
      </w:divBdr>
    </w:div>
    <w:div w:id="1322661499">
      <w:bodyDiv w:val="1"/>
      <w:marLeft w:val="0"/>
      <w:marRight w:val="0"/>
      <w:marTop w:val="0"/>
      <w:marBottom w:val="0"/>
      <w:divBdr>
        <w:top w:val="none" w:sz="0" w:space="0" w:color="auto"/>
        <w:left w:val="none" w:sz="0" w:space="0" w:color="auto"/>
        <w:bottom w:val="none" w:sz="0" w:space="0" w:color="auto"/>
        <w:right w:val="none" w:sz="0" w:space="0" w:color="auto"/>
      </w:divBdr>
    </w:div>
    <w:div w:id="1331105066">
      <w:bodyDiv w:val="1"/>
      <w:marLeft w:val="0"/>
      <w:marRight w:val="0"/>
      <w:marTop w:val="0"/>
      <w:marBottom w:val="0"/>
      <w:divBdr>
        <w:top w:val="none" w:sz="0" w:space="0" w:color="auto"/>
        <w:left w:val="none" w:sz="0" w:space="0" w:color="auto"/>
        <w:bottom w:val="none" w:sz="0" w:space="0" w:color="auto"/>
        <w:right w:val="none" w:sz="0" w:space="0" w:color="auto"/>
      </w:divBdr>
    </w:div>
    <w:div w:id="1407460638">
      <w:bodyDiv w:val="1"/>
      <w:marLeft w:val="0"/>
      <w:marRight w:val="0"/>
      <w:marTop w:val="0"/>
      <w:marBottom w:val="0"/>
      <w:divBdr>
        <w:top w:val="none" w:sz="0" w:space="0" w:color="auto"/>
        <w:left w:val="none" w:sz="0" w:space="0" w:color="auto"/>
        <w:bottom w:val="none" w:sz="0" w:space="0" w:color="auto"/>
        <w:right w:val="none" w:sz="0" w:space="0" w:color="auto"/>
      </w:divBdr>
    </w:div>
    <w:div w:id="1426222027">
      <w:bodyDiv w:val="1"/>
      <w:marLeft w:val="0"/>
      <w:marRight w:val="0"/>
      <w:marTop w:val="0"/>
      <w:marBottom w:val="0"/>
      <w:divBdr>
        <w:top w:val="none" w:sz="0" w:space="0" w:color="auto"/>
        <w:left w:val="none" w:sz="0" w:space="0" w:color="auto"/>
        <w:bottom w:val="none" w:sz="0" w:space="0" w:color="auto"/>
        <w:right w:val="none" w:sz="0" w:space="0" w:color="auto"/>
      </w:divBdr>
    </w:div>
    <w:div w:id="1460223134">
      <w:bodyDiv w:val="1"/>
      <w:marLeft w:val="0"/>
      <w:marRight w:val="0"/>
      <w:marTop w:val="0"/>
      <w:marBottom w:val="0"/>
      <w:divBdr>
        <w:top w:val="none" w:sz="0" w:space="0" w:color="auto"/>
        <w:left w:val="none" w:sz="0" w:space="0" w:color="auto"/>
        <w:bottom w:val="none" w:sz="0" w:space="0" w:color="auto"/>
        <w:right w:val="none" w:sz="0" w:space="0" w:color="auto"/>
      </w:divBdr>
    </w:div>
    <w:div w:id="1464040279">
      <w:bodyDiv w:val="1"/>
      <w:marLeft w:val="0"/>
      <w:marRight w:val="0"/>
      <w:marTop w:val="0"/>
      <w:marBottom w:val="0"/>
      <w:divBdr>
        <w:top w:val="none" w:sz="0" w:space="0" w:color="auto"/>
        <w:left w:val="none" w:sz="0" w:space="0" w:color="auto"/>
        <w:bottom w:val="none" w:sz="0" w:space="0" w:color="auto"/>
        <w:right w:val="none" w:sz="0" w:space="0" w:color="auto"/>
      </w:divBdr>
    </w:div>
    <w:div w:id="1511991143">
      <w:bodyDiv w:val="1"/>
      <w:marLeft w:val="0"/>
      <w:marRight w:val="0"/>
      <w:marTop w:val="0"/>
      <w:marBottom w:val="0"/>
      <w:divBdr>
        <w:top w:val="none" w:sz="0" w:space="0" w:color="auto"/>
        <w:left w:val="none" w:sz="0" w:space="0" w:color="auto"/>
        <w:bottom w:val="none" w:sz="0" w:space="0" w:color="auto"/>
        <w:right w:val="none" w:sz="0" w:space="0" w:color="auto"/>
      </w:divBdr>
    </w:div>
    <w:div w:id="1515918130">
      <w:bodyDiv w:val="1"/>
      <w:marLeft w:val="0"/>
      <w:marRight w:val="0"/>
      <w:marTop w:val="0"/>
      <w:marBottom w:val="0"/>
      <w:divBdr>
        <w:top w:val="none" w:sz="0" w:space="0" w:color="auto"/>
        <w:left w:val="none" w:sz="0" w:space="0" w:color="auto"/>
        <w:bottom w:val="none" w:sz="0" w:space="0" w:color="auto"/>
        <w:right w:val="none" w:sz="0" w:space="0" w:color="auto"/>
      </w:divBdr>
    </w:div>
    <w:div w:id="1527132801">
      <w:bodyDiv w:val="1"/>
      <w:marLeft w:val="0"/>
      <w:marRight w:val="0"/>
      <w:marTop w:val="0"/>
      <w:marBottom w:val="0"/>
      <w:divBdr>
        <w:top w:val="none" w:sz="0" w:space="0" w:color="auto"/>
        <w:left w:val="none" w:sz="0" w:space="0" w:color="auto"/>
        <w:bottom w:val="none" w:sz="0" w:space="0" w:color="auto"/>
        <w:right w:val="none" w:sz="0" w:space="0" w:color="auto"/>
      </w:divBdr>
    </w:div>
    <w:div w:id="1594778393">
      <w:bodyDiv w:val="1"/>
      <w:marLeft w:val="0"/>
      <w:marRight w:val="0"/>
      <w:marTop w:val="0"/>
      <w:marBottom w:val="0"/>
      <w:divBdr>
        <w:top w:val="none" w:sz="0" w:space="0" w:color="auto"/>
        <w:left w:val="none" w:sz="0" w:space="0" w:color="auto"/>
        <w:bottom w:val="none" w:sz="0" w:space="0" w:color="auto"/>
        <w:right w:val="none" w:sz="0" w:space="0" w:color="auto"/>
      </w:divBdr>
    </w:div>
    <w:div w:id="1619068957">
      <w:bodyDiv w:val="1"/>
      <w:marLeft w:val="0"/>
      <w:marRight w:val="0"/>
      <w:marTop w:val="0"/>
      <w:marBottom w:val="0"/>
      <w:divBdr>
        <w:top w:val="none" w:sz="0" w:space="0" w:color="auto"/>
        <w:left w:val="none" w:sz="0" w:space="0" w:color="auto"/>
        <w:bottom w:val="none" w:sz="0" w:space="0" w:color="auto"/>
        <w:right w:val="none" w:sz="0" w:space="0" w:color="auto"/>
      </w:divBdr>
    </w:div>
    <w:div w:id="1642348672">
      <w:bodyDiv w:val="1"/>
      <w:marLeft w:val="0"/>
      <w:marRight w:val="0"/>
      <w:marTop w:val="0"/>
      <w:marBottom w:val="0"/>
      <w:divBdr>
        <w:top w:val="none" w:sz="0" w:space="0" w:color="auto"/>
        <w:left w:val="none" w:sz="0" w:space="0" w:color="auto"/>
        <w:bottom w:val="none" w:sz="0" w:space="0" w:color="auto"/>
        <w:right w:val="none" w:sz="0" w:space="0" w:color="auto"/>
      </w:divBdr>
    </w:div>
    <w:div w:id="1689477821">
      <w:bodyDiv w:val="1"/>
      <w:marLeft w:val="0"/>
      <w:marRight w:val="0"/>
      <w:marTop w:val="0"/>
      <w:marBottom w:val="0"/>
      <w:divBdr>
        <w:top w:val="none" w:sz="0" w:space="0" w:color="auto"/>
        <w:left w:val="none" w:sz="0" w:space="0" w:color="auto"/>
        <w:bottom w:val="none" w:sz="0" w:space="0" w:color="auto"/>
        <w:right w:val="none" w:sz="0" w:space="0" w:color="auto"/>
      </w:divBdr>
    </w:div>
    <w:div w:id="1705057778">
      <w:bodyDiv w:val="1"/>
      <w:marLeft w:val="0"/>
      <w:marRight w:val="0"/>
      <w:marTop w:val="0"/>
      <w:marBottom w:val="0"/>
      <w:divBdr>
        <w:top w:val="none" w:sz="0" w:space="0" w:color="auto"/>
        <w:left w:val="none" w:sz="0" w:space="0" w:color="auto"/>
        <w:bottom w:val="none" w:sz="0" w:space="0" w:color="auto"/>
        <w:right w:val="none" w:sz="0" w:space="0" w:color="auto"/>
      </w:divBdr>
    </w:div>
    <w:div w:id="1705863217">
      <w:bodyDiv w:val="1"/>
      <w:marLeft w:val="0"/>
      <w:marRight w:val="0"/>
      <w:marTop w:val="0"/>
      <w:marBottom w:val="0"/>
      <w:divBdr>
        <w:top w:val="none" w:sz="0" w:space="0" w:color="auto"/>
        <w:left w:val="none" w:sz="0" w:space="0" w:color="auto"/>
        <w:bottom w:val="none" w:sz="0" w:space="0" w:color="auto"/>
        <w:right w:val="none" w:sz="0" w:space="0" w:color="auto"/>
      </w:divBdr>
    </w:div>
    <w:div w:id="1713075532">
      <w:bodyDiv w:val="1"/>
      <w:marLeft w:val="0"/>
      <w:marRight w:val="0"/>
      <w:marTop w:val="0"/>
      <w:marBottom w:val="0"/>
      <w:divBdr>
        <w:top w:val="none" w:sz="0" w:space="0" w:color="auto"/>
        <w:left w:val="none" w:sz="0" w:space="0" w:color="auto"/>
        <w:bottom w:val="none" w:sz="0" w:space="0" w:color="auto"/>
        <w:right w:val="none" w:sz="0" w:space="0" w:color="auto"/>
      </w:divBdr>
    </w:div>
    <w:div w:id="1716077927">
      <w:bodyDiv w:val="1"/>
      <w:marLeft w:val="0"/>
      <w:marRight w:val="0"/>
      <w:marTop w:val="0"/>
      <w:marBottom w:val="0"/>
      <w:divBdr>
        <w:top w:val="none" w:sz="0" w:space="0" w:color="auto"/>
        <w:left w:val="none" w:sz="0" w:space="0" w:color="auto"/>
        <w:bottom w:val="none" w:sz="0" w:space="0" w:color="auto"/>
        <w:right w:val="none" w:sz="0" w:space="0" w:color="auto"/>
      </w:divBdr>
    </w:div>
    <w:div w:id="1723603472">
      <w:bodyDiv w:val="1"/>
      <w:marLeft w:val="0"/>
      <w:marRight w:val="0"/>
      <w:marTop w:val="0"/>
      <w:marBottom w:val="0"/>
      <w:divBdr>
        <w:top w:val="none" w:sz="0" w:space="0" w:color="auto"/>
        <w:left w:val="none" w:sz="0" w:space="0" w:color="auto"/>
        <w:bottom w:val="none" w:sz="0" w:space="0" w:color="auto"/>
        <w:right w:val="none" w:sz="0" w:space="0" w:color="auto"/>
      </w:divBdr>
    </w:div>
    <w:div w:id="1729956646">
      <w:bodyDiv w:val="1"/>
      <w:marLeft w:val="0"/>
      <w:marRight w:val="0"/>
      <w:marTop w:val="0"/>
      <w:marBottom w:val="0"/>
      <w:divBdr>
        <w:top w:val="none" w:sz="0" w:space="0" w:color="auto"/>
        <w:left w:val="none" w:sz="0" w:space="0" w:color="auto"/>
        <w:bottom w:val="none" w:sz="0" w:space="0" w:color="auto"/>
        <w:right w:val="none" w:sz="0" w:space="0" w:color="auto"/>
      </w:divBdr>
    </w:div>
    <w:div w:id="1735009659">
      <w:bodyDiv w:val="1"/>
      <w:marLeft w:val="0"/>
      <w:marRight w:val="0"/>
      <w:marTop w:val="0"/>
      <w:marBottom w:val="0"/>
      <w:divBdr>
        <w:top w:val="none" w:sz="0" w:space="0" w:color="auto"/>
        <w:left w:val="none" w:sz="0" w:space="0" w:color="auto"/>
        <w:bottom w:val="none" w:sz="0" w:space="0" w:color="auto"/>
        <w:right w:val="none" w:sz="0" w:space="0" w:color="auto"/>
      </w:divBdr>
    </w:div>
    <w:div w:id="1745225326">
      <w:bodyDiv w:val="1"/>
      <w:marLeft w:val="0"/>
      <w:marRight w:val="0"/>
      <w:marTop w:val="0"/>
      <w:marBottom w:val="0"/>
      <w:divBdr>
        <w:top w:val="none" w:sz="0" w:space="0" w:color="auto"/>
        <w:left w:val="none" w:sz="0" w:space="0" w:color="auto"/>
        <w:bottom w:val="none" w:sz="0" w:space="0" w:color="auto"/>
        <w:right w:val="none" w:sz="0" w:space="0" w:color="auto"/>
      </w:divBdr>
    </w:div>
    <w:div w:id="1750229843">
      <w:bodyDiv w:val="1"/>
      <w:marLeft w:val="0"/>
      <w:marRight w:val="0"/>
      <w:marTop w:val="0"/>
      <w:marBottom w:val="0"/>
      <w:divBdr>
        <w:top w:val="none" w:sz="0" w:space="0" w:color="auto"/>
        <w:left w:val="none" w:sz="0" w:space="0" w:color="auto"/>
        <w:bottom w:val="none" w:sz="0" w:space="0" w:color="auto"/>
        <w:right w:val="none" w:sz="0" w:space="0" w:color="auto"/>
      </w:divBdr>
    </w:div>
    <w:div w:id="1752699784">
      <w:bodyDiv w:val="1"/>
      <w:marLeft w:val="0"/>
      <w:marRight w:val="0"/>
      <w:marTop w:val="0"/>
      <w:marBottom w:val="0"/>
      <w:divBdr>
        <w:top w:val="none" w:sz="0" w:space="0" w:color="auto"/>
        <w:left w:val="none" w:sz="0" w:space="0" w:color="auto"/>
        <w:bottom w:val="none" w:sz="0" w:space="0" w:color="auto"/>
        <w:right w:val="none" w:sz="0" w:space="0" w:color="auto"/>
      </w:divBdr>
    </w:div>
    <w:div w:id="1762944410">
      <w:bodyDiv w:val="1"/>
      <w:marLeft w:val="0"/>
      <w:marRight w:val="0"/>
      <w:marTop w:val="0"/>
      <w:marBottom w:val="0"/>
      <w:divBdr>
        <w:top w:val="none" w:sz="0" w:space="0" w:color="auto"/>
        <w:left w:val="none" w:sz="0" w:space="0" w:color="auto"/>
        <w:bottom w:val="none" w:sz="0" w:space="0" w:color="auto"/>
        <w:right w:val="none" w:sz="0" w:space="0" w:color="auto"/>
      </w:divBdr>
    </w:div>
    <w:div w:id="1770659838">
      <w:bodyDiv w:val="1"/>
      <w:marLeft w:val="0"/>
      <w:marRight w:val="0"/>
      <w:marTop w:val="0"/>
      <w:marBottom w:val="0"/>
      <w:divBdr>
        <w:top w:val="none" w:sz="0" w:space="0" w:color="auto"/>
        <w:left w:val="none" w:sz="0" w:space="0" w:color="auto"/>
        <w:bottom w:val="none" w:sz="0" w:space="0" w:color="auto"/>
        <w:right w:val="none" w:sz="0" w:space="0" w:color="auto"/>
      </w:divBdr>
    </w:div>
    <w:div w:id="1791702910">
      <w:bodyDiv w:val="1"/>
      <w:marLeft w:val="0"/>
      <w:marRight w:val="0"/>
      <w:marTop w:val="0"/>
      <w:marBottom w:val="0"/>
      <w:divBdr>
        <w:top w:val="none" w:sz="0" w:space="0" w:color="auto"/>
        <w:left w:val="none" w:sz="0" w:space="0" w:color="auto"/>
        <w:bottom w:val="none" w:sz="0" w:space="0" w:color="auto"/>
        <w:right w:val="none" w:sz="0" w:space="0" w:color="auto"/>
      </w:divBdr>
    </w:div>
    <w:div w:id="1795293310">
      <w:bodyDiv w:val="1"/>
      <w:marLeft w:val="0"/>
      <w:marRight w:val="0"/>
      <w:marTop w:val="0"/>
      <w:marBottom w:val="0"/>
      <w:divBdr>
        <w:top w:val="none" w:sz="0" w:space="0" w:color="auto"/>
        <w:left w:val="none" w:sz="0" w:space="0" w:color="auto"/>
        <w:bottom w:val="none" w:sz="0" w:space="0" w:color="auto"/>
        <w:right w:val="none" w:sz="0" w:space="0" w:color="auto"/>
      </w:divBdr>
    </w:div>
    <w:div w:id="1810319550">
      <w:bodyDiv w:val="1"/>
      <w:marLeft w:val="0"/>
      <w:marRight w:val="0"/>
      <w:marTop w:val="0"/>
      <w:marBottom w:val="0"/>
      <w:divBdr>
        <w:top w:val="none" w:sz="0" w:space="0" w:color="auto"/>
        <w:left w:val="none" w:sz="0" w:space="0" w:color="auto"/>
        <w:bottom w:val="none" w:sz="0" w:space="0" w:color="auto"/>
        <w:right w:val="none" w:sz="0" w:space="0" w:color="auto"/>
      </w:divBdr>
    </w:div>
    <w:div w:id="1828814544">
      <w:bodyDiv w:val="1"/>
      <w:marLeft w:val="0"/>
      <w:marRight w:val="0"/>
      <w:marTop w:val="0"/>
      <w:marBottom w:val="0"/>
      <w:divBdr>
        <w:top w:val="none" w:sz="0" w:space="0" w:color="auto"/>
        <w:left w:val="none" w:sz="0" w:space="0" w:color="auto"/>
        <w:bottom w:val="none" w:sz="0" w:space="0" w:color="auto"/>
        <w:right w:val="none" w:sz="0" w:space="0" w:color="auto"/>
      </w:divBdr>
    </w:div>
    <w:div w:id="1834375835">
      <w:bodyDiv w:val="1"/>
      <w:marLeft w:val="0"/>
      <w:marRight w:val="0"/>
      <w:marTop w:val="0"/>
      <w:marBottom w:val="0"/>
      <w:divBdr>
        <w:top w:val="none" w:sz="0" w:space="0" w:color="auto"/>
        <w:left w:val="none" w:sz="0" w:space="0" w:color="auto"/>
        <w:bottom w:val="none" w:sz="0" w:space="0" w:color="auto"/>
        <w:right w:val="none" w:sz="0" w:space="0" w:color="auto"/>
      </w:divBdr>
    </w:div>
    <w:div w:id="1843426881">
      <w:bodyDiv w:val="1"/>
      <w:marLeft w:val="0"/>
      <w:marRight w:val="0"/>
      <w:marTop w:val="0"/>
      <w:marBottom w:val="0"/>
      <w:divBdr>
        <w:top w:val="none" w:sz="0" w:space="0" w:color="auto"/>
        <w:left w:val="none" w:sz="0" w:space="0" w:color="auto"/>
        <w:bottom w:val="none" w:sz="0" w:space="0" w:color="auto"/>
        <w:right w:val="none" w:sz="0" w:space="0" w:color="auto"/>
      </w:divBdr>
    </w:div>
    <w:div w:id="1844737904">
      <w:bodyDiv w:val="1"/>
      <w:marLeft w:val="0"/>
      <w:marRight w:val="0"/>
      <w:marTop w:val="0"/>
      <w:marBottom w:val="0"/>
      <w:divBdr>
        <w:top w:val="none" w:sz="0" w:space="0" w:color="auto"/>
        <w:left w:val="none" w:sz="0" w:space="0" w:color="auto"/>
        <w:bottom w:val="none" w:sz="0" w:space="0" w:color="auto"/>
        <w:right w:val="none" w:sz="0" w:space="0" w:color="auto"/>
      </w:divBdr>
    </w:div>
    <w:div w:id="1864512948">
      <w:bodyDiv w:val="1"/>
      <w:marLeft w:val="0"/>
      <w:marRight w:val="0"/>
      <w:marTop w:val="0"/>
      <w:marBottom w:val="0"/>
      <w:divBdr>
        <w:top w:val="none" w:sz="0" w:space="0" w:color="auto"/>
        <w:left w:val="none" w:sz="0" w:space="0" w:color="auto"/>
        <w:bottom w:val="none" w:sz="0" w:space="0" w:color="auto"/>
        <w:right w:val="none" w:sz="0" w:space="0" w:color="auto"/>
      </w:divBdr>
    </w:div>
    <w:div w:id="1880821563">
      <w:bodyDiv w:val="1"/>
      <w:marLeft w:val="0"/>
      <w:marRight w:val="0"/>
      <w:marTop w:val="0"/>
      <w:marBottom w:val="0"/>
      <w:divBdr>
        <w:top w:val="none" w:sz="0" w:space="0" w:color="auto"/>
        <w:left w:val="none" w:sz="0" w:space="0" w:color="auto"/>
        <w:bottom w:val="none" w:sz="0" w:space="0" w:color="auto"/>
        <w:right w:val="none" w:sz="0" w:space="0" w:color="auto"/>
      </w:divBdr>
    </w:div>
    <w:div w:id="1882089007">
      <w:bodyDiv w:val="1"/>
      <w:marLeft w:val="0"/>
      <w:marRight w:val="0"/>
      <w:marTop w:val="0"/>
      <w:marBottom w:val="0"/>
      <w:divBdr>
        <w:top w:val="none" w:sz="0" w:space="0" w:color="auto"/>
        <w:left w:val="none" w:sz="0" w:space="0" w:color="auto"/>
        <w:bottom w:val="none" w:sz="0" w:space="0" w:color="auto"/>
        <w:right w:val="none" w:sz="0" w:space="0" w:color="auto"/>
      </w:divBdr>
    </w:div>
    <w:div w:id="1889880824">
      <w:bodyDiv w:val="1"/>
      <w:marLeft w:val="0"/>
      <w:marRight w:val="0"/>
      <w:marTop w:val="0"/>
      <w:marBottom w:val="0"/>
      <w:divBdr>
        <w:top w:val="none" w:sz="0" w:space="0" w:color="auto"/>
        <w:left w:val="none" w:sz="0" w:space="0" w:color="auto"/>
        <w:bottom w:val="none" w:sz="0" w:space="0" w:color="auto"/>
        <w:right w:val="none" w:sz="0" w:space="0" w:color="auto"/>
      </w:divBdr>
    </w:div>
    <w:div w:id="1905984627">
      <w:bodyDiv w:val="1"/>
      <w:marLeft w:val="0"/>
      <w:marRight w:val="0"/>
      <w:marTop w:val="0"/>
      <w:marBottom w:val="0"/>
      <w:divBdr>
        <w:top w:val="none" w:sz="0" w:space="0" w:color="auto"/>
        <w:left w:val="none" w:sz="0" w:space="0" w:color="auto"/>
        <w:bottom w:val="none" w:sz="0" w:space="0" w:color="auto"/>
        <w:right w:val="none" w:sz="0" w:space="0" w:color="auto"/>
      </w:divBdr>
    </w:div>
    <w:div w:id="1906912904">
      <w:bodyDiv w:val="1"/>
      <w:marLeft w:val="0"/>
      <w:marRight w:val="0"/>
      <w:marTop w:val="0"/>
      <w:marBottom w:val="0"/>
      <w:divBdr>
        <w:top w:val="none" w:sz="0" w:space="0" w:color="auto"/>
        <w:left w:val="none" w:sz="0" w:space="0" w:color="auto"/>
        <w:bottom w:val="none" w:sz="0" w:space="0" w:color="auto"/>
        <w:right w:val="none" w:sz="0" w:space="0" w:color="auto"/>
      </w:divBdr>
    </w:div>
    <w:div w:id="1909993747">
      <w:bodyDiv w:val="1"/>
      <w:marLeft w:val="0"/>
      <w:marRight w:val="0"/>
      <w:marTop w:val="0"/>
      <w:marBottom w:val="0"/>
      <w:divBdr>
        <w:top w:val="none" w:sz="0" w:space="0" w:color="auto"/>
        <w:left w:val="none" w:sz="0" w:space="0" w:color="auto"/>
        <w:bottom w:val="none" w:sz="0" w:space="0" w:color="auto"/>
        <w:right w:val="none" w:sz="0" w:space="0" w:color="auto"/>
      </w:divBdr>
    </w:div>
    <w:div w:id="1918437604">
      <w:bodyDiv w:val="1"/>
      <w:marLeft w:val="0"/>
      <w:marRight w:val="0"/>
      <w:marTop w:val="0"/>
      <w:marBottom w:val="0"/>
      <w:divBdr>
        <w:top w:val="none" w:sz="0" w:space="0" w:color="auto"/>
        <w:left w:val="none" w:sz="0" w:space="0" w:color="auto"/>
        <w:bottom w:val="none" w:sz="0" w:space="0" w:color="auto"/>
        <w:right w:val="none" w:sz="0" w:space="0" w:color="auto"/>
      </w:divBdr>
    </w:div>
    <w:div w:id="1934849767">
      <w:bodyDiv w:val="1"/>
      <w:marLeft w:val="0"/>
      <w:marRight w:val="0"/>
      <w:marTop w:val="0"/>
      <w:marBottom w:val="0"/>
      <w:divBdr>
        <w:top w:val="none" w:sz="0" w:space="0" w:color="auto"/>
        <w:left w:val="none" w:sz="0" w:space="0" w:color="auto"/>
        <w:bottom w:val="none" w:sz="0" w:space="0" w:color="auto"/>
        <w:right w:val="none" w:sz="0" w:space="0" w:color="auto"/>
      </w:divBdr>
    </w:div>
    <w:div w:id="1944069646">
      <w:bodyDiv w:val="1"/>
      <w:marLeft w:val="0"/>
      <w:marRight w:val="0"/>
      <w:marTop w:val="0"/>
      <w:marBottom w:val="0"/>
      <w:divBdr>
        <w:top w:val="none" w:sz="0" w:space="0" w:color="auto"/>
        <w:left w:val="none" w:sz="0" w:space="0" w:color="auto"/>
        <w:bottom w:val="none" w:sz="0" w:space="0" w:color="auto"/>
        <w:right w:val="none" w:sz="0" w:space="0" w:color="auto"/>
      </w:divBdr>
    </w:div>
    <w:div w:id="1951543950">
      <w:bodyDiv w:val="1"/>
      <w:marLeft w:val="0"/>
      <w:marRight w:val="0"/>
      <w:marTop w:val="0"/>
      <w:marBottom w:val="0"/>
      <w:divBdr>
        <w:top w:val="none" w:sz="0" w:space="0" w:color="auto"/>
        <w:left w:val="none" w:sz="0" w:space="0" w:color="auto"/>
        <w:bottom w:val="none" w:sz="0" w:space="0" w:color="auto"/>
        <w:right w:val="none" w:sz="0" w:space="0" w:color="auto"/>
      </w:divBdr>
    </w:div>
    <w:div w:id="1970623407">
      <w:bodyDiv w:val="1"/>
      <w:marLeft w:val="0"/>
      <w:marRight w:val="0"/>
      <w:marTop w:val="0"/>
      <w:marBottom w:val="0"/>
      <w:divBdr>
        <w:top w:val="none" w:sz="0" w:space="0" w:color="auto"/>
        <w:left w:val="none" w:sz="0" w:space="0" w:color="auto"/>
        <w:bottom w:val="none" w:sz="0" w:space="0" w:color="auto"/>
        <w:right w:val="none" w:sz="0" w:space="0" w:color="auto"/>
      </w:divBdr>
    </w:div>
    <w:div w:id="1976638810">
      <w:bodyDiv w:val="1"/>
      <w:marLeft w:val="0"/>
      <w:marRight w:val="0"/>
      <w:marTop w:val="0"/>
      <w:marBottom w:val="0"/>
      <w:divBdr>
        <w:top w:val="none" w:sz="0" w:space="0" w:color="auto"/>
        <w:left w:val="none" w:sz="0" w:space="0" w:color="auto"/>
        <w:bottom w:val="none" w:sz="0" w:space="0" w:color="auto"/>
        <w:right w:val="none" w:sz="0" w:space="0" w:color="auto"/>
      </w:divBdr>
    </w:div>
    <w:div w:id="1991598348">
      <w:bodyDiv w:val="1"/>
      <w:marLeft w:val="0"/>
      <w:marRight w:val="0"/>
      <w:marTop w:val="0"/>
      <w:marBottom w:val="0"/>
      <w:divBdr>
        <w:top w:val="none" w:sz="0" w:space="0" w:color="auto"/>
        <w:left w:val="none" w:sz="0" w:space="0" w:color="auto"/>
        <w:bottom w:val="none" w:sz="0" w:space="0" w:color="auto"/>
        <w:right w:val="none" w:sz="0" w:space="0" w:color="auto"/>
      </w:divBdr>
    </w:div>
    <w:div w:id="2007782988">
      <w:bodyDiv w:val="1"/>
      <w:marLeft w:val="0"/>
      <w:marRight w:val="0"/>
      <w:marTop w:val="0"/>
      <w:marBottom w:val="0"/>
      <w:divBdr>
        <w:top w:val="none" w:sz="0" w:space="0" w:color="auto"/>
        <w:left w:val="none" w:sz="0" w:space="0" w:color="auto"/>
        <w:bottom w:val="none" w:sz="0" w:space="0" w:color="auto"/>
        <w:right w:val="none" w:sz="0" w:space="0" w:color="auto"/>
      </w:divBdr>
    </w:div>
    <w:div w:id="2027947365">
      <w:bodyDiv w:val="1"/>
      <w:marLeft w:val="0"/>
      <w:marRight w:val="0"/>
      <w:marTop w:val="0"/>
      <w:marBottom w:val="0"/>
      <w:divBdr>
        <w:top w:val="none" w:sz="0" w:space="0" w:color="auto"/>
        <w:left w:val="none" w:sz="0" w:space="0" w:color="auto"/>
        <w:bottom w:val="none" w:sz="0" w:space="0" w:color="auto"/>
        <w:right w:val="none" w:sz="0" w:space="0" w:color="auto"/>
      </w:divBdr>
    </w:div>
    <w:div w:id="2042048272">
      <w:bodyDiv w:val="1"/>
      <w:marLeft w:val="0"/>
      <w:marRight w:val="0"/>
      <w:marTop w:val="0"/>
      <w:marBottom w:val="0"/>
      <w:divBdr>
        <w:top w:val="none" w:sz="0" w:space="0" w:color="auto"/>
        <w:left w:val="none" w:sz="0" w:space="0" w:color="auto"/>
        <w:bottom w:val="none" w:sz="0" w:space="0" w:color="auto"/>
        <w:right w:val="none" w:sz="0" w:space="0" w:color="auto"/>
      </w:divBdr>
    </w:div>
    <w:div w:id="2049330514">
      <w:bodyDiv w:val="1"/>
      <w:marLeft w:val="0"/>
      <w:marRight w:val="0"/>
      <w:marTop w:val="0"/>
      <w:marBottom w:val="0"/>
      <w:divBdr>
        <w:top w:val="none" w:sz="0" w:space="0" w:color="auto"/>
        <w:left w:val="none" w:sz="0" w:space="0" w:color="auto"/>
        <w:bottom w:val="none" w:sz="0" w:space="0" w:color="auto"/>
        <w:right w:val="none" w:sz="0" w:space="0" w:color="auto"/>
      </w:divBdr>
    </w:div>
    <w:div w:id="2061512614">
      <w:bodyDiv w:val="1"/>
      <w:marLeft w:val="0"/>
      <w:marRight w:val="0"/>
      <w:marTop w:val="0"/>
      <w:marBottom w:val="0"/>
      <w:divBdr>
        <w:top w:val="none" w:sz="0" w:space="0" w:color="auto"/>
        <w:left w:val="none" w:sz="0" w:space="0" w:color="auto"/>
        <w:bottom w:val="none" w:sz="0" w:space="0" w:color="auto"/>
        <w:right w:val="none" w:sz="0" w:space="0" w:color="auto"/>
      </w:divBdr>
    </w:div>
    <w:div w:id="2081059357">
      <w:bodyDiv w:val="1"/>
      <w:marLeft w:val="0"/>
      <w:marRight w:val="0"/>
      <w:marTop w:val="0"/>
      <w:marBottom w:val="0"/>
      <w:divBdr>
        <w:top w:val="none" w:sz="0" w:space="0" w:color="auto"/>
        <w:left w:val="none" w:sz="0" w:space="0" w:color="auto"/>
        <w:bottom w:val="none" w:sz="0" w:space="0" w:color="auto"/>
        <w:right w:val="none" w:sz="0" w:space="0" w:color="auto"/>
      </w:divBdr>
    </w:div>
    <w:div w:id="2086879445">
      <w:bodyDiv w:val="1"/>
      <w:marLeft w:val="0"/>
      <w:marRight w:val="0"/>
      <w:marTop w:val="0"/>
      <w:marBottom w:val="0"/>
      <w:divBdr>
        <w:top w:val="none" w:sz="0" w:space="0" w:color="auto"/>
        <w:left w:val="none" w:sz="0" w:space="0" w:color="auto"/>
        <w:bottom w:val="none" w:sz="0" w:space="0" w:color="auto"/>
        <w:right w:val="none" w:sz="0" w:space="0" w:color="auto"/>
      </w:divBdr>
    </w:div>
    <w:div w:id="2118863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image" Target="media/image6.svg"/><Relationship Id="rId18" Type="http://schemas.openxmlformats.org/officeDocument/2006/relationships/chart" Target="charts/chart3.xml"/><Relationship Id="rId26" Type="http://schemas.openxmlformats.org/officeDocument/2006/relationships/chart" Target="charts/chart10.xm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hyperlink" Target="https://www.proquest.com/docview/1892035997?accountid=130472"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2.xml"/><Relationship Id="rId25" Type="http://schemas.openxmlformats.org/officeDocument/2006/relationships/chart" Target="charts/chart9.xml"/><Relationship Id="rId33" Type="http://schemas.openxmlformats.org/officeDocument/2006/relationships/hyperlink" Target="https://www.ericsson.com/4ad7e9/assets/local/reports-papers/mobility-report/documents/2021/ericsson-mobility-report-november-2021.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5.xml"/><Relationship Id="rId29" Type="http://schemas.openxmlformats.org/officeDocument/2006/relationships/image" Target="media/image10.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chart" Target="charts/chart8.xml"/><Relationship Id="rId32" Type="http://schemas.openxmlformats.org/officeDocument/2006/relationships/hyperlink" Target="https://collections.nlm.nih.gov/master/borndig/101711396/201706_80.pdf"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chart" Target="charts/chart7.xml"/><Relationship Id="rId28" Type="http://schemas.openxmlformats.org/officeDocument/2006/relationships/chart" Target="charts/chart12.xml"/><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chart" Target="charts/chart4.xml"/><Relationship Id="rId31" Type="http://schemas.openxmlformats.org/officeDocument/2006/relationships/image" Target="media/image12.tmp"/><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png"/><Relationship Id="rId22" Type="http://schemas.openxmlformats.org/officeDocument/2006/relationships/chart" Target="charts/chart6.xml"/><Relationship Id="rId27" Type="http://schemas.openxmlformats.org/officeDocument/2006/relationships/chart" Target="charts/chart11.xml"/><Relationship Id="rId30" Type="http://schemas.openxmlformats.org/officeDocument/2006/relationships/image" Target="media/image11.tmp"/><Relationship Id="rId35" Type="http://schemas.openxmlformats.org/officeDocument/2006/relationships/hyperlink" Target="https://www.ofcom.org.uk/__data/assets/pdf_file/0023/231557/q3-2021-telecoms-data-update.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H:\FAB%20-%20Envoy\ALAS%20Envoy%20Demo\Stats%20and%20Prep.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H:\FAB%20-%20Envoy\Performance%20Indicators%20and%20DNA%20Rates\FAB%20KPI%20for%20Project%20Group\FAB%20KPI%20Charts%202018%20-%2020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H:\FAB%20-%20Envoy\Performance%20Indicators%20and%20DNA%20Rates\FAB%20KPI%20for%20Project%20Group\FAB%20KPI%20Charts%202018%20-%2020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1" Type="http://schemas.openxmlformats.org/officeDocument/2006/relationships/oleObject" Target="file:///H:\FAB%20-%20Envoy\Performance%20Indicators%20and%20DNA%20Rates\FAB%20BIS%20Performance%20Reports\Cancellation%20Reports\Outpatient%20Cancellations%20Report%20Jul%20-%20Sep%202019.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H:\FAB%20-%20Envoy\Performance%20Indicators%20and%20DNA%20Rates\FAB%20BIS%20Performance%20Reports\Cancellation%20Reports\Outpatient%20Cancellations%20Report%20Jul%20-%20Sep%202019.xlsx" TargetMode="Externa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7.xml.rels><?xml version="1.0" encoding="UTF-8" standalone="yes"?>
<Relationships xmlns="http://schemas.openxmlformats.org/package/2006/relationships"><Relationship Id="rId3" Type="http://schemas.openxmlformats.org/officeDocument/2006/relationships/oleObject" Target="file:///\\cav-vstor02\Departments\OPD\FAB\GE%20Workstream\GE%20Handover%20Files%20-%20FAB\Patient%20Survey\16-03-31%20OP%20Booking%20Survey%20results.xlsx" TargetMode="External"/><Relationship Id="rId2" Type="http://schemas.microsoft.com/office/2011/relationships/chartColorStyle" Target="colors5.xml"/><Relationship Id="rId1" Type="http://schemas.microsoft.com/office/2011/relationships/chartStyle" Target="style5.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ti089297\AppData\Local\Microsoft\Windows\Temporary%20Internet%20Files\Content.Outlook\7WVZC7DR\Questionnaire%20results.xlsx" TargetMode="External"/><Relationship Id="rId2" Type="http://schemas.microsoft.com/office/2011/relationships/chartColorStyle" Target="colors6.xml"/><Relationship Id="rId1" Type="http://schemas.microsoft.com/office/2011/relationships/chartStyle" Target="style6.xml"/></Relationships>
</file>

<file path=word/charts/_rels/chart9.xml.rels><?xml version="1.0" encoding="UTF-8" standalone="yes"?>
<Relationships xmlns="http://schemas.openxmlformats.org/package/2006/relationships"><Relationship Id="rId3" Type="http://schemas.openxmlformats.org/officeDocument/2006/relationships/oleObject" Target="file:///\\cav-vstor02\Departments\OPD\FAB\GE%20Workstream\GE%20Handover%20Files%20-%20FAB\Patient%20Survey\16-03-31%20OP%20Booking%20Survey%20results.xlsx" TargetMode="External"/><Relationship Id="rId2" Type="http://schemas.microsoft.com/office/2011/relationships/chartColorStyle" Target="colors7.xml"/><Relationship Id="rId1" Type="http://schemas.microsoft.com/office/2011/relationships/chartStyle" Target="style7.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ti089297\AppData\Local\Microsoft\Windows\Temporary%20Internet%20Files\Content.Outlook\7WVZC7DR\Questionnaire%20results.xlsx" TargetMode="External"/><Relationship Id="rId2" Type="http://schemas.microsoft.com/office/2011/relationships/chartColorStyle" Target="colors8.xml"/><Relationship Id="rId1" Type="http://schemas.microsoft.com/office/2011/relationships/chartStyle" Target="style8.xml"/></Relationships>
</file>

<file path=word/charts/_rels/chart11.xml.rels><?xml version="1.0" encoding="UTF-8" standalone="yes"?>
<Relationships xmlns="http://schemas.openxmlformats.org/package/2006/relationships"><Relationship Id="rId3" Type="http://schemas.openxmlformats.org/officeDocument/2006/relationships/oleObject" Target="file:///\\cav-vstor02\Departments\OPD\FAB\GE%20Workstream\GE%20Handover%20Files%20-%20FAB\Patient%20Survey\16-03-31%20OP%20Booking%20Survey%20results.xlsx" TargetMode="External"/><Relationship Id="rId2" Type="http://schemas.microsoft.com/office/2011/relationships/chartColorStyle" Target="colors9.xml"/><Relationship Id="rId1" Type="http://schemas.microsoft.com/office/2011/relationships/chartStyle" Target="style9.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ti089297\AppData\Local\Microsoft\Windows\Temporary%20Internet%20Files\Content.Outlook\7WVZC7DR\Questionnaire%20results.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600" b="0" i="0" u="none" strike="noStrike" kern="1200" cap="none" spc="0" normalizeH="0" baseline="0">
                <a:solidFill>
                  <a:schemeClr val="tx1">
                    <a:lumMod val="65000"/>
                    <a:lumOff val="35000"/>
                  </a:schemeClr>
                </a:solidFill>
                <a:latin typeface="Arial" panose="020B0604020202020204" pitchFamily="34" charset="0"/>
                <a:ea typeface="+mj-ea"/>
                <a:cs typeface="Arial" panose="020B0604020202020204" pitchFamily="34" charset="0"/>
              </a:defRPr>
            </a:pPr>
            <a:r>
              <a:rPr lang="en-US" sz="1600">
                <a:solidFill>
                  <a:schemeClr val="tx1">
                    <a:lumMod val="65000"/>
                    <a:lumOff val="35000"/>
                  </a:schemeClr>
                </a:solidFill>
                <a:latin typeface="Arial" panose="020B0604020202020204" pitchFamily="34" charset="0"/>
                <a:cs typeface="Arial" panose="020B0604020202020204" pitchFamily="34" charset="0"/>
              </a:rPr>
              <a:t>ENT - Quarter Two by Year</a:t>
            </a:r>
          </a:p>
        </c:rich>
      </c:tx>
      <c:overlay val="0"/>
      <c:spPr>
        <a:noFill/>
        <a:ln>
          <a:noFill/>
        </a:ln>
        <a:effectLst/>
      </c:spPr>
      <c:txPr>
        <a:bodyPr rot="0" spcFirstLastPara="1" vertOverflow="ellipsis" vert="horz" wrap="square" anchor="ctr" anchorCtr="1"/>
        <a:lstStyle/>
        <a:p>
          <a:pPr>
            <a:defRPr sz="1600" b="0" i="0" u="none" strike="noStrike" kern="1200" cap="none" spc="0" normalizeH="0" baseline="0">
              <a:solidFill>
                <a:schemeClr val="tx1">
                  <a:lumMod val="65000"/>
                  <a:lumOff val="35000"/>
                </a:schemeClr>
              </a:solidFill>
              <a:latin typeface="Arial" panose="020B0604020202020204" pitchFamily="34" charset="0"/>
              <a:ea typeface="+mj-ea"/>
              <a:cs typeface="Arial" panose="020B0604020202020204" pitchFamily="34" charset="0"/>
            </a:defRPr>
          </a:pPr>
          <a:endParaRPr lang="en-US"/>
        </a:p>
      </c:txPr>
    </c:title>
    <c:autoTitleDeleted val="0"/>
    <c:plotArea>
      <c:layout/>
      <c:barChart>
        <c:barDir val="col"/>
        <c:grouping val="clustered"/>
        <c:varyColors val="0"/>
        <c:ser>
          <c:idx val="0"/>
          <c:order val="0"/>
          <c:tx>
            <c:strRef>
              <c:f>Page1_1!$B$32</c:f>
              <c:strCache>
                <c:ptCount val="1"/>
                <c:pt idx="0">
                  <c:v>DNA %</c:v>
                </c:pt>
              </c:strCache>
            </c:strRef>
          </c:tx>
          <c:spPr>
            <a:solidFill>
              <a:schemeClr val="accent1"/>
            </a:solidFill>
            <a:ln>
              <a:noFill/>
            </a:ln>
            <a:effectLst/>
          </c:spPr>
          <c:invertIfNegative val="0"/>
          <c:cat>
            <c:strRef>
              <c:f>Page1_1!$C$29:$F$29</c:f>
              <c:strCache>
                <c:ptCount val="4"/>
                <c:pt idx="0">
                  <c:v>14/15</c:v>
                </c:pt>
                <c:pt idx="1">
                  <c:v>15/16</c:v>
                </c:pt>
                <c:pt idx="2">
                  <c:v>16/17</c:v>
                </c:pt>
                <c:pt idx="3">
                  <c:v>17/18</c:v>
                </c:pt>
              </c:strCache>
            </c:strRef>
          </c:cat>
          <c:val>
            <c:numRef>
              <c:f>Page1_1!$C$32:$F$32</c:f>
              <c:numCache>
                <c:formatCode>0%</c:formatCode>
                <c:ptCount val="4"/>
                <c:pt idx="0">
                  <c:v>0.12704174228675136</c:v>
                </c:pt>
                <c:pt idx="1">
                  <c:v>0.11883589329021826</c:v>
                </c:pt>
                <c:pt idx="2">
                  <c:v>0.11301115241635688</c:v>
                </c:pt>
                <c:pt idx="3">
                  <c:v>8.8385269121813034E-2</c:v>
                </c:pt>
              </c:numCache>
            </c:numRef>
          </c:val>
          <c:extLst>
            <c:ext xmlns:c16="http://schemas.microsoft.com/office/drawing/2014/chart" uri="{C3380CC4-5D6E-409C-BE32-E72D297353CC}">
              <c16:uniqueId val="{00000000-9F5E-42FA-B98B-14B2646A9617}"/>
            </c:ext>
          </c:extLst>
        </c:ser>
        <c:dLbls>
          <c:showLegendKey val="0"/>
          <c:showVal val="0"/>
          <c:showCatName val="0"/>
          <c:showSerName val="0"/>
          <c:showPercent val="0"/>
          <c:showBubbleSize val="0"/>
        </c:dLbls>
        <c:gapWidth val="199"/>
        <c:axId val="99550720"/>
        <c:axId val="99552640"/>
      </c:barChart>
      <c:catAx>
        <c:axId val="99550720"/>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99552640"/>
        <c:crosses val="autoZero"/>
        <c:auto val="1"/>
        <c:lblAlgn val="ctr"/>
        <c:lblOffset val="100"/>
        <c:noMultiLvlLbl val="0"/>
      </c:catAx>
      <c:valAx>
        <c:axId val="9955264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DNA Rates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5507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GB" sz="1600">
                <a:solidFill>
                  <a:schemeClr val="tx1">
                    <a:lumMod val="65000"/>
                    <a:lumOff val="35000"/>
                  </a:schemeClr>
                </a:solidFill>
                <a:latin typeface="Arial" panose="020B0604020202020204" pitchFamily="34" charset="0"/>
                <a:cs typeface="Arial" panose="020B0604020202020204" pitchFamily="34" charset="0"/>
              </a:rPr>
              <a:t>ATR DNA</a:t>
            </a:r>
            <a:r>
              <a:rPr lang="en-GB" sz="1600" baseline="0">
                <a:solidFill>
                  <a:schemeClr val="tx1">
                    <a:lumMod val="65000"/>
                    <a:lumOff val="35000"/>
                  </a:schemeClr>
                </a:solidFill>
                <a:latin typeface="Arial" panose="020B0604020202020204" pitchFamily="34" charset="0"/>
                <a:cs typeface="Arial" panose="020B0604020202020204" pitchFamily="34" charset="0"/>
              </a:rPr>
              <a:t> rates</a:t>
            </a:r>
            <a:r>
              <a:rPr lang="en-GB" sz="1600">
                <a:solidFill>
                  <a:schemeClr val="tx1">
                    <a:lumMod val="65000"/>
                    <a:lumOff val="35000"/>
                  </a:schemeClr>
                </a:solidFill>
                <a:latin typeface="Arial" panose="020B0604020202020204" pitchFamily="34" charset="0"/>
                <a:cs typeface="Arial" panose="020B0604020202020204" pitchFamily="34" charset="0"/>
              </a:rPr>
              <a:t> Sep 2018 - Feb 2019</a:t>
            </a:r>
          </a:p>
        </c:rich>
      </c:tx>
      <c:layout>
        <c:manualLayout>
          <c:xMode val="edge"/>
          <c:yMode val="edge"/>
          <c:x val="2.6182241689242235E-2"/>
          <c:y val="6.1750542051808771E-2"/>
        </c:manualLayout>
      </c:layout>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manualLayout>
          <c:layoutTarget val="inner"/>
          <c:xMode val="edge"/>
          <c:yMode val="edge"/>
          <c:x val="9.4095940959410471E-2"/>
          <c:y val="0.23255813953488391"/>
          <c:w val="0.83025830258302846"/>
          <c:h val="0.65697674418604668"/>
        </c:manualLayout>
      </c:layout>
      <c:lineChart>
        <c:grouping val="standard"/>
        <c:varyColors val="0"/>
        <c:ser>
          <c:idx val="0"/>
          <c:order val="0"/>
          <c:tx>
            <c:strRef>
              <c:f>'FAB KPIs'!$N$15</c:f>
              <c:strCache>
                <c:ptCount val="1"/>
                <c:pt idx="0">
                  <c:v>Text Remind DNA rate</c:v>
                </c:pt>
              </c:strCache>
            </c:strRef>
          </c:tx>
          <c:spPr>
            <a:ln w="38100" cap="rnd">
              <a:solidFill>
                <a:schemeClr val="accent1"/>
              </a:solidFill>
              <a:round/>
            </a:ln>
            <a:effectLst/>
          </c:spPr>
          <c:marker>
            <c:symbol val="circle"/>
            <c:size val="8"/>
            <c:spPr>
              <a:solidFill>
                <a:schemeClr val="accent1"/>
              </a:solidFill>
              <a:ln>
                <a:noFill/>
              </a:ln>
              <a:effectLst/>
            </c:spPr>
          </c:marker>
          <c:cat>
            <c:numRef>
              <c:f>'FAB KPIs'!$O$14:$T$14</c:f>
              <c:numCache>
                <c:formatCode>mmm\-yy</c:formatCode>
                <c:ptCount val="6"/>
                <c:pt idx="0">
                  <c:v>43344</c:v>
                </c:pt>
                <c:pt idx="1">
                  <c:v>43374</c:v>
                </c:pt>
                <c:pt idx="2">
                  <c:v>43405</c:v>
                </c:pt>
                <c:pt idx="3">
                  <c:v>43435</c:v>
                </c:pt>
                <c:pt idx="4">
                  <c:v>43466</c:v>
                </c:pt>
                <c:pt idx="5">
                  <c:v>43497</c:v>
                </c:pt>
              </c:numCache>
            </c:numRef>
          </c:cat>
          <c:val>
            <c:numRef>
              <c:f>'FAB KPIs'!$O$15:$T$15</c:f>
              <c:numCache>
                <c:formatCode>0.0%</c:formatCode>
                <c:ptCount val="6"/>
                <c:pt idx="0">
                  <c:v>0.05</c:v>
                </c:pt>
                <c:pt idx="1">
                  <c:v>3.9E-2</c:v>
                </c:pt>
                <c:pt idx="2">
                  <c:v>0.04</c:v>
                </c:pt>
                <c:pt idx="3">
                  <c:v>5.8999999999999997E-2</c:v>
                </c:pt>
                <c:pt idx="4" formatCode="0.00%">
                  <c:v>5.8999999999999997E-2</c:v>
                </c:pt>
                <c:pt idx="5" formatCode="0.00%">
                  <c:v>4.5999999999999999E-2</c:v>
                </c:pt>
              </c:numCache>
            </c:numRef>
          </c:val>
          <c:smooth val="0"/>
          <c:extLst>
            <c:ext xmlns:c16="http://schemas.microsoft.com/office/drawing/2014/chart" uri="{C3380CC4-5D6E-409C-BE32-E72D297353CC}">
              <c16:uniqueId val="{00000000-D004-4E01-97BD-4AA2A36C42AB}"/>
            </c:ext>
          </c:extLst>
        </c:ser>
        <c:ser>
          <c:idx val="1"/>
          <c:order val="1"/>
          <c:tx>
            <c:strRef>
              <c:f>'FAB KPIs'!$N$16</c:f>
              <c:strCache>
                <c:ptCount val="1"/>
                <c:pt idx="0">
                  <c:v>Non-Text Remind DNA rate</c:v>
                </c:pt>
              </c:strCache>
            </c:strRef>
          </c:tx>
          <c:spPr>
            <a:ln w="38100" cap="rnd">
              <a:solidFill>
                <a:schemeClr val="accent2"/>
              </a:solidFill>
              <a:round/>
            </a:ln>
            <a:effectLst/>
          </c:spPr>
          <c:marker>
            <c:symbol val="circle"/>
            <c:size val="8"/>
            <c:spPr>
              <a:solidFill>
                <a:schemeClr val="accent2"/>
              </a:solidFill>
              <a:ln>
                <a:noFill/>
              </a:ln>
              <a:effectLst/>
            </c:spPr>
          </c:marker>
          <c:cat>
            <c:numRef>
              <c:f>'FAB KPIs'!$O$14:$T$14</c:f>
              <c:numCache>
                <c:formatCode>mmm\-yy</c:formatCode>
                <c:ptCount val="6"/>
                <c:pt idx="0">
                  <c:v>43344</c:v>
                </c:pt>
                <c:pt idx="1">
                  <c:v>43374</c:v>
                </c:pt>
                <c:pt idx="2">
                  <c:v>43405</c:v>
                </c:pt>
                <c:pt idx="3">
                  <c:v>43435</c:v>
                </c:pt>
                <c:pt idx="4">
                  <c:v>43466</c:v>
                </c:pt>
                <c:pt idx="5">
                  <c:v>43497</c:v>
                </c:pt>
              </c:numCache>
            </c:numRef>
          </c:cat>
          <c:val>
            <c:numRef>
              <c:f>'FAB KPIs'!$O$16:$T$16</c:f>
              <c:numCache>
                <c:formatCode>0.0%</c:formatCode>
                <c:ptCount val="6"/>
                <c:pt idx="0">
                  <c:v>0.12</c:v>
                </c:pt>
                <c:pt idx="1">
                  <c:v>0.113</c:v>
                </c:pt>
                <c:pt idx="2">
                  <c:v>0.113</c:v>
                </c:pt>
                <c:pt idx="3">
                  <c:v>0.122</c:v>
                </c:pt>
                <c:pt idx="4" formatCode="0.00%">
                  <c:v>0.09</c:v>
                </c:pt>
                <c:pt idx="5" formatCode="0%">
                  <c:v>0.1</c:v>
                </c:pt>
              </c:numCache>
            </c:numRef>
          </c:val>
          <c:smooth val="0"/>
          <c:extLst>
            <c:ext xmlns:c16="http://schemas.microsoft.com/office/drawing/2014/chart" uri="{C3380CC4-5D6E-409C-BE32-E72D297353CC}">
              <c16:uniqueId val="{00000001-D004-4E01-97BD-4AA2A36C42AB}"/>
            </c:ext>
          </c:extLst>
        </c:ser>
        <c:dLbls>
          <c:showLegendKey val="0"/>
          <c:showVal val="0"/>
          <c:showCatName val="0"/>
          <c:showSerName val="0"/>
          <c:showPercent val="0"/>
          <c:showBubbleSize val="0"/>
        </c:dLbls>
        <c:marker val="1"/>
        <c:smooth val="0"/>
        <c:axId val="77697024"/>
        <c:axId val="77698944"/>
      </c:lineChart>
      <c:dateAx>
        <c:axId val="77697024"/>
        <c:scaling>
          <c:orientation val="minMax"/>
        </c:scaling>
        <c:delete val="0"/>
        <c:axPos val="b"/>
        <c:numFmt formatCode="mmm\-yy" sourceLinked="0"/>
        <c:majorTickMark val="out"/>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77698944"/>
        <c:crosses val="autoZero"/>
        <c:auto val="1"/>
        <c:lblOffset val="100"/>
        <c:baseTimeUnit val="months"/>
        <c:majorUnit val="1"/>
        <c:majorTimeUnit val="months"/>
        <c:minorUnit val="1"/>
        <c:minorTimeUnit val="months"/>
      </c:dateAx>
      <c:valAx>
        <c:axId val="7769894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 sourceLinked="0"/>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697024"/>
        <c:crosses val="autoZero"/>
        <c:crossBetween val="between"/>
      </c:valAx>
      <c:spPr>
        <a:noFill/>
        <a:ln>
          <a:noFill/>
        </a:ln>
        <a:effectLst/>
      </c:spPr>
    </c:plotArea>
    <c:legend>
      <c:legendPos val="t"/>
      <c:legendEntry>
        <c:idx val="0"/>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Entry>
      <c:legendEntry>
        <c:idx val="1"/>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0" normalizeH="0" baseline="0">
                <a:solidFill>
                  <a:schemeClr val="tx1">
                    <a:lumMod val="65000"/>
                    <a:lumOff val="35000"/>
                  </a:schemeClr>
                </a:solidFill>
                <a:latin typeface="+mj-lt"/>
                <a:ea typeface="+mj-ea"/>
                <a:cs typeface="+mj-cs"/>
              </a:defRPr>
            </a:pPr>
            <a:r>
              <a:rPr lang="en-GB" sz="1600" b="0" i="0" u="none" strike="noStrike" cap="none" normalizeH="0" baseline="0">
                <a:solidFill>
                  <a:schemeClr val="tx1">
                    <a:lumMod val="65000"/>
                    <a:lumOff val="35000"/>
                  </a:schemeClr>
                </a:solidFill>
                <a:effectLst/>
                <a:latin typeface="Arial" panose="020B0604020202020204" pitchFamily="34" charset="0"/>
                <a:cs typeface="Arial" panose="020B0604020202020204" pitchFamily="34" charset="0"/>
              </a:rPr>
              <a:t>ATR DNA rates </a:t>
            </a:r>
            <a:r>
              <a:rPr lang="en-GB" sz="1600">
                <a:solidFill>
                  <a:schemeClr val="tx1">
                    <a:lumMod val="65000"/>
                    <a:lumOff val="35000"/>
                  </a:schemeClr>
                </a:solidFill>
                <a:latin typeface="Arial" panose="020B0604020202020204" pitchFamily="34" charset="0"/>
                <a:cs typeface="Arial" panose="020B0604020202020204" pitchFamily="34" charset="0"/>
              </a:rPr>
              <a:t>Sep 2019 - Feb 2020</a:t>
            </a:r>
          </a:p>
        </c:rich>
      </c:tx>
      <c:layout>
        <c:manualLayout>
          <c:xMode val="edge"/>
          <c:yMode val="edge"/>
          <c:x val="2.6182241689242224E-2"/>
          <c:y val="6.175054205180875E-2"/>
        </c:manualLayout>
      </c:layout>
      <c:overlay val="0"/>
      <c:spPr>
        <a:noFill/>
        <a:ln>
          <a:noFill/>
        </a:ln>
        <a:effectLst/>
      </c:spPr>
      <c:txPr>
        <a:bodyPr rot="0" spcFirstLastPara="1" vertOverflow="ellipsis" vert="horz" wrap="square" anchor="ctr" anchorCtr="1"/>
        <a:lstStyle/>
        <a:p>
          <a:pPr>
            <a:defRPr sz="16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manualLayout>
          <c:layoutTarget val="inner"/>
          <c:xMode val="edge"/>
          <c:yMode val="edge"/>
          <c:x val="9.4095940959410374E-2"/>
          <c:y val="0.23255813953488391"/>
          <c:w val="0.83025830258302824"/>
          <c:h val="0.65697674418604668"/>
        </c:manualLayout>
      </c:layout>
      <c:lineChart>
        <c:grouping val="standard"/>
        <c:varyColors val="0"/>
        <c:ser>
          <c:idx val="0"/>
          <c:order val="0"/>
          <c:tx>
            <c:strRef>
              <c:f>'FAB KPIs'!$B$15</c:f>
              <c:strCache>
                <c:ptCount val="1"/>
                <c:pt idx="0">
                  <c:v>Text Remind DNA rate</c:v>
                </c:pt>
              </c:strCache>
            </c:strRef>
          </c:tx>
          <c:spPr>
            <a:ln w="38100" cap="rnd">
              <a:solidFill>
                <a:schemeClr val="accent1"/>
              </a:solidFill>
              <a:round/>
            </a:ln>
            <a:effectLst/>
          </c:spPr>
          <c:marker>
            <c:symbol val="circle"/>
            <c:size val="8"/>
            <c:spPr>
              <a:solidFill>
                <a:schemeClr val="accent1"/>
              </a:solidFill>
              <a:ln>
                <a:noFill/>
              </a:ln>
              <a:effectLst/>
            </c:spPr>
          </c:marker>
          <c:cat>
            <c:numRef>
              <c:f>'FAB KPIs'!$C$14:$H$14</c:f>
              <c:numCache>
                <c:formatCode>mmm\-yy</c:formatCode>
                <c:ptCount val="6"/>
                <c:pt idx="0">
                  <c:v>43709</c:v>
                </c:pt>
                <c:pt idx="1">
                  <c:v>43739</c:v>
                </c:pt>
                <c:pt idx="2">
                  <c:v>43770</c:v>
                </c:pt>
                <c:pt idx="3">
                  <c:v>43800</c:v>
                </c:pt>
                <c:pt idx="4">
                  <c:v>43831</c:v>
                </c:pt>
                <c:pt idx="5">
                  <c:v>43862</c:v>
                </c:pt>
              </c:numCache>
            </c:numRef>
          </c:cat>
          <c:val>
            <c:numRef>
              <c:f>'FAB KPIs'!$C$15:$H$15</c:f>
              <c:numCache>
                <c:formatCode>0.0%</c:formatCode>
                <c:ptCount val="6"/>
                <c:pt idx="0">
                  <c:v>5.1999999999999998E-2</c:v>
                </c:pt>
                <c:pt idx="1">
                  <c:v>5.0999999999999997E-2</c:v>
                </c:pt>
                <c:pt idx="2">
                  <c:v>5.0999999999999997E-2</c:v>
                </c:pt>
                <c:pt idx="3">
                  <c:v>0.05</c:v>
                </c:pt>
                <c:pt idx="4">
                  <c:v>5.0999999999999997E-2</c:v>
                </c:pt>
                <c:pt idx="5" formatCode="0.00%">
                  <c:v>6.6000000000000003E-2</c:v>
                </c:pt>
              </c:numCache>
            </c:numRef>
          </c:val>
          <c:smooth val="0"/>
          <c:extLst>
            <c:ext xmlns:c16="http://schemas.microsoft.com/office/drawing/2014/chart" uri="{C3380CC4-5D6E-409C-BE32-E72D297353CC}">
              <c16:uniqueId val="{00000000-9129-491C-8257-A0F0A88BF729}"/>
            </c:ext>
          </c:extLst>
        </c:ser>
        <c:ser>
          <c:idx val="1"/>
          <c:order val="1"/>
          <c:tx>
            <c:strRef>
              <c:f>'FAB KPIs'!$B$16</c:f>
              <c:strCache>
                <c:ptCount val="1"/>
                <c:pt idx="0">
                  <c:v>Non-Text Remind DNA rate</c:v>
                </c:pt>
              </c:strCache>
            </c:strRef>
          </c:tx>
          <c:spPr>
            <a:ln w="38100" cap="rnd">
              <a:solidFill>
                <a:schemeClr val="accent2"/>
              </a:solidFill>
              <a:round/>
            </a:ln>
            <a:effectLst/>
          </c:spPr>
          <c:marker>
            <c:symbol val="circle"/>
            <c:size val="8"/>
            <c:spPr>
              <a:solidFill>
                <a:schemeClr val="accent2"/>
              </a:solidFill>
              <a:ln>
                <a:noFill/>
              </a:ln>
              <a:effectLst/>
            </c:spPr>
          </c:marker>
          <c:cat>
            <c:numRef>
              <c:f>'FAB KPIs'!$C$14:$H$14</c:f>
              <c:numCache>
                <c:formatCode>mmm\-yy</c:formatCode>
                <c:ptCount val="6"/>
                <c:pt idx="0">
                  <c:v>43709</c:v>
                </c:pt>
                <c:pt idx="1">
                  <c:v>43739</c:v>
                </c:pt>
                <c:pt idx="2">
                  <c:v>43770</c:v>
                </c:pt>
                <c:pt idx="3">
                  <c:v>43800</c:v>
                </c:pt>
                <c:pt idx="4">
                  <c:v>43831</c:v>
                </c:pt>
                <c:pt idx="5">
                  <c:v>43862</c:v>
                </c:pt>
              </c:numCache>
            </c:numRef>
          </c:cat>
          <c:val>
            <c:numRef>
              <c:f>'FAB KPIs'!$C$16:$H$16</c:f>
              <c:numCache>
                <c:formatCode>0.0%</c:formatCode>
                <c:ptCount val="6"/>
                <c:pt idx="0" formatCode="0%">
                  <c:v>0.11</c:v>
                </c:pt>
                <c:pt idx="1">
                  <c:v>0.11</c:v>
                </c:pt>
                <c:pt idx="2">
                  <c:v>0.1</c:v>
                </c:pt>
                <c:pt idx="3">
                  <c:v>0.1</c:v>
                </c:pt>
                <c:pt idx="4" formatCode="0%">
                  <c:v>0.09</c:v>
                </c:pt>
                <c:pt idx="5" formatCode="0%">
                  <c:v>0.09</c:v>
                </c:pt>
              </c:numCache>
            </c:numRef>
          </c:val>
          <c:smooth val="0"/>
          <c:extLst>
            <c:ext xmlns:c16="http://schemas.microsoft.com/office/drawing/2014/chart" uri="{C3380CC4-5D6E-409C-BE32-E72D297353CC}">
              <c16:uniqueId val="{00000001-9129-491C-8257-A0F0A88BF729}"/>
            </c:ext>
          </c:extLst>
        </c:ser>
        <c:dLbls>
          <c:showLegendKey val="0"/>
          <c:showVal val="0"/>
          <c:showCatName val="0"/>
          <c:showSerName val="0"/>
          <c:showPercent val="0"/>
          <c:showBubbleSize val="0"/>
        </c:dLbls>
        <c:marker val="1"/>
        <c:smooth val="0"/>
        <c:axId val="77382784"/>
        <c:axId val="77384320"/>
      </c:lineChart>
      <c:dateAx>
        <c:axId val="77382784"/>
        <c:scaling>
          <c:orientation val="minMax"/>
        </c:scaling>
        <c:delete val="0"/>
        <c:axPos val="b"/>
        <c:numFmt formatCode="mmm\-yy" sourceLinked="0"/>
        <c:majorTickMark val="out"/>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77384320"/>
        <c:crosses val="autoZero"/>
        <c:auto val="1"/>
        <c:lblOffset val="100"/>
        <c:baseTimeUnit val="months"/>
        <c:majorUnit val="1"/>
        <c:majorTimeUnit val="months"/>
        <c:minorUnit val="1"/>
        <c:minorTimeUnit val="months"/>
      </c:dateAx>
      <c:valAx>
        <c:axId val="7738432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 sourceLinked="0"/>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382784"/>
        <c:crosses val="autoZero"/>
        <c:crossBetween val="between"/>
      </c:valAx>
      <c:spPr>
        <a:noFill/>
        <a:ln>
          <a:noFill/>
        </a:ln>
        <a:effectLst/>
      </c:spPr>
    </c:plotArea>
    <c:legend>
      <c:legendPos val="t"/>
      <c:legendEntry>
        <c:idx val="0"/>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Entry>
      <c:legendEntry>
        <c:idx val="1"/>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'C:\Users\ti089297\Desktop\Temporary Notes\[Outpatient Cancellations Main Report (1).xlsx]data_Cancellations_1_4'!$B$1</c:f>
              <c:strCache>
                <c:ptCount val="1"/>
                <c:pt idx="0">
                  <c:v>Hospital</c:v>
                </c:pt>
              </c:strCache>
            </c:strRef>
          </c:tx>
          <c:spPr>
            <a:gradFill flip="none" rotWithShape="1">
              <a:gsLst>
                <a:gs pos="0">
                  <a:srgbClr val="648BD0"/>
                </a:gs>
                <a:gs pos="100000">
                  <a:srgbClr val="3868A3"/>
                </a:gs>
              </a:gsLst>
              <a:lin ang="5400000" scaled="1"/>
            </a:gradFill>
            <a:ln w="0">
              <a:solidFill>
                <a:srgbClr val="000000"/>
              </a:solidFill>
              <a:prstDash val="solid"/>
            </a:ln>
          </c:spPr>
          <c:invertIfNegative val="0"/>
          <c:cat>
            <c:strRef>
              <c:f>[1]data_Cancellations_1_4!$A$2:$A$10</c:f>
              <c:strCache>
                <c:ptCount val="9"/>
                <c:pt idx="0">
                  <c:v>On The Day</c:v>
                </c:pt>
                <c:pt idx="1">
                  <c:v> 1 </c:v>
                </c:pt>
                <c:pt idx="2">
                  <c:v>2 - 3</c:v>
                </c:pt>
                <c:pt idx="3">
                  <c:v>4 - 7</c:v>
                </c:pt>
                <c:pt idx="4">
                  <c:v>8 - 14</c:v>
                </c:pt>
                <c:pt idx="5">
                  <c:v>15 - 28</c:v>
                </c:pt>
                <c:pt idx="6">
                  <c:v>29 - 56</c:v>
                </c:pt>
                <c:pt idx="7">
                  <c:v>57 - 84</c:v>
                </c:pt>
                <c:pt idx="8">
                  <c:v>85+</c:v>
                </c:pt>
              </c:strCache>
            </c:strRef>
          </c:cat>
          <c:val>
            <c:numRef>
              <c:f>[1]data_Cancellations_1_4!$B$2:$B$10</c:f>
              <c:numCache>
                <c:formatCode>General</c:formatCode>
                <c:ptCount val="9"/>
                <c:pt idx="0">
                  <c:v>19</c:v>
                </c:pt>
                <c:pt idx="1">
                  <c:v>43</c:v>
                </c:pt>
                <c:pt idx="2">
                  <c:v>10</c:v>
                </c:pt>
                <c:pt idx="3">
                  <c:v>52</c:v>
                </c:pt>
                <c:pt idx="4">
                  <c:v>79</c:v>
                </c:pt>
                <c:pt idx="5">
                  <c:v>123</c:v>
                </c:pt>
                <c:pt idx="6">
                  <c:v>278</c:v>
                </c:pt>
                <c:pt idx="7">
                  <c:v>174</c:v>
                </c:pt>
                <c:pt idx="8">
                  <c:v>258</c:v>
                </c:pt>
              </c:numCache>
            </c:numRef>
          </c:val>
          <c:extLst>
            <c:ext xmlns:c16="http://schemas.microsoft.com/office/drawing/2014/chart" uri="{C3380CC4-5D6E-409C-BE32-E72D297353CC}">
              <c16:uniqueId val="{00000000-9ADA-4C33-9F27-5DC7FC8B8513}"/>
            </c:ext>
          </c:extLst>
        </c:ser>
        <c:ser>
          <c:idx val="1"/>
          <c:order val="1"/>
          <c:tx>
            <c:strRef>
              <c:f>'C:\Users\ti089297\Desktop\Temporary Notes\[Outpatient Cancellations Main Report (1).xlsx]data_Cancellations_1_4'!$C$1</c:f>
              <c:strCache>
                <c:ptCount val="1"/>
                <c:pt idx="0">
                  <c:v>Patient</c:v>
                </c:pt>
              </c:strCache>
            </c:strRef>
          </c:tx>
          <c:spPr>
            <a:gradFill flip="none" rotWithShape="1">
              <a:gsLst>
                <a:gs pos="0">
                  <a:srgbClr val="97CDD3"/>
                </a:gs>
                <a:gs pos="100000">
                  <a:srgbClr val="59B3C9"/>
                </a:gs>
              </a:gsLst>
              <a:lin ang="5400000" scaled="1"/>
            </a:gradFill>
            <a:ln w="0">
              <a:solidFill>
                <a:srgbClr val="000000"/>
              </a:solidFill>
              <a:prstDash val="solid"/>
            </a:ln>
          </c:spPr>
          <c:invertIfNegative val="0"/>
          <c:cat>
            <c:strRef>
              <c:f>[1]data_Cancellations_1_4!$A$2:$A$10</c:f>
              <c:strCache>
                <c:ptCount val="9"/>
                <c:pt idx="0">
                  <c:v>On The Day</c:v>
                </c:pt>
                <c:pt idx="1">
                  <c:v> 1 </c:v>
                </c:pt>
                <c:pt idx="2">
                  <c:v>2 - 3</c:v>
                </c:pt>
                <c:pt idx="3">
                  <c:v>4 - 7</c:v>
                </c:pt>
                <c:pt idx="4">
                  <c:v>8 - 14</c:v>
                </c:pt>
                <c:pt idx="5">
                  <c:v>15 - 28</c:v>
                </c:pt>
                <c:pt idx="6">
                  <c:v>29 - 56</c:v>
                </c:pt>
                <c:pt idx="7">
                  <c:v>57 - 84</c:v>
                </c:pt>
                <c:pt idx="8">
                  <c:v>85+</c:v>
                </c:pt>
              </c:strCache>
            </c:strRef>
          </c:cat>
          <c:val>
            <c:numRef>
              <c:f>[1]data_Cancellations_1_4!$C$2:$C$10</c:f>
              <c:numCache>
                <c:formatCode>General</c:formatCode>
                <c:ptCount val="9"/>
                <c:pt idx="0">
                  <c:v>137</c:v>
                </c:pt>
                <c:pt idx="1">
                  <c:v>102</c:v>
                </c:pt>
                <c:pt idx="2">
                  <c:v>62</c:v>
                </c:pt>
                <c:pt idx="3">
                  <c:v>161</c:v>
                </c:pt>
                <c:pt idx="4">
                  <c:v>156</c:v>
                </c:pt>
                <c:pt idx="5">
                  <c:v>67</c:v>
                </c:pt>
                <c:pt idx="6">
                  <c:v>56</c:v>
                </c:pt>
                <c:pt idx="7">
                  <c:v>41</c:v>
                </c:pt>
                <c:pt idx="8">
                  <c:v>64</c:v>
                </c:pt>
              </c:numCache>
            </c:numRef>
          </c:val>
          <c:extLst>
            <c:ext xmlns:c16="http://schemas.microsoft.com/office/drawing/2014/chart" uri="{C3380CC4-5D6E-409C-BE32-E72D297353CC}">
              <c16:uniqueId val="{00000001-9ADA-4C33-9F27-5DC7FC8B8513}"/>
            </c:ext>
          </c:extLst>
        </c:ser>
        <c:dLbls>
          <c:showLegendKey val="0"/>
          <c:showVal val="0"/>
          <c:showCatName val="0"/>
          <c:showSerName val="0"/>
          <c:showPercent val="0"/>
          <c:showBubbleSize val="0"/>
        </c:dLbls>
        <c:gapWidth val="150"/>
        <c:overlap val="100"/>
        <c:axId val="137287168"/>
        <c:axId val="137289088"/>
      </c:barChart>
      <c:catAx>
        <c:axId val="137287168"/>
        <c:scaling>
          <c:orientation val="minMax"/>
        </c:scaling>
        <c:delete val="0"/>
        <c:axPos val="b"/>
        <c:title>
          <c:tx>
            <c:rich>
              <a:bodyPr/>
              <a:lstStyle/>
              <a:p>
                <a:pPr>
                  <a:defRPr sz="1000" b="1" i="0" u="none" strike="noStrike">
                    <a:solidFill>
                      <a:srgbClr val="000000"/>
                    </a:solidFill>
                    <a:latin typeface="Arial Unicode MS"/>
                    <a:ea typeface="Arial Unicode MS"/>
                    <a:cs typeface="Arial Unicode MS"/>
                  </a:defRPr>
                </a:pPr>
                <a:r>
                  <a:rPr lang="en-GB"/>
                  <a:t>Days of notice</a:t>
                </a:r>
              </a:p>
            </c:rich>
          </c:tx>
          <c:overlay val="0"/>
        </c:title>
        <c:numFmt formatCode="General" sourceLinked="0"/>
        <c:majorTickMark val="none"/>
        <c:minorTickMark val="out"/>
        <c:tickLblPos val="low"/>
        <c:spPr>
          <a:ln w="0">
            <a:solidFill>
              <a:srgbClr val="000000"/>
            </a:solidFill>
            <a:prstDash val="solid"/>
          </a:ln>
        </c:spPr>
        <c:txPr>
          <a:bodyPr/>
          <a:lstStyle/>
          <a:p>
            <a:pPr>
              <a:defRPr sz="1000" b="0" i="0" u="none" strike="noStrike">
                <a:solidFill>
                  <a:srgbClr val="000000"/>
                </a:solidFill>
                <a:latin typeface="Arial Unicode MS"/>
                <a:ea typeface="Arial Unicode MS"/>
                <a:cs typeface="Arial Unicode MS"/>
              </a:defRPr>
            </a:pPr>
            <a:endParaRPr lang="en-US"/>
          </a:p>
        </c:txPr>
        <c:crossAx val="137289088"/>
        <c:crosses val="autoZero"/>
        <c:auto val="0"/>
        <c:lblAlgn val="ctr"/>
        <c:lblOffset val="100"/>
        <c:noMultiLvlLbl val="0"/>
      </c:catAx>
      <c:valAx>
        <c:axId val="137289088"/>
        <c:scaling>
          <c:orientation val="minMax"/>
        </c:scaling>
        <c:delete val="0"/>
        <c:axPos val="l"/>
        <c:majorGridlines>
          <c:spPr>
            <a:ln w="0">
              <a:solidFill>
                <a:srgbClr val="CCCCCC"/>
              </a:solidFill>
              <a:prstDash val="solid"/>
            </a:ln>
          </c:spPr>
        </c:majorGridlines>
        <c:title>
          <c:tx>
            <c:rich>
              <a:bodyPr/>
              <a:lstStyle/>
              <a:p>
                <a:pPr>
                  <a:defRPr sz="1000" b="1" i="0" u="none" strike="noStrike">
                    <a:solidFill>
                      <a:srgbClr val="000000"/>
                    </a:solidFill>
                    <a:latin typeface="Arial Unicode MS"/>
                    <a:ea typeface="Arial Unicode MS"/>
                    <a:cs typeface="Arial Unicode MS"/>
                  </a:defRPr>
                </a:pPr>
                <a:r>
                  <a:rPr lang="en-GB"/>
                  <a:t>Total</a:t>
                </a:r>
              </a:p>
            </c:rich>
          </c:tx>
          <c:overlay val="0"/>
        </c:title>
        <c:numFmt formatCode="#,##0" sourceLinked="0"/>
        <c:majorTickMark val="out"/>
        <c:minorTickMark val="none"/>
        <c:tickLblPos val="nextTo"/>
        <c:spPr>
          <a:ln w="0">
            <a:solidFill>
              <a:srgbClr val="000000"/>
            </a:solidFill>
            <a:prstDash val="solid"/>
          </a:ln>
        </c:spPr>
        <c:txPr>
          <a:bodyPr/>
          <a:lstStyle/>
          <a:p>
            <a:pPr>
              <a:defRPr sz="1000" b="0" i="0" u="none" strike="noStrike">
                <a:solidFill>
                  <a:srgbClr val="000000"/>
                </a:solidFill>
                <a:latin typeface="Arial Unicode MS"/>
                <a:ea typeface="Arial Unicode MS"/>
                <a:cs typeface="Arial Unicode MS"/>
              </a:defRPr>
            </a:pPr>
            <a:endParaRPr lang="en-US"/>
          </a:p>
        </c:txPr>
        <c:crossAx val="137287168"/>
        <c:crosses val="autoZero"/>
        <c:crossBetween val="between"/>
      </c:valAx>
      <c:spPr>
        <a:noFill/>
      </c:spPr>
    </c:plotArea>
    <c:legend>
      <c:legendPos val="r"/>
      <c:overlay val="0"/>
      <c:spPr>
        <a:noFill/>
        <a:ln>
          <a:noFill/>
        </a:ln>
      </c:spPr>
      <c:txPr>
        <a:bodyPr/>
        <a:lstStyle/>
        <a:p>
          <a:pPr>
            <a:defRPr sz="1000" b="0" i="0" u="none" strike="noStrike">
              <a:solidFill>
                <a:srgbClr val="000000"/>
              </a:solidFill>
              <a:latin typeface="Arial Unicode MS"/>
              <a:ea typeface="Arial Unicode MS"/>
              <a:cs typeface="Arial Unicode MS"/>
            </a:defRPr>
          </a:pPr>
          <a:endParaRPr lang="en-US"/>
        </a:p>
      </c:txPr>
    </c:legend>
    <c:plotVisOnly val="0"/>
    <c:dispBlanksAs val="gap"/>
    <c:showDLblsOverMax val="0"/>
  </c:chart>
  <c:spPr>
    <a:ln>
      <a:no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data_Cancellations_1_4!$B$1</c:f>
              <c:strCache>
                <c:ptCount val="1"/>
                <c:pt idx="0">
                  <c:v>Hospital</c:v>
                </c:pt>
              </c:strCache>
            </c:strRef>
          </c:tx>
          <c:spPr>
            <a:gradFill flip="none" rotWithShape="1">
              <a:gsLst>
                <a:gs pos="0">
                  <a:srgbClr val="648BD0"/>
                </a:gs>
                <a:gs pos="100000">
                  <a:srgbClr val="3868A3"/>
                </a:gs>
              </a:gsLst>
              <a:lin ang="5400000" scaled="1"/>
            </a:gradFill>
            <a:ln w="0">
              <a:solidFill>
                <a:srgbClr val="000000"/>
              </a:solidFill>
              <a:prstDash val="solid"/>
            </a:ln>
          </c:spPr>
          <c:invertIfNegative val="0"/>
          <c:cat>
            <c:strRef>
              <c:f>data_Cancellations_1_4!$A$2:$A$11</c:f>
              <c:strCache>
                <c:ptCount val="10"/>
                <c:pt idx="0">
                  <c:v>Retrospective</c:v>
                </c:pt>
                <c:pt idx="1">
                  <c:v>On The Day</c:v>
                </c:pt>
                <c:pt idx="2">
                  <c:v> 1 </c:v>
                </c:pt>
                <c:pt idx="3">
                  <c:v>2 - 3</c:v>
                </c:pt>
                <c:pt idx="4">
                  <c:v>4 - 7</c:v>
                </c:pt>
                <c:pt idx="5">
                  <c:v>8 - 14</c:v>
                </c:pt>
                <c:pt idx="6">
                  <c:v>15 - 28</c:v>
                </c:pt>
                <c:pt idx="7">
                  <c:v>29 - 56</c:v>
                </c:pt>
                <c:pt idx="8">
                  <c:v>57 - 84</c:v>
                </c:pt>
                <c:pt idx="9">
                  <c:v>85+</c:v>
                </c:pt>
              </c:strCache>
            </c:strRef>
          </c:cat>
          <c:val>
            <c:numRef>
              <c:f>data_Cancellations_1_4!$B$2:$B$11</c:f>
              <c:numCache>
                <c:formatCode>General</c:formatCode>
                <c:ptCount val="10"/>
                <c:pt idx="0">
                  <c:v>10</c:v>
                </c:pt>
                <c:pt idx="1">
                  <c:v>45</c:v>
                </c:pt>
                <c:pt idx="2">
                  <c:v>7</c:v>
                </c:pt>
                <c:pt idx="3">
                  <c:v>30</c:v>
                </c:pt>
                <c:pt idx="4">
                  <c:v>77</c:v>
                </c:pt>
                <c:pt idx="5">
                  <c:v>251</c:v>
                </c:pt>
                <c:pt idx="6">
                  <c:v>551</c:v>
                </c:pt>
                <c:pt idx="7">
                  <c:v>789</c:v>
                </c:pt>
                <c:pt idx="8">
                  <c:v>152</c:v>
                </c:pt>
                <c:pt idx="9">
                  <c:v>176</c:v>
                </c:pt>
              </c:numCache>
            </c:numRef>
          </c:val>
          <c:extLst>
            <c:ext xmlns:c16="http://schemas.microsoft.com/office/drawing/2014/chart" uri="{C3380CC4-5D6E-409C-BE32-E72D297353CC}">
              <c16:uniqueId val="{00000000-BD1F-4642-A594-765A365AFB8C}"/>
            </c:ext>
          </c:extLst>
        </c:ser>
        <c:ser>
          <c:idx val="1"/>
          <c:order val="1"/>
          <c:tx>
            <c:strRef>
              <c:f>data_Cancellations_1_4!$C$1</c:f>
              <c:strCache>
                <c:ptCount val="1"/>
                <c:pt idx="0">
                  <c:v>Patient</c:v>
                </c:pt>
              </c:strCache>
            </c:strRef>
          </c:tx>
          <c:spPr>
            <a:gradFill flip="none" rotWithShape="1">
              <a:gsLst>
                <a:gs pos="0">
                  <a:srgbClr val="97CDD3"/>
                </a:gs>
                <a:gs pos="100000">
                  <a:srgbClr val="59B3C9"/>
                </a:gs>
              </a:gsLst>
              <a:lin ang="5400000" scaled="1"/>
            </a:gradFill>
            <a:ln w="0">
              <a:solidFill>
                <a:srgbClr val="000000"/>
              </a:solidFill>
              <a:prstDash val="solid"/>
            </a:ln>
          </c:spPr>
          <c:invertIfNegative val="0"/>
          <c:cat>
            <c:strRef>
              <c:f>data_Cancellations_1_4!$A$2:$A$11</c:f>
              <c:strCache>
                <c:ptCount val="10"/>
                <c:pt idx="0">
                  <c:v>Retrospective</c:v>
                </c:pt>
                <c:pt idx="1">
                  <c:v>On The Day</c:v>
                </c:pt>
                <c:pt idx="2">
                  <c:v> 1 </c:v>
                </c:pt>
                <c:pt idx="3">
                  <c:v>2 - 3</c:v>
                </c:pt>
                <c:pt idx="4">
                  <c:v>4 - 7</c:v>
                </c:pt>
                <c:pt idx="5">
                  <c:v>8 - 14</c:v>
                </c:pt>
                <c:pt idx="6">
                  <c:v>15 - 28</c:v>
                </c:pt>
                <c:pt idx="7">
                  <c:v>29 - 56</c:v>
                </c:pt>
                <c:pt idx="8">
                  <c:v>57 - 84</c:v>
                </c:pt>
                <c:pt idx="9">
                  <c:v>85+</c:v>
                </c:pt>
              </c:strCache>
            </c:strRef>
          </c:cat>
          <c:val>
            <c:numRef>
              <c:f>data_Cancellations_1_4!$C$2:$C$11</c:f>
              <c:numCache>
                <c:formatCode>General</c:formatCode>
                <c:ptCount val="10"/>
                <c:pt idx="1">
                  <c:v>201</c:v>
                </c:pt>
                <c:pt idx="2">
                  <c:v>108</c:v>
                </c:pt>
                <c:pt idx="3">
                  <c:v>138</c:v>
                </c:pt>
                <c:pt idx="4">
                  <c:v>329</c:v>
                </c:pt>
                <c:pt idx="5">
                  <c:v>191</c:v>
                </c:pt>
                <c:pt idx="6">
                  <c:v>202</c:v>
                </c:pt>
                <c:pt idx="7">
                  <c:v>154</c:v>
                </c:pt>
                <c:pt idx="8">
                  <c:v>84</c:v>
                </c:pt>
                <c:pt idx="9">
                  <c:v>56</c:v>
                </c:pt>
              </c:numCache>
            </c:numRef>
          </c:val>
          <c:extLst>
            <c:ext xmlns:c16="http://schemas.microsoft.com/office/drawing/2014/chart" uri="{C3380CC4-5D6E-409C-BE32-E72D297353CC}">
              <c16:uniqueId val="{00000001-BD1F-4642-A594-765A365AFB8C}"/>
            </c:ext>
          </c:extLst>
        </c:ser>
        <c:dLbls>
          <c:showLegendKey val="0"/>
          <c:showVal val="0"/>
          <c:showCatName val="0"/>
          <c:showSerName val="0"/>
          <c:showPercent val="0"/>
          <c:showBubbleSize val="0"/>
        </c:dLbls>
        <c:gapWidth val="150"/>
        <c:overlap val="100"/>
        <c:axId val="131492096"/>
        <c:axId val="131510656"/>
      </c:barChart>
      <c:catAx>
        <c:axId val="131492096"/>
        <c:scaling>
          <c:orientation val="minMax"/>
        </c:scaling>
        <c:delete val="0"/>
        <c:axPos val="b"/>
        <c:title>
          <c:tx>
            <c:rich>
              <a:bodyPr/>
              <a:lstStyle/>
              <a:p>
                <a:pPr>
                  <a:defRPr sz="1000" b="1" i="0" u="none" strike="noStrike">
                    <a:solidFill>
                      <a:srgbClr val="000000"/>
                    </a:solidFill>
                    <a:latin typeface="Arial Unicode MS"/>
                    <a:ea typeface="Arial Unicode MS"/>
                    <a:cs typeface="Arial Unicode MS"/>
                  </a:defRPr>
                </a:pPr>
                <a:r>
                  <a:rPr lang="en-GB"/>
                  <a:t>Days of notice</a:t>
                </a:r>
              </a:p>
            </c:rich>
          </c:tx>
          <c:overlay val="0"/>
        </c:title>
        <c:numFmt formatCode="General" sourceLinked="0"/>
        <c:majorTickMark val="none"/>
        <c:minorTickMark val="out"/>
        <c:tickLblPos val="low"/>
        <c:spPr>
          <a:ln w="0">
            <a:solidFill>
              <a:srgbClr val="000000"/>
            </a:solidFill>
            <a:prstDash val="solid"/>
          </a:ln>
        </c:spPr>
        <c:txPr>
          <a:bodyPr/>
          <a:lstStyle/>
          <a:p>
            <a:pPr>
              <a:defRPr sz="1000" b="0" i="0" u="none" strike="noStrike">
                <a:solidFill>
                  <a:srgbClr val="000000"/>
                </a:solidFill>
                <a:latin typeface="Arial Unicode MS"/>
                <a:ea typeface="Arial Unicode MS"/>
                <a:cs typeface="Arial Unicode MS"/>
              </a:defRPr>
            </a:pPr>
            <a:endParaRPr lang="en-US"/>
          </a:p>
        </c:txPr>
        <c:crossAx val="131510656"/>
        <c:crosses val="autoZero"/>
        <c:auto val="0"/>
        <c:lblAlgn val="ctr"/>
        <c:lblOffset val="100"/>
        <c:noMultiLvlLbl val="0"/>
      </c:catAx>
      <c:valAx>
        <c:axId val="131510656"/>
        <c:scaling>
          <c:orientation val="minMax"/>
        </c:scaling>
        <c:delete val="0"/>
        <c:axPos val="l"/>
        <c:majorGridlines>
          <c:spPr>
            <a:ln w="0">
              <a:solidFill>
                <a:srgbClr val="CCCCCC"/>
              </a:solidFill>
              <a:prstDash val="solid"/>
            </a:ln>
          </c:spPr>
        </c:majorGridlines>
        <c:title>
          <c:tx>
            <c:rich>
              <a:bodyPr/>
              <a:lstStyle/>
              <a:p>
                <a:pPr>
                  <a:defRPr sz="1000" b="1" i="0" u="none" strike="noStrike">
                    <a:solidFill>
                      <a:srgbClr val="000000"/>
                    </a:solidFill>
                    <a:latin typeface="Arial Unicode MS"/>
                    <a:ea typeface="Arial Unicode MS"/>
                    <a:cs typeface="Arial Unicode MS"/>
                  </a:defRPr>
                </a:pPr>
                <a:r>
                  <a:rPr lang="en-GB"/>
                  <a:t>Total</a:t>
                </a:r>
              </a:p>
            </c:rich>
          </c:tx>
          <c:overlay val="0"/>
        </c:title>
        <c:numFmt formatCode="#,##0" sourceLinked="0"/>
        <c:majorTickMark val="out"/>
        <c:minorTickMark val="none"/>
        <c:tickLblPos val="nextTo"/>
        <c:spPr>
          <a:ln w="0">
            <a:solidFill>
              <a:srgbClr val="000000"/>
            </a:solidFill>
            <a:prstDash val="solid"/>
          </a:ln>
        </c:spPr>
        <c:txPr>
          <a:bodyPr/>
          <a:lstStyle/>
          <a:p>
            <a:pPr>
              <a:defRPr sz="1000" b="0" i="0" u="none" strike="noStrike">
                <a:solidFill>
                  <a:srgbClr val="000000"/>
                </a:solidFill>
                <a:latin typeface="Arial Unicode MS"/>
                <a:ea typeface="Arial Unicode MS"/>
                <a:cs typeface="Arial Unicode MS"/>
              </a:defRPr>
            </a:pPr>
            <a:endParaRPr lang="en-US"/>
          </a:p>
        </c:txPr>
        <c:crossAx val="131492096"/>
        <c:crosses val="autoZero"/>
        <c:crossBetween val="between"/>
      </c:valAx>
      <c:spPr>
        <a:noFill/>
      </c:spPr>
    </c:plotArea>
    <c:legend>
      <c:legendPos val="r"/>
      <c:overlay val="0"/>
      <c:spPr>
        <a:noFill/>
        <a:ln>
          <a:noFill/>
        </a:ln>
      </c:spPr>
      <c:txPr>
        <a:bodyPr/>
        <a:lstStyle/>
        <a:p>
          <a:pPr>
            <a:defRPr sz="1000" b="0" i="0" u="none" strike="noStrike">
              <a:solidFill>
                <a:srgbClr val="000000"/>
              </a:solidFill>
              <a:latin typeface="Arial Unicode MS"/>
              <a:ea typeface="Arial Unicode MS"/>
              <a:cs typeface="Arial Unicode MS"/>
            </a:defRPr>
          </a:pPr>
          <a:endParaRPr lang="en-US"/>
        </a:p>
      </c:txPr>
    </c:legend>
    <c:plotVisOnly val="0"/>
    <c:dispBlanksAs val="gap"/>
    <c:showDLblsOverMax val="0"/>
  </c:chart>
  <c:spPr>
    <a:ln>
      <a:no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solidFill>
                  <a:schemeClr val="tx1">
                    <a:lumMod val="65000"/>
                    <a:lumOff val="35000"/>
                  </a:schemeClr>
                </a:solidFill>
                <a:latin typeface="Arial" panose="020B0604020202020204" pitchFamily="34" charset="0"/>
                <a:cs typeface="Arial" panose="020B0604020202020204" pitchFamily="34" charset="0"/>
              </a:rPr>
              <a:t>What is the biggest benefit of ATR</a:t>
            </a:r>
          </a:p>
          <a:p>
            <a:pPr>
              <a:defRPr/>
            </a:pPr>
            <a:r>
              <a:rPr lang="en-GB">
                <a:solidFill>
                  <a:schemeClr val="tx1">
                    <a:lumMod val="65000"/>
                    <a:lumOff val="35000"/>
                  </a:schemeClr>
                </a:solidFill>
                <a:latin typeface="Arial" panose="020B0604020202020204" pitchFamily="34" charset="0"/>
                <a:cs typeface="Arial" panose="020B0604020202020204" pitchFamily="34" charset="0"/>
              </a:rPr>
              <a:t>notifications reducing DNAs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Sheet1!$D$11</c:f>
              <c:strCache>
                <c:ptCount val="1"/>
                <c:pt idx="0">
                  <c:v>Results</c:v>
                </c:pt>
              </c:strCache>
            </c:strRef>
          </c:tx>
          <c:spPr>
            <a:solidFill>
              <a:schemeClr val="accent1"/>
            </a:solidFill>
            <a:ln>
              <a:noFill/>
            </a:ln>
            <a:effectLst/>
          </c:spPr>
          <c:invertIfNegative val="0"/>
          <c:dLbls>
            <c:delete val="1"/>
          </c:dLbls>
          <c:cat>
            <c:strRef>
              <c:f>Sheet1!$C$12:$C$16</c:f>
              <c:strCache>
                <c:ptCount val="5"/>
                <c:pt idx="0">
                  <c:v>Helps in reducing W/L times</c:v>
                </c:pt>
                <c:pt idx="1">
                  <c:v>Reduces the time of clinicians being wasted</c:v>
                </c:pt>
                <c:pt idx="2">
                  <c:v>Patients are seen when needed</c:v>
                </c:pt>
                <c:pt idx="3">
                  <c:v>No Benefit</c:v>
                </c:pt>
                <c:pt idx="4">
                  <c:v>Other</c:v>
                </c:pt>
              </c:strCache>
            </c:strRef>
          </c:cat>
          <c:val>
            <c:numRef>
              <c:f>Sheet1!$D$12:$D$16</c:f>
              <c:numCache>
                <c:formatCode>0%</c:formatCode>
                <c:ptCount val="5"/>
                <c:pt idx="0">
                  <c:v>0.42</c:v>
                </c:pt>
                <c:pt idx="1">
                  <c:v>0.25</c:v>
                </c:pt>
                <c:pt idx="2">
                  <c:v>0.17</c:v>
                </c:pt>
                <c:pt idx="3">
                  <c:v>0.08</c:v>
                </c:pt>
                <c:pt idx="4">
                  <c:v>0.08</c:v>
                </c:pt>
              </c:numCache>
            </c:numRef>
          </c:val>
          <c:extLst>
            <c:ext xmlns:c16="http://schemas.microsoft.com/office/drawing/2014/chart" uri="{C3380CC4-5D6E-409C-BE32-E72D297353CC}">
              <c16:uniqueId val="{00000000-D98A-46D5-BAAA-C3CE5EA74661}"/>
            </c:ext>
          </c:extLst>
        </c:ser>
        <c:dLbls>
          <c:dLblPos val="inEnd"/>
          <c:showLegendKey val="0"/>
          <c:showVal val="1"/>
          <c:showCatName val="0"/>
          <c:showSerName val="0"/>
          <c:showPercent val="0"/>
          <c:showBubbleSize val="0"/>
        </c:dLbls>
        <c:gapWidth val="182"/>
        <c:axId val="565984704"/>
        <c:axId val="565987656"/>
      </c:barChart>
      <c:catAx>
        <c:axId val="5659847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65987656"/>
        <c:crosses val="autoZero"/>
        <c:auto val="1"/>
        <c:lblAlgn val="ctr"/>
        <c:lblOffset val="100"/>
        <c:noMultiLvlLbl val="0"/>
      </c:catAx>
      <c:valAx>
        <c:axId val="56598765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59847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lgn="r">
              <a:defRPr sz="2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2000" b="1" dirty="0">
                <a:solidFill>
                  <a:schemeClr val="tx1">
                    <a:lumMod val="65000"/>
                    <a:lumOff val="35000"/>
                  </a:schemeClr>
                </a:solidFill>
                <a:latin typeface="Arial" panose="020B0604020202020204" pitchFamily="34" charset="0"/>
                <a:cs typeface="Arial" panose="020B0604020202020204" pitchFamily="34" charset="0"/>
              </a:rPr>
              <a:t>2016</a:t>
            </a:r>
          </a:p>
        </c:rich>
      </c:tx>
      <c:layout>
        <c:manualLayout>
          <c:xMode val="edge"/>
          <c:yMode val="edge"/>
          <c:x val="0.44042321412790397"/>
          <c:y val="0"/>
        </c:manualLayout>
      </c:layout>
      <c:overlay val="0"/>
      <c:spPr>
        <a:noFill/>
        <a:ln>
          <a:noFill/>
        </a:ln>
        <a:effectLst/>
      </c:spPr>
      <c:txPr>
        <a:bodyPr rot="0" spcFirstLastPara="1" vertOverflow="ellipsis" vert="horz" wrap="square" anchor="ctr" anchorCtr="1"/>
        <a:lstStyle/>
        <a:p>
          <a:pPr algn="r">
            <a:defRPr sz="20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solidFill>
                <a:schemeClr val="accent1">
                  <a:shade val="53000"/>
                </a:schemeClr>
              </a:solidFill>
              <a:ln>
                <a:noFill/>
              </a:ln>
              <a:effectLst/>
            </c:spPr>
            <c:extLst>
              <c:ext xmlns:c16="http://schemas.microsoft.com/office/drawing/2014/chart" uri="{C3380CC4-5D6E-409C-BE32-E72D297353CC}">
                <c16:uniqueId val="{00000001-80D1-4FE4-AA68-433A2367CCA9}"/>
              </c:ext>
            </c:extLst>
          </c:dPt>
          <c:dPt>
            <c:idx val="1"/>
            <c:bubble3D val="0"/>
            <c:spPr>
              <a:solidFill>
                <a:schemeClr val="accent1">
                  <a:shade val="76000"/>
                </a:schemeClr>
              </a:solidFill>
              <a:ln>
                <a:noFill/>
              </a:ln>
              <a:effectLst/>
            </c:spPr>
            <c:extLst>
              <c:ext xmlns:c16="http://schemas.microsoft.com/office/drawing/2014/chart" uri="{C3380CC4-5D6E-409C-BE32-E72D297353CC}">
                <c16:uniqueId val="{00000003-80D1-4FE4-AA68-433A2367CCA9}"/>
              </c:ext>
            </c:extLst>
          </c:dPt>
          <c:dPt>
            <c:idx val="2"/>
            <c:bubble3D val="0"/>
            <c:spPr>
              <a:solidFill>
                <a:schemeClr val="accent1"/>
              </a:solidFill>
              <a:ln>
                <a:noFill/>
              </a:ln>
              <a:effectLst/>
            </c:spPr>
            <c:extLst>
              <c:ext xmlns:c16="http://schemas.microsoft.com/office/drawing/2014/chart" uri="{C3380CC4-5D6E-409C-BE32-E72D297353CC}">
                <c16:uniqueId val="{00000005-80D1-4FE4-AA68-433A2367CCA9}"/>
              </c:ext>
            </c:extLst>
          </c:dPt>
          <c:dPt>
            <c:idx val="3"/>
            <c:bubble3D val="0"/>
            <c:spPr>
              <a:solidFill>
                <a:schemeClr val="accent1">
                  <a:tint val="77000"/>
                </a:schemeClr>
              </a:solidFill>
              <a:ln>
                <a:noFill/>
              </a:ln>
              <a:effectLst/>
            </c:spPr>
            <c:extLst>
              <c:ext xmlns:c16="http://schemas.microsoft.com/office/drawing/2014/chart" uri="{C3380CC4-5D6E-409C-BE32-E72D297353CC}">
                <c16:uniqueId val="{00000007-80D1-4FE4-AA68-433A2367CCA9}"/>
              </c:ext>
            </c:extLst>
          </c:dPt>
          <c:dPt>
            <c:idx val="4"/>
            <c:bubble3D val="0"/>
            <c:spPr>
              <a:solidFill>
                <a:schemeClr val="accent1">
                  <a:tint val="54000"/>
                </a:schemeClr>
              </a:solidFill>
              <a:ln>
                <a:noFill/>
              </a:ln>
              <a:effectLst/>
            </c:spPr>
            <c:extLst>
              <c:ext xmlns:c16="http://schemas.microsoft.com/office/drawing/2014/chart" uri="{C3380CC4-5D6E-409C-BE32-E72D297353CC}">
                <c16:uniqueId val="{00000009-80D1-4FE4-AA68-433A2367CCA9}"/>
              </c:ext>
            </c:extLst>
          </c:dPt>
          <c:dLbls>
            <c:dLbl>
              <c:idx val="0"/>
              <c:layout>
                <c:manualLayout>
                  <c:x val="5.8333333333333522E-2"/>
                  <c:y val="6.944444444444453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0D1-4FE4-AA68-433A2367CCA9}"/>
                </c:ext>
              </c:extLst>
            </c:dLbl>
            <c:dLbl>
              <c:idx val="1"/>
              <c:layout>
                <c:manualLayout>
                  <c:x val="-6.9444444444444503E-2"/>
                  <c:y val="0.11574074074074096"/>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0D1-4FE4-AA68-433A2367CCA9}"/>
                </c:ext>
              </c:extLst>
            </c:dLbl>
            <c:dLbl>
              <c:idx val="2"/>
              <c:layout>
                <c:manualLayout>
                  <c:x val="-0.14722222222222256"/>
                  <c:y val="0.16666666666666666"/>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0D1-4FE4-AA68-433A2367CCA9}"/>
                </c:ext>
              </c:extLst>
            </c:dLbl>
            <c:dLbl>
              <c:idx val="3"/>
              <c:layout>
                <c:manualLayout>
                  <c:x val="-0.14444444444444515"/>
                  <c:y val="5.5555555555555455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0D1-4FE4-AA68-433A2367CCA9}"/>
                </c:ext>
              </c:extLst>
            </c:dLbl>
            <c:dLbl>
              <c:idx val="4"/>
              <c:layout>
                <c:manualLayout>
                  <c:x val="0.17499966835333916"/>
                  <c:y val="2.929677863644669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80D1-4FE4-AA68-433A2367CCA9}"/>
                </c:ext>
              </c:extLst>
            </c:dLbl>
            <c:spPr>
              <a:noFill/>
              <a:ln>
                <a:noFill/>
              </a:ln>
              <a:effectLst/>
            </c:spPr>
            <c:txPr>
              <a:bodyPr rot="0" spcFirstLastPara="1" vertOverflow="ellipsis" vert="horz" wrap="square" anchor="ctr" anchorCtr="1"/>
              <a:lstStyle/>
              <a:p>
                <a:pPr>
                  <a:defRPr sz="800" b="1"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outEnd"/>
            <c:showLegendKey val="0"/>
            <c:showVal val="0"/>
            <c:showCatName val="1"/>
            <c:showSerName val="0"/>
            <c:showPercent val="1"/>
            <c:showBubbleSize val="0"/>
            <c:showLeaderLines val="1"/>
            <c:leaderLines>
              <c:spPr>
                <a:ln w="9525" cap="flat" cmpd="sng" algn="ctr">
                  <a:solidFill>
                    <a:schemeClr val="tx1">
                      <a:shade val="95000"/>
                      <a:satMod val="105000"/>
                    </a:schemeClr>
                  </a:solidFill>
                  <a:prstDash val="solid"/>
                  <a:round/>
                </a:ln>
                <a:effectLst/>
              </c:spPr>
            </c:leaderLines>
            <c:extLst>
              <c:ext xmlns:c15="http://schemas.microsoft.com/office/drawing/2012/chart" uri="{CE6537A1-D6FC-4f65-9D91-7224C49458BB}"/>
            </c:extLst>
          </c:dLbls>
          <c:cat>
            <c:strRef>
              <c:f>Graphs!$B$36:$B$40</c:f>
              <c:strCache>
                <c:ptCount val="5"/>
                <c:pt idx="0">
                  <c:v>Very satisfied</c:v>
                </c:pt>
                <c:pt idx="1">
                  <c:v>Satisfied</c:v>
                </c:pt>
                <c:pt idx="2">
                  <c:v>Neutral</c:v>
                </c:pt>
                <c:pt idx="3">
                  <c:v>Dissatisfied</c:v>
                </c:pt>
                <c:pt idx="4">
                  <c:v>Very dissatisfied</c:v>
                </c:pt>
              </c:strCache>
            </c:strRef>
          </c:cat>
          <c:val>
            <c:numRef>
              <c:f>Graphs!$D$36:$D$40</c:f>
              <c:numCache>
                <c:formatCode>General</c:formatCode>
                <c:ptCount val="5"/>
                <c:pt idx="0">
                  <c:v>100</c:v>
                </c:pt>
                <c:pt idx="1">
                  <c:v>28</c:v>
                </c:pt>
                <c:pt idx="2">
                  <c:v>19</c:v>
                </c:pt>
                <c:pt idx="3">
                  <c:v>7</c:v>
                </c:pt>
                <c:pt idx="4">
                  <c:v>5</c:v>
                </c:pt>
              </c:numCache>
            </c:numRef>
          </c:val>
          <c:extLst>
            <c:ext xmlns:c16="http://schemas.microsoft.com/office/drawing/2014/chart" uri="{C3380CC4-5D6E-409C-BE32-E72D297353CC}">
              <c16:uniqueId val="{0000000A-80D1-4FE4-AA68-433A2367CCA9}"/>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zero"/>
    <c:showDLblsOverMax val="0"/>
  </c:chart>
  <c:spPr>
    <a:solidFill>
      <a:schemeClr val="bg1"/>
    </a:solidFill>
    <a:ln w="9525" cap="flat" cmpd="sng" algn="ctr">
      <a:solidFill>
        <a:schemeClr val="bg2"/>
      </a:solidFill>
      <a:prstDash val="solid"/>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2000" b="1" i="0" u="none" strike="noStrike" kern="1200" cap="all"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2000">
                <a:solidFill>
                  <a:schemeClr val="tx1">
                    <a:lumMod val="65000"/>
                    <a:lumOff val="35000"/>
                  </a:schemeClr>
                </a:solidFill>
                <a:latin typeface="Arial" panose="020B0604020202020204" pitchFamily="34" charset="0"/>
                <a:cs typeface="Arial" panose="020B0604020202020204" pitchFamily="34" charset="0"/>
              </a:rPr>
              <a:t>2020</a:t>
            </a:r>
          </a:p>
        </c:rich>
      </c:tx>
      <c:overlay val="0"/>
      <c:spPr>
        <a:noFill/>
        <a:ln>
          <a:noFill/>
        </a:ln>
        <a:effectLst/>
      </c:spPr>
      <c:txPr>
        <a:bodyPr rot="0" spcFirstLastPara="1" vertOverflow="ellipsis" vert="horz" wrap="square" anchor="ctr" anchorCtr="1"/>
        <a:lstStyle/>
        <a:p>
          <a:pPr>
            <a:defRPr sz="2000" b="1" i="0" u="none" strike="noStrike" kern="1200" cap="all"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manualLayout>
          <c:layoutTarget val="inner"/>
          <c:xMode val="edge"/>
          <c:yMode val="edge"/>
          <c:x val="0.33520406824147003"/>
          <c:y val="0.37308326042578033"/>
          <c:w val="0.35459208223972027"/>
          <c:h val="0.59098680373286616"/>
        </c:manualLayout>
      </c:layout>
      <c:pieChart>
        <c:varyColors val="1"/>
        <c:ser>
          <c:idx val="0"/>
          <c:order val="0"/>
          <c:dPt>
            <c:idx val="0"/>
            <c:bubble3D val="0"/>
            <c:spPr>
              <a:solidFill>
                <a:schemeClr val="accent1">
                  <a:shade val="58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C304-4033-B37A-68A4877AB1AB}"/>
              </c:ext>
            </c:extLst>
          </c:dPt>
          <c:dPt>
            <c:idx val="1"/>
            <c:bubble3D val="0"/>
            <c:spPr>
              <a:solidFill>
                <a:schemeClr val="accent1">
                  <a:shade val="86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C304-4033-B37A-68A4877AB1AB}"/>
              </c:ext>
            </c:extLst>
          </c:dPt>
          <c:dPt>
            <c:idx val="2"/>
            <c:bubble3D val="0"/>
            <c:spPr>
              <a:solidFill>
                <a:schemeClr val="accent1">
                  <a:tint val="86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C304-4033-B37A-68A4877AB1AB}"/>
              </c:ext>
            </c:extLst>
          </c:dPt>
          <c:dPt>
            <c:idx val="3"/>
            <c:bubble3D val="0"/>
            <c:spPr>
              <a:solidFill>
                <a:schemeClr val="accent1">
                  <a:tint val="58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C304-4033-B37A-68A4877AB1AB}"/>
              </c:ext>
            </c:extLst>
          </c:dPt>
          <c:dLbls>
            <c:dLbl>
              <c:idx val="0"/>
              <c:spPr>
                <a:noFill/>
                <a:ln>
                  <a:noFill/>
                </a:ln>
                <a:effectLst/>
              </c:spPr>
              <c:txPr>
                <a:bodyPr rot="0" spcFirstLastPara="1" vertOverflow="ellipsis" vert="horz" wrap="square" lIns="38100" tIns="19050" rIns="38100" bIns="19050" anchor="ctr" anchorCtr="1">
                  <a:spAutoFit/>
                </a:bodyPr>
                <a:lstStyle/>
                <a:p>
                  <a:pPr>
                    <a:defRPr sz="800" b="1" i="0" u="none" strike="noStrike" kern="1200" spc="0" baseline="0">
                      <a:solidFill>
                        <a:schemeClr val="tx1"/>
                      </a:solidFill>
                      <a:latin typeface="Arial" panose="020B0604020202020204" pitchFamily="34" charset="0"/>
                      <a:ea typeface="+mn-ea"/>
                      <a:cs typeface="Arial" panose="020B0604020202020204" pitchFamily="34" charset="0"/>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C304-4033-B37A-68A4877AB1AB}"/>
                </c:ext>
              </c:extLst>
            </c:dLbl>
            <c:dLbl>
              <c:idx val="1"/>
              <c:spPr>
                <a:noFill/>
                <a:ln>
                  <a:noFill/>
                </a:ln>
                <a:effectLst/>
              </c:spPr>
              <c:txPr>
                <a:bodyPr rot="0" spcFirstLastPara="1" vertOverflow="ellipsis" vert="horz" wrap="square" lIns="38100" tIns="19050" rIns="38100" bIns="19050" anchor="ctr" anchorCtr="1">
                  <a:spAutoFit/>
                </a:bodyPr>
                <a:lstStyle/>
                <a:p>
                  <a:pPr>
                    <a:defRPr sz="800" b="1" i="0" u="none" strike="noStrike" kern="1200" spc="0" baseline="0">
                      <a:solidFill>
                        <a:schemeClr val="tx1"/>
                      </a:solidFill>
                      <a:latin typeface="Arial" panose="020B0604020202020204" pitchFamily="34" charset="0"/>
                      <a:ea typeface="+mn-ea"/>
                      <a:cs typeface="Arial" panose="020B0604020202020204" pitchFamily="34" charset="0"/>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C304-4033-B37A-68A4877AB1AB}"/>
                </c:ext>
              </c:extLst>
            </c:dLbl>
            <c:dLbl>
              <c:idx val="2"/>
              <c:layout>
                <c:manualLayout>
                  <c:x val="-0.10638147789575408"/>
                  <c:y val="-6.0223660785657961E-2"/>
                </c:manualLayout>
              </c:layout>
              <c:spPr>
                <a:noFill/>
                <a:ln>
                  <a:noFill/>
                </a:ln>
                <a:effectLst/>
              </c:spPr>
              <c:txPr>
                <a:bodyPr rot="0" spcFirstLastPara="1" vertOverflow="ellipsis" vert="horz" wrap="square" lIns="38100" tIns="19050" rIns="38100" bIns="19050" anchor="ctr" anchorCtr="1">
                  <a:spAutoFit/>
                </a:bodyPr>
                <a:lstStyle/>
                <a:p>
                  <a:pPr>
                    <a:defRPr sz="800" b="1" i="0" u="none" strike="noStrike" kern="1200" spc="0" baseline="0">
                      <a:solidFill>
                        <a:schemeClr val="tx1"/>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304-4033-B37A-68A4877AB1AB}"/>
                </c:ext>
              </c:extLst>
            </c:dLbl>
            <c:dLbl>
              <c:idx val="3"/>
              <c:layout>
                <c:manualLayout>
                  <c:x val="0.10918099047195803"/>
                  <c:y val="2.5810140336710554E-2"/>
                </c:manualLayout>
              </c:layout>
              <c:tx>
                <c:rich>
                  <a:bodyPr rot="0" spcFirstLastPara="1" vertOverflow="ellipsis" vert="horz" wrap="square" lIns="38100" tIns="19050" rIns="38100" bIns="19050" anchor="ctr" anchorCtr="1">
                    <a:spAutoFit/>
                  </a:bodyPr>
                  <a:lstStyle/>
                  <a:p>
                    <a:pPr>
                      <a:defRPr sz="700" b="1" i="0" u="none" strike="noStrike" kern="1200" spc="0" baseline="0">
                        <a:solidFill>
                          <a:schemeClr val="tx1"/>
                        </a:solidFill>
                        <a:latin typeface="Arial" panose="020B0604020202020204" pitchFamily="34" charset="0"/>
                        <a:ea typeface="+mn-ea"/>
                        <a:cs typeface="Arial" panose="020B0604020202020204" pitchFamily="34" charset="0"/>
                      </a:defRPr>
                    </a:pPr>
                    <a:fld id="{6D5B2C5E-90F8-4A4D-81C7-67E7C971FB85}" type="CATEGORYNAME">
                      <a:rPr lang="en-US" sz="700" b="1">
                        <a:solidFill>
                          <a:schemeClr val="tx1"/>
                        </a:solidFill>
                        <a:latin typeface="Arial" panose="020B0604020202020204" pitchFamily="34" charset="0"/>
                        <a:cs typeface="Arial" panose="020B0604020202020204" pitchFamily="34" charset="0"/>
                      </a:rPr>
                      <a:pPr>
                        <a:defRPr sz="700">
                          <a:solidFill>
                            <a:schemeClr val="tx1"/>
                          </a:solidFill>
                          <a:latin typeface="Arial" panose="020B0604020202020204" pitchFamily="34" charset="0"/>
                          <a:cs typeface="Arial" panose="020B0604020202020204" pitchFamily="34" charset="0"/>
                        </a:defRPr>
                      </a:pPr>
                      <a:t>[CATEGORY NAME]</a:t>
                    </a:fld>
                    <a:r>
                      <a:rPr lang="en-US" sz="700" b="1" baseline="0" dirty="0">
                        <a:solidFill>
                          <a:schemeClr val="tx1"/>
                        </a:solidFill>
                        <a:latin typeface="Arial" panose="020B0604020202020204" pitchFamily="34" charset="0"/>
                        <a:cs typeface="Arial" panose="020B0604020202020204" pitchFamily="34" charset="0"/>
                      </a:rPr>
                      <a:t>
</a:t>
                    </a:r>
                    <a:fld id="{BFF6CAF0-CC5C-43AC-9826-CE6507CB6FF2}" type="PERCENTAGE">
                      <a:rPr lang="en-US" sz="700" b="1" baseline="0">
                        <a:solidFill>
                          <a:schemeClr val="tx1"/>
                        </a:solidFill>
                        <a:latin typeface="Arial" panose="020B0604020202020204" pitchFamily="34" charset="0"/>
                        <a:cs typeface="Arial" panose="020B0604020202020204" pitchFamily="34" charset="0"/>
                      </a:rPr>
                      <a:pPr>
                        <a:defRPr sz="700">
                          <a:solidFill>
                            <a:schemeClr val="tx1"/>
                          </a:solidFill>
                          <a:latin typeface="Arial" panose="020B0604020202020204" pitchFamily="34" charset="0"/>
                          <a:cs typeface="Arial" panose="020B0604020202020204" pitchFamily="34" charset="0"/>
                        </a:defRPr>
                      </a:pPr>
                      <a:t>[PERCENTAGE]</a:t>
                    </a:fld>
                    <a:endParaRPr lang="en-US" sz="700" b="1" baseline="0" dirty="0">
                      <a:solidFill>
                        <a:schemeClr val="tx1"/>
                      </a:solidFill>
                      <a:latin typeface="Arial" panose="020B0604020202020204" pitchFamily="34" charset="0"/>
                      <a:cs typeface="Arial" panose="020B0604020202020204" pitchFamily="34" charset="0"/>
                    </a:endParaRPr>
                  </a:p>
                </c:rich>
              </c:tx>
              <c:spPr>
                <a:noFill/>
                <a:ln>
                  <a:noFill/>
                </a:ln>
                <a:effectLst/>
              </c:spPr>
              <c:txPr>
                <a:bodyPr rot="0" spcFirstLastPara="1" vertOverflow="ellipsis" vert="horz" wrap="square" lIns="38100" tIns="19050" rIns="38100" bIns="19050" anchor="ctr" anchorCtr="1">
                  <a:spAutoFit/>
                </a:bodyPr>
                <a:lstStyle/>
                <a:p>
                  <a:pPr>
                    <a:defRPr sz="700" b="1" i="0" u="none" strike="noStrike" kern="1200" spc="0" baseline="0">
                      <a:solidFill>
                        <a:schemeClr val="tx1"/>
                      </a:solidFill>
                      <a:latin typeface="Arial" panose="020B0604020202020204" pitchFamily="34" charset="0"/>
                      <a:ea typeface="+mn-ea"/>
                      <a:cs typeface="Arial" panose="020B0604020202020204" pitchFamily="34"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C304-4033-B37A-68A4877AB1AB}"/>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spc="0" baseline="0">
                    <a:solidFill>
                      <a:schemeClr val="tx1"/>
                    </a:solidFill>
                    <a:latin typeface="Arial" panose="020B0604020202020204" pitchFamily="34" charset="0"/>
                    <a:ea typeface="+mn-ea"/>
                    <a:cs typeface="Arial" panose="020B0604020202020204" pitchFamily="34" charset="0"/>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'Answers in text'!$C$31:$C$34</c:f>
              <c:strCache>
                <c:ptCount val="4"/>
                <c:pt idx="0">
                  <c:v>Very Satisfied</c:v>
                </c:pt>
                <c:pt idx="1">
                  <c:v>Satisfied</c:v>
                </c:pt>
                <c:pt idx="2">
                  <c:v>Dissatisfied</c:v>
                </c:pt>
                <c:pt idx="3">
                  <c:v>Very Dissatisfied</c:v>
                </c:pt>
              </c:strCache>
            </c:strRef>
          </c:cat>
          <c:val>
            <c:numRef>
              <c:f>'Answers in text'!$D$31:$D$34</c:f>
              <c:numCache>
                <c:formatCode>General</c:formatCode>
                <c:ptCount val="4"/>
                <c:pt idx="0">
                  <c:v>131</c:v>
                </c:pt>
                <c:pt idx="1">
                  <c:v>64</c:v>
                </c:pt>
                <c:pt idx="2">
                  <c:v>1</c:v>
                </c:pt>
              </c:numCache>
            </c:numRef>
          </c:val>
          <c:extLst>
            <c:ext xmlns:c16="http://schemas.microsoft.com/office/drawing/2014/chart" uri="{C3380CC4-5D6E-409C-BE32-E72D297353CC}">
              <c16:uniqueId val="{00000008-C304-4033-B37A-68A4877AB1AB}"/>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zero"/>
    <c:showDLblsOverMax val="0"/>
  </c:chart>
  <c:spPr>
    <a:solidFill>
      <a:schemeClr val="bg1"/>
    </a:solidFill>
    <a:ln w="9525" cap="flat" cmpd="sng" algn="ctr">
      <a:solidFill>
        <a:schemeClr val="bg2"/>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200" b="0" i="0" u="none" strike="noStrike" kern="1200" cap="none" spc="0" normalizeH="0" baseline="0">
                <a:solidFill>
                  <a:schemeClr val="tx1">
                    <a:lumMod val="65000"/>
                    <a:lumOff val="35000"/>
                  </a:schemeClr>
                </a:solidFill>
                <a:latin typeface="Arial" panose="020B0604020202020204" pitchFamily="34" charset="0"/>
                <a:ea typeface="+mj-ea"/>
                <a:cs typeface="Arial" panose="020B0604020202020204" pitchFamily="34" charset="0"/>
              </a:defRPr>
            </a:pPr>
            <a:r>
              <a:rPr lang="en-US">
                <a:latin typeface="Arial" panose="020B0604020202020204" pitchFamily="34" charset="0"/>
                <a:cs typeface="Arial" panose="020B0604020202020204" pitchFamily="34" charset="0"/>
              </a:rPr>
              <a:t>2016</a:t>
            </a:r>
          </a:p>
        </c:rich>
      </c:tx>
      <c:overlay val="0"/>
      <c:spPr>
        <a:noFill/>
        <a:ln>
          <a:noFill/>
        </a:ln>
        <a:effectLst/>
      </c:spPr>
      <c:txPr>
        <a:bodyPr rot="0" spcFirstLastPara="1" vertOverflow="ellipsis" vert="horz" wrap="square" anchor="ctr" anchorCtr="1"/>
        <a:lstStyle/>
        <a:p>
          <a:pPr>
            <a:defRPr sz="2200" b="0" i="0" u="none" strike="noStrike" kern="1200" cap="none" spc="0" normalizeH="0" baseline="0">
              <a:solidFill>
                <a:schemeClr val="tx1">
                  <a:lumMod val="65000"/>
                  <a:lumOff val="35000"/>
                </a:schemeClr>
              </a:solidFill>
              <a:latin typeface="Arial" panose="020B0604020202020204" pitchFamily="34" charset="0"/>
              <a:ea typeface="+mj-ea"/>
              <a:cs typeface="Arial" panose="020B0604020202020204" pitchFamily="34" charset="0"/>
            </a:defRPr>
          </a:pPr>
          <a:endParaRPr lang="en-US"/>
        </a:p>
      </c:txPr>
    </c:title>
    <c:autoTitleDeleted val="0"/>
    <c:plotArea>
      <c:layout/>
      <c:barChart>
        <c:barDir val="col"/>
        <c:grouping val="clustered"/>
        <c:varyColors val="0"/>
        <c:ser>
          <c:idx val="0"/>
          <c:order val="0"/>
          <c:tx>
            <c:strRef>
              <c:f>Graphs!$C$155</c:f>
              <c:strCache>
                <c:ptCount val="1"/>
                <c:pt idx="0">
                  <c:v>Preferred method</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97"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Graphs!$B$156:$B$159</c:f>
              <c:strCache>
                <c:ptCount val="4"/>
                <c:pt idx="0">
                  <c:v>Text message</c:v>
                </c:pt>
                <c:pt idx="1">
                  <c:v>Letter in the post</c:v>
                </c:pt>
                <c:pt idx="2">
                  <c:v>E-mail</c:v>
                </c:pt>
                <c:pt idx="3">
                  <c:v>Automated phone call</c:v>
                </c:pt>
              </c:strCache>
            </c:strRef>
          </c:cat>
          <c:val>
            <c:numRef>
              <c:f>Graphs!$F$156:$F$159</c:f>
              <c:numCache>
                <c:formatCode>General</c:formatCode>
                <c:ptCount val="4"/>
                <c:pt idx="0">
                  <c:v>50</c:v>
                </c:pt>
                <c:pt idx="1">
                  <c:v>55</c:v>
                </c:pt>
                <c:pt idx="2">
                  <c:v>18</c:v>
                </c:pt>
                <c:pt idx="3">
                  <c:v>16</c:v>
                </c:pt>
              </c:numCache>
            </c:numRef>
          </c:val>
          <c:extLst>
            <c:ext xmlns:c16="http://schemas.microsoft.com/office/drawing/2014/chart" uri="{C3380CC4-5D6E-409C-BE32-E72D297353CC}">
              <c16:uniqueId val="{00000000-69EA-4F9F-B833-17FB091374CD}"/>
            </c:ext>
          </c:extLst>
        </c:ser>
        <c:dLbls>
          <c:showLegendKey val="0"/>
          <c:showVal val="0"/>
          <c:showCatName val="0"/>
          <c:showSerName val="0"/>
          <c:showPercent val="0"/>
          <c:showBubbleSize val="0"/>
        </c:dLbls>
        <c:gapWidth val="199"/>
        <c:axId val="53713152"/>
        <c:axId val="53714944"/>
      </c:barChart>
      <c:catAx>
        <c:axId val="537131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cap="none" spc="0" normalizeH="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3714944"/>
        <c:crosses val="autoZero"/>
        <c:auto val="1"/>
        <c:lblAlgn val="ctr"/>
        <c:lblOffset val="100"/>
        <c:noMultiLvlLbl val="0"/>
      </c:catAx>
      <c:valAx>
        <c:axId val="5371494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37131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2200" b="0" i="0" u="none" strike="noStrike" kern="1200" cap="none" spc="0" normalizeH="0" baseline="0">
                <a:solidFill>
                  <a:schemeClr val="tx1">
                    <a:lumMod val="65000"/>
                    <a:lumOff val="35000"/>
                  </a:schemeClr>
                </a:solidFill>
                <a:latin typeface="Arial" panose="020B0604020202020204" pitchFamily="34" charset="0"/>
                <a:ea typeface="+mj-ea"/>
                <a:cs typeface="Arial" panose="020B0604020202020204" pitchFamily="34" charset="0"/>
              </a:defRPr>
            </a:pPr>
            <a:r>
              <a:rPr lang="en-GB"/>
              <a:t>2020</a:t>
            </a:r>
          </a:p>
        </c:rich>
      </c:tx>
      <c:layout>
        <c:manualLayout>
          <c:xMode val="edge"/>
          <c:yMode val="edge"/>
          <c:x val="0.43431840906565949"/>
          <c:y val="2.3194791222027954E-2"/>
        </c:manualLayout>
      </c:layout>
      <c:overlay val="0"/>
      <c:spPr>
        <a:noFill/>
        <a:ln>
          <a:noFill/>
        </a:ln>
        <a:effectLst/>
      </c:spPr>
      <c:txPr>
        <a:bodyPr rot="0" spcFirstLastPara="1" vertOverflow="ellipsis" vert="horz" wrap="square" anchor="ctr" anchorCtr="1"/>
        <a:lstStyle/>
        <a:p>
          <a:pPr>
            <a:defRPr sz="2200" b="0" i="0" u="none" strike="noStrike" kern="1200" cap="none" spc="0" normalizeH="0" baseline="0">
              <a:solidFill>
                <a:schemeClr val="tx1">
                  <a:lumMod val="65000"/>
                  <a:lumOff val="35000"/>
                </a:schemeClr>
              </a:solidFill>
              <a:latin typeface="Arial" panose="020B0604020202020204" pitchFamily="34" charset="0"/>
              <a:ea typeface="+mj-ea"/>
              <a:cs typeface="Arial" panose="020B0604020202020204" pitchFamily="34" charset="0"/>
            </a:defRPr>
          </a:pPr>
          <a:endParaRPr lang="en-US"/>
        </a:p>
      </c:txPr>
    </c:title>
    <c:autoTitleDeleted val="0"/>
    <c:plotArea>
      <c:layout>
        <c:manualLayout>
          <c:layoutTarget val="inner"/>
          <c:xMode val="edge"/>
          <c:yMode val="edge"/>
          <c:x val="0.11230630459049525"/>
          <c:y val="0.17119604841061534"/>
          <c:w val="0.87306591154774693"/>
          <c:h val="0.65385039800382527"/>
        </c:manualLayout>
      </c:layout>
      <c:barChart>
        <c:barDir val="col"/>
        <c:grouping val="clustered"/>
        <c:varyColors val="0"/>
        <c:ser>
          <c:idx val="0"/>
          <c:order val="0"/>
          <c:spPr>
            <a:solidFill>
              <a:schemeClr val="accent1"/>
            </a:solidFill>
            <a:ln>
              <a:noFill/>
            </a:ln>
            <a:effectLst/>
          </c:spPr>
          <c:invertIfNegative val="0"/>
          <c:dLbls>
            <c:dLbl>
              <c:idx val="4"/>
              <c:layout>
                <c:manualLayout>
                  <c:x val="-5.5555555555556555E-3"/>
                  <c:y val="-4.16666666666666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6DA-414A-8C61-639497EB7DD3}"/>
                </c:ext>
              </c:extLst>
            </c:dLbl>
            <c:dLbl>
              <c:idx val="5"/>
              <c:layout>
                <c:manualLayout>
                  <c:x val="1.9444444444444445E-2"/>
                  <c:y val="-4.62962962962963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6DA-414A-8C61-639497EB7DD3}"/>
                </c:ext>
              </c:extLst>
            </c:dLbl>
            <c:spPr>
              <a:noFill/>
              <a:ln>
                <a:noFill/>
              </a:ln>
              <a:effectLst/>
            </c:spPr>
            <c:txPr>
              <a:bodyPr rot="0" spcFirstLastPara="1" vertOverflow="ellipsis" vert="horz" wrap="square" anchor="ctr" anchorCtr="1"/>
              <a:lstStyle/>
              <a:p>
                <a:pPr>
                  <a:defRPr sz="1197"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'Answers in text'!$C$44:$C$49</c:f>
              <c:strCache>
                <c:ptCount val="6"/>
                <c:pt idx="0">
                  <c:v>Letter</c:v>
                </c:pt>
                <c:pt idx="1">
                  <c:v>Text msg</c:v>
                </c:pt>
                <c:pt idx="2">
                  <c:v>Email</c:v>
                </c:pt>
                <c:pt idx="3">
                  <c:v>Telephone call</c:v>
                </c:pt>
                <c:pt idx="4">
                  <c:v>I have no preference</c:v>
                </c:pt>
                <c:pt idx="5">
                  <c:v>Other, please specify </c:v>
                </c:pt>
              </c:strCache>
            </c:strRef>
          </c:cat>
          <c:val>
            <c:numRef>
              <c:f>'Answers in text'!$D$44:$D$49</c:f>
              <c:numCache>
                <c:formatCode>General</c:formatCode>
                <c:ptCount val="6"/>
                <c:pt idx="0">
                  <c:v>71</c:v>
                </c:pt>
                <c:pt idx="1">
                  <c:v>153</c:v>
                </c:pt>
                <c:pt idx="2">
                  <c:v>32</c:v>
                </c:pt>
                <c:pt idx="3">
                  <c:v>24</c:v>
                </c:pt>
                <c:pt idx="4">
                  <c:v>5</c:v>
                </c:pt>
                <c:pt idx="5">
                  <c:v>1</c:v>
                </c:pt>
              </c:numCache>
            </c:numRef>
          </c:val>
          <c:extLst>
            <c:ext xmlns:c16="http://schemas.microsoft.com/office/drawing/2014/chart" uri="{C3380CC4-5D6E-409C-BE32-E72D297353CC}">
              <c16:uniqueId val="{00000002-46DA-414A-8C61-639497EB7DD3}"/>
            </c:ext>
          </c:extLst>
        </c:ser>
        <c:dLbls>
          <c:showLegendKey val="0"/>
          <c:showVal val="0"/>
          <c:showCatName val="0"/>
          <c:showSerName val="0"/>
          <c:showPercent val="0"/>
          <c:showBubbleSize val="0"/>
        </c:dLbls>
        <c:gapWidth val="199"/>
        <c:axId val="361006800"/>
        <c:axId val="361005160"/>
      </c:barChart>
      <c:catAx>
        <c:axId val="361006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97" b="0" i="0" u="none" strike="noStrike" kern="1200" cap="none" spc="0" normalizeH="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361005160"/>
        <c:crosses val="autoZero"/>
        <c:auto val="1"/>
        <c:lblAlgn val="ctr"/>
        <c:lblOffset val="100"/>
        <c:noMultiLvlLbl val="0"/>
      </c:catAx>
      <c:valAx>
        <c:axId val="36100516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97"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361006800"/>
        <c:crosses val="autoZero"/>
        <c:crossBetween val="between"/>
      </c:valAx>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latin typeface="Arial" panose="020B0604020202020204" pitchFamily="34" charset="0"/>
          <a:cs typeface="Arial" panose="020B0604020202020204" pitchFamily="34" charset="0"/>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62" b="1" i="0" u="none" strike="noStrike" kern="1200" cap="all" spc="50" baseline="0">
                <a:solidFill>
                  <a:schemeClr val="tx1">
                    <a:lumMod val="65000"/>
                    <a:lumOff val="35000"/>
                  </a:schemeClr>
                </a:solidFill>
                <a:latin typeface="+mn-lt"/>
                <a:ea typeface="+mn-ea"/>
                <a:cs typeface="+mn-cs"/>
              </a:defRPr>
            </a:pPr>
            <a:r>
              <a:rPr lang="en-US" dirty="0"/>
              <a:t>2016</a:t>
            </a:r>
          </a:p>
        </c:rich>
      </c:tx>
      <c:layout>
        <c:manualLayout>
          <c:xMode val="edge"/>
          <c:yMode val="edge"/>
          <c:x val="9.2071448417581664E-2"/>
          <c:y val="4.7318590617302682E-2"/>
        </c:manualLayout>
      </c:layout>
      <c:overlay val="0"/>
      <c:spPr>
        <a:noFill/>
        <a:ln>
          <a:noFill/>
        </a:ln>
        <a:effectLst/>
      </c:spPr>
      <c:txPr>
        <a:bodyPr rot="0" spcFirstLastPara="1" vertOverflow="ellipsis" vert="horz" wrap="square" anchor="ctr" anchorCtr="1"/>
        <a:lstStyle/>
        <a:p>
          <a:pPr>
            <a:defRPr sz="1862"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2830120776441152"/>
          <c:y val="0.12081719917299162"/>
          <c:w val="0.49970701948743129"/>
          <c:h val="0.81082013922572294"/>
        </c:manualLayout>
      </c:layout>
      <c:doughnutChart>
        <c:varyColors val="1"/>
        <c:ser>
          <c:idx val="0"/>
          <c:order val="0"/>
          <c:tx>
            <c:strRef>
              <c:f>Graphs!$C$107</c:f>
              <c:strCache>
                <c:ptCount val="1"/>
                <c:pt idx="0">
                  <c:v>Preferred method</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F8C-412A-BD67-2C08F7161EA7}"/>
              </c:ext>
            </c:extLst>
          </c:dPt>
          <c:dPt>
            <c:idx val="1"/>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F8C-412A-BD67-2C08F7161EA7}"/>
              </c:ext>
            </c:extLst>
          </c:dPt>
          <c:dPt>
            <c:idx val="2"/>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0F8C-412A-BD67-2C08F7161EA7}"/>
              </c:ext>
            </c:extLst>
          </c:dPt>
          <c:dPt>
            <c:idx val="3"/>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0F8C-412A-BD67-2C08F7161EA7}"/>
              </c:ext>
            </c:extLst>
          </c:dPt>
          <c:dLbls>
            <c:dLbl>
              <c:idx val="0"/>
              <c:tx>
                <c:rich>
                  <a:bodyPr/>
                  <a:lstStyle/>
                  <a:p>
                    <a:fld id="{E21B265B-D607-4D92-ADA7-37F269DFE569}" type="PERCENTAGE">
                      <a:rPr lang="en-US" baseline="0"/>
                      <a:pPr/>
                      <a:t>[PERCENTAGE]</a:t>
                    </a:fld>
                    <a:endParaRPr lang="en-GB"/>
                  </a:p>
                </c:rich>
              </c:tx>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F8C-412A-BD67-2C08F7161EA7}"/>
                </c:ext>
              </c:extLst>
            </c:dLbl>
            <c:dLbl>
              <c:idx val="1"/>
              <c:tx>
                <c:rich>
                  <a:bodyPr/>
                  <a:lstStyle/>
                  <a:p>
                    <a:fld id="{F5B96932-0559-4A59-B66A-60EF0210694B}" type="PERCENTAGE">
                      <a:rPr lang="en-US" baseline="0"/>
                      <a:pPr/>
                      <a:t>[PERCENTAGE]</a:t>
                    </a:fld>
                    <a:endParaRPr lang="en-GB"/>
                  </a:p>
                </c:rich>
              </c:tx>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F8C-412A-BD67-2C08F7161EA7}"/>
                </c:ext>
              </c:extLst>
            </c:dLbl>
            <c:dLbl>
              <c:idx val="2"/>
              <c:tx>
                <c:rich>
                  <a:bodyPr/>
                  <a:lstStyle/>
                  <a:p>
                    <a:fld id="{FFF6DA40-4524-45D5-AA8D-2FC4F643F53F}" type="PERCENTAGE">
                      <a:rPr lang="en-US" baseline="0"/>
                      <a:pPr/>
                      <a:t>[PERCENTAGE]</a:t>
                    </a:fld>
                    <a:endParaRPr lang="en-GB"/>
                  </a:p>
                </c:rich>
              </c:tx>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0F8C-412A-BD67-2C08F7161EA7}"/>
                </c:ext>
              </c:extLst>
            </c:dLbl>
            <c:dLbl>
              <c:idx val="3"/>
              <c:tx>
                <c:rich>
                  <a:bodyPr/>
                  <a:lstStyle/>
                  <a:p>
                    <a:fld id="{10AEE7EE-E927-4404-AB87-77E54E823E13}" type="PERCENTAGE">
                      <a:rPr lang="en-US" baseline="0"/>
                      <a:pPr/>
                      <a:t>[PERCENTAGE]</a:t>
                    </a:fld>
                    <a:endParaRPr lang="en-GB"/>
                  </a:p>
                </c:rich>
              </c:tx>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0F8C-412A-BD67-2C08F7161EA7}"/>
                </c:ext>
              </c:extLst>
            </c:dLbl>
            <c:spPr>
              <a:noFill/>
              <a:ln>
                <a:noFill/>
              </a:ln>
              <a:effectLst/>
            </c:spPr>
            <c:txPr>
              <a:bodyPr rot="0" spcFirstLastPara="1" vertOverflow="ellipsis" vert="horz" wrap="square" lIns="38100" tIns="19050" rIns="38100" bIns="19050" anchor="ctr" anchorCtr="1">
                <a:spAutoFit/>
              </a:bodyPr>
              <a:lstStyle/>
              <a:p>
                <a:pPr>
                  <a:defRPr sz="1197" b="1" i="0" u="none" strike="noStrike" kern="1200" baseline="0">
                    <a:solidFill>
                      <a:schemeClr val="lt1"/>
                    </a:solidFill>
                    <a:latin typeface="+mn-lt"/>
                    <a:ea typeface="+mn-ea"/>
                    <a:cs typeface="+mn-cs"/>
                  </a:defRPr>
                </a:pPr>
                <a:endParaRPr lang="en-US"/>
              </a:p>
            </c:txPr>
            <c:showLegendKey val="0"/>
            <c:showVal val="1"/>
            <c:showCatName val="0"/>
            <c:showSerName val="0"/>
            <c:showPercent val="1"/>
            <c:showBubbleSize val="0"/>
            <c:showLeaderLines val="0"/>
            <c:extLst>
              <c:ext xmlns:c15="http://schemas.microsoft.com/office/drawing/2012/chart" uri="{CE6537A1-D6FC-4f65-9D91-7224C49458BB}"/>
            </c:extLst>
          </c:dLbls>
          <c:cat>
            <c:strRef>
              <c:f>Graphs!$B$108:$B$111</c:f>
              <c:strCache>
                <c:ptCount val="4"/>
                <c:pt idx="0">
                  <c:v>Letter in the post</c:v>
                </c:pt>
                <c:pt idx="1">
                  <c:v>Text message</c:v>
                </c:pt>
                <c:pt idx="2">
                  <c:v>E-mail</c:v>
                </c:pt>
                <c:pt idx="3">
                  <c:v>Phone call</c:v>
                </c:pt>
              </c:strCache>
            </c:strRef>
          </c:cat>
          <c:val>
            <c:numRef>
              <c:f>Graphs!$C$108:$C$111</c:f>
              <c:numCache>
                <c:formatCode>General</c:formatCode>
                <c:ptCount val="4"/>
                <c:pt idx="0">
                  <c:v>93</c:v>
                </c:pt>
                <c:pt idx="1">
                  <c:v>39</c:v>
                </c:pt>
                <c:pt idx="2">
                  <c:v>26</c:v>
                </c:pt>
                <c:pt idx="3">
                  <c:v>20</c:v>
                </c:pt>
              </c:numCache>
            </c:numRef>
          </c:val>
          <c:extLst>
            <c:ext xmlns:c16="http://schemas.microsoft.com/office/drawing/2014/chart" uri="{C3380CC4-5D6E-409C-BE32-E72D297353CC}">
              <c16:uniqueId val="{00000008-0F8C-412A-BD67-2C08F7161EA7}"/>
            </c:ext>
          </c:extLst>
        </c:ser>
        <c:dLbls>
          <c:showLegendKey val="0"/>
          <c:showVal val="0"/>
          <c:showCatName val="0"/>
          <c:showSerName val="0"/>
          <c:showPercent val="1"/>
          <c:showBubbleSize val="0"/>
          <c:showLeaderLines val="0"/>
        </c:dLbls>
        <c:firstSliceAng val="0"/>
        <c:holeSize val="50"/>
      </c:doughnutChart>
      <c:spPr>
        <a:noFill/>
        <a:ln>
          <a:noFill/>
        </a:ln>
        <a:effectLst/>
      </c:spPr>
    </c:plotArea>
    <c:legend>
      <c:legendPos val="t"/>
      <c:layout>
        <c:manualLayout>
          <c:xMode val="edge"/>
          <c:yMode val="edge"/>
          <c:x val="4.5714617567744953E-3"/>
          <c:y val="0.1623027658173482"/>
          <c:w val="0.28805195887325652"/>
          <c:h val="0.7892049934831089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1" i="0" u="none" strike="noStrike" kern="1200" cap="all" spc="50" baseline="0">
                <a:solidFill>
                  <a:schemeClr val="tx1">
                    <a:lumMod val="65000"/>
                    <a:lumOff val="35000"/>
                  </a:schemeClr>
                </a:solidFill>
                <a:latin typeface="+mn-lt"/>
                <a:ea typeface="+mn-ea"/>
                <a:cs typeface="+mn-cs"/>
              </a:defRPr>
            </a:pPr>
            <a:r>
              <a:rPr lang="en-GB" sz="2000" dirty="0"/>
              <a:t>2020</a:t>
            </a:r>
          </a:p>
        </c:rich>
      </c:tx>
      <c:layout>
        <c:manualLayout>
          <c:xMode val="edge"/>
          <c:yMode val="edge"/>
          <c:x val="9.1600933229641149E-2"/>
          <c:y val="5.4213570864498538E-2"/>
        </c:manualLayout>
      </c:layout>
      <c:overlay val="0"/>
      <c:spPr>
        <a:noFill/>
        <a:ln>
          <a:noFill/>
        </a:ln>
        <a:effectLst/>
      </c:spPr>
      <c:txPr>
        <a:bodyPr rot="0" spcFirstLastPara="1" vertOverflow="ellipsis" vert="horz" wrap="square" anchor="ctr" anchorCtr="1"/>
        <a:lstStyle/>
        <a:p>
          <a:pPr>
            <a:defRPr sz="20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565418519003693"/>
          <c:y val="0.1049872086284707"/>
          <c:w val="0.46515395470155058"/>
          <c:h val="0.84230580986496995"/>
        </c:manualLayout>
      </c:layout>
      <c:doughnut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1592-4FA8-93FA-6F428C7DFAFB}"/>
              </c:ext>
            </c:extLst>
          </c:dPt>
          <c:dPt>
            <c:idx val="1"/>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1592-4FA8-93FA-6F428C7DFAFB}"/>
              </c:ext>
            </c:extLst>
          </c:dPt>
          <c:dPt>
            <c:idx val="2"/>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1592-4FA8-93FA-6F428C7DFAFB}"/>
              </c:ext>
            </c:extLst>
          </c:dPt>
          <c:dPt>
            <c:idx val="3"/>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1592-4FA8-93FA-6F428C7DFAFB}"/>
              </c:ext>
            </c:extLst>
          </c:dPt>
          <c:dPt>
            <c:idx val="4"/>
            <c:bubble3D val="0"/>
            <c:spPr>
              <a:solidFill>
                <a:schemeClr val="accent3">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1592-4FA8-93FA-6F428C7DFAFB}"/>
              </c:ext>
            </c:extLst>
          </c:dPt>
          <c:dPt>
            <c:idx val="5"/>
            <c:bubble3D val="0"/>
            <c:spPr>
              <a:solidFill>
                <a:schemeClr val="accent5">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B-1592-4FA8-93FA-6F428C7DFAFB}"/>
              </c:ext>
            </c:extLst>
          </c:dPt>
          <c:dLbls>
            <c:dLbl>
              <c:idx val="3"/>
              <c:layout>
                <c:manualLayout>
                  <c:x val="-8.3333333333333905E-3"/>
                  <c:y val="0"/>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1592-4FA8-93FA-6F428C7DFAFB}"/>
                </c:ext>
              </c:extLst>
            </c:dLbl>
            <c:dLbl>
              <c:idx val="4"/>
              <c:layout>
                <c:manualLayout>
                  <c:x val="0"/>
                  <c:y val="-3.7037037037037056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1592-4FA8-93FA-6F428C7DFAFB}"/>
                </c:ext>
              </c:extLst>
            </c:dLbl>
            <c:dLbl>
              <c:idx val="5"/>
              <c:layout>
                <c:manualLayout>
                  <c:x val="2.2222222222222244E-2"/>
                  <c:y val="-3.7037037037037056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1592-4FA8-93FA-6F428C7DFAF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prstDash val="solid"/>
                  <a:round/>
                </a:ln>
                <a:effectLst/>
              </c:spPr>
            </c:leaderLines>
            <c:extLst>
              <c:ext xmlns:c15="http://schemas.microsoft.com/office/drawing/2012/chart" uri="{CE6537A1-D6FC-4f65-9D91-7224C49458BB}"/>
            </c:extLst>
          </c:dLbls>
          <c:cat>
            <c:strRef>
              <c:f>'Answers in text'!$C$37:$C$42</c:f>
              <c:strCache>
                <c:ptCount val="6"/>
                <c:pt idx="0">
                  <c:v>Letter</c:v>
                </c:pt>
                <c:pt idx="1">
                  <c:v>Text msg</c:v>
                </c:pt>
                <c:pt idx="2">
                  <c:v>Email</c:v>
                </c:pt>
                <c:pt idx="3">
                  <c:v>Telephone call</c:v>
                </c:pt>
                <c:pt idx="4">
                  <c:v>I have no preference</c:v>
                </c:pt>
                <c:pt idx="5">
                  <c:v>Other, please specify </c:v>
                </c:pt>
              </c:strCache>
            </c:strRef>
          </c:cat>
          <c:val>
            <c:numRef>
              <c:f>'Answers in text'!$D$37:$D$42</c:f>
              <c:numCache>
                <c:formatCode>General</c:formatCode>
                <c:ptCount val="6"/>
                <c:pt idx="0">
                  <c:v>132</c:v>
                </c:pt>
                <c:pt idx="1">
                  <c:v>128</c:v>
                </c:pt>
                <c:pt idx="2">
                  <c:v>37</c:v>
                </c:pt>
                <c:pt idx="3">
                  <c:v>17</c:v>
                </c:pt>
                <c:pt idx="4">
                  <c:v>7</c:v>
                </c:pt>
                <c:pt idx="5">
                  <c:v>3</c:v>
                </c:pt>
              </c:numCache>
            </c:numRef>
          </c:val>
          <c:extLst>
            <c:ext xmlns:c16="http://schemas.microsoft.com/office/drawing/2014/chart" uri="{C3380CC4-5D6E-409C-BE32-E72D297353CC}">
              <c16:uniqueId val="{0000000C-1592-4FA8-93FA-6F428C7DFAFB}"/>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t"/>
      <c:layout>
        <c:manualLayout>
          <c:xMode val="edge"/>
          <c:yMode val="edge"/>
          <c:x val="5.971128608923894E-3"/>
          <c:y val="0.20810185185185184"/>
          <c:w val="0.29114157299271887"/>
          <c:h val="0.7048622047244094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4">
  <a:schemeClr val="accent1"/>
</cs:colorStyle>
</file>

<file path=word/charts/colors6.xml><?xml version="1.0" encoding="utf-8"?>
<cs:colorStyle xmlns:cs="http://schemas.microsoft.com/office/drawing/2012/chartStyle" xmlns:a="http://schemas.openxmlformats.org/drawingml/2006/main" meth="withinLinear" id="14">
  <a:schemeClr val="accent1"/>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withinLinear" id="14">
  <a:schemeClr val="accent1"/>
</cs:colorStyle>
</file>

<file path=word/charts/colors9.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2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3">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mods="ignoreCSTransforms">
      <cs:styleClr val="0">
        <a:shade val="25000"/>
      </cs:styl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mods="ignoreCSTransforms">
      <cs:styleClr val="0">
        <a:tint val="25000"/>
      </cs:styl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cs:styleClr val="auto"/>
    </cs:fontRef>
    <cs:defRPr sz="133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33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2128"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2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1197"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1197"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2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1197" kern="1200"/>
  </cs:axisTitle>
  <cs:categoryAxis>
    <cs:lnRef idx="0"/>
    <cs:fillRef idx="0"/>
    <cs:effectRef idx="0"/>
    <cs:fontRef idx="minor">
      <a:schemeClr val="tx1">
        <a:lumMod val="65000"/>
        <a:lumOff val="35000"/>
      </a:schemeClr>
    </cs:fontRef>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lt1"/>
    </cs:fontRef>
    <cs:defRPr sz="1197"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558E86-8D1A-4D52-A863-2FAFB30A5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5991</Words>
  <Characters>34153</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Davies</dc:creator>
  <cp:keywords/>
  <dc:description/>
  <cp:lastModifiedBy>Jonathan Davies</cp:lastModifiedBy>
  <cp:revision>2</cp:revision>
  <dcterms:created xsi:type="dcterms:W3CDTF">2022-03-10T18:36:00Z</dcterms:created>
  <dcterms:modified xsi:type="dcterms:W3CDTF">2022-03-10T18:36:00Z</dcterms:modified>
</cp:coreProperties>
</file>