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C2BD4" w14:textId="5CDBE4B5" w:rsidR="00FD6B1C" w:rsidRDefault="00FD6B1C" w:rsidP="00FD6B1C">
      <w:pPr>
        <w:pStyle w:val="Title"/>
      </w:pPr>
      <w:r>
        <w:t>Reviewing Hinkey Point C Project Progress</w:t>
      </w:r>
    </w:p>
    <w:p w14:paraId="6CD50B74" w14:textId="4425482B" w:rsidR="00FD6B1C" w:rsidRDefault="00FD6B1C" w:rsidP="00FD6B1C"/>
    <w:p w14:paraId="654E6A2B" w14:textId="0C4BD794" w:rsidR="00FD6B1C" w:rsidRDefault="00FD6B1C" w:rsidP="00FD6B1C"/>
    <w:p w14:paraId="549A0814" w14:textId="3434D3C3" w:rsidR="00FD6B1C" w:rsidRDefault="00FD6B1C" w:rsidP="00FD6B1C"/>
    <w:p w14:paraId="69ACBA47" w14:textId="227318DA" w:rsidR="00FD6B1C" w:rsidRDefault="00FD6B1C" w:rsidP="00FD6B1C"/>
    <w:p w14:paraId="348D1B9E" w14:textId="24694D9F" w:rsidR="00FD6B1C" w:rsidRDefault="00FD6B1C" w:rsidP="00FD6B1C"/>
    <w:p w14:paraId="76D3A2B4" w14:textId="77777777" w:rsidR="00FD6B1C" w:rsidRDefault="00FD6B1C" w:rsidP="00FD6B1C"/>
    <w:p w14:paraId="3A9DD6C0" w14:textId="77777777" w:rsidR="00FD6B1C" w:rsidRDefault="00FD6B1C" w:rsidP="00FD6B1C"/>
    <w:p w14:paraId="5E28F721" w14:textId="7AE1DCCD" w:rsidR="00FD6B1C" w:rsidRDefault="00FD6B1C" w:rsidP="00FD6B1C"/>
    <w:p w14:paraId="45E097A3" w14:textId="54262919" w:rsidR="00FD6B1C" w:rsidRDefault="00FD6B1C" w:rsidP="00FD6B1C"/>
    <w:p w14:paraId="5703789A" w14:textId="3B368197" w:rsidR="00FD6B1C" w:rsidRDefault="00FD6B1C" w:rsidP="00FD6B1C"/>
    <w:p w14:paraId="351648EF" w14:textId="32F8D2D0" w:rsidR="00FD6B1C" w:rsidRDefault="00FD6B1C" w:rsidP="00FD6B1C"/>
    <w:p w14:paraId="5A54C953" w14:textId="01BC603B" w:rsidR="00FD6B1C" w:rsidRDefault="00FD6B1C" w:rsidP="00FD6B1C"/>
    <w:p w14:paraId="32C45A34" w14:textId="31C53B29" w:rsidR="00FD6B1C" w:rsidRDefault="00FD6B1C" w:rsidP="00FD6B1C"/>
    <w:p w14:paraId="3BA8B712" w14:textId="77777777" w:rsidR="00FD6B1C" w:rsidRDefault="00FD6B1C" w:rsidP="00FD6B1C"/>
    <w:sdt>
      <w:sdtPr>
        <w:id w:val="981265263"/>
        <w:docPartObj>
          <w:docPartGallery w:val="Table of Contents"/>
          <w:docPartUnique/>
        </w:docPartObj>
      </w:sdtPr>
      <w:sdtEndPr>
        <w:rPr>
          <w:rFonts w:ascii="Times New Roman" w:eastAsiaTheme="minorHAnsi" w:hAnsi="Times New Roman" w:cstheme="minorBidi"/>
          <w:b/>
          <w:bCs/>
          <w:color w:val="auto"/>
          <w:sz w:val="24"/>
          <w:szCs w:val="22"/>
          <w:lang w:eastAsia="en-US"/>
        </w:rPr>
      </w:sdtEndPr>
      <w:sdtContent>
        <w:p w14:paraId="1C9386B5" w14:textId="1E3CCAD6" w:rsidR="00FD6B1C" w:rsidRDefault="00FD6B1C">
          <w:pPr>
            <w:pStyle w:val="TOCHeading"/>
          </w:pPr>
          <w:r>
            <w:t>Contents</w:t>
          </w:r>
        </w:p>
        <w:p w14:paraId="38AEE5AA" w14:textId="34DD716C" w:rsidR="00FD6B1C" w:rsidRDefault="00FD6B1C">
          <w:pPr>
            <w:pStyle w:val="TOC1"/>
            <w:tabs>
              <w:tab w:val="right" w:leader="dot" w:pos="9016"/>
            </w:tabs>
            <w:rPr>
              <w:noProof/>
            </w:rPr>
          </w:pPr>
          <w:r>
            <w:fldChar w:fldCharType="begin"/>
          </w:r>
          <w:r>
            <w:instrText xml:space="preserve"> TOC \o "1-3" \h \z \u </w:instrText>
          </w:r>
          <w:r>
            <w:fldChar w:fldCharType="separate"/>
          </w:r>
          <w:hyperlink w:anchor="_Toc143847322" w:history="1">
            <w:r w:rsidRPr="001928CF">
              <w:rPr>
                <w:rStyle w:val="Hyperlink"/>
                <w:noProof/>
              </w:rPr>
              <w:t>Introduction:</w:t>
            </w:r>
            <w:r>
              <w:rPr>
                <w:noProof/>
                <w:webHidden/>
              </w:rPr>
              <w:tab/>
            </w:r>
            <w:r>
              <w:rPr>
                <w:noProof/>
                <w:webHidden/>
              </w:rPr>
              <w:fldChar w:fldCharType="begin"/>
            </w:r>
            <w:r>
              <w:rPr>
                <w:noProof/>
                <w:webHidden/>
              </w:rPr>
              <w:instrText xml:space="preserve"> PAGEREF _Toc143847322 \h </w:instrText>
            </w:r>
            <w:r>
              <w:rPr>
                <w:noProof/>
                <w:webHidden/>
              </w:rPr>
            </w:r>
            <w:r>
              <w:rPr>
                <w:noProof/>
                <w:webHidden/>
              </w:rPr>
              <w:fldChar w:fldCharType="separate"/>
            </w:r>
            <w:r>
              <w:rPr>
                <w:noProof/>
                <w:webHidden/>
              </w:rPr>
              <w:t>2</w:t>
            </w:r>
            <w:r>
              <w:rPr>
                <w:noProof/>
                <w:webHidden/>
              </w:rPr>
              <w:fldChar w:fldCharType="end"/>
            </w:r>
          </w:hyperlink>
        </w:p>
        <w:p w14:paraId="28AD7DC8" w14:textId="0C4138BD" w:rsidR="00FD6B1C" w:rsidRDefault="00FD6B1C">
          <w:pPr>
            <w:pStyle w:val="TOC1"/>
            <w:tabs>
              <w:tab w:val="right" w:leader="dot" w:pos="9016"/>
            </w:tabs>
            <w:rPr>
              <w:noProof/>
            </w:rPr>
          </w:pPr>
          <w:hyperlink w:anchor="_Toc143847323" w:history="1">
            <w:r w:rsidRPr="001928CF">
              <w:rPr>
                <w:rStyle w:val="Hyperlink"/>
                <w:noProof/>
              </w:rPr>
              <w:t>Budget Analysis and Cost Management</w:t>
            </w:r>
            <w:r>
              <w:rPr>
                <w:noProof/>
                <w:webHidden/>
              </w:rPr>
              <w:tab/>
            </w:r>
            <w:r>
              <w:rPr>
                <w:noProof/>
                <w:webHidden/>
              </w:rPr>
              <w:fldChar w:fldCharType="begin"/>
            </w:r>
            <w:r>
              <w:rPr>
                <w:noProof/>
                <w:webHidden/>
              </w:rPr>
              <w:instrText xml:space="preserve"> PAGEREF _Toc143847323 \h </w:instrText>
            </w:r>
            <w:r>
              <w:rPr>
                <w:noProof/>
                <w:webHidden/>
              </w:rPr>
            </w:r>
            <w:r>
              <w:rPr>
                <w:noProof/>
                <w:webHidden/>
              </w:rPr>
              <w:fldChar w:fldCharType="separate"/>
            </w:r>
            <w:r>
              <w:rPr>
                <w:noProof/>
                <w:webHidden/>
              </w:rPr>
              <w:t>2</w:t>
            </w:r>
            <w:r>
              <w:rPr>
                <w:noProof/>
                <w:webHidden/>
              </w:rPr>
              <w:fldChar w:fldCharType="end"/>
            </w:r>
          </w:hyperlink>
        </w:p>
        <w:p w14:paraId="22BF1F06" w14:textId="0E86A1A9" w:rsidR="00FD6B1C" w:rsidRDefault="00FD6B1C">
          <w:pPr>
            <w:pStyle w:val="TOC1"/>
            <w:tabs>
              <w:tab w:val="right" w:leader="dot" w:pos="9016"/>
            </w:tabs>
            <w:rPr>
              <w:noProof/>
            </w:rPr>
          </w:pPr>
          <w:hyperlink w:anchor="_Toc143847324" w:history="1">
            <w:r w:rsidRPr="001928CF">
              <w:rPr>
                <w:rStyle w:val="Hyperlink"/>
                <w:noProof/>
              </w:rPr>
              <w:t>Time Management and Schedule Planning</w:t>
            </w:r>
            <w:r>
              <w:rPr>
                <w:noProof/>
                <w:webHidden/>
              </w:rPr>
              <w:tab/>
            </w:r>
            <w:r>
              <w:rPr>
                <w:noProof/>
                <w:webHidden/>
              </w:rPr>
              <w:fldChar w:fldCharType="begin"/>
            </w:r>
            <w:r>
              <w:rPr>
                <w:noProof/>
                <w:webHidden/>
              </w:rPr>
              <w:instrText xml:space="preserve"> PAGEREF _Toc143847324 \h </w:instrText>
            </w:r>
            <w:r>
              <w:rPr>
                <w:noProof/>
                <w:webHidden/>
              </w:rPr>
            </w:r>
            <w:r>
              <w:rPr>
                <w:noProof/>
                <w:webHidden/>
              </w:rPr>
              <w:fldChar w:fldCharType="separate"/>
            </w:r>
            <w:r>
              <w:rPr>
                <w:noProof/>
                <w:webHidden/>
              </w:rPr>
              <w:t>3</w:t>
            </w:r>
            <w:r>
              <w:rPr>
                <w:noProof/>
                <w:webHidden/>
              </w:rPr>
              <w:fldChar w:fldCharType="end"/>
            </w:r>
          </w:hyperlink>
        </w:p>
        <w:p w14:paraId="1915F9F5" w14:textId="4ACD22AF" w:rsidR="00FD6B1C" w:rsidRDefault="00FD6B1C">
          <w:pPr>
            <w:pStyle w:val="TOC1"/>
            <w:tabs>
              <w:tab w:val="right" w:leader="dot" w:pos="9016"/>
            </w:tabs>
            <w:rPr>
              <w:noProof/>
            </w:rPr>
          </w:pPr>
          <w:hyperlink w:anchor="_Toc143847325" w:history="1">
            <w:r w:rsidRPr="001928CF">
              <w:rPr>
                <w:rStyle w:val="Hyperlink"/>
                <w:noProof/>
              </w:rPr>
              <w:t>Quality Assessment and Control:</w:t>
            </w:r>
            <w:r>
              <w:rPr>
                <w:noProof/>
                <w:webHidden/>
              </w:rPr>
              <w:tab/>
            </w:r>
            <w:r>
              <w:rPr>
                <w:noProof/>
                <w:webHidden/>
              </w:rPr>
              <w:fldChar w:fldCharType="begin"/>
            </w:r>
            <w:r>
              <w:rPr>
                <w:noProof/>
                <w:webHidden/>
              </w:rPr>
              <w:instrText xml:space="preserve"> PAGEREF _Toc143847325 \h </w:instrText>
            </w:r>
            <w:r>
              <w:rPr>
                <w:noProof/>
                <w:webHidden/>
              </w:rPr>
            </w:r>
            <w:r>
              <w:rPr>
                <w:noProof/>
                <w:webHidden/>
              </w:rPr>
              <w:fldChar w:fldCharType="separate"/>
            </w:r>
            <w:r>
              <w:rPr>
                <w:noProof/>
                <w:webHidden/>
              </w:rPr>
              <w:t>5</w:t>
            </w:r>
            <w:r>
              <w:rPr>
                <w:noProof/>
                <w:webHidden/>
              </w:rPr>
              <w:fldChar w:fldCharType="end"/>
            </w:r>
          </w:hyperlink>
        </w:p>
        <w:p w14:paraId="7B22D822" w14:textId="261FA5A6" w:rsidR="00FD6B1C" w:rsidRDefault="00FD6B1C">
          <w:pPr>
            <w:pStyle w:val="TOC1"/>
            <w:tabs>
              <w:tab w:val="right" w:leader="dot" w:pos="9016"/>
            </w:tabs>
            <w:rPr>
              <w:noProof/>
            </w:rPr>
          </w:pPr>
          <w:hyperlink w:anchor="_Toc143847326" w:history="1">
            <w:r w:rsidRPr="001928CF">
              <w:rPr>
                <w:rStyle w:val="Hyperlink"/>
                <w:noProof/>
              </w:rPr>
              <w:t>Stakeholder Engagement and Communication:</w:t>
            </w:r>
            <w:r>
              <w:rPr>
                <w:noProof/>
                <w:webHidden/>
              </w:rPr>
              <w:tab/>
            </w:r>
            <w:r>
              <w:rPr>
                <w:noProof/>
                <w:webHidden/>
              </w:rPr>
              <w:fldChar w:fldCharType="begin"/>
            </w:r>
            <w:r>
              <w:rPr>
                <w:noProof/>
                <w:webHidden/>
              </w:rPr>
              <w:instrText xml:space="preserve"> PAGEREF _Toc143847326 \h </w:instrText>
            </w:r>
            <w:r>
              <w:rPr>
                <w:noProof/>
                <w:webHidden/>
              </w:rPr>
            </w:r>
            <w:r>
              <w:rPr>
                <w:noProof/>
                <w:webHidden/>
              </w:rPr>
              <w:fldChar w:fldCharType="separate"/>
            </w:r>
            <w:r>
              <w:rPr>
                <w:noProof/>
                <w:webHidden/>
              </w:rPr>
              <w:t>5</w:t>
            </w:r>
            <w:r>
              <w:rPr>
                <w:noProof/>
                <w:webHidden/>
              </w:rPr>
              <w:fldChar w:fldCharType="end"/>
            </w:r>
          </w:hyperlink>
        </w:p>
        <w:p w14:paraId="02CA9009" w14:textId="087FC99C" w:rsidR="00FD6B1C" w:rsidRDefault="00FD6B1C">
          <w:pPr>
            <w:pStyle w:val="TOC1"/>
            <w:tabs>
              <w:tab w:val="right" w:leader="dot" w:pos="9016"/>
            </w:tabs>
            <w:rPr>
              <w:noProof/>
            </w:rPr>
          </w:pPr>
          <w:hyperlink w:anchor="_Toc143847327" w:history="1">
            <w:r w:rsidRPr="001928CF">
              <w:rPr>
                <w:rStyle w:val="Hyperlink"/>
                <w:noProof/>
              </w:rPr>
              <w:t>Risk Factors and Management</w:t>
            </w:r>
            <w:r>
              <w:rPr>
                <w:noProof/>
                <w:webHidden/>
              </w:rPr>
              <w:tab/>
            </w:r>
            <w:r>
              <w:rPr>
                <w:noProof/>
                <w:webHidden/>
              </w:rPr>
              <w:fldChar w:fldCharType="begin"/>
            </w:r>
            <w:r>
              <w:rPr>
                <w:noProof/>
                <w:webHidden/>
              </w:rPr>
              <w:instrText xml:space="preserve"> PAGEREF _Toc143847327 \h </w:instrText>
            </w:r>
            <w:r>
              <w:rPr>
                <w:noProof/>
                <w:webHidden/>
              </w:rPr>
            </w:r>
            <w:r>
              <w:rPr>
                <w:noProof/>
                <w:webHidden/>
              </w:rPr>
              <w:fldChar w:fldCharType="separate"/>
            </w:r>
            <w:r>
              <w:rPr>
                <w:noProof/>
                <w:webHidden/>
              </w:rPr>
              <w:t>6</w:t>
            </w:r>
            <w:r>
              <w:rPr>
                <w:noProof/>
                <w:webHidden/>
              </w:rPr>
              <w:fldChar w:fldCharType="end"/>
            </w:r>
          </w:hyperlink>
        </w:p>
        <w:p w14:paraId="30044A2A" w14:textId="4CA8F0FD" w:rsidR="00FD6B1C" w:rsidRDefault="00FD6B1C">
          <w:pPr>
            <w:pStyle w:val="TOC1"/>
            <w:tabs>
              <w:tab w:val="right" w:leader="dot" w:pos="9016"/>
            </w:tabs>
            <w:rPr>
              <w:noProof/>
            </w:rPr>
          </w:pPr>
          <w:hyperlink w:anchor="_Toc143847328" w:history="1">
            <w:r w:rsidRPr="001928CF">
              <w:rPr>
                <w:rStyle w:val="Hyperlink"/>
                <w:noProof/>
              </w:rPr>
              <w:t>Conclusion</w:t>
            </w:r>
            <w:r>
              <w:rPr>
                <w:noProof/>
                <w:webHidden/>
              </w:rPr>
              <w:tab/>
            </w:r>
            <w:r>
              <w:rPr>
                <w:noProof/>
                <w:webHidden/>
              </w:rPr>
              <w:fldChar w:fldCharType="begin"/>
            </w:r>
            <w:r>
              <w:rPr>
                <w:noProof/>
                <w:webHidden/>
              </w:rPr>
              <w:instrText xml:space="preserve"> PAGEREF _Toc143847328 \h </w:instrText>
            </w:r>
            <w:r>
              <w:rPr>
                <w:noProof/>
                <w:webHidden/>
              </w:rPr>
            </w:r>
            <w:r>
              <w:rPr>
                <w:noProof/>
                <w:webHidden/>
              </w:rPr>
              <w:fldChar w:fldCharType="separate"/>
            </w:r>
            <w:r>
              <w:rPr>
                <w:noProof/>
                <w:webHidden/>
              </w:rPr>
              <w:t>7</w:t>
            </w:r>
            <w:r>
              <w:rPr>
                <w:noProof/>
                <w:webHidden/>
              </w:rPr>
              <w:fldChar w:fldCharType="end"/>
            </w:r>
          </w:hyperlink>
        </w:p>
        <w:p w14:paraId="2F9DFD23" w14:textId="6D314DFD" w:rsidR="00FD6B1C" w:rsidRDefault="00FD6B1C">
          <w:pPr>
            <w:pStyle w:val="TOC1"/>
            <w:tabs>
              <w:tab w:val="right" w:leader="dot" w:pos="9016"/>
            </w:tabs>
            <w:rPr>
              <w:noProof/>
            </w:rPr>
          </w:pPr>
          <w:hyperlink w:anchor="_Toc143847329" w:history="1">
            <w:r w:rsidRPr="001928CF">
              <w:rPr>
                <w:rStyle w:val="Hyperlink"/>
                <w:noProof/>
              </w:rPr>
              <w:t>References</w:t>
            </w:r>
            <w:r>
              <w:rPr>
                <w:noProof/>
                <w:webHidden/>
              </w:rPr>
              <w:tab/>
            </w:r>
            <w:r>
              <w:rPr>
                <w:noProof/>
                <w:webHidden/>
              </w:rPr>
              <w:fldChar w:fldCharType="begin"/>
            </w:r>
            <w:r>
              <w:rPr>
                <w:noProof/>
                <w:webHidden/>
              </w:rPr>
              <w:instrText xml:space="preserve"> PAGEREF _Toc143847329 \h </w:instrText>
            </w:r>
            <w:r>
              <w:rPr>
                <w:noProof/>
                <w:webHidden/>
              </w:rPr>
            </w:r>
            <w:r>
              <w:rPr>
                <w:noProof/>
                <w:webHidden/>
              </w:rPr>
              <w:fldChar w:fldCharType="separate"/>
            </w:r>
            <w:r>
              <w:rPr>
                <w:noProof/>
                <w:webHidden/>
              </w:rPr>
              <w:t>9</w:t>
            </w:r>
            <w:r>
              <w:rPr>
                <w:noProof/>
                <w:webHidden/>
              </w:rPr>
              <w:fldChar w:fldCharType="end"/>
            </w:r>
          </w:hyperlink>
        </w:p>
        <w:p w14:paraId="11C57131" w14:textId="5283F0E6" w:rsidR="00FD6B1C" w:rsidRDefault="00FD6B1C" w:rsidP="00FD6B1C">
          <w:r>
            <w:rPr>
              <w:b/>
              <w:bCs/>
            </w:rPr>
            <w:fldChar w:fldCharType="end"/>
          </w:r>
        </w:p>
      </w:sdtContent>
    </w:sdt>
    <w:p w14:paraId="4BC71AF5" w14:textId="54446023" w:rsidR="005D1178" w:rsidRDefault="005D1178" w:rsidP="00FD6B1C">
      <w:pPr>
        <w:pStyle w:val="Heading1"/>
      </w:pPr>
      <w:bookmarkStart w:id="0" w:name="_Toc143847322"/>
      <w:r>
        <w:t>Introduction:</w:t>
      </w:r>
      <w:bookmarkEnd w:id="0"/>
      <w:r>
        <w:t xml:space="preserve"> </w:t>
      </w:r>
    </w:p>
    <w:p w14:paraId="306208B0" w14:textId="77777777" w:rsidR="005D1178" w:rsidRDefault="005D1178" w:rsidP="005D1178">
      <w:r>
        <w:t xml:space="preserve">This report offers a detailed examination of the Hinkley Point C nuclear power plant project from a project management viewpoint. Originally intended to increase energy security and decrease carbon emissions across millions of homes in </w:t>
      </w:r>
      <w:proofErr w:type="gramStart"/>
      <w:r>
        <w:t>Britain, but</w:t>
      </w:r>
      <w:proofErr w:type="gramEnd"/>
      <w:r>
        <w:t xml:space="preserve"> encountering considerable challenges such as cost overruns and delays, this evaluation attempts to ascertain whether or not its results constitute success or failure for Britain's energy future.</w:t>
      </w:r>
    </w:p>
    <w:p w14:paraId="3BF4200E" w14:textId="77777777" w:rsidR="005D1178" w:rsidRDefault="005D1178" w:rsidP="005D1178">
      <w:r>
        <w:t xml:space="preserve">Evaluation will consist of applying project management principles and approaches, considering their suitability with various project tools and techniques, examining core elements across the entire lifecycle of a project's lifecycle as well as adopting an appropriate project management methodology, then reporting critically </w:t>
      </w:r>
      <w:proofErr w:type="spellStart"/>
      <w:r>
        <w:t>analyzing</w:t>
      </w:r>
      <w:proofErr w:type="spellEnd"/>
      <w:r>
        <w:t xml:space="preserve"> project progress with regards to both success and failure factors.</w:t>
      </w:r>
    </w:p>
    <w:p w14:paraId="1F7E83F1" w14:textId="77777777" w:rsidR="005D1178" w:rsidRDefault="005D1178" w:rsidP="005D1178">
      <w:r>
        <w:t xml:space="preserve">Hinkley Point C project evaluation will also highlight lessons from its implementation and draw recommendations for similar future </w:t>
      </w:r>
      <w:proofErr w:type="spellStart"/>
      <w:r>
        <w:t>endeavors</w:t>
      </w:r>
      <w:proofErr w:type="spellEnd"/>
      <w:r>
        <w:t>. By synthesizing analysis against project management theories, this report will offer insight into its challenges and outcomes - leading to a deeper comprehension of large energy infrastructure project management in general.</w:t>
      </w:r>
    </w:p>
    <w:p w14:paraId="6B304AA4" w14:textId="2CB56986" w:rsidR="00FD6B1C" w:rsidRDefault="005D1178" w:rsidP="00FD6B1C">
      <w:pPr>
        <w:pStyle w:val="Heading1"/>
      </w:pPr>
      <w:bookmarkStart w:id="1" w:name="_Toc143847323"/>
      <w:r>
        <w:t>Budget Analysis and Cost Management</w:t>
      </w:r>
      <w:bookmarkEnd w:id="1"/>
    </w:p>
    <w:p w14:paraId="539879A2" w14:textId="3FF69EE5" w:rsidR="005D1178" w:rsidRDefault="005D1178" w:rsidP="005D1178">
      <w:r>
        <w:t xml:space="preserve">The Hinkley Point C project's initial estimated budget estimate of </w:t>
      </w:r>
      <w:r w:rsidR="00FD6B1C">
        <w:t>£</w:t>
      </w:r>
      <w:r>
        <w:t>25-</w:t>
      </w:r>
      <w:r w:rsidR="00FD6B1C">
        <w:t>£</w:t>
      </w:r>
      <w:r>
        <w:t>26 billion underlines its ambitious plans to transform Britain's energy landscape. Unfortunately, however, due to unexpected complexities and incorporation of innovative technologies - most notably European Pressurised Reactors (EPRs), which led to cost overruns (Harrison &amp; Lock, 2017).</w:t>
      </w:r>
    </w:p>
    <w:p w14:paraId="1B7F27D3" w14:textId="77777777" w:rsidR="005D1178" w:rsidRDefault="005D1178" w:rsidP="005D1178">
      <w:r>
        <w:t xml:space="preserve">Integration of EPR reactors presented unanticipated challenges that had significant financial ramifications, leading to budget overruns. Ensuring their safety and efficiency necessitated </w:t>
      </w:r>
      <w:r>
        <w:lastRenderedPageBreak/>
        <w:t xml:space="preserve">additional expenditure due to technical intricacies (Royce, 2015). Furthermore, an extended project timeline led to higher inflationary and currency fluctuation costs as well as inflation-induced material and </w:t>
      </w:r>
      <w:proofErr w:type="spellStart"/>
      <w:r>
        <w:t>labor</w:t>
      </w:r>
      <w:proofErr w:type="spellEnd"/>
      <w:r>
        <w:t xml:space="preserve"> expenses; </w:t>
      </w:r>
      <w:proofErr w:type="gramStart"/>
      <w:r>
        <w:t>furthermore</w:t>
      </w:r>
      <w:proofErr w:type="gramEnd"/>
      <w:r>
        <w:t xml:space="preserve"> the pioneering nature of such technologies as EPR reactors necessitated unplanned investments for research &amp; development as well as corrective measures (Burke 2013).</w:t>
      </w:r>
    </w:p>
    <w:p w14:paraId="782799AC" w14:textId="77777777" w:rsidR="005D1178" w:rsidRDefault="005D1178" w:rsidP="005D1178">
      <w:r>
        <w:t>To effectively address similar budgetary challenges in future projects, an integrated approach is essential. Conducting rigorous feasibility studies during the planning phase can provide a thorough understanding of potential complexities for more accurate cost estimation (Heidrich, 2015). Based on historical data and expert insight, precise cost projections may also help accurately anticipate financial needs in advance; expert help in managing projects of similar scale and nature can offer invaluable perspectives when it comes to recognizing budgetary hazards (Alam et al., 2010).</w:t>
      </w:r>
    </w:p>
    <w:p w14:paraId="223F5B64" w14:textId="77777777" w:rsidR="005D1178" w:rsidRDefault="005D1178" w:rsidP="005D1178">
      <w:r>
        <w:t>Adopting an agile project management methodology enables managers to account for unexpected budget fluctuations with greater ease, allocating contingencies and reserves within their budgets to absorb unexpected costs without jeopardizing financial stability. Real-time adjustments made possible via agile project management methodologies help mitigate overruns (Meredith et al, 2017).</w:t>
      </w:r>
    </w:p>
    <w:p w14:paraId="73A1C133" w14:textId="77777777" w:rsidR="005D1178" w:rsidRDefault="005D1178" w:rsidP="005D1178">
      <w:r>
        <w:t>Hinkley Point C serves as an example of the vital importance of meticulous financial planning and management when undertaking large-scale projects, especially those such as Hinkley Point C. It demonstrates the need to carefully align budget estimates with project execution intricacies while taking account of technological innovations, potential challenges and future uncertainties (</w:t>
      </w:r>
      <w:proofErr w:type="spellStart"/>
      <w:r>
        <w:t>Bredillet</w:t>
      </w:r>
      <w:proofErr w:type="spellEnd"/>
      <w:r>
        <w:t>, 2014). As project management practices change over time, staying current on best practices while developing innovative financial management strategies is essential for its financial success - something Hinkley Point C exemplifies.</w:t>
      </w:r>
    </w:p>
    <w:p w14:paraId="1F7DB25F" w14:textId="77777777" w:rsidR="005D1178" w:rsidRDefault="005D1178" w:rsidP="005D1178">
      <w:r>
        <w:t>Hinkley Point C project's budget overrun serves as an important reminder of the difficulties associated with large-scale energy infrastructure projects, especially those with complex requirements like Hinkley Point C. Incorporation of innovative technologies can significantly impact costs; to successfully navigate such obstacles, rigorous feasibility studies, accurate cost projections, expert consultation and agile budget management become indispensable tools. By adopting such measures into future projects' plans, budgetary uncertainties can be navigated with greater precision and confidence.</w:t>
      </w:r>
    </w:p>
    <w:p w14:paraId="3430AF45" w14:textId="6612F8A2" w:rsidR="005D1178" w:rsidRDefault="005D1178" w:rsidP="00FD6B1C">
      <w:pPr>
        <w:pStyle w:val="Heading1"/>
      </w:pPr>
      <w:bookmarkStart w:id="2" w:name="_Toc143847324"/>
      <w:r>
        <w:lastRenderedPageBreak/>
        <w:t>Time Management and Schedule Planning</w:t>
      </w:r>
      <w:bookmarkEnd w:id="2"/>
    </w:p>
    <w:p w14:paraId="4AC0ABDA" w14:textId="77777777" w:rsidR="005D1178" w:rsidRDefault="005D1178" w:rsidP="005D1178">
      <w:r>
        <w:t xml:space="preserve">The Hinkley Point C project experienced multiple delays due to regulatory processes, technical </w:t>
      </w:r>
      <w:proofErr w:type="gramStart"/>
      <w:r>
        <w:t>complexities</w:t>
      </w:r>
      <w:proofErr w:type="gramEnd"/>
      <w:r>
        <w:t xml:space="preserve"> and supply chain disruptions (Harrison &amp; Lock 2017). These setbacks highlight the need for effective time management and schedule planning when undertaking large-scale projects.</w:t>
      </w:r>
    </w:p>
    <w:p w14:paraId="5C8DB677" w14:textId="77777777" w:rsidR="005D1178" w:rsidRDefault="005D1178" w:rsidP="005D1178">
      <w:r>
        <w:t>Nuclear power projects often face complicated regulatory approval processes that take a considerable amount of time and resources (</w:t>
      </w:r>
      <w:proofErr w:type="spellStart"/>
      <w:r>
        <w:t>Keyhani</w:t>
      </w:r>
      <w:proofErr w:type="spellEnd"/>
      <w:r>
        <w:t xml:space="preserve"> et al., 2009). Hinkley Point C was no different; situated within an extremely regulated sector it needed to navigate an intricate maze of approvals which further extended its timeline (Devine-Wright, 2011).</w:t>
      </w:r>
    </w:p>
    <w:p w14:paraId="439DDF21" w14:textId="77777777" w:rsidR="005D1178" w:rsidRDefault="005D1178" w:rsidP="005D1178">
      <w:r>
        <w:t>Technical issues associated with the implementation of innovative technologies, like European Pressurised Reactors (EPRs), have presented unexpected obstacles that impacted project schedules (</w:t>
      </w:r>
      <w:proofErr w:type="spellStart"/>
      <w:r>
        <w:t>Badiru</w:t>
      </w:r>
      <w:proofErr w:type="spellEnd"/>
      <w:r>
        <w:t xml:space="preserve"> and </w:t>
      </w:r>
      <w:proofErr w:type="spellStart"/>
      <w:r>
        <w:t>Osisanya</w:t>
      </w:r>
      <w:proofErr w:type="spellEnd"/>
      <w:r>
        <w:t xml:space="preserve">, 2016). Technical complexities often introduce uncertainties into project timelines; as a result they require robust mitigation strategies in order to maintain schedule adherence (Mir and </w:t>
      </w:r>
      <w:proofErr w:type="spellStart"/>
      <w:r>
        <w:t>Pinnington</w:t>
      </w:r>
      <w:proofErr w:type="spellEnd"/>
      <w:r>
        <w:t>, 2014).</w:t>
      </w:r>
    </w:p>
    <w:p w14:paraId="1A85BE0C" w14:textId="77777777" w:rsidR="005D1178" w:rsidRDefault="005D1178" w:rsidP="005D1178">
      <w:r>
        <w:t>Supply chain disruptions characterized by delays in obtaining essential materials also contributed to project delays (Fleming and Koppelman, 2016). Geographical and weather-related restrictions - such as Somerset's susceptibility to severe storms - compounded these delays further (Kuang et al. 2023).</w:t>
      </w:r>
    </w:p>
    <w:p w14:paraId="17D889A9" w14:textId="77777777" w:rsidR="005D1178" w:rsidRDefault="005D1178" w:rsidP="005D1178">
      <w:r>
        <w:t>Hinkley Point C offers lessons that future projects can use to manage time effectively. Adopting agile project management methodologies provides for greater responsiveness to regulatory and technical uncertainties (Nijhuis et al., 2018), as they facilitate iterative planning that ensures continuous alignment with ever-evolving regulatory requirements.</w:t>
      </w:r>
    </w:p>
    <w:p w14:paraId="6925CDD1" w14:textId="77777777" w:rsidR="005D1178" w:rsidRDefault="005D1178" w:rsidP="005D1178">
      <w:r>
        <w:t>An effective project lifecycle strategy calls for close coordination with regulatory bodies from its inception to completion (Heagney, 2016). Establishing open lines of communication ensure that project goals and regulatory expectations are understood, eliminating bottlenecks in approval processes.</w:t>
      </w:r>
    </w:p>
    <w:p w14:paraId="6A55B852" w14:textId="77777777" w:rsidR="005D1178" w:rsidRDefault="005D1178" w:rsidP="005D1178">
      <w:r>
        <w:t>To address technical challenges, thorough risk analyses should be completed, focusing on potential technical roadblocks and their effects on project schedule (Royce, 2015). Contingency plans must also be created to provide timely corrective action when issues arise (Royce, 2015).</w:t>
      </w:r>
    </w:p>
    <w:p w14:paraId="758D031E" w14:textId="77777777" w:rsidR="005D1178" w:rsidRDefault="005D1178" w:rsidP="005D1178">
      <w:r>
        <w:lastRenderedPageBreak/>
        <w:t>Supply chain disruptions can be avoided through proactive risk management. By identifying key suppliers and maintaining open communications lines with them, anticipating possible delays and developing plans to ensure timely deliveries (</w:t>
      </w:r>
      <w:proofErr w:type="spellStart"/>
      <w:r>
        <w:t>Bredillet</w:t>
      </w:r>
      <w:proofErr w:type="spellEnd"/>
      <w:r>
        <w:t>, 2014).</w:t>
      </w:r>
    </w:p>
    <w:p w14:paraId="3DBD943A" w14:textId="4CA1CF13" w:rsidR="005D1178" w:rsidRDefault="005D1178" w:rsidP="005D1178">
      <w:r>
        <w:t xml:space="preserve">The Hinkley Point C project's delays highlight the critical role that effective time management and schedule planning play in large-scale endeavours. Regulatory processes, technical complexities and supply chain disruptions can wreak havoc with project timelines; by adopting agile methodologies, cooperating with regulatory </w:t>
      </w:r>
      <w:proofErr w:type="gramStart"/>
      <w:r>
        <w:t>bodies</w:t>
      </w:r>
      <w:proofErr w:type="gramEnd"/>
      <w:r>
        <w:t xml:space="preserve"> and employing risk mitigation strategies more efficiently in future </w:t>
      </w:r>
      <w:proofErr w:type="spellStart"/>
      <w:r>
        <w:t>endeavors</w:t>
      </w:r>
      <w:proofErr w:type="spellEnd"/>
      <w:r>
        <w:t xml:space="preserve"> can they overcome such hurdles more successfully and with greater precision.</w:t>
      </w:r>
    </w:p>
    <w:p w14:paraId="2CEC5880" w14:textId="5136BE06" w:rsidR="005D1178" w:rsidRDefault="005D1178" w:rsidP="00FD6B1C">
      <w:pPr>
        <w:pStyle w:val="Heading1"/>
      </w:pPr>
      <w:bookmarkStart w:id="3" w:name="_Toc143847325"/>
      <w:r>
        <w:t>Quality Assessment and Control</w:t>
      </w:r>
      <w:r w:rsidR="00FD6B1C">
        <w:t>:</w:t>
      </w:r>
      <w:bookmarkEnd w:id="3"/>
    </w:p>
    <w:p w14:paraId="020C01C4" w14:textId="77777777" w:rsidR="005D1178" w:rsidRDefault="005D1178" w:rsidP="005D1178">
      <w:r>
        <w:t>The Hinkley Point C project experienced several quality control challenges during its construction phase, underscoring the necessity of robust quality assessment and control measures in nuclear energy projects.</w:t>
      </w:r>
    </w:p>
    <w:p w14:paraId="21AC78D3" w14:textId="77777777" w:rsidR="005D1178" w:rsidRDefault="005D1178" w:rsidP="005D1178">
      <w:r>
        <w:t>Numerous construction defects were discovered during this project, necessitating costly corrective action (Kerzner 2022). Furthermore, cutting-edge technologies like European Pressurised Reactors (EPRs) added further complexity and necessitated additional safety precautions (Heidrich 2015). To mitigate such challenges effectively quality control processes needed to be stricter.</w:t>
      </w:r>
    </w:p>
    <w:p w14:paraId="70A3E81B" w14:textId="77777777" w:rsidR="005D1178" w:rsidRDefault="005D1178" w:rsidP="005D1178">
      <w:r>
        <w:t>To maximize quality assurance, strict inspection processes should be implemented at each stage of a project lifecycle (</w:t>
      </w:r>
      <w:proofErr w:type="spellStart"/>
      <w:r>
        <w:t>Bredillet</w:t>
      </w:r>
      <w:proofErr w:type="spellEnd"/>
      <w:r>
        <w:t>, 2014). Regular inspections can identify any issues early on and allow for timely corrective actions. Continuous monitoring is key for detecting deviations from quality standards and stopping defects from worsening (Meredith et al., 2017).</w:t>
      </w:r>
    </w:p>
    <w:p w14:paraId="5B0C4027" w14:textId="77777777" w:rsidR="005D1178" w:rsidRDefault="005D1178" w:rsidP="005D1178">
      <w:r>
        <w:t>Investment in employee training and skill development are integral to ensuring the quality of construction works (Clarke et al., 2008). Well-trained personnel can face down challenges posed by complex technologies with ease, contributing to upholding high construction standards.</w:t>
      </w:r>
    </w:p>
    <w:p w14:paraId="00060B30" w14:textId="77777777" w:rsidR="005D1178" w:rsidRDefault="005D1178" w:rsidP="005D1178">
      <w:r>
        <w:t>An organization should also foster a culture of quality within its team and wider organization (Hall, 2016). Quality must permeate every stage of project completion from design and construction through to final commissioning.</w:t>
      </w:r>
    </w:p>
    <w:p w14:paraId="02E7DCF3" w14:textId="77777777" w:rsidR="005D1178" w:rsidRDefault="005D1178" w:rsidP="005D1178">
      <w:r>
        <w:lastRenderedPageBreak/>
        <w:t>Hinkley Point C's quality control challenges provide valuable lessons for future nuclear power projects. To avoid similar issues, nuclear projects should implement stringent quality assessment and quality control practices such as rigorous inspections, continuous monitoring, employee training investments, etc. Prioritizing quality assurance can help nuclear projects ensure safety, reliability, and effectiveness of their infrastructures.</w:t>
      </w:r>
    </w:p>
    <w:p w14:paraId="141405B6" w14:textId="57668D57" w:rsidR="005D1178" w:rsidRDefault="005D1178" w:rsidP="00FD6B1C">
      <w:pPr>
        <w:pStyle w:val="Heading1"/>
      </w:pPr>
      <w:bookmarkStart w:id="4" w:name="_Toc143847326"/>
      <w:r>
        <w:t>Stakeholder Engagement and Communication:</w:t>
      </w:r>
      <w:bookmarkEnd w:id="4"/>
    </w:p>
    <w:p w14:paraId="5F2BD76C" w14:textId="77777777" w:rsidR="005D1178" w:rsidRDefault="005D1178" w:rsidP="005D1178">
      <w:r>
        <w:t>Effective stakeholder engagement and communication are integral parts of successful project management, as evidenced by the challenges incurred during Hinkley Point C's construction.</w:t>
      </w:r>
    </w:p>
    <w:p w14:paraId="2FF43CBF" w14:textId="77777777" w:rsidR="005D1178" w:rsidRDefault="005D1178" w:rsidP="005D1178">
      <w:r>
        <w:t>Local communities who oppose projects due to environmental concerns illustrate the necessity of proactive stakeholder engagement (Devine-Wright, 2011). Projects must involve communities early in the planning process by listening and responding to their concerns while engaging them as partners in solving any potential problems. Furthermore, clear communication channels should be established between stakeholders so that their input can be considered (Fleming &amp; Koppelman, 2016).</w:t>
      </w:r>
    </w:p>
    <w:p w14:paraId="47CB2BFA" w14:textId="77777777" w:rsidR="005D1178" w:rsidRDefault="005D1178" w:rsidP="005D1178">
      <w:r>
        <w:t xml:space="preserve">This project also encountered communication challenges with financial parties, investors, and international partners. Forging open lines of communication with these stakeholders is crucial to creating trust and aligning goals (Mir &amp; </w:t>
      </w:r>
      <w:proofErr w:type="spellStart"/>
      <w:r>
        <w:t>Pinnington</w:t>
      </w:r>
      <w:proofErr w:type="spellEnd"/>
      <w:r>
        <w:t>, 2014). Transparent information sharing helps manage expectations while preventing miscommunication that could cause delays or conflicts (Heagney, 2016).</w:t>
      </w:r>
    </w:p>
    <w:p w14:paraId="5862DF53" w14:textId="77777777" w:rsidR="005D1178" w:rsidRDefault="005D1178" w:rsidP="005D1178">
      <w:proofErr w:type="gramStart"/>
      <w:r>
        <w:t>In order to</w:t>
      </w:r>
      <w:proofErr w:type="gramEnd"/>
      <w:r>
        <w:t xml:space="preserve"> improve stakeholder engagement and communication, projects should implement a comprehensive stakeholder management plan (Nijhuis et al., 2018). This plan should identify key stakeholders as well as their interests and communication preferences; additionally proactive community engagement strategies like public consultations or information sessions may address concerns and build support (Royce, 2015).</w:t>
      </w:r>
    </w:p>
    <w:p w14:paraId="641E5442" w14:textId="77777777" w:rsidR="005D1178" w:rsidRDefault="005D1178" w:rsidP="005D1178">
      <w:r>
        <w:t>Projects should anticipate challenges and conflicts early, and plan for their resolution (</w:t>
      </w:r>
      <w:proofErr w:type="spellStart"/>
      <w:r>
        <w:t>Bredillet</w:t>
      </w:r>
      <w:proofErr w:type="spellEnd"/>
      <w:r>
        <w:t>, 2014). Fostering relationships with stakeholders requires both active listening and responsiveness from everyone involved.</w:t>
      </w:r>
    </w:p>
    <w:p w14:paraId="7A935166" w14:textId="77777777" w:rsidR="005D1178" w:rsidRDefault="005D1178" w:rsidP="005D1178">
      <w:r>
        <w:t xml:space="preserve">By taking note of the stakeholder engagement challenges experienced during the Hinkley Point C project, future </w:t>
      </w:r>
      <w:proofErr w:type="spellStart"/>
      <w:r>
        <w:t>endeavors</w:t>
      </w:r>
      <w:proofErr w:type="spellEnd"/>
      <w:r>
        <w:t xml:space="preserve"> can improve their communication strategies and foster an inclusive working environment. Proactive engagement strategies with clear channels of communication </w:t>
      </w:r>
      <w:r>
        <w:lastRenderedPageBreak/>
        <w:t>and transparent information sharing are vital in winning over stakeholder support and keeping project momentum alive.</w:t>
      </w:r>
    </w:p>
    <w:p w14:paraId="00A6A5B4" w14:textId="73130050" w:rsidR="005D1178" w:rsidRDefault="005D1178" w:rsidP="00FD6B1C">
      <w:pPr>
        <w:pStyle w:val="Heading1"/>
      </w:pPr>
      <w:bookmarkStart w:id="5" w:name="_Toc143847327"/>
      <w:r>
        <w:t>Risk Factors and Management</w:t>
      </w:r>
      <w:bookmarkEnd w:id="5"/>
    </w:p>
    <w:p w14:paraId="142F9062" w14:textId="77777777" w:rsidR="005D1178" w:rsidRDefault="005D1178" w:rsidP="005D1178">
      <w:r>
        <w:t xml:space="preserve">Project management can be an intricate undertaking, and unexpected risk factors can have serious ramifications on project outcomes. Hinkley Point C project's experience underlines the need for proactive risk management practices </w:t>
      </w:r>
      <w:proofErr w:type="gramStart"/>
      <w:r>
        <w:t>in order to</w:t>
      </w:r>
      <w:proofErr w:type="gramEnd"/>
      <w:r>
        <w:t xml:space="preserve"> address challenges effectively and keep projects resilient.</w:t>
      </w:r>
    </w:p>
    <w:p w14:paraId="7FC2B699" w14:textId="77777777" w:rsidR="005D1178" w:rsidRDefault="005D1178" w:rsidP="005D1178">
      <w:r>
        <w:t>Unanticipated factors, including legislative changes and geopolitical influences, were key contributors to project delays (Heidrich, 2015). Regulator changes and geopolitical pressure can wreak havoc on project timelines and create uncertainty; to stay on top of them and avoid delays it's crucial to closely monitor external factors and anticipate any potential changes that could impact it (Kuang et al. 2023).</w:t>
      </w:r>
    </w:p>
    <w:p w14:paraId="6BE3FD5C" w14:textId="77777777" w:rsidR="005D1178" w:rsidRDefault="005D1178" w:rsidP="005D1178">
      <w:r>
        <w:t>Hinkley Point C's use of European Pressurised Reactors (EPRs), with their inherent technical uncertainties, underscores the necessity of conducting technical risk analyses (</w:t>
      </w:r>
      <w:proofErr w:type="spellStart"/>
      <w:r>
        <w:t>Keyhani</w:t>
      </w:r>
      <w:proofErr w:type="spellEnd"/>
      <w:r>
        <w:t xml:space="preserve"> et al. 2009). Projects should carefully evaluate new technologies before implementation to ascertain feasibility and identify any technical challenges, thus being better equipped to tackle unexpected technical challenges efficiently.</w:t>
      </w:r>
    </w:p>
    <w:p w14:paraId="247B98B3" w14:textId="77777777" w:rsidR="005D1178" w:rsidRDefault="005D1178" w:rsidP="005D1178">
      <w:r>
        <w:t>To address these risks, effective risk management strategies must be in place. Regular risk assessments are key in identifying emerging risks and creating mitigation plans accordingly (Schwalbe, 2015). This allows project teams to anticipate challenges early on and implement measures to overcome them (Clarke et al., 2008).</w:t>
      </w:r>
    </w:p>
    <w:p w14:paraId="349DE29F" w14:textId="77777777" w:rsidR="005D1178" w:rsidRDefault="005D1178" w:rsidP="005D1178">
      <w:r>
        <w:t>Adaptable risk management strategies are essential in adapting to changing circumstances, and projects should have contingency plans outlining potential approaches if unanticipated challenges arise (Burke, 2013). Furthermore, project flexibility enables quick adjustments and reduces the impact of unexpected events (</w:t>
      </w:r>
      <w:proofErr w:type="spellStart"/>
      <w:r>
        <w:t>Bredillet</w:t>
      </w:r>
      <w:proofErr w:type="spellEnd"/>
      <w:r>
        <w:t>, 2014).</w:t>
      </w:r>
    </w:p>
    <w:p w14:paraId="280BAE34" w14:textId="77777777" w:rsidR="005D1178" w:rsidRDefault="005D1178" w:rsidP="005D1178">
      <w:r>
        <w:t>Resilient project teams can maximize resilience through regular risk analyses and contingency planning, which allows them to navigate uncertainties while meeting project goals (Hall, 2016). When applied to large infrastructure projects like Hinkley Point C, risk management is not just one-off activity but rather a dynamic process which emerges as the project develops.</w:t>
      </w:r>
    </w:p>
    <w:p w14:paraId="6018BDDA" w14:textId="06CBA826" w:rsidR="005D1178" w:rsidRDefault="005D1178" w:rsidP="005D1178">
      <w:r>
        <w:lastRenderedPageBreak/>
        <w:t>By learning from the Hinkley Point C project's risk management experience, future projects can increase their capacity to respond effectively to unexpected obstacles and maintain project resilience. Ongoing risk assessments, adaptable strategies, and contingency planning are integral parts of effective risk management that contribute to project success.</w:t>
      </w:r>
    </w:p>
    <w:p w14:paraId="5212929D" w14:textId="77777777" w:rsidR="00FD6B1C" w:rsidRDefault="005D1178" w:rsidP="00FD6B1C">
      <w:pPr>
        <w:pStyle w:val="Heading1"/>
      </w:pPr>
      <w:bookmarkStart w:id="6" w:name="_Toc143847328"/>
      <w:r>
        <w:t>Conclusion</w:t>
      </w:r>
      <w:bookmarkEnd w:id="6"/>
    </w:p>
    <w:p w14:paraId="30383CDF" w14:textId="2B21FDCE" w:rsidR="005D1178" w:rsidRDefault="005D1178" w:rsidP="005D1178">
      <w:r>
        <w:t xml:space="preserve">To conclude, the Hinkley Point C project provides an instructive case study for project management principles. By carefully examining its achievements and challenges, this project provides lessons applicable to future large-scale </w:t>
      </w:r>
      <w:proofErr w:type="spellStart"/>
      <w:r>
        <w:t>endeavors</w:t>
      </w:r>
      <w:proofErr w:type="spellEnd"/>
      <w:r>
        <w:t xml:space="preserve"> in its field.</w:t>
      </w:r>
    </w:p>
    <w:p w14:paraId="78840755" w14:textId="77777777" w:rsidR="005D1178" w:rsidRDefault="005D1178" w:rsidP="005D1178">
      <w:r>
        <w:t xml:space="preserve">Through this analysis, several key takeaways emerge. Thorough feasibility studies and accurate cost estimates emerge as essential elements in steering projects towards success, as evidenced by Hinkley Point C's experience (Mir and </w:t>
      </w:r>
      <w:proofErr w:type="spellStart"/>
      <w:r>
        <w:t>Pinnington</w:t>
      </w:r>
      <w:proofErr w:type="spellEnd"/>
      <w:r>
        <w:t xml:space="preserve"> 2014). Careful evaluation of project scope, potential complexities, implications of new technologies as well as informed decision-making provide essential results while setting realistic budgeting and timeline management expectations (Anees 2012).</w:t>
      </w:r>
    </w:p>
    <w:p w14:paraId="7C1A3D4A" w14:textId="77777777" w:rsidR="005D1178" w:rsidRDefault="005D1178" w:rsidP="005D1178">
      <w:r>
        <w:t>Continuous risk assessments form the cornerstone of project resilience. Hinkley Point C's unexpected difficulties underline the need for proactive risk management; dynamic risk analysis ensures potential roadblocks are identified early and plans in place to mitigate their effect (Nijhuis et al., 2018).</w:t>
      </w:r>
    </w:p>
    <w:p w14:paraId="15AE3200" w14:textId="77777777" w:rsidR="005D1178" w:rsidRDefault="005D1178" w:rsidP="005D1178">
      <w:r>
        <w:t>Transparent stakeholder engagement is also of critical importance, as demonstrated by Hinkley Point C's experience. Engaging stakeholders effectively is vital to successful project execution; clear communication channels, proactive community involvement and transparent information sharing facilitate this goal (Devine-Wright 2011).</w:t>
      </w:r>
    </w:p>
    <w:p w14:paraId="56C0F60D" w14:textId="77777777" w:rsidR="005D1178" w:rsidRDefault="005D1178" w:rsidP="005D1178">
      <w:r>
        <w:t>Un steadfast commitment to quality standards is another cornerstone of project success, including quality control mechanisms, rigorous inspection processes and investments in employee training (Royce 2015). All these things play a part in producing projects that meet or surpass expectations (Royce 2015).</w:t>
      </w:r>
    </w:p>
    <w:p w14:paraId="43AC3893" w14:textId="77777777" w:rsidR="005D1178" w:rsidRDefault="005D1178" w:rsidP="005D1178">
      <w:r>
        <w:t>Hinkley Point C stands as an important reminder of the necessity of innovation and sustainability in technology development. By investing in research and development, future nuclear projects may find safer, more cost-efficient, and eco-friendlier technologies (Heidrich 2015).</w:t>
      </w:r>
    </w:p>
    <w:p w14:paraId="41032FCD" w14:textId="77777777" w:rsidR="005D1178" w:rsidRDefault="005D1178" w:rsidP="005D1178">
      <w:r>
        <w:lastRenderedPageBreak/>
        <w:t xml:space="preserve">Hinkley Point C's experiences and lessons will undoubtedly shape Britain's approach to future energy </w:t>
      </w:r>
      <w:proofErr w:type="gramStart"/>
      <w:r>
        <w:t>projects, and</w:t>
      </w:r>
      <w:proofErr w:type="gramEnd"/>
      <w:r>
        <w:t xml:space="preserve"> offer valuable lessons about project management principles and practices that transcend just energy sector boundaries. This case study offers invaluable guidance toward success that spans beyond energy sector boundaries.</w:t>
      </w:r>
    </w:p>
    <w:p w14:paraId="27F5144A" w14:textId="324DA17E" w:rsidR="00532CA4" w:rsidRDefault="005D1178" w:rsidP="005D1178">
      <w:r>
        <w:t xml:space="preserve">Hinkley Point C stands as a testament to the value of accepting challenges, learning from </w:t>
      </w:r>
      <w:proofErr w:type="gramStart"/>
      <w:r>
        <w:t>setbacks</w:t>
      </w:r>
      <w:proofErr w:type="gramEnd"/>
      <w:r>
        <w:t xml:space="preserve"> and applying what has been learned to drive innovation and excellence in project management.</w:t>
      </w:r>
    </w:p>
    <w:p w14:paraId="3BD3AD12" w14:textId="77777777" w:rsidR="00532CA4" w:rsidRDefault="00532CA4" w:rsidP="00532CA4"/>
    <w:p w14:paraId="430596F7" w14:textId="77777777" w:rsidR="00532CA4" w:rsidRDefault="00532CA4" w:rsidP="00532CA4"/>
    <w:p w14:paraId="0920E4E4" w14:textId="1107C05A" w:rsidR="00532CA4" w:rsidRDefault="00532CA4" w:rsidP="00532CA4">
      <w:pPr>
        <w:pStyle w:val="Heading1"/>
      </w:pPr>
      <w:bookmarkStart w:id="7" w:name="_Toc143847329"/>
      <w:r>
        <w:t>References</w:t>
      </w:r>
      <w:bookmarkEnd w:id="7"/>
    </w:p>
    <w:p w14:paraId="7377EDD8" w14:textId="77777777" w:rsidR="00532CA4" w:rsidRDefault="00532CA4" w:rsidP="00532CA4">
      <w:pPr>
        <w:pStyle w:val="ListParagraph"/>
        <w:numPr>
          <w:ilvl w:val="0"/>
          <w:numId w:val="1"/>
        </w:numPr>
      </w:pPr>
      <w:r>
        <w:t xml:space="preserve">Alam, M., Gale, A., Brown, </w:t>
      </w:r>
      <w:proofErr w:type="gramStart"/>
      <w:r>
        <w:t>M.</w:t>
      </w:r>
      <w:proofErr w:type="gramEnd"/>
      <w:r>
        <w:t xml:space="preserve"> and Khan, A.I., 2010. The importance of human skills in project management professional development. International Journal of Managing Projects in Business, 3(3), pp.495-516.</w:t>
      </w:r>
    </w:p>
    <w:p w14:paraId="5AEC77AB" w14:textId="77777777" w:rsidR="00532CA4" w:rsidRDefault="00532CA4" w:rsidP="00532CA4">
      <w:pPr>
        <w:pStyle w:val="ListParagraph"/>
        <w:numPr>
          <w:ilvl w:val="0"/>
          <w:numId w:val="1"/>
        </w:numPr>
      </w:pPr>
      <w:r>
        <w:t xml:space="preserve">Anees, A.S., 2012, December. Grid integration of renewable energy sources: Challenges, </w:t>
      </w:r>
      <w:proofErr w:type="gramStart"/>
      <w:r>
        <w:t>issues</w:t>
      </w:r>
      <w:proofErr w:type="gramEnd"/>
      <w:r>
        <w:t xml:space="preserve"> and possible solutions. In 2012 IEEE 5th India International Conference on Power Electronics (IICPE) (pp. 1-6). IEEE.</w:t>
      </w:r>
    </w:p>
    <w:p w14:paraId="3CB7D33B" w14:textId="77777777" w:rsidR="00532CA4" w:rsidRDefault="00532CA4" w:rsidP="00532CA4">
      <w:pPr>
        <w:pStyle w:val="ListParagraph"/>
        <w:numPr>
          <w:ilvl w:val="0"/>
          <w:numId w:val="1"/>
        </w:numPr>
      </w:pPr>
      <w:proofErr w:type="spellStart"/>
      <w:r>
        <w:t>Badiru</w:t>
      </w:r>
      <w:proofErr w:type="spellEnd"/>
      <w:r>
        <w:t xml:space="preserve">, A.B. and </w:t>
      </w:r>
      <w:proofErr w:type="spellStart"/>
      <w:r>
        <w:t>Osisanya</w:t>
      </w:r>
      <w:proofErr w:type="spellEnd"/>
      <w:r>
        <w:t>, S.O., 2016. Project management for the oil and gas industry: a world system approach. CRC press.</w:t>
      </w:r>
    </w:p>
    <w:p w14:paraId="732F5ECA" w14:textId="77777777" w:rsidR="00532CA4" w:rsidRDefault="00532CA4" w:rsidP="00532CA4">
      <w:pPr>
        <w:pStyle w:val="ListParagraph"/>
        <w:numPr>
          <w:ilvl w:val="0"/>
          <w:numId w:val="1"/>
        </w:numPr>
      </w:pPr>
      <w:proofErr w:type="spellStart"/>
      <w:r>
        <w:t>Bredillet</w:t>
      </w:r>
      <w:proofErr w:type="spellEnd"/>
      <w:r>
        <w:t>, C., 2014. Ethics in project management: some Aristotelian insights. International Journal of Managing Projects in Business, 7(4), pp.548-565.</w:t>
      </w:r>
    </w:p>
    <w:p w14:paraId="7B545BD9" w14:textId="77777777" w:rsidR="00532CA4" w:rsidRDefault="00532CA4" w:rsidP="00532CA4">
      <w:pPr>
        <w:pStyle w:val="ListParagraph"/>
        <w:numPr>
          <w:ilvl w:val="0"/>
          <w:numId w:val="1"/>
        </w:numPr>
      </w:pPr>
      <w:r>
        <w:t>Burke R. Project management: planning and control techniques. John Wiley &amp; Sons; 2013 Nov 25.</w:t>
      </w:r>
    </w:p>
    <w:p w14:paraId="6E548665" w14:textId="77777777" w:rsidR="00532CA4" w:rsidRDefault="00532CA4" w:rsidP="00532CA4">
      <w:pPr>
        <w:pStyle w:val="ListParagraph"/>
        <w:numPr>
          <w:ilvl w:val="0"/>
          <w:numId w:val="1"/>
        </w:numPr>
      </w:pPr>
      <w:r>
        <w:t>Clarke, J.A., Johnstone, C.M., Kelly, N.J., Strachan, P.A. and Tuohy, P., 2008. The role of built environment energy efficiency in a sustainable UK energy economy. Energy policy, 36(12), pp.4605-4609.</w:t>
      </w:r>
    </w:p>
    <w:p w14:paraId="3BB4C68E" w14:textId="77777777" w:rsidR="00532CA4" w:rsidRDefault="00532CA4" w:rsidP="00532CA4">
      <w:pPr>
        <w:pStyle w:val="ListParagraph"/>
        <w:numPr>
          <w:ilvl w:val="0"/>
          <w:numId w:val="1"/>
        </w:numPr>
      </w:pPr>
      <w:r>
        <w:t>Devine‐Wright, P., 2011. Public engagement with large‐scale renewable energy technologies: breaking the cycle of NIMBYism. Wiley Interdisciplinary Reviews: Climate Change, 2(1), pp.19-26.</w:t>
      </w:r>
    </w:p>
    <w:p w14:paraId="213204CA" w14:textId="77777777" w:rsidR="00532CA4" w:rsidRDefault="00532CA4" w:rsidP="00532CA4">
      <w:pPr>
        <w:pStyle w:val="ListParagraph"/>
        <w:numPr>
          <w:ilvl w:val="0"/>
          <w:numId w:val="1"/>
        </w:numPr>
      </w:pPr>
      <w:r>
        <w:t xml:space="preserve">Fleming, Q.W. and Koppelman, J.M., 2016, December. Earned value project management. Project Management </w:t>
      </w:r>
      <w:proofErr w:type="spellStart"/>
      <w:r>
        <w:t>InstitIhuah</w:t>
      </w:r>
      <w:proofErr w:type="spellEnd"/>
      <w:r>
        <w:t xml:space="preserve">, P.W., Kakulu, I.I. and Eaton, D., 2014. A review of Critical Project Management Success Factors (CPMSF) for sustainable </w:t>
      </w:r>
      <w:r>
        <w:lastRenderedPageBreak/>
        <w:t>social housing in Nigeria. International journal of sustainable built environment, 3(1), pp.62-71.ute.</w:t>
      </w:r>
    </w:p>
    <w:p w14:paraId="16EE6CA3" w14:textId="77777777" w:rsidR="00532CA4" w:rsidRDefault="00532CA4" w:rsidP="00532CA4">
      <w:pPr>
        <w:pStyle w:val="ListParagraph"/>
        <w:numPr>
          <w:ilvl w:val="0"/>
          <w:numId w:val="1"/>
        </w:numPr>
      </w:pPr>
      <w:r>
        <w:t>Hall, N.G., 2016. Research and teaching opportunities in project management. In Optimization challenges in complex, networked and risky systems (pp. 329-388). INFORMS.</w:t>
      </w:r>
    </w:p>
    <w:p w14:paraId="53CA65FB" w14:textId="77777777" w:rsidR="00532CA4" w:rsidRDefault="00532CA4" w:rsidP="00532CA4">
      <w:pPr>
        <w:pStyle w:val="ListParagraph"/>
        <w:numPr>
          <w:ilvl w:val="0"/>
          <w:numId w:val="1"/>
        </w:numPr>
      </w:pPr>
      <w:r>
        <w:t>Harrison, F. and Lock, D., 2017. Advanced project management: a structured approach. Routledge.</w:t>
      </w:r>
    </w:p>
    <w:p w14:paraId="16B733F0" w14:textId="77777777" w:rsidR="00532CA4" w:rsidRDefault="00532CA4" w:rsidP="00532CA4">
      <w:pPr>
        <w:pStyle w:val="ListParagraph"/>
        <w:numPr>
          <w:ilvl w:val="0"/>
          <w:numId w:val="1"/>
        </w:numPr>
      </w:pPr>
      <w:r>
        <w:t xml:space="preserve">Heagney, J., 2016. Fundamentals of project management. </w:t>
      </w:r>
      <w:proofErr w:type="spellStart"/>
      <w:r>
        <w:t>Amacom</w:t>
      </w:r>
      <w:proofErr w:type="spellEnd"/>
      <w:r>
        <w:t>.</w:t>
      </w:r>
    </w:p>
    <w:p w14:paraId="0D504B4B" w14:textId="77777777" w:rsidR="00532CA4" w:rsidRDefault="00532CA4" w:rsidP="00532CA4">
      <w:pPr>
        <w:pStyle w:val="ListParagraph"/>
        <w:numPr>
          <w:ilvl w:val="0"/>
          <w:numId w:val="1"/>
        </w:numPr>
      </w:pPr>
      <w:r>
        <w:t>Heidrich, B., 2015. Nuclear Energy Infrastructure Database Description and User's Manual (No. INL/EXT--15-35485). Idaho National Laboratory.</w:t>
      </w:r>
    </w:p>
    <w:p w14:paraId="5C652C33" w14:textId="77777777" w:rsidR="00532CA4" w:rsidRDefault="00532CA4" w:rsidP="00532CA4">
      <w:pPr>
        <w:pStyle w:val="ListParagraph"/>
        <w:numPr>
          <w:ilvl w:val="0"/>
          <w:numId w:val="1"/>
        </w:numPr>
      </w:pPr>
      <w:proofErr w:type="spellStart"/>
      <w:r>
        <w:t>Keyhani</w:t>
      </w:r>
      <w:proofErr w:type="spellEnd"/>
      <w:r>
        <w:t xml:space="preserve">, A., </w:t>
      </w:r>
      <w:proofErr w:type="spellStart"/>
      <w:r>
        <w:t>Marwali</w:t>
      </w:r>
      <w:proofErr w:type="spellEnd"/>
      <w:r>
        <w:t>, M.N. and Dai, M., 2009. Integration of green and renewable energy in electric power systems. John Wiley &amp; Sons.</w:t>
      </w:r>
    </w:p>
    <w:p w14:paraId="305D83F5" w14:textId="77777777" w:rsidR="00532CA4" w:rsidRDefault="00532CA4" w:rsidP="00532CA4">
      <w:pPr>
        <w:pStyle w:val="ListParagraph"/>
        <w:numPr>
          <w:ilvl w:val="0"/>
          <w:numId w:val="1"/>
        </w:numPr>
      </w:pPr>
      <w:r>
        <w:t>Kuang, L., Han, X. and Liu, G., 2023. The Efficiency of Energy Infrastructure Investment and Its Regional Economic Impact. International Journal of Environmental Research and Public Health, 20(3), p.2125.</w:t>
      </w:r>
    </w:p>
    <w:p w14:paraId="0E9C2945" w14:textId="77777777" w:rsidR="00532CA4" w:rsidRDefault="00532CA4" w:rsidP="00532CA4">
      <w:pPr>
        <w:pStyle w:val="ListParagraph"/>
        <w:numPr>
          <w:ilvl w:val="0"/>
          <w:numId w:val="1"/>
        </w:numPr>
      </w:pPr>
      <w:r>
        <w:t>Meredith, J.R., Shafer, S.M. and Mantel Jr, S.J., 2017. Project management: a strategic managerial approach. John Wiley &amp; Sons.</w:t>
      </w:r>
    </w:p>
    <w:p w14:paraId="17E7F8B0" w14:textId="77777777" w:rsidR="00532CA4" w:rsidRDefault="00532CA4" w:rsidP="00532CA4">
      <w:pPr>
        <w:pStyle w:val="ListParagraph"/>
        <w:numPr>
          <w:ilvl w:val="0"/>
          <w:numId w:val="1"/>
        </w:numPr>
      </w:pPr>
      <w:r>
        <w:t xml:space="preserve">Mir, F.A. and </w:t>
      </w:r>
      <w:proofErr w:type="spellStart"/>
      <w:r>
        <w:t>Pinnington</w:t>
      </w:r>
      <w:proofErr w:type="spellEnd"/>
      <w:r>
        <w:t>, A.H., 2014. Exploring the value of project management: linking project management performance and project success. International journal of project management, 32(2), pp.202-217.</w:t>
      </w:r>
    </w:p>
    <w:p w14:paraId="393C2964" w14:textId="77777777" w:rsidR="00532CA4" w:rsidRDefault="00532CA4" w:rsidP="00532CA4">
      <w:pPr>
        <w:pStyle w:val="ListParagraph"/>
        <w:numPr>
          <w:ilvl w:val="0"/>
          <w:numId w:val="1"/>
        </w:numPr>
      </w:pPr>
      <w:r>
        <w:t xml:space="preserve">Nijhuis, S., </w:t>
      </w:r>
      <w:proofErr w:type="spellStart"/>
      <w:r>
        <w:t>Vrijhoef</w:t>
      </w:r>
      <w:proofErr w:type="spellEnd"/>
      <w:r>
        <w:t xml:space="preserve">, R. and </w:t>
      </w:r>
      <w:proofErr w:type="spellStart"/>
      <w:r>
        <w:t>Kessels</w:t>
      </w:r>
      <w:proofErr w:type="spellEnd"/>
      <w:r>
        <w:t>, J., 2018. Tackling project management competence research. Project Management Journal, 49(3), pp.62-81.</w:t>
      </w:r>
    </w:p>
    <w:p w14:paraId="540CB6AC" w14:textId="77777777" w:rsidR="00532CA4" w:rsidRDefault="00532CA4" w:rsidP="00532CA4">
      <w:pPr>
        <w:pStyle w:val="ListParagraph"/>
        <w:numPr>
          <w:ilvl w:val="0"/>
          <w:numId w:val="1"/>
        </w:numPr>
      </w:pPr>
      <w:r>
        <w:t>Royce, W., 2015. Software project management. Pearson Education India.</w:t>
      </w:r>
    </w:p>
    <w:p w14:paraId="06C8BA0E" w14:textId="77777777" w:rsidR="00532CA4" w:rsidRDefault="00532CA4" w:rsidP="00532CA4">
      <w:pPr>
        <w:pStyle w:val="ListParagraph"/>
        <w:numPr>
          <w:ilvl w:val="0"/>
          <w:numId w:val="1"/>
        </w:numPr>
      </w:pPr>
      <w:r>
        <w:t>Schwalbe, K., 2015. Information technology project management. Cengage Learning.</w:t>
      </w:r>
    </w:p>
    <w:p w14:paraId="5C393D13" w14:textId="5D966F32" w:rsidR="00DA6566" w:rsidRPr="00532CA4" w:rsidRDefault="00532CA4" w:rsidP="00532CA4">
      <w:pPr>
        <w:pStyle w:val="ListParagraph"/>
        <w:numPr>
          <w:ilvl w:val="0"/>
          <w:numId w:val="1"/>
        </w:numPr>
      </w:pPr>
      <w:proofErr w:type="spellStart"/>
      <w:r>
        <w:t>Tillement</w:t>
      </w:r>
      <w:proofErr w:type="spellEnd"/>
      <w:r>
        <w:t>, S. and Garcias, F., 2021. ASTRID, back to the future: bridging scales in the development of nuclear infrastructures. Nuclear Technology, 207(9), pp.1291-1311.</w:t>
      </w:r>
    </w:p>
    <w:sectPr w:rsidR="00DA6566" w:rsidRPr="00532CA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DA61A0"/>
    <w:multiLevelType w:val="hybridMultilevel"/>
    <w:tmpl w:val="F7AC3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5634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CA4"/>
    <w:rsid w:val="00532CA4"/>
    <w:rsid w:val="005D1178"/>
    <w:rsid w:val="007E5E3D"/>
    <w:rsid w:val="00932DF1"/>
    <w:rsid w:val="00DA6566"/>
    <w:rsid w:val="00EA7257"/>
    <w:rsid w:val="00FD6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AE1F8"/>
  <w15:chartTrackingRefBased/>
  <w15:docId w15:val="{81652D70-103E-4279-9EB0-C02EA5A58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CA4"/>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532C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2CA4"/>
    <w:pPr>
      <w:ind w:left="720"/>
      <w:contextualSpacing/>
    </w:pPr>
  </w:style>
  <w:style w:type="character" w:customStyle="1" w:styleId="Heading1Char">
    <w:name w:val="Heading 1 Char"/>
    <w:basedOn w:val="DefaultParagraphFont"/>
    <w:link w:val="Heading1"/>
    <w:uiPriority w:val="9"/>
    <w:rsid w:val="00532CA4"/>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FD6B1C"/>
    <w:pPr>
      <w:spacing w:line="259" w:lineRule="auto"/>
      <w:jc w:val="left"/>
      <w:outlineLvl w:val="9"/>
    </w:pPr>
    <w:rPr>
      <w:lang w:eastAsia="en-GB"/>
    </w:rPr>
  </w:style>
  <w:style w:type="paragraph" w:styleId="TOC1">
    <w:name w:val="toc 1"/>
    <w:basedOn w:val="Normal"/>
    <w:next w:val="Normal"/>
    <w:autoRedefine/>
    <w:uiPriority w:val="39"/>
    <w:unhideWhenUsed/>
    <w:rsid w:val="00FD6B1C"/>
    <w:pPr>
      <w:spacing w:after="100"/>
    </w:pPr>
  </w:style>
  <w:style w:type="character" w:styleId="Hyperlink">
    <w:name w:val="Hyperlink"/>
    <w:basedOn w:val="DefaultParagraphFont"/>
    <w:uiPriority w:val="99"/>
    <w:unhideWhenUsed/>
    <w:rsid w:val="00FD6B1C"/>
    <w:rPr>
      <w:color w:val="0563C1" w:themeColor="hyperlink"/>
      <w:u w:val="single"/>
    </w:rPr>
  </w:style>
  <w:style w:type="paragraph" w:styleId="Title">
    <w:name w:val="Title"/>
    <w:basedOn w:val="Normal"/>
    <w:next w:val="Normal"/>
    <w:link w:val="TitleChar"/>
    <w:uiPriority w:val="10"/>
    <w:qFormat/>
    <w:rsid w:val="00FD6B1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6B1C"/>
    <w:rPr>
      <w:rFonts w:asciiTheme="majorHAnsi" w:eastAsiaTheme="majorEastAsia" w:hAnsiTheme="majorHAnsi" w:cstheme="majorBidi"/>
      <w:spacing w:val="-10"/>
      <w:kern w:val="28"/>
      <w:sz w:val="56"/>
      <w:szCs w:val="5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389503995">
      <w:bodyDiv w:val="1"/>
      <w:marLeft w:val="0"/>
      <w:marRight w:val="0"/>
      <w:marTop w:val="0"/>
      <w:marBottom w:val="0"/>
      <w:divBdr>
        <w:top w:val="none" w:sz="0" w:space="0" w:color="auto"/>
        <w:left w:val="none" w:sz="0" w:space="0" w:color="auto"/>
        <w:bottom w:val="none" w:sz="0" w:space="0" w:color="auto"/>
        <w:right w:val="none" w:sz="0" w:space="0" w:color="auto"/>
      </w:divBdr>
    </w:div>
    <w:div w:id="439180793">
      <w:bodyDiv w:val="1"/>
      <w:marLeft w:val="0"/>
      <w:marRight w:val="0"/>
      <w:marTop w:val="0"/>
      <w:marBottom w:val="0"/>
      <w:divBdr>
        <w:top w:val="none" w:sz="0" w:space="0" w:color="auto"/>
        <w:left w:val="none" w:sz="0" w:space="0" w:color="auto"/>
        <w:bottom w:val="none" w:sz="0" w:space="0" w:color="auto"/>
        <w:right w:val="none" w:sz="0" w:space="0" w:color="auto"/>
      </w:divBdr>
    </w:div>
    <w:div w:id="458954495">
      <w:bodyDiv w:val="1"/>
      <w:marLeft w:val="0"/>
      <w:marRight w:val="0"/>
      <w:marTop w:val="0"/>
      <w:marBottom w:val="0"/>
      <w:divBdr>
        <w:top w:val="none" w:sz="0" w:space="0" w:color="auto"/>
        <w:left w:val="none" w:sz="0" w:space="0" w:color="auto"/>
        <w:bottom w:val="none" w:sz="0" w:space="0" w:color="auto"/>
        <w:right w:val="none" w:sz="0" w:space="0" w:color="auto"/>
      </w:divBdr>
    </w:div>
    <w:div w:id="536741693">
      <w:bodyDiv w:val="1"/>
      <w:marLeft w:val="0"/>
      <w:marRight w:val="0"/>
      <w:marTop w:val="0"/>
      <w:marBottom w:val="0"/>
      <w:divBdr>
        <w:top w:val="none" w:sz="0" w:space="0" w:color="auto"/>
        <w:left w:val="none" w:sz="0" w:space="0" w:color="auto"/>
        <w:bottom w:val="none" w:sz="0" w:space="0" w:color="auto"/>
        <w:right w:val="none" w:sz="0" w:space="0" w:color="auto"/>
      </w:divBdr>
    </w:div>
    <w:div w:id="603655122">
      <w:bodyDiv w:val="1"/>
      <w:marLeft w:val="0"/>
      <w:marRight w:val="0"/>
      <w:marTop w:val="0"/>
      <w:marBottom w:val="0"/>
      <w:divBdr>
        <w:top w:val="none" w:sz="0" w:space="0" w:color="auto"/>
        <w:left w:val="none" w:sz="0" w:space="0" w:color="auto"/>
        <w:bottom w:val="none" w:sz="0" w:space="0" w:color="auto"/>
        <w:right w:val="none" w:sz="0" w:space="0" w:color="auto"/>
      </w:divBdr>
    </w:div>
    <w:div w:id="998926781">
      <w:bodyDiv w:val="1"/>
      <w:marLeft w:val="0"/>
      <w:marRight w:val="0"/>
      <w:marTop w:val="0"/>
      <w:marBottom w:val="0"/>
      <w:divBdr>
        <w:top w:val="none" w:sz="0" w:space="0" w:color="auto"/>
        <w:left w:val="none" w:sz="0" w:space="0" w:color="auto"/>
        <w:bottom w:val="none" w:sz="0" w:space="0" w:color="auto"/>
        <w:right w:val="none" w:sz="0" w:space="0" w:color="auto"/>
      </w:divBdr>
    </w:div>
    <w:div w:id="1020741746">
      <w:bodyDiv w:val="1"/>
      <w:marLeft w:val="0"/>
      <w:marRight w:val="0"/>
      <w:marTop w:val="0"/>
      <w:marBottom w:val="0"/>
      <w:divBdr>
        <w:top w:val="none" w:sz="0" w:space="0" w:color="auto"/>
        <w:left w:val="none" w:sz="0" w:space="0" w:color="auto"/>
        <w:bottom w:val="none" w:sz="0" w:space="0" w:color="auto"/>
        <w:right w:val="none" w:sz="0" w:space="0" w:color="auto"/>
      </w:divBdr>
    </w:div>
    <w:div w:id="1064792475">
      <w:bodyDiv w:val="1"/>
      <w:marLeft w:val="0"/>
      <w:marRight w:val="0"/>
      <w:marTop w:val="0"/>
      <w:marBottom w:val="0"/>
      <w:divBdr>
        <w:top w:val="none" w:sz="0" w:space="0" w:color="auto"/>
        <w:left w:val="none" w:sz="0" w:space="0" w:color="auto"/>
        <w:bottom w:val="none" w:sz="0" w:space="0" w:color="auto"/>
        <w:right w:val="none" w:sz="0" w:space="0" w:color="auto"/>
      </w:divBdr>
    </w:div>
    <w:div w:id="1096294309">
      <w:bodyDiv w:val="1"/>
      <w:marLeft w:val="0"/>
      <w:marRight w:val="0"/>
      <w:marTop w:val="0"/>
      <w:marBottom w:val="0"/>
      <w:divBdr>
        <w:top w:val="none" w:sz="0" w:space="0" w:color="auto"/>
        <w:left w:val="none" w:sz="0" w:space="0" w:color="auto"/>
        <w:bottom w:val="none" w:sz="0" w:space="0" w:color="auto"/>
        <w:right w:val="none" w:sz="0" w:space="0" w:color="auto"/>
      </w:divBdr>
    </w:div>
    <w:div w:id="1197815340">
      <w:bodyDiv w:val="1"/>
      <w:marLeft w:val="0"/>
      <w:marRight w:val="0"/>
      <w:marTop w:val="0"/>
      <w:marBottom w:val="0"/>
      <w:divBdr>
        <w:top w:val="none" w:sz="0" w:space="0" w:color="auto"/>
        <w:left w:val="none" w:sz="0" w:space="0" w:color="auto"/>
        <w:bottom w:val="none" w:sz="0" w:space="0" w:color="auto"/>
        <w:right w:val="none" w:sz="0" w:space="0" w:color="auto"/>
      </w:divBdr>
    </w:div>
    <w:div w:id="1272590917">
      <w:bodyDiv w:val="1"/>
      <w:marLeft w:val="0"/>
      <w:marRight w:val="0"/>
      <w:marTop w:val="0"/>
      <w:marBottom w:val="0"/>
      <w:divBdr>
        <w:top w:val="none" w:sz="0" w:space="0" w:color="auto"/>
        <w:left w:val="none" w:sz="0" w:space="0" w:color="auto"/>
        <w:bottom w:val="none" w:sz="0" w:space="0" w:color="auto"/>
        <w:right w:val="none" w:sz="0" w:space="0" w:color="auto"/>
      </w:divBdr>
    </w:div>
    <w:div w:id="1370104404">
      <w:bodyDiv w:val="1"/>
      <w:marLeft w:val="0"/>
      <w:marRight w:val="0"/>
      <w:marTop w:val="0"/>
      <w:marBottom w:val="0"/>
      <w:divBdr>
        <w:top w:val="none" w:sz="0" w:space="0" w:color="auto"/>
        <w:left w:val="none" w:sz="0" w:space="0" w:color="auto"/>
        <w:bottom w:val="none" w:sz="0" w:space="0" w:color="auto"/>
        <w:right w:val="none" w:sz="0" w:space="0" w:color="auto"/>
      </w:divBdr>
    </w:div>
    <w:div w:id="1522668903">
      <w:bodyDiv w:val="1"/>
      <w:marLeft w:val="0"/>
      <w:marRight w:val="0"/>
      <w:marTop w:val="0"/>
      <w:marBottom w:val="0"/>
      <w:divBdr>
        <w:top w:val="none" w:sz="0" w:space="0" w:color="auto"/>
        <w:left w:val="none" w:sz="0" w:space="0" w:color="auto"/>
        <w:bottom w:val="none" w:sz="0" w:space="0" w:color="auto"/>
        <w:right w:val="none" w:sz="0" w:space="0" w:color="auto"/>
      </w:divBdr>
    </w:div>
    <w:div w:id="1568884708">
      <w:bodyDiv w:val="1"/>
      <w:marLeft w:val="0"/>
      <w:marRight w:val="0"/>
      <w:marTop w:val="0"/>
      <w:marBottom w:val="0"/>
      <w:divBdr>
        <w:top w:val="none" w:sz="0" w:space="0" w:color="auto"/>
        <w:left w:val="none" w:sz="0" w:space="0" w:color="auto"/>
        <w:bottom w:val="none" w:sz="0" w:space="0" w:color="auto"/>
        <w:right w:val="none" w:sz="0" w:space="0" w:color="auto"/>
      </w:divBdr>
    </w:div>
    <w:div w:id="1647973090">
      <w:bodyDiv w:val="1"/>
      <w:marLeft w:val="0"/>
      <w:marRight w:val="0"/>
      <w:marTop w:val="0"/>
      <w:marBottom w:val="0"/>
      <w:divBdr>
        <w:top w:val="none" w:sz="0" w:space="0" w:color="auto"/>
        <w:left w:val="none" w:sz="0" w:space="0" w:color="auto"/>
        <w:bottom w:val="none" w:sz="0" w:space="0" w:color="auto"/>
        <w:right w:val="none" w:sz="0" w:space="0" w:color="auto"/>
      </w:divBdr>
    </w:div>
    <w:div w:id="1648898447">
      <w:bodyDiv w:val="1"/>
      <w:marLeft w:val="0"/>
      <w:marRight w:val="0"/>
      <w:marTop w:val="0"/>
      <w:marBottom w:val="0"/>
      <w:divBdr>
        <w:top w:val="none" w:sz="0" w:space="0" w:color="auto"/>
        <w:left w:val="none" w:sz="0" w:space="0" w:color="auto"/>
        <w:bottom w:val="none" w:sz="0" w:space="0" w:color="auto"/>
        <w:right w:val="none" w:sz="0" w:space="0" w:color="auto"/>
      </w:divBdr>
    </w:div>
    <w:div w:id="1693647241">
      <w:bodyDiv w:val="1"/>
      <w:marLeft w:val="0"/>
      <w:marRight w:val="0"/>
      <w:marTop w:val="0"/>
      <w:marBottom w:val="0"/>
      <w:divBdr>
        <w:top w:val="none" w:sz="0" w:space="0" w:color="auto"/>
        <w:left w:val="none" w:sz="0" w:space="0" w:color="auto"/>
        <w:bottom w:val="none" w:sz="0" w:space="0" w:color="auto"/>
        <w:right w:val="none" w:sz="0" w:space="0" w:color="auto"/>
      </w:divBdr>
    </w:div>
    <w:div w:id="2055536800">
      <w:bodyDiv w:val="1"/>
      <w:marLeft w:val="0"/>
      <w:marRight w:val="0"/>
      <w:marTop w:val="0"/>
      <w:marBottom w:val="0"/>
      <w:divBdr>
        <w:top w:val="none" w:sz="0" w:space="0" w:color="auto"/>
        <w:left w:val="none" w:sz="0" w:space="0" w:color="auto"/>
        <w:bottom w:val="none" w:sz="0" w:space="0" w:color="auto"/>
        <w:right w:val="none" w:sz="0" w:space="0" w:color="auto"/>
      </w:divBdr>
    </w:div>
    <w:div w:id="2081516657">
      <w:bodyDiv w:val="1"/>
      <w:marLeft w:val="0"/>
      <w:marRight w:val="0"/>
      <w:marTop w:val="0"/>
      <w:marBottom w:val="0"/>
      <w:divBdr>
        <w:top w:val="none" w:sz="0" w:space="0" w:color="auto"/>
        <w:left w:val="none" w:sz="0" w:space="0" w:color="auto"/>
        <w:bottom w:val="none" w:sz="0" w:space="0" w:color="auto"/>
        <w:right w:val="none" w:sz="0" w:space="0" w:color="auto"/>
      </w:divBdr>
    </w:div>
    <w:div w:id="2099324374">
      <w:bodyDiv w:val="1"/>
      <w:marLeft w:val="0"/>
      <w:marRight w:val="0"/>
      <w:marTop w:val="0"/>
      <w:marBottom w:val="0"/>
      <w:divBdr>
        <w:top w:val="none" w:sz="0" w:space="0" w:color="auto"/>
        <w:left w:val="none" w:sz="0" w:space="0" w:color="auto"/>
        <w:bottom w:val="none" w:sz="0" w:space="0" w:color="auto"/>
        <w:right w:val="none" w:sz="0" w:space="0" w:color="auto"/>
      </w:divBdr>
    </w:div>
    <w:div w:id="2132432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10</Pages>
  <Words>3070</Words>
  <Characters>17503</Characters>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2023-08-24T22:09:00Z</dcterms:created>
  <dcterms:modified xsi:type="dcterms:W3CDTF">2023-08-25T08:16:00Z</dcterms:modified>
</cp:coreProperties>
</file>