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A679D9" w14:textId="77777777" w:rsidR="00545592" w:rsidRDefault="00545592" w:rsidP="00545592">
      <w:pPr>
        <w:spacing w:line="256" w:lineRule="auto"/>
        <w:jc w:val="left"/>
        <w:rPr>
          <w:b/>
          <w:sz w:val="40"/>
          <w:szCs w:val="40"/>
        </w:rPr>
      </w:pPr>
    </w:p>
    <w:p w14:paraId="219D413E" w14:textId="77777777" w:rsidR="00545592" w:rsidRDefault="00545592" w:rsidP="00545592">
      <w:pPr>
        <w:spacing w:line="256" w:lineRule="auto"/>
        <w:jc w:val="center"/>
        <w:rPr>
          <w:b/>
          <w:sz w:val="40"/>
          <w:szCs w:val="40"/>
        </w:rPr>
      </w:pPr>
    </w:p>
    <w:p w14:paraId="28DC9EF9" w14:textId="77777777" w:rsidR="00545592" w:rsidRDefault="00545592" w:rsidP="00545592">
      <w:pPr>
        <w:spacing w:line="256" w:lineRule="auto"/>
        <w:jc w:val="center"/>
        <w:rPr>
          <w:b/>
          <w:sz w:val="40"/>
          <w:szCs w:val="40"/>
        </w:rPr>
      </w:pPr>
      <w:r>
        <w:rPr>
          <w:b/>
          <w:sz w:val="40"/>
          <w:szCs w:val="40"/>
        </w:rPr>
        <w:t>BA (Hons) Developing Leadership and Management</w:t>
      </w:r>
    </w:p>
    <w:p w14:paraId="32CB79D2" w14:textId="77777777" w:rsidR="00545592" w:rsidRDefault="00545592" w:rsidP="00545592">
      <w:pPr>
        <w:spacing w:line="256" w:lineRule="auto"/>
        <w:jc w:val="center"/>
        <w:rPr>
          <w:b/>
          <w:sz w:val="40"/>
          <w:szCs w:val="40"/>
        </w:rPr>
      </w:pPr>
      <w:r>
        <w:rPr>
          <w:b/>
          <w:sz w:val="40"/>
          <w:szCs w:val="40"/>
        </w:rPr>
        <w:t>Building a Sustainable Marketing Relationship</w:t>
      </w:r>
    </w:p>
    <w:p w14:paraId="430D2C14" w14:textId="77777777" w:rsidR="00545592" w:rsidRDefault="00545592" w:rsidP="00545592">
      <w:pPr>
        <w:spacing w:line="256" w:lineRule="auto"/>
        <w:jc w:val="center"/>
        <w:rPr>
          <w:b/>
          <w:sz w:val="40"/>
          <w:szCs w:val="40"/>
        </w:rPr>
      </w:pPr>
      <w:r>
        <w:rPr>
          <w:b/>
          <w:sz w:val="40"/>
          <w:szCs w:val="40"/>
        </w:rPr>
        <w:t>BMSW5007</w:t>
      </w:r>
    </w:p>
    <w:p w14:paraId="6B60DD58" w14:textId="77777777" w:rsidR="00545592" w:rsidRDefault="00545592" w:rsidP="00545592">
      <w:pPr>
        <w:spacing w:line="256" w:lineRule="auto"/>
        <w:jc w:val="center"/>
        <w:rPr>
          <w:b/>
          <w:sz w:val="40"/>
          <w:szCs w:val="40"/>
        </w:rPr>
      </w:pPr>
    </w:p>
    <w:p w14:paraId="7E187040" w14:textId="77777777" w:rsidR="00545592" w:rsidRDefault="00545592" w:rsidP="00545592">
      <w:pPr>
        <w:spacing w:line="256" w:lineRule="auto"/>
        <w:jc w:val="center"/>
        <w:rPr>
          <w:b/>
          <w:sz w:val="40"/>
          <w:szCs w:val="40"/>
        </w:rPr>
      </w:pPr>
      <w:r>
        <w:rPr>
          <w:b/>
          <w:sz w:val="40"/>
          <w:szCs w:val="40"/>
        </w:rPr>
        <w:t>Sainsbury's Report Individual Report</w:t>
      </w:r>
    </w:p>
    <w:p w14:paraId="0A974E0D" w14:textId="77777777" w:rsidR="00545592" w:rsidRDefault="00545592" w:rsidP="00545592">
      <w:pPr>
        <w:spacing w:line="256" w:lineRule="auto"/>
        <w:jc w:val="center"/>
        <w:rPr>
          <w:b/>
          <w:sz w:val="40"/>
          <w:szCs w:val="40"/>
        </w:rPr>
      </w:pPr>
    </w:p>
    <w:p w14:paraId="6999F381" w14:textId="77777777" w:rsidR="00545592" w:rsidRDefault="00545592" w:rsidP="00545592">
      <w:pPr>
        <w:spacing w:line="256" w:lineRule="auto"/>
        <w:jc w:val="center"/>
        <w:rPr>
          <w:b/>
          <w:sz w:val="40"/>
          <w:szCs w:val="40"/>
        </w:rPr>
      </w:pPr>
      <w:r>
        <w:rPr>
          <w:b/>
          <w:sz w:val="40"/>
          <w:szCs w:val="40"/>
        </w:rPr>
        <w:t xml:space="preserve">  </w:t>
      </w:r>
    </w:p>
    <w:p w14:paraId="521F9133" w14:textId="77777777" w:rsidR="00545592" w:rsidRDefault="00545592" w:rsidP="00545592">
      <w:pPr>
        <w:spacing w:line="256" w:lineRule="auto"/>
        <w:jc w:val="center"/>
        <w:rPr>
          <w:b/>
          <w:sz w:val="40"/>
          <w:szCs w:val="40"/>
        </w:rPr>
      </w:pPr>
    </w:p>
    <w:p w14:paraId="20123C9A" w14:textId="77777777" w:rsidR="00545592" w:rsidRDefault="00545592" w:rsidP="00545592">
      <w:pPr>
        <w:spacing w:line="256" w:lineRule="auto"/>
        <w:jc w:val="center"/>
        <w:rPr>
          <w:b/>
          <w:sz w:val="40"/>
          <w:szCs w:val="40"/>
        </w:rPr>
      </w:pPr>
    </w:p>
    <w:p w14:paraId="76ABA913" w14:textId="02897598" w:rsidR="00545592" w:rsidRDefault="00545592" w:rsidP="00545592">
      <w:pPr>
        <w:jc w:val="center"/>
      </w:pPr>
      <w:r>
        <w:t>Name of the Student: Lorena Mihalcea</w:t>
      </w:r>
    </w:p>
    <w:p w14:paraId="32822288" w14:textId="7650580A" w:rsidR="00545592" w:rsidRDefault="00545592" w:rsidP="00545592">
      <w:pPr>
        <w:jc w:val="center"/>
      </w:pPr>
      <w:r>
        <w:t>Student ID:</w:t>
      </w:r>
      <w:r w:rsidRPr="00545592">
        <w:t xml:space="preserve"> </w:t>
      </w:r>
      <w:r>
        <w:t>2019847</w:t>
      </w:r>
    </w:p>
    <w:p w14:paraId="45739326" w14:textId="77777777" w:rsidR="00545592" w:rsidRDefault="00545592" w:rsidP="00545592">
      <w:pPr>
        <w:jc w:val="center"/>
        <w:rPr>
          <w:sz w:val="32"/>
          <w:szCs w:val="32"/>
        </w:rPr>
      </w:pPr>
      <w:r>
        <w:rPr>
          <w:rFonts w:ascii="Times New Roman" w:hAnsi="Times New Roman" w:cs="Times New Roman"/>
        </w:rPr>
        <w:br w:type="page"/>
      </w:r>
    </w:p>
    <w:p w14:paraId="7DE0E72D" w14:textId="77777777" w:rsidR="00545592" w:rsidRDefault="00545592" w:rsidP="00545592">
      <w:pPr>
        <w:spacing w:line="256" w:lineRule="auto"/>
        <w:jc w:val="left"/>
        <w:rPr>
          <w:b/>
        </w:rPr>
      </w:pPr>
      <w:r>
        <w:rPr>
          <w:b/>
        </w:rPr>
        <w:t>Executive Summary</w:t>
      </w:r>
    </w:p>
    <w:p w14:paraId="3811A967" w14:textId="77777777" w:rsidR="00545592" w:rsidRDefault="00545592" w:rsidP="00545592">
      <w:r>
        <w:t>Customer retention, communication, and enthusiasm are the end goals of relationship marketing. Relationship marketing is aimed at creating long-term links between a firm and its clients. Thus, relationship marketing fosters two-way contact and delivers content tailored to the consumers' tastes. Brand loyalty may be improved via relationship marketing by fostering true relationships between products and their users. Relationship-building rather than pushing rapid sales is the main goal of this kind of marketing. Sainsbury's is one company that has put a premium on marketing and sustainability initiatives in order to forge stronger connections with its clientele and increase the value of its name in the marketplace. The research delves deeply into its plans and has provided a critical analysis of its current methods of expanding its customers via strong customer centrality approaches.</w:t>
      </w:r>
      <w:r>
        <w:br w:type="page"/>
      </w:r>
    </w:p>
    <w:p w14:paraId="189C983B" w14:textId="77777777" w:rsidR="00545592" w:rsidRDefault="00545592" w:rsidP="00545592">
      <w:pPr>
        <w:keepNext/>
        <w:keepLines/>
        <w:spacing w:before="240" w:after="0" w:line="256" w:lineRule="auto"/>
        <w:jc w:val="center"/>
        <w:rPr>
          <w:rFonts w:ascii="Calibri" w:eastAsia="Calibri" w:hAnsi="Calibri" w:cs="Calibri"/>
          <w:b/>
          <w:color w:val="000000"/>
          <w:sz w:val="32"/>
          <w:szCs w:val="32"/>
        </w:rPr>
      </w:pPr>
      <w:r>
        <w:rPr>
          <w:rFonts w:ascii="Calibri" w:eastAsia="Calibri" w:hAnsi="Calibri" w:cs="Calibri"/>
          <w:b/>
          <w:color w:val="000000"/>
          <w:sz w:val="32"/>
          <w:szCs w:val="32"/>
        </w:rPr>
        <w:t>Table of Contents</w:t>
      </w:r>
    </w:p>
    <w:sdt>
      <w:sdtPr>
        <w:id w:val="1240756602"/>
        <w:docPartObj>
          <w:docPartGallery w:val="Table of Contents"/>
          <w:docPartUnique/>
        </w:docPartObj>
      </w:sdtPr>
      <w:sdtEndPr/>
      <w:sdtContent>
        <w:p w14:paraId="59877C45" w14:textId="2F22BF4F" w:rsidR="00545592" w:rsidRDefault="00545592">
          <w:pPr>
            <w:pStyle w:val="TOC1"/>
            <w:tabs>
              <w:tab w:val="right" w:pos="9016"/>
            </w:tabs>
            <w:rPr>
              <w:rFonts w:asciiTheme="minorHAnsi" w:eastAsiaTheme="minorEastAsia" w:hAnsiTheme="minorHAnsi" w:cstheme="minorBidi"/>
              <w:noProof/>
              <w:sz w:val="22"/>
              <w:szCs w:val="22"/>
            </w:rPr>
          </w:pPr>
          <w:r>
            <w:fldChar w:fldCharType="begin"/>
          </w:r>
          <w:r>
            <w:instrText xml:space="preserve"> TOC \h \u \z </w:instrText>
          </w:r>
          <w:r>
            <w:fldChar w:fldCharType="separate"/>
          </w:r>
          <w:hyperlink w:anchor="_Toc119675021" w:history="1">
            <w:r w:rsidRPr="0018141B">
              <w:rPr>
                <w:rStyle w:val="Hyperlink"/>
                <w:noProof/>
              </w:rPr>
              <w:t>1. Introduction</w:t>
            </w:r>
            <w:r>
              <w:rPr>
                <w:noProof/>
                <w:webHidden/>
              </w:rPr>
              <w:tab/>
            </w:r>
            <w:r>
              <w:rPr>
                <w:noProof/>
                <w:webHidden/>
              </w:rPr>
              <w:fldChar w:fldCharType="begin"/>
            </w:r>
            <w:r>
              <w:rPr>
                <w:noProof/>
                <w:webHidden/>
              </w:rPr>
              <w:instrText xml:space="preserve"> PAGEREF _Toc119675021 \h </w:instrText>
            </w:r>
            <w:r>
              <w:rPr>
                <w:noProof/>
                <w:webHidden/>
              </w:rPr>
            </w:r>
            <w:r>
              <w:rPr>
                <w:noProof/>
                <w:webHidden/>
              </w:rPr>
              <w:fldChar w:fldCharType="separate"/>
            </w:r>
            <w:r>
              <w:rPr>
                <w:noProof/>
                <w:webHidden/>
              </w:rPr>
              <w:t>4</w:t>
            </w:r>
            <w:r>
              <w:rPr>
                <w:noProof/>
                <w:webHidden/>
              </w:rPr>
              <w:fldChar w:fldCharType="end"/>
            </w:r>
          </w:hyperlink>
        </w:p>
        <w:p w14:paraId="3DB737D0" w14:textId="0C672359" w:rsidR="00545592" w:rsidRDefault="004E2173">
          <w:pPr>
            <w:pStyle w:val="TOC1"/>
            <w:tabs>
              <w:tab w:val="right" w:pos="9016"/>
            </w:tabs>
            <w:rPr>
              <w:rFonts w:asciiTheme="minorHAnsi" w:eastAsiaTheme="minorEastAsia" w:hAnsiTheme="minorHAnsi" w:cstheme="minorBidi"/>
              <w:noProof/>
              <w:sz w:val="22"/>
              <w:szCs w:val="22"/>
            </w:rPr>
          </w:pPr>
          <w:hyperlink w:anchor="_Toc119675022" w:history="1">
            <w:r w:rsidR="00545592" w:rsidRPr="0018141B">
              <w:rPr>
                <w:rStyle w:val="Hyperlink"/>
                <w:noProof/>
              </w:rPr>
              <w:t>2. Discussion</w:t>
            </w:r>
            <w:r w:rsidR="00545592">
              <w:rPr>
                <w:noProof/>
                <w:webHidden/>
              </w:rPr>
              <w:tab/>
            </w:r>
            <w:r w:rsidR="00545592">
              <w:rPr>
                <w:noProof/>
                <w:webHidden/>
              </w:rPr>
              <w:fldChar w:fldCharType="begin"/>
            </w:r>
            <w:r w:rsidR="00545592">
              <w:rPr>
                <w:noProof/>
                <w:webHidden/>
              </w:rPr>
              <w:instrText xml:space="preserve"> PAGEREF _Toc119675022 \h </w:instrText>
            </w:r>
            <w:r w:rsidR="00545592">
              <w:rPr>
                <w:noProof/>
                <w:webHidden/>
              </w:rPr>
            </w:r>
            <w:r w:rsidR="00545592">
              <w:rPr>
                <w:noProof/>
                <w:webHidden/>
              </w:rPr>
              <w:fldChar w:fldCharType="separate"/>
            </w:r>
            <w:r w:rsidR="00545592">
              <w:rPr>
                <w:noProof/>
                <w:webHidden/>
              </w:rPr>
              <w:t>4</w:t>
            </w:r>
            <w:r w:rsidR="00545592">
              <w:rPr>
                <w:noProof/>
                <w:webHidden/>
              </w:rPr>
              <w:fldChar w:fldCharType="end"/>
            </w:r>
          </w:hyperlink>
        </w:p>
        <w:p w14:paraId="38E4EABF" w14:textId="3D4E0711" w:rsidR="00545592" w:rsidRDefault="004E2173">
          <w:pPr>
            <w:pStyle w:val="TOC2"/>
            <w:tabs>
              <w:tab w:val="right" w:pos="9016"/>
            </w:tabs>
            <w:rPr>
              <w:rFonts w:asciiTheme="minorHAnsi" w:eastAsiaTheme="minorEastAsia" w:hAnsiTheme="minorHAnsi" w:cstheme="minorBidi"/>
              <w:noProof/>
              <w:sz w:val="22"/>
              <w:szCs w:val="22"/>
            </w:rPr>
          </w:pPr>
          <w:hyperlink w:anchor="_Toc119675023" w:history="1">
            <w:r w:rsidR="00545592" w:rsidRPr="0018141B">
              <w:rPr>
                <w:rStyle w:val="Hyperlink"/>
                <w:noProof/>
              </w:rPr>
              <w:t>2.1 Historical Development of Sainsbury</w:t>
            </w:r>
            <w:r w:rsidR="00545592">
              <w:rPr>
                <w:noProof/>
                <w:webHidden/>
              </w:rPr>
              <w:tab/>
            </w:r>
            <w:r w:rsidR="00545592">
              <w:rPr>
                <w:noProof/>
                <w:webHidden/>
              </w:rPr>
              <w:fldChar w:fldCharType="begin"/>
            </w:r>
            <w:r w:rsidR="00545592">
              <w:rPr>
                <w:noProof/>
                <w:webHidden/>
              </w:rPr>
              <w:instrText xml:space="preserve"> PAGEREF _Toc119675023 \h </w:instrText>
            </w:r>
            <w:r w:rsidR="00545592">
              <w:rPr>
                <w:noProof/>
                <w:webHidden/>
              </w:rPr>
            </w:r>
            <w:r w:rsidR="00545592">
              <w:rPr>
                <w:noProof/>
                <w:webHidden/>
              </w:rPr>
              <w:fldChar w:fldCharType="separate"/>
            </w:r>
            <w:r w:rsidR="00545592">
              <w:rPr>
                <w:noProof/>
                <w:webHidden/>
              </w:rPr>
              <w:t>4</w:t>
            </w:r>
            <w:r w:rsidR="00545592">
              <w:rPr>
                <w:noProof/>
                <w:webHidden/>
              </w:rPr>
              <w:fldChar w:fldCharType="end"/>
            </w:r>
          </w:hyperlink>
        </w:p>
        <w:p w14:paraId="410E8677" w14:textId="15A016C1" w:rsidR="00545592" w:rsidRDefault="004E2173">
          <w:pPr>
            <w:pStyle w:val="TOC2"/>
            <w:tabs>
              <w:tab w:val="right" w:pos="9016"/>
            </w:tabs>
            <w:rPr>
              <w:rFonts w:asciiTheme="minorHAnsi" w:eastAsiaTheme="minorEastAsia" w:hAnsiTheme="minorHAnsi" w:cstheme="minorBidi"/>
              <w:noProof/>
              <w:sz w:val="22"/>
              <w:szCs w:val="22"/>
            </w:rPr>
          </w:pPr>
          <w:hyperlink w:anchor="_Toc119675024" w:history="1">
            <w:r w:rsidR="00545592" w:rsidRPr="0018141B">
              <w:rPr>
                <w:rStyle w:val="Hyperlink"/>
                <w:noProof/>
              </w:rPr>
              <w:t>2.2 Data Collection and Evaluation</w:t>
            </w:r>
            <w:r w:rsidR="00545592">
              <w:rPr>
                <w:noProof/>
                <w:webHidden/>
              </w:rPr>
              <w:tab/>
            </w:r>
            <w:r w:rsidR="00545592">
              <w:rPr>
                <w:noProof/>
                <w:webHidden/>
              </w:rPr>
              <w:fldChar w:fldCharType="begin"/>
            </w:r>
            <w:r w:rsidR="00545592">
              <w:rPr>
                <w:noProof/>
                <w:webHidden/>
              </w:rPr>
              <w:instrText xml:space="preserve"> PAGEREF _Toc119675024 \h </w:instrText>
            </w:r>
            <w:r w:rsidR="00545592">
              <w:rPr>
                <w:noProof/>
                <w:webHidden/>
              </w:rPr>
            </w:r>
            <w:r w:rsidR="00545592">
              <w:rPr>
                <w:noProof/>
                <w:webHidden/>
              </w:rPr>
              <w:fldChar w:fldCharType="separate"/>
            </w:r>
            <w:r w:rsidR="00545592">
              <w:rPr>
                <w:noProof/>
                <w:webHidden/>
              </w:rPr>
              <w:t>7</w:t>
            </w:r>
            <w:r w:rsidR="00545592">
              <w:rPr>
                <w:noProof/>
                <w:webHidden/>
              </w:rPr>
              <w:fldChar w:fldCharType="end"/>
            </w:r>
          </w:hyperlink>
        </w:p>
        <w:p w14:paraId="65495E57" w14:textId="0FCB3696" w:rsidR="00545592" w:rsidRDefault="004E2173">
          <w:pPr>
            <w:pStyle w:val="TOC2"/>
            <w:tabs>
              <w:tab w:val="right" w:pos="9016"/>
            </w:tabs>
            <w:rPr>
              <w:rFonts w:asciiTheme="minorHAnsi" w:eastAsiaTheme="minorEastAsia" w:hAnsiTheme="minorHAnsi" w:cstheme="minorBidi"/>
              <w:noProof/>
              <w:sz w:val="22"/>
              <w:szCs w:val="22"/>
            </w:rPr>
          </w:pPr>
          <w:hyperlink w:anchor="_Toc119675025" w:history="1">
            <w:r w:rsidR="00545592" w:rsidRPr="0018141B">
              <w:rPr>
                <w:rStyle w:val="Hyperlink"/>
                <w:noProof/>
              </w:rPr>
              <w:t>2.3 Segmentation, Pricing Strategies and Differentiation</w:t>
            </w:r>
            <w:r w:rsidR="00545592">
              <w:rPr>
                <w:noProof/>
                <w:webHidden/>
              </w:rPr>
              <w:tab/>
            </w:r>
            <w:r w:rsidR="00545592">
              <w:rPr>
                <w:noProof/>
                <w:webHidden/>
              </w:rPr>
              <w:fldChar w:fldCharType="begin"/>
            </w:r>
            <w:r w:rsidR="00545592">
              <w:rPr>
                <w:noProof/>
                <w:webHidden/>
              </w:rPr>
              <w:instrText xml:space="preserve"> PAGEREF _Toc119675025 \h </w:instrText>
            </w:r>
            <w:r w:rsidR="00545592">
              <w:rPr>
                <w:noProof/>
                <w:webHidden/>
              </w:rPr>
            </w:r>
            <w:r w:rsidR="00545592">
              <w:rPr>
                <w:noProof/>
                <w:webHidden/>
              </w:rPr>
              <w:fldChar w:fldCharType="separate"/>
            </w:r>
            <w:r w:rsidR="00545592">
              <w:rPr>
                <w:noProof/>
                <w:webHidden/>
              </w:rPr>
              <w:t>8</w:t>
            </w:r>
            <w:r w:rsidR="00545592">
              <w:rPr>
                <w:noProof/>
                <w:webHidden/>
              </w:rPr>
              <w:fldChar w:fldCharType="end"/>
            </w:r>
          </w:hyperlink>
        </w:p>
        <w:p w14:paraId="4AB52B03" w14:textId="1BB85D40" w:rsidR="00545592" w:rsidRDefault="004E2173">
          <w:pPr>
            <w:pStyle w:val="TOC2"/>
            <w:tabs>
              <w:tab w:val="right" w:pos="9016"/>
            </w:tabs>
            <w:rPr>
              <w:rFonts w:asciiTheme="minorHAnsi" w:eastAsiaTheme="minorEastAsia" w:hAnsiTheme="minorHAnsi" w:cstheme="minorBidi"/>
              <w:noProof/>
              <w:sz w:val="22"/>
              <w:szCs w:val="22"/>
            </w:rPr>
          </w:pPr>
          <w:hyperlink w:anchor="_Toc119675026" w:history="1">
            <w:r w:rsidR="00545592" w:rsidRPr="0018141B">
              <w:rPr>
                <w:rStyle w:val="Hyperlink"/>
                <w:noProof/>
              </w:rPr>
              <w:t>2.4 Ethics and Sustainability</w:t>
            </w:r>
            <w:r w:rsidR="00545592">
              <w:rPr>
                <w:noProof/>
                <w:webHidden/>
              </w:rPr>
              <w:tab/>
            </w:r>
            <w:r w:rsidR="00545592">
              <w:rPr>
                <w:noProof/>
                <w:webHidden/>
              </w:rPr>
              <w:fldChar w:fldCharType="begin"/>
            </w:r>
            <w:r w:rsidR="00545592">
              <w:rPr>
                <w:noProof/>
                <w:webHidden/>
              </w:rPr>
              <w:instrText xml:space="preserve"> PAGEREF _Toc119675026 \h </w:instrText>
            </w:r>
            <w:r w:rsidR="00545592">
              <w:rPr>
                <w:noProof/>
                <w:webHidden/>
              </w:rPr>
            </w:r>
            <w:r w:rsidR="00545592">
              <w:rPr>
                <w:noProof/>
                <w:webHidden/>
              </w:rPr>
              <w:fldChar w:fldCharType="separate"/>
            </w:r>
            <w:r w:rsidR="00545592">
              <w:rPr>
                <w:noProof/>
                <w:webHidden/>
              </w:rPr>
              <w:t>9</w:t>
            </w:r>
            <w:r w:rsidR="00545592">
              <w:rPr>
                <w:noProof/>
                <w:webHidden/>
              </w:rPr>
              <w:fldChar w:fldCharType="end"/>
            </w:r>
          </w:hyperlink>
        </w:p>
        <w:p w14:paraId="233FF226" w14:textId="16E1E092" w:rsidR="00545592" w:rsidRDefault="004E2173">
          <w:pPr>
            <w:pStyle w:val="TOC1"/>
            <w:tabs>
              <w:tab w:val="right" w:pos="9016"/>
            </w:tabs>
            <w:rPr>
              <w:rFonts w:asciiTheme="minorHAnsi" w:eastAsiaTheme="minorEastAsia" w:hAnsiTheme="minorHAnsi" w:cstheme="minorBidi"/>
              <w:noProof/>
              <w:sz w:val="22"/>
              <w:szCs w:val="22"/>
            </w:rPr>
          </w:pPr>
          <w:hyperlink w:anchor="_Toc119675027" w:history="1">
            <w:r w:rsidR="00545592" w:rsidRPr="0018141B">
              <w:rPr>
                <w:rStyle w:val="Hyperlink"/>
                <w:noProof/>
              </w:rPr>
              <w:t>3. Conclusion</w:t>
            </w:r>
            <w:r w:rsidR="00545592">
              <w:rPr>
                <w:noProof/>
                <w:webHidden/>
              </w:rPr>
              <w:tab/>
            </w:r>
            <w:r w:rsidR="00545592">
              <w:rPr>
                <w:noProof/>
                <w:webHidden/>
              </w:rPr>
              <w:fldChar w:fldCharType="begin"/>
            </w:r>
            <w:r w:rsidR="00545592">
              <w:rPr>
                <w:noProof/>
                <w:webHidden/>
              </w:rPr>
              <w:instrText xml:space="preserve"> PAGEREF _Toc119675027 \h </w:instrText>
            </w:r>
            <w:r w:rsidR="00545592">
              <w:rPr>
                <w:noProof/>
                <w:webHidden/>
              </w:rPr>
            </w:r>
            <w:r w:rsidR="00545592">
              <w:rPr>
                <w:noProof/>
                <w:webHidden/>
              </w:rPr>
              <w:fldChar w:fldCharType="separate"/>
            </w:r>
            <w:r w:rsidR="00545592">
              <w:rPr>
                <w:noProof/>
                <w:webHidden/>
              </w:rPr>
              <w:t>12</w:t>
            </w:r>
            <w:r w:rsidR="00545592">
              <w:rPr>
                <w:noProof/>
                <w:webHidden/>
              </w:rPr>
              <w:fldChar w:fldCharType="end"/>
            </w:r>
          </w:hyperlink>
        </w:p>
        <w:p w14:paraId="67397066" w14:textId="73773ED5" w:rsidR="00545592" w:rsidRDefault="004E2173">
          <w:pPr>
            <w:pStyle w:val="TOC1"/>
            <w:tabs>
              <w:tab w:val="right" w:pos="9016"/>
            </w:tabs>
            <w:rPr>
              <w:rFonts w:asciiTheme="minorHAnsi" w:eastAsiaTheme="minorEastAsia" w:hAnsiTheme="minorHAnsi" w:cstheme="minorBidi"/>
              <w:noProof/>
              <w:sz w:val="22"/>
              <w:szCs w:val="22"/>
            </w:rPr>
          </w:pPr>
          <w:hyperlink w:anchor="_Toc119675028" w:history="1">
            <w:r w:rsidR="00545592" w:rsidRPr="0018141B">
              <w:rPr>
                <w:rStyle w:val="Hyperlink"/>
                <w:noProof/>
              </w:rPr>
              <w:t>References</w:t>
            </w:r>
            <w:r w:rsidR="00545592">
              <w:rPr>
                <w:noProof/>
                <w:webHidden/>
              </w:rPr>
              <w:tab/>
            </w:r>
            <w:r w:rsidR="00545592">
              <w:rPr>
                <w:noProof/>
                <w:webHidden/>
              </w:rPr>
              <w:fldChar w:fldCharType="begin"/>
            </w:r>
            <w:r w:rsidR="00545592">
              <w:rPr>
                <w:noProof/>
                <w:webHidden/>
              </w:rPr>
              <w:instrText xml:space="preserve"> PAGEREF _Toc119675028 \h </w:instrText>
            </w:r>
            <w:r w:rsidR="00545592">
              <w:rPr>
                <w:noProof/>
                <w:webHidden/>
              </w:rPr>
            </w:r>
            <w:r w:rsidR="00545592">
              <w:rPr>
                <w:noProof/>
                <w:webHidden/>
              </w:rPr>
              <w:fldChar w:fldCharType="separate"/>
            </w:r>
            <w:r w:rsidR="00545592">
              <w:rPr>
                <w:noProof/>
                <w:webHidden/>
              </w:rPr>
              <w:t>13</w:t>
            </w:r>
            <w:r w:rsidR="00545592">
              <w:rPr>
                <w:noProof/>
                <w:webHidden/>
              </w:rPr>
              <w:fldChar w:fldCharType="end"/>
            </w:r>
          </w:hyperlink>
        </w:p>
        <w:p w14:paraId="2199D5AB" w14:textId="656C5393" w:rsidR="00545592" w:rsidRDefault="004E2173">
          <w:pPr>
            <w:pStyle w:val="TOC1"/>
            <w:tabs>
              <w:tab w:val="right" w:pos="9016"/>
            </w:tabs>
            <w:rPr>
              <w:rFonts w:asciiTheme="minorHAnsi" w:eastAsiaTheme="minorEastAsia" w:hAnsiTheme="minorHAnsi" w:cstheme="minorBidi"/>
              <w:noProof/>
              <w:sz w:val="22"/>
              <w:szCs w:val="22"/>
            </w:rPr>
          </w:pPr>
          <w:hyperlink w:anchor="_Toc119675029" w:history="1">
            <w:r w:rsidR="00545592" w:rsidRPr="0018141B">
              <w:rPr>
                <w:rStyle w:val="Hyperlink"/>
                <w:noProof/>
              </w:rPr>
              <w:t>Appendices</w:t>
            </w:r>
            <w:r w:rsidR="00545592">
              <w:rPr>
                <w:noProof/>
                <w:webHidden/>
              </w:rPr>
              <w:tab/>
            </w:r>
            <w:r w:rsidR="00545592">
              <w:rPr>
                <w:noProof/>
                <w:webHidden/>
              </w:rPr>
              <w:fldChar w:fldCharType="begin"/>
            </w:r>
            <w:r w:rsidR="00545592">
              <w:rPr>
                <w:noProof/>
                <w:webHidden/>
              </w:rPr>
              <w:instrText xml:space="preserve"> PAGEREF _Toc119675029 \h </w:instrText>
            </w:r>
            <w:r w:rsidR="00545592">
              <w:rPr>
                <w:noProof/>
                <w:webHidden/>
              </w:rPr>
            </w:r>
            <w:r w:rsidR="00545592">
              <w:rPr>
                <w:noProof/>
                <w:webHidden/>
              </w:rPr>
              <w:fldChar w:fldCharType="separate"/>
            </w:r>
            <w:r w:rsidR="00545592">
              <w:rPr>
                <w:noProof/>
                <w:webHidden/>
              </w:rPr>
              <w:t>16</w:t>
            </w:r>
            <w:r w:rsidR="00545592">
              <w:rPr>
                <w:noProof/>
                <w:webHidden/>
              </w:rPr>
              <w:fldChar w:fldCharType="end"/>
            </w:r>
          </w:hyperlink>
        </w:p>
        <w:p w14:paraId="44B0B269" w14:textId="25A6C815" w:rsidR="00545592" w:rsidRDefault="00545592" w:rsidP="00545592">
          <w:r>
            <w:fldChar w:fldCharType="end"/>
          </w:r>
        </w:p>
      </w:sdtContent>
    </w:sdt>
    <w:p w14:paraId="49B93F89" w14:textId="77777777" w:rsidR="00545592" w:rsidRDefault="00545592" w:rsidP="00545592">
      <w:pPr>
        <w:spacing w:line="256" w:lineRule="auto"/>
        <w:jc w:val="left"/>
        <w:rPr>
          <w:b/>
        </w:rPr>
      </w:pPr>
      <w:r>
        <w:rPr>
          <w:rFonts w:ascii="Times New Roman" w:hAnsi="Times New Roman" w:cs="Times New Roman"/>
        </w:rPr>
        <w:br w:type="page"/>
      </w:r>
    </w:p>
    <w:p w14:paraId="62C738FE" w14:textId="77777777" w:rsidR="00545592" w:rsidRDefault="00545592" w:rsidP="00545592">
      <w:pPr>
        <w:pStyle w:val="Heading1"/>
      </w:pPr>
      <w:bookmarkStart w:id="0" w:name="_Toc119675021"/>
      <w:r>
        <w:t>1. Introduction</w:t>
      </w:r>
      <w:bookmarkEnd w:id="0"/>
      <w:r>
        <w:t xml:space="preserve"> </w:t>
      </w:r>
    </w:p>
    <w:p w14:paraId="0FE25A64" w14:textId="77777777" w:rsidR="00545592" w:rsidRDefault="00545592" w:rsidP="00545592">
      <w:r>
        <w:t>Customer loyalty, communication, and continued interest are the goals of relationship marketing (</w:t>
      </w:r>
      <w:proofErr w:type="spellStart"/>
      <w:r>
        <w:t>Mothersbaugh</w:t>
      </w:r>
      <w:proofErr w:type="spellEnd"/>
      <w:r>
        <w:t xml:space="preserve"> </w:t>
      </w:r>
      <w:r>
        <w:rPr>
          <w:i/>
        </w:rPr>
        <w:t>et al</w:t>
      </w:r>
      <w:r>
        <w:t xml:space="preserve">., 2020). Relationship marketing seeks to cultivate lasting attachments between a brand and its consumers as opposed to concentrating on immediate objectives like acquiring new clients and making individual sales. Relationship marketing does this by facilitating two-way contact and delivering content specifically tailored to the consumer's interests and requirements. Relationship marketing is effective because it creates relationships between businesses and their customers that inspire loyalty and promote advocacy via recommendations (Christopher, Payne and Ballantyne, 2013). This kind of advertising is distinct from more conventional forms of promotion since it emphasises personal connections rather than direct sales. The prior method's main objective was to increase sales. </w:t>
      </w:r>
    </w:p>
    <w:p w14:paraId="79B27A4D" w14:textId="77777777" w:rsidR="00545592" w:rsidRDefault="00545592" w:rsidP="00545592">
      <w:r>
        <w:t xml:space="preserve">The new and improved method is predicated on the creation of a superior whole-brand experience, which will not only bring in more consumers but also keep the ones businesses already have around for the long haul (Gil-Gomez </w:t>
      </w:r>
      <w:r>
        <w:rPr>
          <w:i/>
        </w:rPr>
        <w:t>et al</w:t>
      </w:r>
      <w:r>
        <w:t xml:space="preserve">., 2020). The present report will understand this phenomenon in the context of Sainsbury and how Sainsbury develops marketing relationships through its segmentation, pricing strategies, differentiation, and ethical and sustainability policies to map its customer centrality. In order to complete this report, qualitative research will be conducted to collect secondary information that will justify the aim of the report. Several articles, journals and secondary papers previously published by different scholars will be evaluated to complete the research. </w:t>
      </w:r>
    </w:p>
    <w:p w14:paraId="4F0AE338" w14:textId="77777777" w:rsidR="00545592" w:rsidRDefault="00545592" w:rsidP="00545592">
      <w:pPr>
        <w:pStyle w:val="Heading1"/>
      </w:pPr>
      <w:bookmarkStart w:id="1" w:name="_Toc119675022"/>
      <w:r>
        <w:t>2. Discussion</w:t>
      </w:r>
      <w:bookmarkEnd w:id="1"/>
      <w:r>
        <w:t xml:space="preserve"> </w:t>
      </w:r>
    </w:p>
    <w:p w14:paraId="6FBBAFEF" w14:textId="77777777" w:rsidR="00545592" w:rsidRDefault="00545592" w:rsidP="00545592">
      <w:pPr>
        <w:pStyle w:val="Heading2"/>
      </w:pPr>
      <w:bookmarkStart w:id="2" w:name="_Toc119675023"/>
      <w:r>
        <w:t>2.1 Historical Development of Sainsbury</w:t>
      </w:r>
      <w:bookmarkEnd w:id="2"/>
      <w:r>
        <w:t xml:space="preserve"> </w:t>
      </w:r>
    </w:p>
    <w:p w14:paraId="0E5966CD" w14:textId="77777777" w:rsidR="00545592" w:rsidRDefault="00545592" w:rsidP="00545592">
      <w:r>
        <w:t>In 1869, John James Sainsbury and his wife Mary Ann founded a store at 173 Drury Lane in London's Covent Garden and formed the business that would become known as Sainsbury's (Xiao, Chen and Yu, 2021). Originally focusing on selling fresh produce, Sainsbury eventually branched out into selling packaged goods like tea and sugar. His trading philosophy, as displayed on a banner outside his first store was: "Quality perfect, prices lower". Sainsbury is one of the most remarkable corporate success stories in the United Kingdom, having grown enormously from its 19th-century foundations. It is the United Kingdom's second-largest retail chain, with control over 1,400 stores throughout the nation, employing 117,000 people, and controlling 16% of the supermarket market share (Jones and Comfort, 2019).  To deliver high-quality service to consumers and also optimize or give excellent returns on that investment to stakeholders is Sainsbury's stated objective.</w:t>
      </w:r>
    </w:p>
    <w:p w14:paraId="16C98D6F" w14:textId="42327556" w:rsidR="00545592" w:rsidRDefault="00545592" w:rsidP="00545592">
      <w:pPr>
        <w:jc w:val="center"/>
      </w:pPr>
      <w:r>
        <w:rPr>
          <w:noProof/>
        </w:rPr>
        <w:drawing>
          <wp:inline distT="0" distB="0" distL="0" distR="0" wp14:anchorId="01379954" wp14:editId="37909F0D">
            <wp:extent cx="5242560" cy="3528060"/>
            <wp:effectExtent l="0" t="0" r="0" b="0"/>
            <wp:docPr id="6" name="Picture 6" descr="Sainsbury's removes around 500 office roles, creating savings to invest in  food – Sainsbury'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jpg" descr="Sainsbury's removes around 500 office roles, creating savings to invest in  food – Sainsbury's"/>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242560" cy="3528060"/>
                    </a:xfrm>
                    <a:prstGeom prst="rect">
                      <a:avLst/>
                    </a:prstGeom>
                    <a:noFill/>
                    <a:ln>
                      <a:noFill/>
                    </a:ln>
                  </pic:spPr>
                </pic:pic>
              </a:graphicData>
            </a:graphic>
          </wp:inline>
        </w:drawing>
      </w:r>
    </w:p>
    <w:p w14:paraId="4D438F53" w14:textId="77777777" w:rsidR="00545592" w:rsidRDefault="00545592" w:rsidP="00545592">
      <w:r>
        <w:t>Daily, they strive to simplify people's lives by providing them with food that is excellent, affordable, fresh, and healthy. Sainsbury's first priority is always to do the right thing for the people and the environment (Chaffey and Ellis-Chadwick, 2019). As a business model, it relies on providing customers with high-quality goods at affordable prices and tailoring those products to match their specific needs. Most of its products, for instance, are designed for a wide range of buyers, including younger generations. The ambition is to be the most reliable company where customers enjoy shopping, reads the company's mission statement for Sainsbury's. This entails providing decent working conditions and compensation to all employees and vendors as well.</w:t>
      </w:r>
    </w:p>
    <w:p w14:paraId="33DE3F3E" w14:textId="77777777" w:rsidR="00545592" w:rsidRDefault="00545592" w:rsidP="00545592">
      <w:r>
        <w:t>Sainsbury's has always prioritized marketing approaches and they have invested heavily in the marketing aspects to ensure that it viably connects with the customers. The brand has considered the importance of having a strong customer-brand relationship (Chaffey and Ellis-Chadwick, 2019). This has enhanced the company’s acceptance among its target market. Many different types of advertising have helped Sainsbury's grow its customer base, but the company's dedication to omnichannel marketing has proven to be among the most long-lasting. This kind of marketing approach stresses the need of coordinating and integrating the numerous methods through which a business communicates with its target audience. Simply said, an omnichannel strategy will not treat the various channels in a standalone (</w:t>
      </w:r>
      <w:proofErr w:type="spellStart"/>
      <w:r>
        <w:t>Khamitov</w:t>
      </w:r>
      <w:proofErr w:type="spellEnd"/>
      <w:r>
        <w:t xml:space="preserve">, Wang and Thomson, 2019). Rather, it considers the aggregate of a company's marketing channels to be higher than the individual channels' individual potential. The market share held by Sainsbury's in 2022 is 14.6 per cent. British supermarket chain Sainsbury's has increased its earnings prediction for the whole year by at least 9 per cent after Christmas quarter food sales surpassed its forecasts. </w:t>
      </w:r>
    </w:p>
    <w:p w14:paraId="702CEA10" w14:textId="77777777" w:rsidR="00545592" w:rsidRDefault="00545592" w:rsidP="00545592">
      <w:r>
        <w:t>Sainsbury's announced the improvement, saying it was the result of lower costs and better-than-expected grocery volumes, in part due to rising at-home food consumption. This helped to counterbalance greater investment expenses and greater operational price increases (</w:t>
      </w:r>
      <w:proofErr w:type="spellStart"/>
      <w:r>
        <w:t>Khamitov</w:t>
      </w:r>
      <w:proofErr w:type="spellEnd"/>
      <w:r>
        <w:t>, Wang and Thomson, 2019). The marketing departments of the two companies stayed separate even after Sainsbury's paid £1.4 billion to acquire Argos in 2014. As a further indication of their intent to further integrate their operations, in 2019 the brand consolidated the marketing responsibilities for Argos and Sainsbury's under a global marketing executive (Hunt, 2019).</w:t>
      </w:r>
    </w:p>
    <w:p w14:paraId="061C5F07" w14:textId="77777777" w:rsidR="00545592" w:rsidRDefault="00545592" w:rsidP="00545592">
      <w:r>
        <w:t xml:space="preserve">In 2020, Sainsbury's announced that it has hired Essence to aid with its digital transformation across the whole business (Hassan, </w:t>
      </w:r>
      <w:proofErr w:type="spellStart"/>
      <w:r>
        <w:t>Parvez</w:t>
      </w:r>
      <w:proofErr w:type="spellEnd"/>
      <w:r>
        <w:t xml:space="preserve"> and </w:t>
      </w:r>
      <w:proofErr w:type="spellStart"/>
      <w:r>
        <w:t>Ekiz</w:t>
      </w:r>
      <w:proofErr w:type="spellEnd"/>
      <w:r>
        <w:t xml:space="preserve">, 2019). As a result of this move, and Essence's 2019 win over Argos' digital advertising account, the two companies have collaborated to develop a unified digital shopping experience for customers across all three of the company's brands: Sainsbury's, Argos, and Tu Clothing. Sainsbury's "digital centre of marketing excellence," which uses consolidated consumer data and insights to provide "useful, interactive, and better targeted digital experiences to its customers, has served as the model's central tenet (Shin </w:t>
      </w:r>
      <w:r>
        <w:rPr>
          <w:i/>
        </w:rPr>
        <w:t>et al</w:t>
      </w:r>
      <w:r>
        <w:t>., 2020). According to Sainsbury's director of digital marketing, the agreement has allowed Sainsbury's in-house professionals to collaborate with Essence's professionals to create a unified perspective of consumers and place them "at the centre" of the brand's operations (</w:t>
      </w:r>
      <w:proofErr w:type="spellStart"/>
      <w:r>
        <w:t>Alshurideha</w:t>
      </w:r>
      <w:proofErr w:type="spellEnd"/>
      <w:r>
        <w:t xml:space="preserve"> </w:t>
      </w:r>
      <w:r>
        <w:rPr>
          <w:i/>
        </w:rPr>
        <w:t>et al</w:t>
      </w:r>
      <w:r>
        <w:t>., 2022). The core business of Essence is to oversee display and social media for the rapidly expanding Sainsbury's in-house team, in addition to offering support in the form of technology and expert advice.</w:t>
      </w:r>
    </w:p>
    <w:p w14:paraId="097642B9" w14:textId="77777777" w:rsidR="00545592" w:rsidRDefault="00545592" w:rsidP="00545592">
      <w:pPr>
        <w:pStyle w:val="Heading2"/>
      </w:pPr>
      <w:bookmarkStart w:id="3" w:name="_Toc119675024"/>
      <w:r>
        <w:t>2.2 Data Collection and Evaluation</w:t>
      </w:r>
      <w:bookmarkEnd w:id="3"/>
    </w:p>
    <w:p w14:paraId="18EA6902" w14:textId="77777777" w:rsidR="00545592" w:rsidRDefault="00545592" w:rsidP="00545592">
      <w:r>
        <w:t xml:space="preserve">Data is what drives today's businesses, and consumer information is among the most important types of data collected. To discover what consumers, want and how to provide it to them, one must first examine the data they leave behind. There are several places where one may get information on their customers (Attwood, </w:t>
      </w:r>
      <w:proofErr w:type="spellStart"/>
      <w:r>
        <w:t>Blondin</w:t>
      </w:r>
      <w:proofErr w:type="spellEnd"/>
      <w:r>
        <w:t xml:space="preserve"> and </w:t>
      </w:r>
      <w:proofErr w:type="spellStart"/>
      <w:r>
        <w:t>Vennard</w:t>
      </w:r>
      <w:proofErr w:type="spellEnd"/>
      <w:r>
        <w:t xml:space="preserve">, 2021). Successful transactions include a plethora of decision-making data that lays out what went correctly throughout the sales process and serves as a good reference point for preparing future sales demonstrations, and this data may be gleaned from past sales. In spite of the fact that stores have been collecting customer information since the beginning of time, only lately have businesses started to realize its full potential (Wang, </w:t>
      </w:r>
      <w:proofErr w:type="spellStart"/>
      <w:r>
        <w:t>Krishnamurthi</w:t>
      </w:r>
      <w:proofErr w:type="spellEnd"/>
      <w:r>
        <w:t xml:space="preserve"> and </w:t>
      </w:r>
      <w:proofErr w:type="spellStart"/>
      <w:r>
        <w:t>Malthouse</w:t>
      </w:r>
      <w:proofErr w:type="spellEnd"/>
      <w:r>
        <w:t xml:space="preserve">, 2018). Given the ever-increasing expectations of consumers, it is essential for businesses to get insight into customer behaviour via the analysis of acquired data. Sainsbury's has teamed up with a solutions vendor, Alteryx, to address this issue (Holland, 2021). The supermarket is employing data analytics to improve its decision-making processes by concentrating on certain areas, such as Argos sales or insights into sales data by geography, and creating new databases, apps, and reporting systems to accommodate these areas. An analytical systems developer at Sainsbury's, argues that the company and the retail sector as a whole would benefit from a greater emphasis on fostering data talent (Wang, </w:t>
      </w:r>
      <w:proofErr w:type="spellStart"/>
      <w:r>
        <w:t>Krishnamurthi</w:t>
      </w:r>
      <w:proofErr w:type="spellEnd"/>
      <w:r>
        <w:t xml:space="preserve"> and </w:t>
      </w:r>
      <w:proofErr w:type="spellStart"/>
      <w:r>
        <w:t>Malthouse</w:t>
      </w:r>
      <w:proofErr w:type="spellEnd"/>
      <w:r>
        <w:t xml:space="preserve">, 2018). Information gathered from customers, the Nectar reward program, web-scraping, and open-source data from the Office of National Statistics are just some of the many insights and resources used by the company to inform its business choices (Santoro </w:t>
      </w:r>
      <w:r>
        <w:rPr>
          <w:i/>
        </w:rPr>
        <w:t>et al</w:t>
      </w:r>
      <w:r>
        <w:t xml:space="preserve">., 2018). </w:t>
      </w:r>
    </w:p>
    <w:p w14:paraId="73CB353C" w14:textId="77777777" w:rsidR="00545592" w:rsidRDefault="00545592" w:rsidP="00545592">
      <w:r>
        <w:t>In August 2015, Sainsbury's began partnering with Engage Hub to implement an Interactive Voice (IVR) system, with the first rollout including 73 locations. All 600 of the superstores are now using the solution because the trial was so successful. Saving time for both clients and employees, the IVR system is completely linked with Sainsbury's systems and allows consumers to acquire the information they need without having to talk to a customer support agent (</w:t>
      </w:r>
      <w:proofErr w:type="spellStart"/>
      <w:r>
        <w:t>Alam</w:t>
      </w:r>
      <w:proofErr w:type="spellEnd"/>
      <w:r>
        <w:t xml:space="preserve">, </w:t>
      </w:r>
      <w:proofErr w:type="spellStart"/>
      <w:r>
        <w:t>Azeem</w:t>
      </w:r>
      <w:proofErr w:type="spellEnd"/>
      <w:r>
        <w:t xml:space="preserve"> and Rahman, 2021). However, this has increased the variety of calls a shop receives and the complexity with which these calls are dealt. Sainsbury's also understood that it required real-time management information (MI) and analytics to acquire a more in-depth understanding of each consumer journey in order to continuously maximize the customer experience. The bulk of calls to Sainsbury's supermarkets could be handled by the company's new contact centre, but the company's old, rigid IVR system was still directing customers to shop associates.</w:t>
      </w:r>
    </w:p>
    <w:p w14:paraId="55C631E3" w14:textId="77777777" w:rsidR="00545592" w:rsidRDefault="00545592" w:rsidP="00545592">
      <w:pPr>
        <w:pStyle w:val="Heading2"/>
      </w:pPr>
      <w:bookmarkStart w:id="4" w:name="_Toc119675025"/>
      <w:r>
        <w:t>2.3 Segmentation, Pricing Strategies and Differentiation</w:t>
      </w:r>
      <w:bookmarkEnd w:id="4"/>
    </w:p>
    <w:p w14:paraId="2F74AB4E" w14:textId="77777777" w:rsidR="00545592" w:rsidRDefault="00545592" w:rsidP="00545592">
      <w:r>
        <w:t xml:space="preserve">Sainsbury centres its pricing on providing "value for money" to consumers, which aids in maintaining product and service quality standards and, in turn, creating brand loyalty. In order to maintain or increase market share, it employs competitive pricing rather than price reduction (Lloyd </w:t>
      </w:r>
      <w:r>
        <w:rPr>
          <w:i/>
        </w:rPr>
        <w:t>et al</w:t>
      </w:r>
      <w:r>
        <w:t xml:space="preserve">., 2018). Sainsbury's aims for a customer base between the ages of 15 and 80. In this day and age, convenience is paramount, hence most people shop at this grocery chain. However, the family unit, and the Mother, in particular, constitute the company's primary clientele. Sainsbury's airs a variety of TV commercials aimed towards this demographic (Stewart, 2020). Sainsbury's has a 14.0% share of the British food market, making it the country's second-largest supermarket company. And it has set itself up as a competitor in the middle- to high-end segments. Sainsbury's established itself as a go-to for middle-to-upper-class consumers. It's for this reason that many of the firm's products are priced above the market (Kantar Group and Affiliates, 2022). Vegetarianism is rapidly becoming the diet of choice in modern society. Possible motivations include serious concern for animal and environmental welfare or a desire to make a positive contribution to the world. </w:t>
      </w:r>
    </w:p>
    <w:p w14:paraId="29DCA102" w14:textId="77777777" w:rsidR="00545592" w:rsidRDefault="00545592" w:rsidP="00545592">
      <w:r>
        <w:t>Vegetables, which are rich in vitamins, minerals, and fibre, make up a large portion of a vegan's diet. Every one of these factors is carefully considered by Sainsbury's. Providing more options for its consumers, especially those who follow a vegetarian diet, demonstrates a high level of concern (</w:t>
      </w:r>
      <w:proofErr w:type="spellStart"/>
      <w:r>
        <w:t>GlobalData</w:t>
      </w:r>
      <w:proofErr w:type="spellEnd"/>
      <w:r>
        <w:t xml:space="preserve"> Plc., 2022). Sainsbury's incredible expansion was spurred by the popularity of its own-brand food items, as well as the success of its e-commerce and convenience store ventures. Sainsbury has been successful because of its emphasis on, and execution of, a dual message of quality and value (Stewart, 2020). Putting aside the dismal sales figures for a moment, Sainsbury's has emerged as one of the most "future-ready" UK supermarkets. Following the success of its innovative "department supermarket" style in Birmingham's Selly Oak, the company opened a demonstration of its Scan and Go convenience store in London.</w:t>
      </w:r>
    </w:p>
    <w:p w14:paraId="1019A31F" w14:textId="77777777" w:rsidR="00545592" w:rsidRDefault="00545592" w:rsidP="00545592">
      <w:r>
        <w:t>Additionally, it had updated a portion of its home delivery fleet to electric vans as part of its pledge to reduce its carbon footprint by 30% by 2020, and it has established its store network conclusively by selling 12 of its superstores to a US-based real estate investment company to concentrate on its faster-growing convenience sector. Sainsbury's appears not merely competent, but may be market-leading, in terms of creativity and preparing the firm for the long run (Stewart, 2020). Sainsbury's has articulated its strategy for future growth, which includes acquiring unique, different items to stock its shelves. This is an admirable approach to help the company escape the too-competitive middle market (</w:t>
      </w:r>
      <w:proofErr w:type="spellStart"/>
      <w:r>
        <w:t>Bhupathiraju</w:t>
      </w:r>
      <w:proofErr w:type="spellEnd"/>
      <w:r>
        <w:t xml:space="preserve"> and </w:t>
      </w:r>
      <w:proofErr w:type="spellStart"/>
      <w:r>
        <w:t>Raghavendra</w:t>
      </w:r>
      <w:proofErr w:type="spellEnd"/>
      <w:r>
        <w:t xml:space="preserve">, 2022). Customers are highly volatile, and Sainsbury's will have a hard time attracting back customers who have defected to rivals like Tesco, discount stores, and premium players during this time. The chain's stores will continue to experience reverberations from this period until the company can demonstrate to its clientele that it has improved. </w:t>
      </w:r>
    </w:p>
    <w:p w14:paraId="42938420" w14:textId="77777777" w:rsidR="00545592" w:rsidRDefault="00545592" w:rsidP="00545592">
      <w:r>
        <w:t>Their plan is to accommodate all clients' preferences and provide them with the option to purchase whenever and wherever is most convenient for them. The food's consistently high quality has always set the brand apart, and they have teamed up with other vendors to deliver consumers even more unique, cutting-edge alternatives. They are reconfiguring their grocery store to meet consumers' needs for a diverse variety of shopping sprees, so they can find everything they need in one convenient location. With this strategy, they are able to get the most out of their supermarket real estate, which has resulted in a rise in the trading activity of their whole supermarket portfolio. They have also improved Sainsbury's retail operations by adjusting the roles of store managers and employees to be more in tune with how people shop today (</w:t>
      </w:r>
      <w:proofErr w:type="spellStart"/>
      <w:r>
        <w:t>Bhupathiraju</w:t>
      </w:r>
      <w:proofErr w:type="spellEnd"/>
      <w:r>
        <w:t xml:space="preserve"> and </w:t>
      </w:r>
      <w:proofErr w:type="spellStart"/>
      <w:r>
        <w:t>Raghavendra</w:t>
      </w:r>
      <w:proofErr w:type="spellEnd"/>
      <w:r>
        <w:t xml:space="preserve">, 2022). The rapidly expanding Groceries Online channel has become more lucrative as a result of technological advancements that have increased efficiency and drive sales. They have over 800 convenience shops around the country and are outselling the competition in both value and volume because of their dedication to localizing their product selection to meet the needs of shoppers in each community. </w:t>
      </w:r>
    </w:p>
    <w:p w14:paraId="30408B61" w14:textId="77777777" w:rsidR="00545592" w:rsidRDefault="00545592" w:rsidP="00545592">
      <w:pPr>
        <w:pStyle w:val="Heading2"/>
      </w:pPr>
      <w:bookmarkStart w:id="5" w:name="_Toc119675026"/>
      <w:r>
        <w:t>2.4 Ethics and Sustainability</w:t>
      </w:r>
      <w:bookmarkEnd w:id="5"/>
    </w:p>
    <w:p w14:paraId="372FD437" w14:textId="77777777" w:rsidR="00545592" w:rsidRDefault="00545592" w:rsidP="00545592">
      <w:pPr>
        <w:rPr>
          <w:b/>
        </w:rPr>
      </w:pPr>
      <w:r>
        <w:rPr>
          <w:b/>
        </w:rPr>
        <w:t xml:space="preserve">Application of Carroll’s Pyramid </w:t>
      </w:r>
    </w:p>
    <w:p w14:paraId="40ED22DD" w14:textId="77777777" w:rsidR="00545592" w:rsidRDefault="00545592" w:rsidP="00545592">
      <w:pPr>
        <w:rPr>
          <w:b/>
          <w:i/>
          <w:u w:val="single"/>
        </w:rPr>
      </w:pPr>
      <w:r>
        <w:rPr>
          <w:b/>
          <w:i/>
          <w:u w:val="single"/>
        </w:rPr>
        <w:t>Economic Responsibility</w:t>
      </w:r>
    </w:p>
    <w:p w14:paraId="645F4CCD" w14:textId="77777777" w:rsidR="00545592" w:rsidRDefault="00545592" w:rsidP="00545592">
      <w:r>
        <w:t xml:space="preserve">Expanding on last year's ambitious Net Zero by 2040 objective, this year they have set a Scope 3 target to account for indirect emissions across the value chain. They aim to lessen their company's negative effect on the environment and will collaborate with their farmers, gardeners, and other vendors to lessen theirs as well. The Science Based Targets for Scopes 1, 2, and 3 have been recognized by the Science Based Targets initiative (SBTi). Sainsbury has committed to achieving Net Zero GHG emissions from its own activities across Scopes 1 and 2 by 2040 as part of its efforts to keep global warming well below 1.5 °C. To fit with well below 2°C eventualities, they have defined an aggressive Scope 3 objective in collaboration with the Carbon Trust that calls for a 30% reduction in actual GHG emissions by 2030. The starting point is at 26.663.081 tC02e for the current fiscal year (2018-2019) (Sainsbury’s, 2022). The goal includes lowering pollutants from product purchases, upstream distribution and transportation, client product usage, and service provision. They are also dedicated to supporting the growth and achievement of their extensive network of international suppliers. They are honoured to have environmental transparency recognized by CDP, a mechanism for disclosing a company's effect on the environment. For the seventh year in a row, they have been recognized as the only UK store to get an A grade for their climate change reporting (Carroll, 2016). Because of the efforts to involve vendors in the fight against climate change, CDP has named it a Supplier Engagement Leader. They have made a commitment to halve food waste across the board by the year 2030. </w:t>
      </w:r>
    </w:p>
    <w:p w14:paraId="3712507B" w14:textId="77777777" w:rsidR="00545592" w:rsidRDefault="00545592" w:rsidP="00545592">
      <w:r>
        <w:t>They have decreased the amount of food waste sent to anaerobic digestion by their own activities by more than 5,000 metric tonnes, or about 16 per cent. This trend has been propelled by the reduction in waste production as a consequence of propositional adjustments in the food service divisions and the increase in volume distributed equally to people and delivered to animal feed as a consequence of the epidemic and system design (BBC, 2021). They have controlled recycling facilities at 273 Sainsbury's shops around the country, assisting consumers in recycling old clothes, tin cans, glassware, plastics, cardboard, and other items. Sainsbury's has 273 locations where customers may recycle. Their 63-location pilot program to recycle flexible plastics in-store has just wrapped up. Polypropylene (PP) film, which is used in a wide variety of commonplace items, may be recycled using the new technology, which will be rolled out more widely in the next year (</w:t>
      </w:r>
      <w:proofErr w:type="spellStart"/>
      <w:r>
        <w:t>Nalband</w:t>
      </w:r>
      <w:proofErr w:type="spellEnd"/>
      <w:r>
        <w:t xml:space="preserve"> and </w:t>
      </w:r>
      <w:proofErr w:type="spellStart"/>
      <w:r>
        <w:t>Kelabi</w:t>
      </w:r>
      <w:proofErr w:type="spellEnd"/>
      <w:r>
        <w:t xml:space="preserve">, 2014). This has directly impacted the company to expand its brand value and reduce additional costs by reducing operational waste that results in economic resilience. </w:t>
      </w:r>
    </w:p>
    <w:p w14:paraId="54A649C3" w14:textId="77777777" w:rsidR="00545592" w:rsidRDefault="00545592" w:rsidP="00545592">
      <w:pPr>
        <w:rPr>
          <w:b/>
          <w:i/>
          <w:u w:val="single"/>
        </w:rPr>
      </w:pPr>
      <w:r>
        <w:rPr>
          <w:b/>
          <w:i/>
          <w:u w:val="single"/>
        </w:rPr>
        <w:t>Philanthropic Responsibility</w:t>
      </w:r>
    </w:p>
    <w:p w14:paraId="0A6897D5" w14:textId="77777777" w:rsidR="00545592" w:rsidRDefault="00545592" w:rsidP="00545592">
      <w:r>
        <w:t xml:space="preserve">Using the UK Farmer and Grower Development Groups, Sainsbury's connected with reputable suppliers and are now collaborating with them to strengthen the British agricultural sector (Sainsbury plc, 2021). The Dairy Development Group and the Cost of Production model are still working closely together to ensure that all dairy farmers are compensated fairly. There have been ongoing advantages to this segregated supply, including better health and welfare results, increased productivity, and a longer lifespan for the company. They have been buying beef from the North Highland Initiative, which has helped over a hundred farmers and ranchers in Scotland's far north, for over a decade (Sainsbury’s, 2022). They have promoted and shared best practices in Integrated Pest Management (IPM) with its farmers via Crop Action Groups (CAGs). These organisations have expanded in size, membership, and impact throughout this time period. They operate CAGs in several different regions and nations, including the United Kingdom, Spain, and South Africa. </w:t>
      </w:r>
    </w:p>
    <w:p w14:paraId="69957F9F" w14:textId="77777777" w:rsidR="00545592" w:rsidRDefault="00545592" w:rsidP="00545592">
      <w:pPr>
        <w:rPr>
          <w:b/>
          <w:i/>
          <w:u w:val="single"/>
        </w:rPr>
      </w:pPr>
      <w:r>
        <w:rPr>
          <w:b/>
          <w:i/>
          <w:u w:val="single"/>
        </w:rPr>
        <w:t>Legal Responsibility</w:t>
      </w:r>
    </w:p>
    <w:p w14:paraId="274DEE46" w14:textId="77777777" w:rsidR="00545592" w:rsidRDefault="00545592" w:rsidP="00545592">
      <w:r>
        <w:t>Representatives of the governance committee are interested in learning more about the measures being taken to comply with new regulations, such as those pertaining to the supply chain (such as the Defra consultation on deforestation and EU Human Rights Due Diligence) and how much they will cost and what kind of influence they will have on the company (Sainsbury plc, 2021). In addition, the Committee receives a report on the results of increasing campaigner action and public knowledge of illegal status in distribution networks, as well as the effects of expanded supplier accountability. Although illegal in the UK, modern slavery and human trafficking are pervasive worldwide. The Board has been urged to accept the Modern Slavery Statement after the Committee assessed its efforts to combat modern slavery and human trafficking in the workplace and the distribution network.</w:t>
      </w:r>
    </w:p>
    <w:p w14:paraId="73BAC267" w14:textId="77777777" w:rsidR="00545592" w:rsidRDefault="00545592" w:rsidP="00545592">
      <w:pPr>
        <w:rPr>
          <w:b/>
          <w:i/>
          <w:u w:val="single"/>
        </w:rPr>
      </w:pPr>
      <w:r>
        <w:rPr>
          <w:b/>
          <w:i/>
          <w:u w:val="single"/>
        </w:rPr>
        <w:t>Ethical Responsibility</w:t>
      </w:r>
    </w:p>
    <w:p w14:paraId="5EC0D47D" w14:textId="77777777" w:rsidR="00545592" w:rsidRDefault="00545592" w:rsidP="00545592">
      <w:pPr>
        <w:tabs>
          <w:tab w:val="left" w:pos="5387"/>
        </w:tabs>
      </w:pPr>
      <w:r>
        <w:t>The employees are the backbone of business operations. There is a major culture change initiative underway to help them learn about the organization's goals and values (Sainsbury plc, 2021). The annual colleague engagement survey is one way Sainsbury's ensures that their employees are feeling appreciated and invested in. The percentage of employees who strongly or somewhat agree with the statement "I feel I am able to be myself at work" rose to 88%, contributing to a 6% improvement in the overall sustained engagement score to 81%. They also implemented a poll to see how our employees are doing and to get their feedback on ongoing company initiatives. In the year, for the very first time, they included information on their ethnicity pay gap in their Gender Pay Gap Report (Sainsbury plc, 2021). Sainsbury's also continues to strive toward greater representation and transparency across the company. The overall gender pay gap has decreased by 0.8% to 9.7%, but the median difference has climbed by 0.3% to 5.0%. The median ethnicity-based pay disparity in the organisation is 0.4%. They have an ambitious goal of achieving 10% ethnically diverse participation in senior positions. The goal is to have 40 percent of women in management positions by 2020/22, thus the present percentage of 37.67 percent is 2.5 percent more than it was the year before. Inclusion has also been a key priority for the company. Sainsbury's reported spending £485m on Covid-related expenses, such as compensating employees who had to protect themselves or go into self-imposed isolation (Sainsbury plc, 2021). Also, similar to its competitors, it repaid store-level business charges exemption.</w:t>
      </w:r>
    </w:p>
    <w:p w14:paraId="26A4AEFB" w14:textId="77777777" w:rsidR="00545592" w:rsidRDefault="00545592" w:rsidP="00545592">
      <w:pPr>
        <w:pStyle w:val="Heading1"/>
      </w:pPr>
      <w:bookmarkStart w:id="6" w:name="_Toc119675027"/>
      <w:r>
        <w:t>3. Conclusion</w:t>
      </w:r>
      <w:bookmarkEnd w:id="6"/>
      <w:r>
        <w:t xml:space="preserve"> </w:t>
      </w:r>
    </w:p>
    <w:p w14:paraId="16D9986C" w14:textId="77777777" w:rsidR="00545592" w:rsidRDefault="00545592" w:rsidP="00545592">
      <w:r>
        <w:t xml:space="preserve">Relationship marketing strives to achieve customer loyalty, open lines of contact, and sustained interest. Instead of focusing on short-term goals like obtaining new customers and generating specific transactions, relationship marketing strives to build long-term ties between a company and its customers. As a result, relationship marketing encourages two-way communication and provides material that is relevant to the needs and interests of the customer. Relationship marketing works because it builds genuine connections between brands and their consumers, which in turn increases brand loyalty. Unlike more traditional kinds of marketing, this one focuses on building relationships rather than making immediate purchases. Sainsbury's is one such brand that has been emphasizing its marketing and sustainability strategies to develop deeper customer relations and enhance brand value. This report especially looks into its strategies and critically elaborates on its present approaches to developing its customer base. </w:t>
      </w:r>
      <w:r>
        <w:br w:type="page"/>
      </w:r>
    </w:p>
    <w:p w14:paraId="34B9146B" w14:textId="77777777" w:rsidR="00545592" w:rsidRDefault="00545592" w:rsidP="00545592">
      <w:pPr>
        <w:pStyle w:val="Heading1"/>
      </w:pPr>
      <w:bookmarkStart w:id="7" w:name="_Toc119675028"/>
      <w:r>
        <w:t>References</w:t>
      </w:r>
      <w:bookmarkEnd w:id="7"/>
      <w:r>
        <w:t xml:space="preserve"> </w:t>
      </w:r>
    </w:p>
    <w:p w14:paraId="3B5114A7" w14:textId="77777777" w:rsidR="00545592" w:rsidRDefault="00545592" w:rsidP="00545592">
      <w:proofErr w:type="spellStart"/>
      <w:r>
        <w:t>Alam</w:t>
      </w:r>
      <w:proofErr w:type="spellEnd"/>
      <w:r>
        <w:t xml:space="preserve">, M.W., </w:t>
      </w:r>
      <w:proofErr w:type="spellStart"/>
      <w:r>
        <w:t>Azeem</w:t>
      </w:r>
      <w:proofErr w:type="spellEnd"/>
      <w:r>
        <w:t>, M.A. and Rahman, M.A., 2021. e-CRM in Retail Organization: A Robust Infrastructure for Technological Development. </w:t>
      </w:r>
      <w:r>
        <w:rPr>
          <w:i/>
        </w:rPr>
        <w:t>Journal of Applied Computing</w:t>
      </w:r>
      <w:r>
        <w:t>, </w:t>
      </w:r>
      <w:r>
        <w:rPr>
          <w:i/>
        </w:rPr>
        <w:t>6</w:t>
      </w:r>
      <w:r>
        <w:t>(1), pp.10-15.</w:t>
      </w:r>
    </w:p>
    <w:p w14:paraId="309224F5" w14:textId="77777777" w:rsidR="00545592" w:rsidRDefault="00545592" w:rsidP="00545592">
      <w:bookmarkStart w:id="8" w:name="_heading=h.4d34og8"/>
      <w:bookmarkEnd w:id="8"/>
      <w:proofErr w:type="spellStart"/>
      <w:r>
        <w:t>Alshurideha</w:t>
      </w:r>
      <w:proofErr w:type="spellEnd"/>
      <w:r>
        <w:t xml:space="preserve">, M.T., Al </w:t>
      </w:r>
      <w:proofErr w:type="spellStart"/>
      <w:r>
        <w:t>Kurdib</w:t>
      </w:r>
      <w:proofErr w:type="spellEnd"/>
      <w:r>
        <w:t xml:space="preserve">, B., </w:t>
      </w:r>
      <w:proofErr w:type="spellStart"/>
      <w:r>
        <w:t>Alzoubic</w:t>
      </w:r>
      <w:proofErr w:type="spellEnd"/>
      <w:r>
        <w:t xml:space="preserve">, H.M., </w:t>
      </w:r>
      <w:proofErr w:type="spellStart"/>
      <w:r>
        <w:t>Obeidatd</w:t>
      </w:r>
      <w:proofErr w:type="spellEnd"/>
      <w:r>
        <w:t xml:space="preserve">, B., </w:t>
      </w:r>
      <w:proofErr w:type="spellStart"/>
      <w:r>
        <w:t>Hamadnehe</w:t>
      </w:r>
      <w:proofErr w:type="spellEnd"/>
      <w:r>
        <w:t xml:space="preserve">, S. and </w:t>
      </w:r>
      <w:proofErr w:type="spellStart"/>
      <w:r>
        <w:t>Ahmadf</w:t>
      </w:r>
      <w:proofErr w:type="spellEnd"/>
      <w:r>
        <w:t>, A.A., 2022. Uncertain Supply Chain Management.</w:t>
      </w:r>
    </w:p>
    <w:p w14:paraId="71A0A01F" w14:textId="77777777" w:rsidR="00545592" w:rsidRDefault="00545592" w:rsidP="00545592">
      <w:bookmarkStart w:id="9" w:name="_heading=h.2s8eyo1"/>
      <w:bookmarkEnd w:id="9"/>
      <w:r>
        <w:t xml:space="preserve">Attwood, S., </w:t>
      </w:r>
      <w:proofErr w:type="spellStart"/>
      <w:r>
        <w:t>Blondin</w:t>
      </w:r>
      <w:proofErr w:type="spellEnd"/>
      <w:r>
        <w:t xml:space="preserve">, S. and </w:t>
      </w:r>
      <w:proofErr w:type="spellStart"/>
      <w:r>
        <w:t>Vennard</w:t>
      </w:r>
      <w:proofErr w:type="spellEnd"/>
      <w:r>
        <w:t>, D., 2021. Youth Say They Want Climate-friendly Diets. Let’s Help Them Step Up.</w:t>
      </w:r>
    </w:p>
    <w:p w14:paraId="3A2BAC4A" w14:textId="77777777" w:rsidR="00545592" w:rsidRDefault="00545592" w:rsidP="00545592">
      <w:pPr>
        <w:tabs>
          <w:tab w:val="left" w:pos="5387"/>
        </w:tabs>
      </w:pPr>
      <w:r>
        <w:t xml:space="preserve">BBC, 2021. </w:t>
      </w:r>
      <w:r>
        <w:rPr>
          <w:i/>
        </w:rPr>
        <w:t>Sainsbury's: Cost of Covid has been high</w:t>
      </w:r>
      <w:r>
        <w:t xml:space="preserve">. [Online]. Available at: </w:t>
      </w:r>
      <w:hyperlink r:id="rId5" w:history="1">
        <w:r>
          <w:rPr>
            <w:rStyle w:val="Hyperlink"/>
            <w:color w:val="0563C1"/>
          </w:rPr>
          <w:t>https://www.bbc.com/news/business-56912064</w:t>
        </w:r>
      </w:hyperlink>
      <w:r>
        <w:t xml:space="preserve"> [Accessed on 16th November 2022]. </w:t>
      </w:r>
    </w:p>
    <w:p w14:paraId="387D636E" w14:textId="77777777" w:rsidR="00545592" w:rsidRDefault="00545592" w:rsidP="00545592">
      <w:bookmarkStart w:id="10" w:name="_heading=h.17dp8vu"/>
      <w:bookmarkEnd w:id="10"/>
      <w:proofErr w:type="spellStart"/>
      <w:r>
        <w:t>Bhupathiraju</w:t>
      </w:r>
      <w:proofErr w:type="spellEnd"/>
      <w:r>
        <w:t xml:space="preserve">, G.V. and </w:t>
      </w:r>
      <w:proofErr w:type="spellStart"/>
      <w:r>
        <w:t>Raghavendra</w:t>
      </w:r>
      <w:proofErr w:type="spellEnd"/>
      <w:r>
        <w:t>, V.R.T.S., 2022. Data mining for the online retail industry: Customer segmentation and assessment of customers using RFM and k-means.</w:t>
      </w:r>
    </w:p>
    <w:p w14:paraId="3D5C56EA" w14:textId="77777777" w:rsidR="00545592" w:rsidRDefault="00545592" w:rsidP="00545592">
      <w:pPr>
        <w:tabs>
          <w:tab w:val="left" w:pos="5387"/>
        </w:tabs>
      </w:pPr>
      <w:r>
        <w:t>Carroll, A.B., 2016. Carroll’s pyramid of CSR: taking another look. </w:t>
      </w:r>
      <w:r>
        <w:rPr>
          <w:i/>
        </w:rPr>
        <w:t>International journal of corporate social responsibility</w:t>
      </w:r>
      <w:r>
        <w:t>, </w:t>
      </w:r>
      <w:r>
        <w:rPr>
          <w:i/>
        </w:rPr>
        <w:t>1</w:t>
      </w:r>
      <w:r>
        <w:t>(1), pp.1-8.</w:t>
      </w:r>
    </w:p>
    <w:p w14:paraId="1A7F34B0" w14:textId="77777777" w:rsidR="00545592" w:rsidRDefault="00545592" w:rsidP="00545592">
      <w:bookmarkStart w:id="11" w:name="_heading=h.3rdcrjn"/>
      <w:bookmarkEnd w:id="11"/>
      <w:r>
        <w:t>Chaffey, D. and Ellis-Chadwick, F., 2019. </w:t>
      </w:r>
      <w:r>
        <w:rPr>
          <w:i/>
        </w:rPr>
        <w:t>Digital marketing: strategy, implementation &amp; practice</w:t>
      </w:r>
      <w:r>
        <w:t xml:space="preserve">. Pearson </w:t>
      </w:r>
      <w:proofErr w:type="spellStart"/>
      <w:r>
        <w:t>uk</w:t>
      </w:r>
      <w:proofErr w:type="spellEnd"/>
      <w:r>
        <w:t>.</w:t>
      </w:r>
    </w:p>
    <w:p w14:paraId="1D150A13" w14:textId="77777777" w:rsidR="00545592" w:rsidRDefault="00545592" w:rsidP="00545592">
      <w:r>
        <w:t>Christopher, M., Payne, A. and Ballantyne, D., 2013. </w:t>
      </w:r>
      <w:r>
        <w:rPr>
          <w:i/>
        </w:rPr>
        <w:t>Relationship marketing</w:t>
      </w:r>
      <w:r>
        <w:t>. Routledge.</w:t>
      </w:r>
    </w:p>
    <w:p w14:paraId="4B302EFA" w14:textId="77777777" w:rsidR="00545592" w:rsidRDefault="00545592" w:rsidP="00545592">
      <w:r>
        <w:t xml:space="preserve">Gil-Gomez, H., </w:t>
      </w:r>
      <w:proofErr w:type="spellStart"/>
      <w:r>
        <w:t>Guerola</w:t>
      </w:r>
      <w:proofErr w:type="spellEnd"/>
      <w:r>
        <w:t xml:space="preserve">-Navarro, V., </w:t>
      </w:r>
      <w:proofErr w:type="spellStart"/>
      <w:r>
        <w:t>Oltra-Badenes</w:t>
      </w:r>
      <w:proofErr w:type="spellEnd"/>
      <w:r>
        <w:t>, R. and Lozano-</w:t>
      </w:r>
      <w:proofErr w:type="spellStart"/>
      <w:r>
        <w:t>Quilis</w:t>
      </w:r>
      <w:proofErr w:type="spellEnd"/>
      <w:r>
        <w:t>, J.A., 2020. Customer relationship management: digital transformation and sustainable business model innovation. </w:t>
      </w:r>
      <w:r>
        <w:rPr>
          <w:i/>
        </w:rPr>
        <w:t>Economic research-</w:t>
      </w:r>
      <w:proofErr w:type="spellStart"/>
      <w:r>
        <w:rPr>
          <w:i/>
        </w:rPr>
        <w:t>Ekonomska</w:t>
      </w:r>
      <w:proofErr w:type="spellEnd"/>
      <w:r>
        <w:rPr>
          <w:i/>
        </w:rPr>
        <w:t xml:space="preserve"> </w:t>
      </w:r>
      <w:proofErr w:type="spellStart"/>
      <w:r>
        <w:rPr>
          <w:i/>
        </w:rPr>
        <w:t>istraživanja</w:t>
      </w:r>
      <w:proofErr w:type="spellEnd"/>
      <w:r>
        <w:t>, </w:t>
      </w:r>
      <w:r>
        <w:rPr>
          <w:i/>
        </w:rPr>
        <w:t>33</w:t>
      </w:r>
      <w:r>
        <w:t>(1), pp.2733-2750.</w:t>
      </w:r>
    </w:p>
    <w:p w14:paraId="12870FE1" w14:textId="77777777" w:rsidR="00545592" w:rsidRDefault="00545592" w:rsidP="00545592">
      <w:proofErr w:type="spellStart"/>
      <w:r>
        <w:t>GlobalData</w:t>
      </w:r>
      <w:proofErr w:type="spellEnd"/>
      <w:r>
        <w:t xml:space="preserve"> Plc., 2022, </w:t>
      </w:r>
      <w:r>
        <w:rPr>
          <w:i/>
        </w:rPr>
        <w:t xml:space="preserve">Supermarket loyalty schemes will be key for customer retention in the UK during cost-of-living crisis, says </w:t>
      </w:r>
      <w:proofErr w:type="spellStart"/>
      <w:r>
        <w:rPr>
          <w:i/>
        </w:rPr>
        <w:t>GlobalData</w:t>
      </w:r>
      <w:proofErr w:type="spellEnd"/>
      <w:r>
        <w:t xml:space="preserve">. [Online]. Available at: </w:t>
      </w:r>
      <w:hyperlink r:id="rId6" w:history="1">
        <w:r>
          <w:rPr>
            <w:rStyle w:val="Hyperlink"/>
            <w:color w:val="0563C1"/>
          </w:rPr>
          <w:t>https://www.globaldata.com/media/consumer/supermarket-loyalty-schemes-will-key-customer-retention-uk-cost-living-crisis-says-globaldata/</w:t>
        </w:r>
      </w:hyperlink>
      <w:r>
        <w:t xml:space="preserve"> [Accessed on: 16</w:t>
      </w:r>
      <w:r>
        <w:rPr>
          <w:vertAlign w:val="superscript"/>
        </w:rPr>
        <w:t>th</w:t>
      </w:r>
      <w:r>
        <w:t xml:space="preserve"> November 2022]. </w:t>
      </w:r>
    </w:p>
    <w:p w14:paraId="6278E328" w14:textId="77777777" w:rsidR="00545592" w:rsidRDefault="00545592" w:rsidP="00545592">
      <w:bookmarkStart w:id="12" w:name="_heading=h.26in1rg"/>
      <w:bookmarkEnd w:id="12"/>
      <w:r>
        <w:t xml:space="preserve">Hassan, A., Parvez, M. and </w:t>
      </w:r>
      <w:proofErr w:type="spellStart"/>
      <w:r>
        <w:t>Ekiz</w:t>
      </w:r>
      <w:proofErr w:type="spellEnd"/>
      <w:r>
        <w:t>, E., 2019, July. Technology Induced Loyalty Schemes for Customer Relationship Management and Positive Purchase Decisions. In </w:t>
      </w:r>
      <w:r>
        <w:rPr>
          <w:i/>
        </w:rPr>
        <w:t>9th ADVANCES IN HOPITALITY AND TOURISM MARKETING AND MANAGEMENT CONFERENCE</w:t>
      </w:r>
      <w:r>
        <w:t> (p. 241).</w:t>
      </w:r>
    </w:p>
    <w:p w14:paraId="52AF6D1E" w14:textId="77777777" w:rsidR="00545592" w:rsidRDefault="00545592" w:rsidP="00545592">
      <w:r>
        <w:t xml:space="preserve">Holland, R., 2021. Sainsbury's Translates Years of Data into Meaningful Spatial Insights. [Online]. Available at: </w:t>
      </w:r>
      <w:hyperlink r:id="rId7" w:history="1">
        <w:r>
          <w:rPr>
            <w:rStyle w:val="Hyperlink"/>
            <w:color w:val="0563C1"/>
          </w:rPr>
          <w:t>https://community.alteryx.com/t5/Alteryx-Use-Cases/Sainsbury-s-Translates-Years-of-Data-into-Meaningful-Spatial/ta-p/739142</w:t>
        </w:r>
      </w:hyperlink>
      <w:r>
        <w:t xml:space="preserve"> [Accessed on 16th November 2022]</w:t>
      </w:r>
    </w:p>
    <w:p w14:paraId="2EF9EDD8" w14:textId="77777777" w:rsidR="00545592" w:rsidRDefault="00545592" w:rsidP="00545592">
      <w:bookmarkStart w:id="13" w:name="_heading=h.lnxbz9"/>
      <w:bookmarkEnd w:id="13"/>
      <w:r>
        <w:t>Hunt, S.D., 2019. The ethics of branding, customer-brand relationships, brand-equity strategy, and branding as a societal institution. </w:t>
      </w:r>
      <w:r>
        <w:rPr>
          <w:i/>
        </w:rPr>
        <w:t>Journal of Business Research</w:t>
      </w:r>
      <w:r>
        <w:t>, </w:t>
      </w:r>
      <w:r>
        <w:rPr>
          <w:i/>
        </w:rPr>
        <w:t>95</w:t>
      </w:r>
      <w:r>
        <w:t>, pp.408-416.</w:t>
      </w:r>
    </w:p>
    <w:p w14:paraId="4526380F" w14:textId="77777777" w:rsidR="00545592" w:rsidRDefault="00545592" w:rsidP="00545592">
      <w:bookmarkStart w:id="14" w:name="_heading=h.35nkun2"/>
      <w:bookmarkEnd w:id="14"/>
      <w:r>
        <w:t>Jones, P. and Comfort, D., 2019. Stories and Retailer Brands: A Study of the UK’s Leading Retailers. </w:t>
      </w:r>
      <w:r>
        <w:rPr>
          <w:i/>
        </w:rPr>
        <w:t>Indonesian Journal of Contemporary Management Research</w:t>
      </w:r>
      <w:r>
        <w:t>, </w:t>
      </w:r>
      <w:r>
        <w:rPr>
          <w:i/>
        </w:rPr>
        <w:t>1</w:t>
      </w:r>
      <w:r>
        <w:t>(2), pp.65-77.</w:t>
      </w:r>
    </w:p>
    <w:p w14:paraId="664160F4" w14:textId="77777777" w:rsidR="00545592" w:rsidRDefault="00545592" w:rsidP="00545592">
      <w:bookmarkStart w:id="15" w:name="_heading=h.1ksv4uv"/>
      <w:bookmarkEnd w:id="15"/>
      <w:r>
        <w:t xml:space="preserve">Kantar Group and Affiliates, 2022. </w:t>
      </w:r>
      <w:r>
        <w:rPr>
          <w:i/>
        </w:rPr>
        <w:t>Big four line-up changes as UK grocery price inflation accelerates again</w:t>
      </w:r>
      <w:r>
        <w:t xml:space="preserve">. [Online]. Available at: </w:t>
      </w:r>
      <w:hyperlink r:id="rId8" w:history="1">
        <w:r>
          <w:rPr>
            <w:rStyle w:val="Hyperlink"/>
            <w:color w:val="0563C1"/>
          </w:rPr>
          <w:t>https://www.kantar.com/uki/inspiration/fmcg/2022-wp-big-four-line-up-changes-as-grocery-price-inflation-accelerates-again</w:t>
        </w:r>
      </w:hyperlink>
      <w:r>
        <w:t xml:space="preserve"> [Accessed on 16th November ] </w:t>
      </w:r>
    </w:p>
    <w:p w14:paraId="753151BF" w14:textId="77777777" w:rsidR="00545592" w:rsidRDefault="00545592" w:rsidP="00545592">
      <w:bookmarkStart w:id="16" w:name="_heading=h.44sinio"/>
      <w:bookmarkEnd w:id="16"/>
      <w:proofErr w:type="spellStart"/>
      <w:r>
        <w:t>Khamitov</w:t>
      </w:r>
      <w:proofErr w:type="spellEnd"/>
      <w:r>
        <w:t>, M., Wang, X. and Thomson, M., 2019. How well do consumer-brand relationships drive customer brand loyalty? Generalizations from a meta-analysis of brand relationship elasticities. </w:t>
      </w:r>
      <w:r>
        <w:rPr>
          <w:i/>
        </w:rPr>
        <w:t>Journal of Consumer Research</w:t>
      </w:r>
      <w:r>
        <w:t>, </w:t>
      </w:r>
      <w:r>
        <w:rPr>
          <w:i/>
        </w:rPr>
        <w:t>46</w:t>
      </w:r>
      <w:r>
        <w:t>(3), pp.435-459.</w:t>
      </w:r>
    </w:p>
    <w:p w14:paraId="0019F5D1" w14:textId="77777777" w:rsidR="00545592" w:rsidRDefault="00545592" w:rsidP="00545592">
      <w:bookmarkStart w:id="17" w:name="_heading=h.2jxsxqh"/>
      <w:bookmarkEnd w:id="17"/>
      <w:r>
        <w:t xml:space="preserve">Lloyd, T., </w:t>
      </w:r>
      <w:proofErr w:type="spellStart"/>
      <w:r>
        <w:t>McCorriston</w:t>
      </w:r>
      <w:proofErr w:type="spellEnd"/>
      <w:r>
        <w:t>, S., Lan, H. and Morgan, W., 2018. Price Transmission at the Micro Level: What Accounts for Heterogeneity?.</w:t>
      </w:r>
    </w:p>
    <w:p w14:paraId="7EF7F5EA" w14:textId="77777777" w:rsidR="00545592" w:rsidRDefault="00545592" w:rsidP="00545592">
      <w:proofErr w:type="spellStart"/>
      <w:r>
        <w:t>Mothersbaugh</w:t>
      </w:r>
      <w:proofErr w:type="spellEnd"/>
      <w:r>
        <w:t xml:space="preserve">, D.L., Hawkins, D.I., </w:t>
      </w:r>
      <w:proofErr w:type="spellStart"/>
      <w:r>
        <w:t>Kleiser</w:t>
      </w:r>
      <w:proofErr w:type="spellEnd"/>
      <w:r>
        <w:t xml:space="preserve">, S.B., </w:t>
      </w:r>
      <w:proofErr w:type="spellStart"/>
      <w:r>
        <w:t>Mothersbaugh</w:t>
      </w:r>
      <w:proofErr w:type="spellEnd"/>
      <w:r>
        <w:t xml:space="preserve">, L.L. and Watson, C.F., 2020. Consumer </w:t>
      </w:r>
      <w:proofErr w:type="spellStart"/>
      <w:r>
        <w:t>behavior</w:t>
      </w:r>
      <w:proofErr w:type="spellEnd"/>
      <w:r>
        <w:t>: Building marketing strategy. New York, NY, USA: McGraw-Hill Education.</w:t>
      </w:r>
    </w:p>
    <w:p w14:paraId="09A20B8C" w14:textId="77777777" w:rsidR="00545592" w:rsidRDefault="00545592" w:rsidP="00545592">
      <w:pPr>
        <w:tabs>
          <w:tab w:val="left" w:pos="5387"/>
        </w:tabs>
      </w:pPr>
      <w:proofErr w:type="spellStart"/>
      <w:r>
        <w:t>Nalband</w:t>
      </w:r>
      <w:proofErr w:type="spellEnd"/>
      <w:r>
        <w:t xml:space="preserve">, N.A. and </w:t>
      </w:r>
      <w:proofErr w:type="spellStart"/>
      <w:r>
        <w:t>Kelabi</w:t>
      </w:r>
      <w:proofErr w:type="spellEnd"/>
      <w:r>
        <w:t>, S.A., 2014. Redesigning Carroll’s CSR pyramid model. </w:t>
      </w:r>
      <w:r>
        <w:rPr>
          <w:i/>
        </w:rPr>
        <w:t>Journal of Advanced Management Science</w:t>
      </w:r>
      <w:r>
        <w:t>, </w:t>
      </w:r>
      <w:r>
        <w:rPr>
          <w:i/>
        </w:rPr>
        <w:t>2</w:t>
      </w:r>
      <w:r>
        <w:t>(3).</w:t>
      </w:r>
    </w:p>
    <w:p w14:paraId="28A1AC96" w14:textId="77777777" w:rsidR="00545592" w:rsidRDefault="00545592" w:rsidP="00545592">
      <w:pPr>
        <w:tabs>
          <w:tab w:val="left" w:pos="5387"/>
        </w:tabs>
      </w:pPr>
      <w:r>
        <w:t xml:space="preserve">Sainsbury plc, 2021. </w:t>
      </w:r>
      <w:r>
        <w:rPr>
          <w:i/>
        </w:rPr>
        <w:t>Sainsbury’s Sustainability Update 2020/21</w:t>
      </w:r>
      <w:r>
        <w:t xml:space="preserve">. [Online]. Available at: </w:t>
      </w:r>
      <w:hyperlink r:id="rId9" w:history="1">
        <w:r>
          <w:rPr>
            <w:rStyle w:val="Hyperlink"/>
            <w:color w:val="0563C1"/>
          </w:rPr>
          <w:t>https://www.about.sainsburys.co.uk/~/media/Files/S/Sainsburys/Sustainability%20Update%202020-21.pdf</w:t>
        </w:r>
      </w:hyperlink>
      <w:r>
        <w:t xml:space="preserve"> [Accessed on: 16</w:t>
      </w:r>
      <w:r>
        <w:rPr>
          <w:vertAlign w:val="superscript"/>
        </w:rPr>
        <w:t>th</w:t>
      </w:r>
      <w:r>
        <w:t xml:space="preserve"> November 2022]</w:t>
      </w:r>
    </w:p>
    <w:p w14:paraId="5D66CF35" w14:textId="77777777" w:rsidR="00545592" w:rsidRDefault="00545592" w:rsidP="00545592">
      <w:pPr>
        <w:tabs>
          <w:tab w:val="left" w:pos="5387"/>
        </w:tabs>
      </w:pPr>
      <w:r>
        <w:t xml:space="preserve">Sainsbury’s, 2022. Reports and policies. [Online]. Available at: </w:t>
      </w:r>
      <w:hyperlink r:id="rId10" w:anchor="2022" w:history="1">
        <w:r>
          <w:rPr>
            <w:rStyle w:val="Hyperlink"/>
            <w:color w:val="0563C1"/>
          </w:rPr>
          <w:t>https://www.about.sainsburys.co.uk/sustainability/plan-for-better/reports-policies-and-standards#2022</w:t>
        </w:r>
      </w:hyperlink>
      <w:r>
        <w:t xml:space="preserve"> [Accessed on: 16</w:t>
      </w:r>
      <w:r>
        <w:rPr>
          <w:vertAlign w:val="superscript"/>
        </w:rPr>
        <w:t>th</w:t>
      </w:r>
      <w:r>
        <w:t xml:space="preserve"> November 2022] </w:t>
      </w:r>
    </w:p>
    <w:p w14:paraId="4C28007D" w14:textId="77777777" w:rsidR="00545592" w:rsidRDefault="00545592" w:rsidP="00545592">
      <w:bookmarkStart w:id="18" w:name="_heading=h.z337ya"/>
      <w:bookmarkEnd w:id="18"/>
      <w:r>
        <w:t xml:space="preserve">Santoro, G., </w:t>
      </w:r>
      <w:proofErr w:type="spellStart"/>
      <w:r>
        <w:t>Fiano</w:t>
      </w:r>
      <w:proofErr w:type="spellEnd"/>
      <w:r>
        <w:t xml:space="preserve">, F., Bertoldi, B. and </w:t>
      </w:r>
      <w:proofErr w:type="spellStart"/>
      <w:r>
        <w:t>Ciampi</w:t>
      </w:r>
      <w:proofErr w:type="spellEnd"/>
      <w:r>
        <w:t>, F., 2018. Big data for business management in the retail industry. </w:t>
      </w:r>
      <w:r>
        <w:rPr>
          <w:i/>
        </w:rPr>
        <w:t>Management Decision</w:t>
      </w:r>
      <w:r>
        <w:t>.</w:t>
      </w:r>
    </w:p>
    <w:p w14:paraId="35A7AC41" w14:textId="77777777" w:rsidR="00545592" w:rsidRDefault="00545592" w:rsidP="00545592">
      <w:bookmarkStart w:id="19" w:name="_heading=h.3j2qqm3"/>
      <w:bookmarkEnd w:id="19"/>
      <w:r>
        <w:t>Shin, M., Back, K.J., Lee, C.K. and Lee, Y.S., 2020. Enhancing customer-brand relationship by leveraging loyalty program experiences that foster customer-brand identification. </w:t>
      </w:r>
      <w:r>
        <w:rPr>
          <w:i/>
        </w:rPr>
        <w:t>International Journal of Contemporary Hospitality Management</w:t>
      </w:r>
      <w:r>
        <w:t>.</w:t>
      </w:r>
    </w:p>
    <w:p w14:paraId="7C880237" w14:textId="77777777" w:rsidR="00545592" w:rsidRDefault="00545592" w:rsidP="00545592">
      <w:bookmarkStart w:id="20" w:name="_heading=h.1y810tw"/>
      <w:bookmarkEnd w:id="20"/>
      <w:r>
        <w:t xml:space="preserve">Stewart., R. 2020. </w:t>
      </w:r>
      <w:r>
        <w:rPr>
          <w:i/>
        </w:rPr>
        <w:t>Earlier this year, Sainsbury’s appointed Essence to help it execute a “single-minded” digital marketing strategy. The Drum speaks to the brand’s head of digital marketing to find out why and what the new hybrid setup looks like.</w:t>
      </w:r>
      <w:r>
        <w:t xml:space="preserve"> [Online]. Available at: </w:t>
      </w:r>
      <w:hyperlink r:id="rId11" w:history="1">
        <w:r>
          <w:rPr>
            <w:rStyle w:val="Hyperlink"/>
            <w:color w:val="0563C1"/>
          </w:rPr>
          <w:t>https://www.thedrum.com/news/2020/10/20/inside-the-sainsbury-s-and-argos-one-team-digital-model-powered-essence</w:t>
        </w:r>
      </w:hyperlink>
      <w:r>
        <w:t xml:space="preserve"> [Accessed on: 16</w:t>
      </w:r>
      <w:r>
        <w:rPr>
          <w:vertAlign w:val="superscript"/>
        </w:rPr>
        <w:t>th</w:t>
      </w:r>
      <w:r>
        <w:t xml:space="preserve"> November 2022]. </w:t>
      </w:r>
    </w:p>
    <w:p w14:paraId="08C9F890" w14:textId="77777777" w:rsidR="00545592" w:rsidRDefault="00545592" w:rsidP="00545592">
      <w:bookmarkStart w:id="21" w:name="_heading=h.4i7ojhp"/>
      <w:bookmarkEnd w:id="21"/>
      <w:r>
        <w:t xml:space="preserve">Wang, R.J.H., </w:t>
      </w:r>
      <w:proofErr w:type="spellStart"/>
      <w:r>
        <w:t>Krishnamurthi</w:t>
      </w:r>
      <w:proofErr w:type="spellEnd"/>
      <w:r>
        <w:t>, L. and Malthouse, E.C., 2018. When reward convenience meets a mobile app: Increasing customer participation in a coalition loyalty program. </w:t>
      </w:r>
      <w:r>
        <w:rPr>
          <w:i/>
        </w:rPr>
        <w:t>Journal of the Association for Consumer Research</w:t>
      </w:r>
      <w:r>
        <w:t>, </w:t>
      </w:r>
      <w:r>
        <w:rPr>
          <w:i/>
        </w:rPr>
        <w:t>3</w:t>
      </w:r>
      <w:r>
        <w:t>(3), pp.314-329.</w:t>
      </w:r>
    </w:p>
    <w:p w14:paraId="47515419" w14:textId="77777777" w:rsidR="00545592" w:rsidRDefault="00545592" w:rsidP="00545592">
      <w:bookmarkStart w:id="22" w:name="_heading=h.2xcytpi"/>
      <w:bookmarkEnd w:id="22"/>
      <w:r>
        <w:t>Xiao, B., Chen, Q. and Yu, Z., 2021, April. Research on the Investment Value of Sainsbury’s. In </w:t>
      </w:r>
      <w:r>
        <w:rPr>
          <w:i/>
        </w:rPr>
        <w:t>2021 6th International Conference on Social Sciences and Economic Development (ICSSED 2021)</w:t>
      </w:r>
      <w:r>
        <w:t> (pp. 108-115). Atlantis Press.</w:t>
      </w:r>
    </w:p>
    <w:p w14:paraId="16142E3B" w14:textId="77777777" w:rsidR="00545592" w:rsidRDefault="00545592" w:rsidP="00545592">
      <w:pPr>
        <w:tabs>
          <w:tab w:val="left" w:pos="5387"/>
        </w:tabs>
      </w:pPr>
    </w:p>
    <w:p w14:paraId="1F3E5D89" w14:textId="77777777" w:rsidR="00545592" w:rsidRDefault="00545592" w:rsidP="00545592">
      <w:r>
        <w:rPr>
          <w:rFonts w:ascii="Times New Roman" w:hAnsi="Times New Roman" w:cs="Times New Roman"/>
        </w:rPr>
        <w:br w:type="page"/>
      </w:r>
    </w:p>
    <w:p w14:paraId="36970AEA" w14:textId="77777777" w:rsidR="00545592" w:rsidRDefault="00545592" w:rsidP="00545592">
      <w:pPr>
        <w:pStyle w:val="Heading1"/>
        <w:tabs>
          <w:tab w:val="left" w:pos="1902"/>
        </w:tabs>
      </w:pPr>
      <w:bookmarkStart w:id="23" w:name="_Toc119675029"/>
      <w:r>
        <w:t>Appendices</w:t>
      </w:r>
      <w:bookmarkEnd w:id="23"/>
      <w:r>
        <w:t xml:space="preserve"> </w:t>
      </w:r>
      <w:r>
        <w:tab/>
      </w:r>
    </w:p>
    <w:p w14:paraId="5B8A8B0C" w14:textId="6432498F" w:rsidR="00545592" w:rsidRDefault="00545592" w:rsidP="00545592">
      <w:pPr>
        <w:jc w:val="center"/>
      </w:pPr>
      <w:r>
        <w:rPr>
          <w:noProof/>
        </w:rPr>
        <w:drawing>
          <wp:inline distT="0" distB="0" distL="0" distR="0" wp14:anchorId="4D01E609" wp14:editId="077665F6">
            <wp:extent cx="5730240" cy="3581400"/>
            <wp:effectExtent l="0" t="0" r="3810" b="0"/>
            <wp:docPr id="5" name="Picture 5" descr="Carroll's Pyramid of CSR - The CSR Journ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jpg" descr="Carroll's Pyramid of CSR - The CSR Journal"/>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0240" cy="3581400"/>
                    </a:xfrm>
                    <a:prstGeom prst="rect">
                      <a:avLst/>
                    </a:prstGeom>
                    <a:noFill/>
                    <a:ln>
                      <a:noFill/>
                    </a:ln>
                  </pic:spPr>
                </pic:pic>
              </a:graphicData>
            </a:graphic>
          </wp:inline>
        </w:drawing>
      </w:r>
    </w:p>
    <w:p w14:paraId="6D05359B" w14:textId="77777777" w:rsidR="00545592" w:rsidRDefault="00545592" w:rsidP="00545592">
      <w:pPr>
        <w:jc w:val="center"/>
        <w:rPr>
          <w:b/>
        </w:rPr>
      </w:pPr>
      <w:r>
        <w:rPr>
          <w:b/>
        </w:rPr>
        <w:t xml:space="preserve">Carroll’s’ Model of Sustainability </w:t>
      </w:r>
    </w:p>
    <w:p w14:paraId="7BE66AE0" w14:textId="77777777" w:rsidR="00545592" w:rsidRDefault="00545592" w:rsidP="00545592">
      <w:pPr>
        <w:jc w:val="center"/>
      </w:pPr>
    </w:p>
    <w:p w14:paraId="519EFF0C" w14:textId="1F3A334E" w:rsidR="00545592" w:rsidRDefault="00545592" w:rsidP="00545592">
      <w:pPr>
        <w:jc w:val="center"/>
      </w:pPr>
      <w:r>
        <w:rPr>
          <w:noProof/>
        </w:rPr>
        <w:drawing>
          <wp:inline distT="0" distB="0" distL="0" distR="0" wp14:anchorId="5CE2BBCA" wp14:editId="178688C9">
            <wp:extent cx="5669280" cy="4000500"/>
            <wp:effectExtent l="0" t="0" r="7620" b="0"/>
            <wp:docPr id="4" name="Picture 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with medium confidence"/>
                    <pic:cNvPicPr>
                      <a:picLocks noChangeAspect="1" noChangeArrowheads="1"/>
                    </pic:cNvPicPr>
                  </pic:nvPicPr>
                  <pic:blipFill>
                    <a:blip r:embed="rId13">
                      <a:extLst>
                        <a:ext uri="{28A0092B-C50C-407E-A947-70E740481C1C}">
                          <a14:useLocalDpi xmlns:a14="http://schemas.microsoft.com/office/drawing/2010/main" val="0"/>
                        </a:ext>
                      </a:extLst>
                    </a:blip>
                    <a:srcRect l="3207" t="2451" r="2254"/>
                    <a:stretch>
                      <a:fillRect/>
                    </a:stretch>
                  </pic:blipFill>
                  <pic:spPr bwMode="auto">
                    <a:xfrm>
                      <a:off x="0" y="0"/>
                      <a:ext cx="5669280" cy="4000500"/>
                    </a:xfrm>
                    <a:prstGeom prst="rect">
                      <a:avLst/>
                    </a:prstGeom>
                    <a:noFill/>
                    <a:ln>
                      <a:noFill/>
                    </a:ln>
                  </pic:spPr>
                </pic:pic>
              </a:graphicData>
            </a:graphic>
          </wp:inline>
        </w:drawing>
      </w:r>
    </w:p>
    <w:p w14:paraId="5BAB49F2" w14:textId="755C583C" w:rsidR="00545592" w:rsidRDefault="00545592" w:rsidP="00545592">
      <w:pPr>
        <w:jc w:val="center"/>
      </w:pPr>
      <w:r>
        <w:rPr>
          <w:noProof/>
        </w:rPr>
        <w:drawing>
          <wp:inline distT="0" distB="0" distL="0" distR="0" wp14:anchorId="014B157E" wp14:editId="584BF755">
            <wp:extent cx="5730240" cy="4236720"/>
            <wp:effectExtent l="0" t="0" r="3810" b="0"/>
            <wp:docPr id="3" name="Picture 3" descr="Sainsbury's: Cost of Covid has been high - BBC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4.jpg" descr="Sainsbury's: Cost of Covid has been high - BBC News"/>
                    <pic:cNvPicPr>
                      <a:picLocks noChangeAspect="1" noChangeArrowheads="1"/>
                    </pic:cNvPicPr>
                  </pic:nvPicPr>
                  <pic:blipFill>
                    <a:blip r:embed="rId14">
                      <a:extLst>
                        <a:ext uri="{28A0092B-C50C-407E-A947-70E740481C1C}">
                          <a14:useLocalDpi xmlns:a14="http://schemas.microsoft.com/office/drawing/2010/main" val="0"/>
                        </a:ext>
                      </a:extLst>
                    </a:blip>
                    <a:srcRect b="5476"/>
                    <a:stretch>
                      <a:fillRect/>
                    </a:stretch>
                  </pic:blipFill>
                  <pic:spPr bwMode="auto">
                    <a:xfrm>
                      <a:off x="0" y="0"/>
                      <a:ext cx="5730240" cy="4236720"/>
                    </a:xfrm>
                    <a:prstGeom prst="rect">
                      <a:avLst/>
                    </a:prstGeom>
                    <a:noFill/>
                    <a:ln>
                      <a:noFill/>
                    </a:ln>
                  </pic:spPr>
                </pic:pic>
              </a:graphicData>
            </a:graphic>
          </wp:inline>
        </w:drawing>
      </w:r>
    </w:p>
    <w:p w14:paraId="5540B9E8" w14:textId="3EA9538F" w:rsidR="00545592" w:rsidRDefault="00545592" w:rsidP="00545592">
      <w:pPr>
        <w:jc w:val="center"/>
      </w:pPr>
      <w:r>
        <w:rPr>
          <w:noProof/>
        </w:rPr>
        <w:drawing>
          <wp:inline distT="0" distB="0" distL="0" distR="0" wp14:anchorId="388445D6" wp14:editId="077C17CA">
            <wp:extent cx="5730240" cy="2811780"/>
            <wp:effectExtent l="0" t="0" r="3810" b="7620"/>
            <wp:docPr id="2" name="Picture 2" descr="Supermarket loyalty schemes will be key for customer retention in the UK  during cost-of-living crisis, says GlobalData - GlobalDa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descr="Supermarket loyalty schemes will be key for customer retention in the UK  during cost-of-living crisis, says GlobalData - GlobalData"/>
                    <pic:cNvPicPr>
                      <a:picLocks noChangeAspect="1" noChangeArrowheads="1"/>
                    </pic:cNvPicPr>
                  </pic:nvPicPr>
                  <pic:blipFill>
                    <a:blip r:embed="rId15">
                      <a:extLst>
                        <a:ext uri="{28A0092B-C50C-407E-A947-70E740481C1C}">
                          <a14:useLocalDpi xmlns:a14="http://schemas.microsoft.com/office/drawing/2010/main" val="0"/>
                        </a:ext>
                      </a:extLst>
                    </a:blip>
                    <a:srcRect b="8521"/>
                    <a:stretch>
                      <a:fillRect/>
                    </a:stretch>
                  </pic:blipFill>
                  <pic:spPr bwMode="auto">
                    <a:xfrm>
                      <a:off x="0" y="0"/>
                      <a:ext cx="5730240" cy="2811780"/>
                    </a:xfrm>
                    <a:prstGeom prst="rect">
                      <a:avLst/>
                    </a:prstGeom>
                    <a:noFill/>
                    <a:ln>
                      <a:noFill/>
                    </a:ln>
                  </pic:spPr>
                </pic:pic>
              </a:graphicData>
            </a:graphic>
          </wp:inline>
        </w:drawing>
      </w:r>
    </w:p>
    <w:p w14:paraId="2F28CFD3" w14:textId="6DB0ACD1" w:rsidR="00545592" w:rsidRDefault="00545592" w:rsidP="00545592">
      <w:pPr>
        <w:jc w:val="center"/>
      </w:pPr>
      <w:r>
        <w:rPr>
          <w:noProof/>
        </w:rPr>
        <w:drawing>
          <wp:inline distT="0" distB="0" distL="0" distR="0" wp14:anchorId="4577EC06" wp14:editId="45551FC5">
            <wp:extent cx="5730240" cy="3192780"/>
            <wp:effectExtent l="0" t="0" r="3810" b="7620"/>
            <wp:docPr id="1"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0240" cy="3192780"/>
                    </a:xfrm>
                    <a:prstGeom prst="rect">
                      <a:avLst/>
                    </a:prstGeom>
                    <a:noFill/>
                    <a:ln>
                      <a:noFill/>
                    </a:ln>
                  </pic:spPr>
                </pic:pic>
              </a:graphicData>
            </a:graphic>
          </wp:inline>
        </w:drawing>
      </w:r>
    </w:p>
    <w:p w14:paraId="2BBDEC50" w14:textId="77777777" w:rsidR="0038191D" w:rsidRPr="00545592" w:rsidRDefault="0038191D"/>
    <w:sectPr w:rsidR="0038191D" w:rsidRPr="005455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4342"/>
    <w:rsid w:val="001F4342"/>
    <w:rsid w:val="0038191D"/>
    <w:rsid w:val="004E2173"/>
    <w:rsid w:val="005455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A9240F"/>
  <w15:chartTrackingRefBased/>
  <w15:docId w15:val="{729B4429-7B93-4FEE-A9A0-D57E4BEF8C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5592"/>
    <w:pPr>
      <w:spacing w:line="360" w:lineRule="auto"/>
      <w:jc w:val="both"/>
    </w:pPr>
    <w:rPr>
      <w:rFonts w:ascii="Arial" w:eastAsia="Arial" w:hAnsi="Arial" w:cs="Arial"/>
      <w:sz w:val="24"/>
      <w:szCs w:val="24"/>
      <w:lang w:eastAsia="en-GB"/>
    </w:rPr>
  </w:style>
  <w:style w:type="paragraph" w:styleId="Heading1">
    <w:name w:val="heading 1"/>
    <w:basedOn w:val="Normal"/>
    <w:next w:val="Normal"/>
    <w:link w:val="Heading1Char"/>
    <w:uiPriority w:val="9"/>
    <w:qFormat/>
    <w:rsid w:val="00545592"/>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545592"/>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5592"/>
    <w:rPr>
      <w:rFonts w:ascii="Arial" w:eastAsiaTheme="majorEastAsia" w:hAnsi="Arial" w:cstheme="majorBidi"/>
      <w:b/>
      <w:sz w:val="24"/>
      <w:szCs w:val="32"/>
      <w:lang w:eastAsia="en-GB"/>
    </w:rPr>
  </w:style>
  <w:style w:type="character" w:customStyle="1" w:styleId="Heading2Char">
    <w:name w:val="Heading 2 Char"/>
    <w:basedOn w:val="DefaultParagraphFont"/>
    <w:link w:val="Heading2"/>
    <w:uiPriority w:val="9"/>
    <w:semiHidden/>
    <w:rsid w:val="00545592"/>
    <w:rPr>
      <w:rFonts w:ascii="Arial" w:eastAsiaTheme="majorEastAsia" w:hAnsi="Arial" w:cstheme="majorBidi"/>
      <w:b/>
      <w:sz w:val="24"/>
      <w:szCs w:val="26"/>
      <w:lang w:eastAsia="en-GB"/>
    </w:rPr>
  </w:style>
  <w:style w:type="character" w:styleId="Hyperlink">
    <w:name w:val="Hyperlink"/>
    <w:basedOn w:val="DefaultParagraphFont"/>
    <w:uiPriority w:val="99"/>
    <w:unhideWhenUsed/>
    <w:rsid w:val="00545592"/>
    <w:rPr>
      <w:color w:val="0000FF"/>
      <w:u w:val="single"/>
    </w:rPr>
  </w:style>
  <w:style w:type="paragraph" w:styleId="TOC1">
    <w:name w:val="toc 1"/>
    <w:basedOn w:val="Normal"/>
    <w:next w:val="Normal"/>
    <w:autoRedefine/>
    <w:uiPriority w:val="39"/>
    <w:unhideWhenUsed/>
    <w:rsid w:val="00545592"/>
    <w:pPr>
      <w:spacing w:after="100"/>
    </w:pPr>
  </w:style>
  <w:style w:type="paragraph" w:styleId="TOC2">
    <w:name w:val="toc 2"/>
    <w:basedOn w:val="Normal"/>
    <w:next w:val="Normal"/>
    <w:autoRedefine/>
    <w:uiPriority w:val="39"/>
    <w:unhideWhenUsed/>
    <w:rsid w:val="0054559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46881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antar.com/uki/inspiration/fmcg/2022-wp-big-four-line-up-changes-as-grocery-price-inflation-accelerates-again" TargetMode="External" /><Relationship Id="rId13" Type="http://schemas.openxmlformats.org/officeDocument/2006/relationships/image" Target="media/image3.png" /><Relationship Id="rId18"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hyperlink" Target="https://community.alteryx.com/t5/Alteryx-Use-Cases/Sainsbury-s-Translates-Years-of-Data-into-Meaningful-Spatial/ta-p/739142" TargetMode="External" /><Relationship Id="rId12" Type="http://schemas.openxmlformats.org/officeDocument/2006/relationships/image" Target="media/image2.jpeg" /><Relationship Id="rId17" Type="http://schemas.openxmlformats.org/officeDocument/2006/relationships/fontTable" Target="fontTable.xml" /><Relationship Id="rId2" Type="http://schemas.openxmlformats.org/officeDocument/2006/relationships/settings" Target="settings.xml" /><Relationship Id="rId16" Type="http://schemas.openxmlformats.org/officeDocument/2006/relationships/image" Target="media/image6.png" /><Relationship Id="rId1" Type="http://schemas.openxmlformats.org/officeDocument/2006/relationships/styles" Target="styles.xml" /><Relationship Id="rId6" Type="http://schemas.openxmlformats.org/officeDocument/2006/relationships/hyperlink" Target="https://www.globaldata.com/media/consumer/supermarket-loyalty-schemes-will-key-customer-retention-uk-cost-living-crisis-says-globaldata/" TargetMode="External" /><Relationship Id="rId11" Type="http://schemas.openxmlformats.org/officeDocument/2006/relationships/hyperlink" Target="https://www.thedrum.com/news/2020/10/20/inside-the-sainsbury-s-and-argos-one-team-digital-model-powered-essence" TargetMode="External" /><Relationship Id="rId5" Type="http://schemas.openxmlformats.org/officeDocument/2006/relationships/hyperlink" Target="https://www.bbc.com/news/business-56912064" TargetMode="External" /><Relationship Id="rId15" Type="http://schemas.openxmlformats.org/officeDocument/2006/relationships/image" Target="media/image5.png" /><Relationship Id="rId10" Type="http://schemas.openxmlformats.org/officeDocument/2006/relationships/hyperlink" Target="https://www.about.sainsburys.co.uk/sustainability/plan-for-better/reports-policies-and-standards" TargetMode="External" /><Relationship Id="rId4" Type="http://schemas.openxmlformats.org/officeDocument/2006/relationships/image" Target="media/image1.jpeg" /><Relationship Id="rId9" Type="http://schemas.openxmlformats.org/officeDocument/2006/relationships/hyperlink" Target="https://www.about.sainsburys.co.uk/~/media/Files/S/Sainsburys/Sustainability%20Update%202020-21.pdf" TargetMode="External" /><Relationship Id="rId14" Type="http://schemas.openxmlformats.org/officeDocument/2006/relationships/image" Target="media/image4.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4437</Words>
  <Characters>25291</Characters>
  <Application>Microsoft Office Word</Application>
  <DocSecurity>0</DocSecurity>
  <Lines>210</Lines>
  <Paragraphs>59</Paragraphs>
  <ScaleCrop>false</ScaleCrop>
  <Company/>
  <LinksUpToDate>false</LinksUpToDate>
  <CharactersWithSpaces>29669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Lorena Mihalcea (2019847)</dc:creator>
  <cp:keywords/>
  <dc:description/>
  <cp:lastModifiedBy>Lorena Mihalcea</cp:lastModifiedBy>
  <cp:revision>2</cp:revision>
  <dcterms:created xsi:type="dcterms:W3CDTF">2022-11-18T16:07:00Z</dcterms:created>
  <dcterms:modified xsi:type="dcterms:W3CDTF">2022-11-18T16:07:00Z</dcterms:modified>
</cp:coreProperties>
</file>