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CE1D2A" w14:textId="77777777" w:rsidR="00F431CD" w:rsidRDefault="00217825" w:rsidP="00F431CD">
      <w:pPr>
        <w:spacing w:line="276" w:lineRule="auto"/>
        <w:jc w:val="center"/>
        <w:rPr>
          <w:b/>
          <w:sz w:val="32"/>
        </w:rPr>
      </w:pPr>
      <w:r>
        <w:rPr>
          <w:b/>
          <w:noProof/>
          <w:sz w:val="32"/>
        </w:rPr>
        <w:drawing>
          <wp:inline distT="0" distB="0" distL="0" distR="0" wp14:anchorId="51AB5085" wp14:editId="21135A5E">
            <wp:extent cx="2343150" cy="10444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274" cy="1044905"/>
                    </a:xfrm>
                    <a:prstGeom prst="rect">
                      <a:avLst/>
                    </a:prstGeom>
                  </pic:spPr>
                </pic:pic>
              </a:graphicData>
            </a:graphic>
          </wp:inline>
        </w:drawing>
      </w:r>
    </w:p>
    <w:p w14:paraId="62419179" w14:textId="77777777" w:rsidR="00F431CD" w:rsidRPr="00F431CD" w:rsidRDefault="00217825" w:rsidP="00F431CD">
      <w:pPr>
        <w:spacing w:line="276" w:lineRule="auto"/>
        <w:jc w:val="center"/>
        <w:rPr>
          <w:b/>
          <w:sz w:val="32"/>
        </w:rPr>
      </w:pPr>
      <w:proofErr w:type="spellStart"/>
      <w:r w:rsidRPr="00F431CD">
        <w:rPr>
          <w:b/>
          <w:sz w:val="32"/>
        </w:rPr>
        <w:t>Programme</w:t>
      </w:r>
      <w:proofErr w:type="spellEnd"/>
      <w:r w:rsidRPr="00F431CD">
        <w:rPr>
          <w:b/>
          <w:sz w:val="32"/>
        </w:rPr>
        <w:t>: BA International Hotel Management</w:t>
      </w:r>
    </w:p>
    <w:p w14:paraId="0876B829" w14:textId="77777777" w:rsidR="00F431CD" w:rsidRPr="00F431CD" w:rsidRDefault="00217825" w:rsidP="00F431CD">
      <w:pPr>
        <w:spacing w:line="276" w:lineRule="auto"/>
        <w:jc w:val="center"/>
        <w:rPr>
          <w:b/>
          <w:sz w:val="32"/>
        </w:rPr>
      </w:pPr>
      <w:r w:rsidRPr="00F431CD">
        <w:rPr>
          <w:b/>
          <w:sz w:val="32"/>
        </w:rPr>
        <w:t>Module: Managing Food &amp; Beverage Operations</w:t>
      </w:r>
    </w:p>
    <w:p w14:paraId="4D83B145" w14:textId="77777777" w:rsidR="00F431CD" w:rsidRPr="00F431CD" w:rsidRDefault="00217825" w:rsidP="00F431CD">
      <w:pPr>
        <w:spacing w:line="276" w:lineRule="auto"/>
        <w:jc w:val="center"/>
        <w:rPr>
          <w:b/>
          <w:sz w:val="32"/>
        </w:rPr>
      </w:pPr>
      <w:r w:rsidRPr="00F431CD">
        <w:rPr>
          <w:b/>
          <w:sz w:val="32"/>
        </w:rPr>
        <w:t>Module code: BMIH6002</w:t>
      </w:r>
    </w:p>
    <w:p w14:paraId="50347CA2" w14:textId="7E2CBEB8" w:rsidR="00F431CD" w:rsidRPr="00F431CD" w:rsidRDefault="00217825" w:rsidP="00F431CD">
      <w:pPr>
        <w:spacing w:line="276" w:lineRule="auto"/>
        <w:jc w:val="center"/>
        <w:rPr>
          <w:b/>
          <w:sz w:val="32"/>
        </w:rPr>
      </w:pPr>
      <w:r w:rsidRPr="00F431CD">
        <w:rPr>
          <w:b/>
          <w:sz w:val="32"/>
        </w:rPr>
        <w:t>Student name:</w:t>
      </w:r>
      <w:r w:rsidR="00D26F22">
        <w:rPr>
          <w:b/>
          <w:sz w:val="32"/>
        </w:rPr>
        <w:t xml:space="preserve"> </w:t>
      </w:r>
      <w:r w:rsidR="00553D70">
        <w:rPr>
          <w:b/>
          <w:sz w:val="32"/>
        </w:rPr>
        <w:t>Laura</w:t>
      </w:r>
      <w:r w:rsidR="00D26F22">
        <w:rPr>
          <w:b/>
          <w:sz w:val="32"/>
        </w:rPr>
        <w:t xml:space="preserve"> Lupoae</w:t>
      </w:r>
    </w:p>
    <w:p w14:paraId="089E2128" w14:textId="628A44CC" w:rsidR="00F431CD" w:rsidRDefault="00217825" w:rsidP="00F431CD">
      <w:pPr>
        <w:spacing w:line="276" w:lineRule="auto"/>
        <w:jc w:val="center"/>
        <w:rPr>
          <w:b/>
          <w:sz w:val="32"/>
        </w:rPr>
      </w:pPr>
      <w:r w:rsidRPr="00F431CD">
        <w:rPr>
          <w:b/>
          <w:sz w:val="32"/>
        </w:rPr>
        <w:t>Student ID number:</w:t>
      </w:r>
      <w:r w:rsidR="00D26F22">
        <w:rPr>
          <w:b/>
          <w:sz w:val="32"/>
        </w:rPr>
        <w:t xml:space="preserve"> 212</w:t>
      </w:r>
      <w:r w:rsidR="00553D70">
        <w:rPr>
          <w:b/>
          <w:sz w:val="32"/>
        </w:rPr>
        <w:t>8001</w:t>
      </w:r>
    </w:p>
    <w:p w14:paraId="356AA7E4" w14:textId="51A120DF" w:rsidR="00F61D8E" w:rsidRPr="00F431CD" w:rsidRDefault="00217825" w:rsidP="00F431CD">
      <w:pPr>
        <w:spacing w:line="276" w:lineRule="auto"/>
        <w:jc w:val="center"/>
        <w:rPr>
          <w:b/>
          <w:sz w:val="32"/>
        </w:rPr>
      </w:pPr>
      <w:r>
        <w:rPr>
          <w:b/>
          <w:sz w:val="32"/>
        </w:rPr>
        <w:t>Date of</w:t>
      </w:r>
      <w:r w:rsidR="00685146">
        <w:rPr>
          <w:b/>
          <w:sz w:val="32"/>
        </w:rPr>
        <w:t xml:space="preserve"> Submission:</w:t>
      </w:r>
      <w:r w:rsidR="00D26F22">
        <w:rPr>
          <w:b/>
          <w:sz w:val="32"/>
        </w:rPr>
        <w:t xml:space="preserve"> 15/11/2024</w:t>
      </w:r>
      <w:r w:rsidRPr="00F431CD">
        <w:rPr>
          <w:b/>
          <w:sz w:val="32"/>
        </w:rPr>
        <w:br w:type="page"/>
      </w:r>
    </w:p>
    <w:sdt>
      <w:sdtPr>
        <w:rPr>
          <w:rFonts w:ascii="Times New Roman" w:eastAsiaTheme="minorHAnsi" w:hAnsi="Times New Roman" w:cstheme="minorBidi"/>
          <w:b w:val="0"/>
          <w:bCs w:val="0"/>
          <w:color w:val="auto"/>
          <w:sz w:val="24"/>
          <w:szCs w:val="22"/>
          <w:lang w:eastAsia="en-US"/>
        </w:rPr>
        <w:id w:val="-1120758681"/>
        <w:docPartObj>
          <w:docPartGallery w:val="Table of Contents"/>
          <w:docPartUnique/>
        </w:docPartObj>
      </w:sdtPr>
      <w:sdtEndPr>
        <w:rPr>
          <w:noProof/>
        </w:rPr>
      </w:sdtEndPr>
      <w:sdtContent>
        <w:p w14:paraId="57B79DAF" w14:textId="77777777" w:rsidR="00274743" w:rsidRDefault="00274743">
          <w:pPr>
            <w:pStyle w:val="TOCHeading"/>
          </w:pPr>
          <w:r>
            <w:t>Table of Contents</w:t>
          </w:r>
        </w:p>
        <w:p w14:paraId="3A2923D5" w14:textId="77777777" w:rsidR="00274743" w:rsidRDefault="0027474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884557" w:history="1">
            <w:r w:rsidRPr="00ED21D0">
              <w:rPr>
                <w:rStyle w:val="Hyperlink"/>
                <w:noProof/>
              </w:rPr>
              <w:t>Introduction</w:t>
            </w:r>
            <w:r>
              <w:rPr>
                <w:noProof/>
                <w:webHidden/>
              </w:rPr>
              <w:tab/>
            </w:r>
            <w:r>
              <w:rPr>
                <w:noProof/>
                <w:webHidden/>
              </w:rPr>
              <w:fldChar w:fldCharType="begin"/>
            </w:r>
            <w:r>
              <w:rPr>
                <w:noProof/>
                <w:webHidden/>
              </w:rPr>
              <w:instrText xml:space="preserve"> PAGEREF _Toc181884557 \h </w:instrText>
            </w:r>
            <w:r>
              <w:rPr>
                <w:noProof/>
                <w:webHidden/>
              </w:rPr>
            </w:r>
            <w:r>
              <w:rPr>
                <w:noProof/>
                <w:webHidden/>
              </w:rPr>
              <w:fldChar w:fldCharType="separate"/>
            </w:r>
            <w:r>
              <w:rPr>
                <w:noProof/>
                <w:webHidden/>
              </w:rPr>
              <w:t>1</w:t>
            </w:r>
            <w:r>
              <w:rPr>
                <w:noProof/>
                <w:webHidden/>
              </w:rPr>
              <w:fldChar w:fldCharType="end"/>
            </w:r>
          </w:hyperlink>
        </w:p>
        <w:p w14:paraId="57507360" w14:textId="77777777" w:rsidR="00274743" w:rsidRDefault="00274743">
          <w:pPr>
            <w:pStyle w:val="TOC1"/>
            <w:tabs>
              <w:tab w:val="right" w:leader="dot" w:pos="9350"/>
            </w:tabs>
            <w:rPr>
              <w:rFonts w:asciiTheme="minorHAnsi" w:eastAsiaTheme="minorEastAsia" w:hAnsiTheme="minorHAnsi"/>
              <w:noProof/>
              <w:sz w:val="22"/>
            </w:rPr>
          </w:pPr>
          <w:hyperlink w:anchor="_Toc181884558" w:history="1">
            <w:r w:rsidRPr="00ED21D0">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_Toc181884558 \h </w:instrText>
            </w:r>
            <w:r>
              <w:rPr>
                <w:noProof/>
                <w:webHidden/>
              </w:rPr>
            </w:r>
            <w:r>
              <w:rPr>
                <w:noProof/>
                <w:webHidden/>
              </w:rPr>
              <w:fldChar w:fldCharType="separate"/>
            </w:r>
            <w:r>
              <w:rPr>
                <w:noProof/>
                <w:webHidden/>
              </w:rPr>
              <w:t>2</w:t>
            </w:r>
            <w:r>
              <w:rPr>
                <w:noProof/>
                <w:webHidden/>
              </w:rPr>
              <w:fldChar w:fldCharType="end"/>
            </w:r>
          </w:hyperlink>
        </w:p>
        <w:p w14:paraId="44671147" w14:textId="77777777" w:rsidR="00274743" w:rsidRDefault="00274743">
          <w:pPr>
            <w:pStyle w:val="TOC1"/>
            <w:tabs>
              <w:tab w:val="right" w:leader="dot" w:pos="9350"/>
            </w:tabs>
            <w:rPr>
              <w:rFonts w:asciiTheme="minorHAnsi" w:eastAsiaTheme="minorEastAsia" w:hAnsiTheme="minorHAnsi"/>
              <w:noProof/>
              <w:sz w:val="22"/>
            </w:rPr>
          </w:pPr>
          <w:hyperlink w:anchor="_Toc181884559" w:history="1">
            <w:r w:rsidRPr="00ED21D0">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_Toc181884559 \h </w:instrText>
            </w:r>
            <w:r>
              <w:rPr>
                <w:noProof/>
                <w:webHidden/>
              </w:rPr>
            </w:r>
            <w:r>
              <w:rPr>
                <w:noProof/>
                <w:webHidden/>
              </w:rPr>
              <w:fldChar w:fldCharType="separate"/>
            </w:r>
            <w:r>
              <w:rPr>
                <w:noProof/>
                <w:webHidden/>
              </w:rPr>
              <w:t>3</w:t>
            </w:r>
            <w:r>
              <w:rPr>
                <w:noProof/>
                <w:webHidden/>
              </w:rPr>
              <w:fldChar w:fldCharType="end"/>
            </w:r>
          </w:hyperlink>
        </w:p>
        <w:p w14:paraId="410E9DBF" w14:textId="77777777" w:rsidR="00274743" w:rsidRDefault="00274743">
          <w:pPr>
            <w:pStyle w:val="TOC1"/>
            <w:tabs>
              <w:tab w:val="right" w:leader="dot" w:pos="9350"/>
            </w:tabs>
            <w:rPr>
              <w:rFonts w:asciiTheme="minorHAnsi" w:eastAsiaTheme="minorEastAsia" w:hAnsiTheme="minorHAnsi"/>
              <w:noProof/>
              <w:sz w:val="22"/>
            </w:rPr>
          </w:pPr>
          <w:hyperlink w:anchor="_Toc181884560" w:history="1">
            <w:r w:rsidRPr="00ED21D0">
              <w:rPr>
                <w:rStyle w:val="Hyperlink"/>
                <w:noProof/>
              </w:rPr>
              <w:t>Section 3: Reflection on Organisational Issues</w:t>
            </w:r>
            <w:r>
              <w:rPr>
                <w:noProof/>
                <w:webHidden/>
              </w:rPr>
              <w:tab/>
            </w:r>
            <w:r>
              <w:rPr>
                <w:noProof/>
                <w:webHidden/>
              </w:rPr>
              <w:fldChar w:fldCharType="begin"/>
            </w:r>
            <w:r>
              <w:rPr>
                <w:noProof/>
                <w:webHidden/>
              </w:rPr>
              <w:instrText xml:space="preserve"> PAGEREF _Toc181884560 \h </w:instrText>
            </w:r>
            <w:r>
              <w:rPr>
                <w:noProof/>
                <w:webHidden/>
              </w:rPr>
            </w:r>
            <w:r>
              <w:rPr>
                <w:noProof/>
                <w:webHidden/>
              </w:rPr>
              <w:fldChar w:fldCharType="separate"/>
            </w:r>
            <w:r>
              <w:rPr>
                <w:noProof/>
                <w:webHidden/>
              </w:rPr>
              <w:t>4</w:t>
            </w:r>
            <w:r>
              <w:rPr>
                <w:noProof/>
                <w:webHidden/>
              </w:rPr>
              <w:fldChar w:fldCharType="end"/>
            </w:r>
          </w:hyperlink>
        </w:p>
        <w:p w14:paraId="68C670C4" w14:textId="77777777" w:rsidR="00274743" w:rsidRDefault="00274743">
          <w:pPr>
            <w:pStyle w:val="TOC1"/>
            <w:tabs>
              <w:tab w:val="right" w:leader="dot" w:pos="9350"/>
            </w:tabs>
            <w:rPr>
              <w:rFonts w:asciiTheme="minorHAnsi" w:eastAsiaTheme="minorEastAsia" w:hAnsiTheme="minorHAnsi"/>
              <w:noProof/>
              <w:sz w:val="22"/>
            </w:rPr>
          </w:pPr>
          <w:hyperlink w:anchor="_Toc181884561" w:history="1">
            <w:r w:rsidRPr="00ED21D0">
              <w:rPr>
                <w:rStyle w:val="Hyperlink"/>
                <w:noProof/>
              </w:rPr>
              <w:t>Conclusion</w:t>
            </w:r>
            <w:r>
              <w:rPr>
                <w:noProof/>
                <w:webHidden/>
              </w:rPr>
              <w:tab/>
            </w:r>
            <w:r>
              <w:rPr>
                <w:noProof/>
                <w:webHidden/>
              </w:rPr>
              <w:fldChar w:fldCharType="begin"/>
            </w:r>
            <w:r>
              <w:rPr>
                <w:noProof/>
                <w:webHidden/>
              </w:rPr>
              <w:instrText xml:space="preserve"> PAGEREF _Toc181884561 \h </w:instrText>
            </w:r>
            <w:r>
              <w:rPr>
                <w:noProof/>
                <w:webHidden/>
              </w:rPr>
            </w:r>
            <w:r>
              <w:rPr>
                <w:noProof/>
                <w:webHidden/>
              </w:rPr>
              <w:fldChar w:fldCharType="separate"/>
            </w:r>
            <w:r>
              <w:rPr>
                <w:noProof/>
                <w:webHidden/>
              </w:rPr>
              <w:t>7</w:t>
            </w:r>
            <w:r>
              <w:rPr>
                <w:noProof/>
                <w:webHidden/>
              </w:rPr>
              <w:fldChar w:fldCharType="end"/>
            </w:r>
          </w:hyperlink>
        </w:p>
        <w:p w14:paraId="1FE0FAE1" w14:textId="77777777" w:rsidR="00274743" w:rsidRDefault="00274743">
          <w:pPr>
            <w:pStyle w:val="TOC1"/>
            <w:tabs>
              <w:tab w:val="right" w:leader="dot" w:pos="9350"/>
            </w:tabs>
            <w:rPr>
              <w:rFonts w:asciiTheme="minorHAnsi" w:eastAsiaTheme="minorEastAsia" w:hAnsiTheme="minorHAnsi"/>
              <w:noProof/>
              <w:sz w:val="22"/>
            </w:rPr>
          </w:pPr>
          <w:hyperlink w:anchor="_Toc181884562" w:history="1">
            <w:r w:rsidRPr="00ED21D0">
              <w:rPr>
                <w:rStyle w:val="Hyperlink"/>
                <w:noProof/>
              </w:rPr>
              <w:t>Action plan</w:t>
            </w:r>
            <w:r>
              <w:rPr>
                <w:noProof/>
                <w:webHidden/>
              </w:rPr>
              <w:tab/>
            </w:r>
            <w:r>
              <w:rPr>
                <w:noProof/>
                <w:webHidden/>
              </w:rPr>
              <w:fldChar w:fldCharType="begin"/>
            </w:r>
            <w:r>
              <w:rPr>
                <w:noProof/>
                <w:webHidden/>
              </w:rPr>
              <w:instrText xml:space="preserve"> PAGEREF _Toc181884562 \h </w:instrText>
            </w:r>
            <w:r>
              <w:rPr>
                <w:noProof/>
                <w:webHidden/>
              </w:rPr>
            </w:r>
            <w:r>
              <w:rPr>
                <w:noProof/>
                <w:webHidden/>
              </w:rPr>
              <w:fldChar w:fldCharType="separate"/>
            </w:r>
            <w:r>
              <w:rPr>
                <w:noProof/>
                <w:webHidden/>
              </w:rPr>
              <w:t>8</w:t>
            </w:r>
            <w:r>
              <w:rPr>
                <w:noProof/>
                <w:webHidden/>
              </w:rPr>
              <w:fldChar w:fldCharType="end"/>
            </w:r>
          </w:hyperlink>
        </w:p>
        <w:p w14:paraId="15053DE4" w14:textId="77777777" w:rsidR="00274743" w:rsidRDefault="00274743">
          <w:pPr>
            <w:pStyle w:val="TOC1"/>
            <w:tabs>
              <w:tab w:val="right" w:leader="dot" w:pos="9350"/>
            </w:tabs>
            <w:rPr>
              <w:rFonts w:asciiTheme="minorHAnsi" w:eastAsiaTheme="minorEastAsia" w:hAnsiTheme="minorHAnsi"/>
              <w:noProof/>
              <w:sz w:val="22"/>
            </w:rPr>
          </w:pPr>
          <w:hyperlink w:anchor="_Toc181884563" w:history="1">
            <w:r w:rsidRPr="00ED21D0">
              <w:rPr>
                <w:rStyle w:val="Hyperlink"/>
                <w:noProof/>
              </w:rPr>
              <w:t>References</w:t>
            </w:r>
            <w:r>
              <w:rPr>
                <w:noProof/>
                <w:webHidden/>
              </w:rPr>
              <w:tab/>
            </w:r>
            <w:r>
              <w:rPr>
                <w:noProof/>
                <w:webHidden/>
              </w:rPr>
              <w:fldChar w:fldCharType="begin"/>
            </w:r>
            <w:r>
              <w:rPr>
                <w:noProof/>
                <w:webHidden/>
              </w:rPr>
              <w:instrText xml:space="preserve"> PAGEREF _Toc181884563 \h </w:instrText>
            </w:r>
            <w:r>
              <w:rPr>
                <w:noProof/>
                <w:webHidden/>
              </w:rPr>
            </w:r>
            <w:r>
              <w:rPr>
                <w:noProof/>
                <w:webHidden/>
              </w:rPr>
              <w:fldChar w:fldCharType="separate"/>
            </w:r>
            <w:r>
              <w:rPr>
                <w:noProof/>
                <w:webHidden/>
              </w:rPr>
              <w:t>9</w:t>
            </w:r>
            <w:r>
              <w:rPr>
                <w:noProof/>
                <w:webHidden/>
              </w:rPr>
              <w:fldChar w:fldCharType="end"/>
            </w:r>
          </w:hyperlink>
        </w:p>
        <w:p w14:paraId="0524177E" w14:textId="77777777" w:rsidR="00274743" w:rsidRDefault="00274743">
          <w:r>
            <w:rPr>
              <w:b/>
              <w:bCs/>
              <w:noProof/>
            </w:rPr>
            <w:fldChar w:fldCharType="end"/>
          </w:r>
        </w:p>
      </w:sdtContent>
    </w:sdt>
    <w:p w14:paraId="54A5F113" w14:textId="77777777" w:rsidR="00F61D8E" w:rsidRDefault="00217825">
      <w:pPr>
        <w:spacing w:line="276" w:lineRule="auto"/>
        <w:jc w:val="left"/>
        <w:rPr>
          <w:rFonts w:eastAsiaTheme="majorEastAsia" w:cstheme="majorBidi"/>
          <w:b/>
          <w:bCs/>
          <w:sz w:val="28"/>
          <w:szCs w:val="28"/>
        </w:rPr>
      </w:pPr>
      <w:r>
        <w:br w:type="page"/>
      </w:r>
    </w:p>
    <w:p w14:paraId="7D1E377F" w14:textId="77777777" w:rsidR="00F431CD" w:rsidRDefault="00F431CD" w:rsidP="006D68E3">
      <w:pPr>
        <w:pStyle w:val="Heading1"/>
        <w:sectPr w:rsidR="00F431C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0B43FBED" w14:textId="77777777" w:rsidR="003B5726" w:rsidRDefault="00217825" w:rsidP="003B5726">
      <w:pPr>
        <w:pStyle w:val="Heading1"/>
      </w:pPr>
      <w:bookmarkStart w:id="0" w:name="_Toc181884557"/>
      <w:r>
        <w:lastRenderedPageBreak/>
        <w:t>Introduction</w:t>
      </w:r>
      <w:bookmarkEnd w:id="0"/>
    </w:p>
    <w:p w14:paraId="4A245F15" w14:textId="77777777" w:rsidR="00C20D78" w:rsidRDefault="00217825" w:rsidP="00C20D78">
      <w:r w:rsidRPr="003B5726">
        <w:t>The Delta Marriott Hotel Swansea has a very active Food and Beverage division that contains more of an eating area with a fine dining restaurant, a café, and a bar.</w:t>
      </w:r>
      <w:r>
        <w:t xml:space="preserve"> These different portfolios are suitable for a broad spectrum of clientele from businesspersons to tourists. The primary objectives of my placement within this department are:</w:t>
      </w:r>
    </w:p>
    <w:p w14:paraId="70607401" w14:textId="77777777" w:rsidR="00C20D78" w:rsidRDefault="00217825" w:rsidP="000029D3">
      <w:pPr>
        <w:pStyle w:val="ListParagraph"/>
        <w:numPr>
          <w:ilvl w:val="0"/>
          <w:numId w:val="2"/>
        </w:numPr>
      </w:pPr>
      <w:r>
        <w:t>To acquire insights into several aspects of the operation of a hotel</w:t>
      </w:r>
      <w:r w:rsidR="000029D3" w:rsidRPr="000029D3">
        <w:t>'s Food and Beverage</w:t>
      </w:r>
      <w:r>
        <w:t xml:space="preserve"> </w:t>
      </w:r>
      <w:r w:rsidR="00093306">
        <w:t xml:space="preserve">department, </w:t>
      </w:r>
      <w:r>
        <w:t>menu, inventory, and scheduling.</w:t>
      </w:r>
    </w:p>
    <w:p w14:paraId="3F4F403A" w14:textId="77777777" w:rsidR="00C20D78" w:rsidRDefault="00217825" w:rsidP="00C20D78">
      <w:pPr>
        <w:pStyle w:val="ListParagraph"/>
        <w:numPr>
          <w:ilvl w:val="0"/>
          <w:numId w:val="2"/>
        </w:numPr>
      </w:pPr>
      <w:r>
        <w:t>To foster effective communication, cooperation, and effective ways of handling various challenges relevant to the operation of the hospitality industry.</w:t>
      </w:r>
    </w:p>
    <w:p w14:paraId="5E5FC045" w14:textId="77777777" w:rsidR="00C20D78" w:rsidRDefault="00217825" w:rsidP="00C20D78">
      <w:pPr>
        <w:pStyle w:val="ListParagraph"/>
        <w:numPr>
          <w:ilvl w:val="0"/>
          <w:numId w:val="2"/>
        </w:numPr>
      </w:pPr>
      <w:r>
        <w:t xml:space="preserve">To get </w:t>
      </w:r>
      <w:r w:rsidRPr="00C20D78">
        <w:t>a close-up view of how other supervisors and managers work, fine-tuning strategies for effective leadership and decision-making.</w:t>
      </w:r>
    </w:p>
    <w:p w14:paraId="1A5FF0AF" w14:textId="77777777" w:rsidR="00030023" w:rsidRPr="00030023" w:rsidRDefault="00217825" w:rsidP="00C20D78">
      <w:pPr>
        <w:pStyle w:val="ListParagraph"/>
        <w:numPr>
          <w:ilvl w:val="0"/>
          <w:numId w:val="2"/>
        </w:numPr>
        <w:rPr>
          <w:rFonts w:eastAsiaTheme="majorEastAsia" w:cstheme="majorBidi"/>
          <w:b/>
          <w:bCs/>
          <w:sz w:val="28"/>
          <w:szCs w:val="28"/>
        </w:rPr>
      </w:pPr>
      <w:r>
        <w:t>To incorporate all the theoretical presumptions one gets from academic learning into real-life scenarios and determine where improvements have to be made.</w:t>
      </w:r>
    </w:p>
    <w:p w14:paraId="6DA12657" w14:textId="77777777" w:rsidR="00030023" w:rsidRDefault="00217825" w:rsidP="00030023">
      <w:pPr>
        <w:keepNext/>
        <w:ind w:left="360"/>
        <w:jc w:val="center"/>
      </w:pPr>
      <w:r>
        <w:rPr>
          <w:noProof/>
        </w:rPr>
        <w:drawing>
          <wp:inline distT="0" distB="0" distL="0" distR="0" wp14:anchorId="20E93DEA" wp14:editId="2EF90E87">
            <wp:extent cx="3343275" cy="2333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343275" cy="2333625"/>
                    </a:xfrm>
                    <a:prstGeom prst="rect">
                      <a:avLst/>
                    </a:prstGeom>
                    <a:noFill/>
                  </pic:spPr>
                </pic:pic>
              </a:graphicData>
            </a:graphic>
          </wp:inline>
        </w:drawing>
      </w:r>
      <w:r>
        <w:rPr>
          <w:noProof/>
        </w:rPr>
        <mc:AlternateContent>
          <mc:Choice Requires="wps">
            <w:drawing>
              <wp:inline distT="0" distB="0" distL="0" distR="0" wp14:anchorId="23AF26B0" wp14:editId="116BF905">
                <wp:extent cx="304800" cy="304800"/>
                <wp:effectExtent l="0" t="0" r="0" b="0"/>
                <wp:docPr id="4" name="AutoShape 3" descr="blob:https://web.whatsapp.com/cbd8d046-b55c-48b1-b192-ce31c5225a2f"/>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w14:anchorId="7BD6FE2B" id="AutoShape 3" o:spid="_x0000_s1026" alt="blob:https://web.whatsapp.com/cbd8d046-b55c-48b1-b192-ce31c5225a2f"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LOPQqckBAACEAwAADgAAAAAAAAAAAAAA&#10;AAAuAgAAZHJzL2Uyb0RvYy54bWxQSwECLQAUAAYACAAAACEATKDpLNgAAAADAQAADwAAAAAAAAAA&#10;AAAAAAAjBAAAZHJzL2Rvd25yZXYueG1sUEsFBgAAAAAEAAQA8wAAACgFAAAAAA==&#10;" filled="f" stroked="f">
                <o:lock v:ext="edit" aspectratio="t"/>
                <w10:anchorlock/>
              </v:rect>
            </w:pict>
          </mc:Fallback>
        </mc:AlternateContent>
      </w:r>
    </w:p>
    <w:p w14:paraId="5A48BD5B" w14:textId="77777777" w:rsidR="00030023" w:rsidRPr="009C14F2" w:rsidRDefault="00217825" w:rsidP="00030023">
      <w:pPr>
        <w:pStyle w:val="Caption"/>
        <w:jc w:val="center"/>
        <w:rPr>
          <w:rFonts w:eastAsiaTheme="majorEastAsia" w:cstheme="majorBidi"/>
          <w:color w:val="auto"/>
          <w:sz w:val="36"/>
          <w:szCs w:val="28"/>
        </w:rPr>
      </w:pPr>
      <w:r w:rsidRPr="009C14F2">
        <w:rPr>
          <w:color w:val="auto"/>
          <w:sz w:val="22"/>
        </w:rPr>
        <w:t xml:space="preserve">Figure </w:t>
      </w:r>
      <w:r w:rsidRPr="009C14F2">
        <w:rPr>
          <w:color w:val="auto"/>
          <w:sz w:val="22"/>
        </w:rPr>
        <w:fldChar w:fldCharType="begin"/>
      </w:r>
      <w:r w:rsidRPr="009C14F2">
        <w:rPr>
          <w:color w:val="auto"/>
          <w:sz w:val="22"/>
        </w:rPr>
        <w:instrText xml:space="preserve"> SEQ Figure \* ARABIC </w:instrText>
      </w:r>
      <w:r w:rsidRPr="009C14F2">
        <w:rPr>
          <w:color w:val="auto"/>
          <w:sz w:val="22"/>
        </w:rPr>
        <w:fldChar w:fldCharType="separate"/>
      </w:r>
      <w:r w:rsidR="00415C9E">
        <w:rPr>
          <w:noProof/>
          <w:color w:val="auto"/>
          <w:sz w:val="22"/>
        </w:rPr>
        <w:t>1</w:t>
      </w:r>
      <w:r w:rsidRPr="009C14F2">
        <w:rPr>
          <w:color w:val="auto"/>
          <w:sz w:val="22"/>
        </w:rPr>
        <w:fldChar w:fldCharType="end"/>
      </w:r>
      <w:r w:rsidRPr="009C14F2">
        <w:rPr>
          <w:color w:val="auto"/>
          <w:sz w:val="22"/>
        </w:rPr>
        <w:t>: The Delta Marriott Hotel Swansea</w:t>
      </w:r>
      <w:r w:rsidR="00A83D26" w:rsidRPr="009C14F2">
        <w:rPr>
          <w:color w:val="auto"/>
          <w:sz w:val="22"/>
        </w:rPr>
        <w:t xml:space="preserve"> (Marriott Bonvoy, 2024)</w:t>
      </w:r>
    </w:p>
    <w:p w14:paraId="33953FAD" w14:textId="77777777" w:rsidR="00C20D78" w:rsidRPr="009C14F2" w:rsidRDefault="00217825" w:rsidP="00030023">
      <w:pPr>
        <w:rPr>
          <w:rFonts w:eastAsiaTheme="majorEastAsia" w:cstheme="majorBidi"/>
          <w:b/>
          <w:bCs/>
          <w:sz w:val="36"/>
          <w:szCs w:val="28"/>
        </w:rPr>
      </w:pPr>
      <w:r w:rsidRPr="009C14F2">
        <w:rPr>
          <w:sz w:val="32"/>
        </w:rPr>
        <w:br w:type="page"/>
      </w:r>
    </w:p>
    <w:p w14:paraId="7FB88DBC" w14:textId="77777777" w:rsidR="00180B48" w:rsidRDefault="00217825" w:rsidP="006D68E3">
      <w:pPr>
        <w:pStyle w:val="Heading1"/>
      </w:pPr>
      <w:bookmarkStart w:id="1" w:name="_Toc181884558"/>
      <w:r w:rsidRPr="006D68E3">
        <w:lastRenderedPageBreak/>
        <w:t>Section 1: Reflection on Experience and Personal Development</w:t>
      </w:r>
      <w:bookmarkEnd w:id="1"/>
    </w:p>
    <w:p w14:paraId="662266D9" w14:textId="77777777" w:rsidR="00931403" w:rsidRDefault="00217825" w:rsidP="00931403">
      <w:r>
        <w:t>Observing a supervisory position in the food and beverage department was a beneficial exercise as it helped me understand processes that create efficient operations. It gave me a view of how the supervisor managed a group of people, how tasks were scheduled for completion, and how problems were fixed. For example, during a rush lunch hour, my supervisor handled guests' complaints of late orders. He said sorry with a nice warm smile and explained the circumstances to the guest patiently. Then he gave that guest a free cake as a gesture of the good reputation of the hotel. This event helped me to understand that good communication and effective conflict-solving skills are needed to keep guests happy.</w:t>
      </w:r>
    </w:p>
    <w:p w14:paraId="50D06EEB" w14:textId="77777777" w:rsidR="001C0CBA" w:rsidRDefault="00217825" w:rsidP="00931403">
      <w:r>
        <w:t>The experience of working in the restaurant industry in a high-demand setting with lots of business volumes allowed me to apply the knowledge that I have gained from classes in the university in the scope of hospitality management and understanding the general principles of the food and beverages industry. Nonetheless, being a shadow for a supervisory position provided a broader understanding of what is implied in management and its strengths and weaknesses. For example, the role of delegation and subordinate empowering was obvious; the supervisor gave tasks to the team members, thinking they would deal with them on their own. Apart from increasing employee morale, this approach positively impacted operations, specifically increasing efficiency. Furthermore, the supervisor ensured the motivation of the members and the unity within the team to obtain the highest results among the guests.</w:t>
      </w:r>
      <w:r w:rsidR="00182670">
        <w:br w:type="page"/>
      </w:r>
    </w:p>
    <w:p w14:paraId="673C1046" w14:textId="77777777" w:rsidR="001C0CBA" w:rsidRDefault="00217825" w:rsidP="001C0CBA">
      <w:pPr>
        <w:pStyle w:val="Heading1"/>
      </w:pPr>
      <w:bookmarkStart w:id="2" w:name="_Toc181884559"/>
      <w:r w:rsidRPr="001C0CBA">
        <w:lastRenderedPageBreak/>
        <w:t>Section 2: Critical Analysis of Work-Based Skills and Technical Knowledge</w:t>
      </w:r>
      <w:bookmarkEnd w:id="2"/>
    </w:p>
    <w:p w14:paraId="064944A5" w14:textId="77777777" w:rsidR="006D68E3" w:rsidRDefault="00217825" w:rsidP="006D68E3">
      <w:r w:rsidRPr="00FD10D7">
        <w:rPr>
          <w:b/>
        </w:rPr>
        <w:t>Work-based skills</w:t>
      </w:r>
      <w:r w:rsidRPr="00FD10D7">
        <w:t xml:space="preserve"> </w:t>
      </w:r>
      <w:r>
        <w:t xml:space="preserve">play significant roles in delivering guest service requirements in the food and beverage department. </w:t>
      </w:r>
      <w:proofErr w:type="spellStart"/>
      <w:r w:rsidR="0011542C">
        <w:t>Organisation</w:t>
      </w:r>
      <w:r>
        <w:t>al</w:t>
      </w:r>
      <w:proofErr w:type="spellEnd"/>
      <w:r>
        <w:t xml:space="preserve"> communication refers to how work-related tasks, problems, and interpersonal relations are managed within the workplace</w:t>
      </w:r>
      <w:r w:rsidR="000A5618" w:rsidRPr="000A5618">
        <w:t xml:space="preserve"> (Garlick, 2014)</w:t>
      </w:r>
      <w:r>
        <w:t xml:space="preserve">. </w:t>
      </w:r>
      <w:r w:rsidRPr="000029D3">
        <w:rPr>
          <w:b/>
        </w:rPr>
        <w:t xml:space="preserve">For example, </w:t>
      </w:r>
      <w:r w:rsidR="000029D3">
        <w:t xml:space="preserve">when at the </w:t>
      </w:r>
      <w:proofErr w:type="spellStart"/>
      <w:r w:rsidR="0011542C">
        <w:t>organisation</w:t>
      </w:r>
      <w:proofErr w:type="spellEnd"/>
      <w:r w:rsidR="000029D3">
        <w:t xml:space="preserve"> assisting the manager</w:t>
      </w:r>
      <w:r>
        <w:t>, I noted that they had effectively communicated how they wanted things to be done within the team in a way that would guarantee good service delivery. Further, effective teamwork is highly encouraged for efficiency as evidenced by the functioning of the kitchen and waiting staff during periods of high turnover</w:t>
      </w:r>
      <w:r w:rsidR="00886E8F" w:rsidRPr="00886E8F">
        <w:t xml:space="preserve"> (Lam, Cheung, and Lugosi, 2022)</w:t>
      </w:r>
      <w:r>
        <w:t xml:space="preserve">.   </w:t>
      </w:r>
      <w:proofErr w:type="spellStart"/>
      <w:r>
        <w:t>Prioriti</w:t>
      </w:r>
      <w:r w:rsidR="001C0CBA">
        <w:t>s</w:t>
      </w:r>
      <w:r>
        <w:t>ing</w:t>
      </w:r>
      <w:proofErr w:type="spellEnd"/>
      <w:r>
        <w:t xml:space="preserve"> tasks and </w:t>
      </w:r>
      <w:r w:rsidR="001C0CBA">
        <w:t>assigning</w:t>
      </w:r>
      <w:r>
        <w:t xml:space="preserve"> </w:t>
      </w:r>
      <w:r w:rsidR="001C0CBA">
        <w:t>responsibilities</w:t>
      </w:r>
      <w:r>
        <w:t xml:space="preserve"> are very important in the maintenance of service delivery</w:t>
      </w:r>
      <w:r w:rsidR="000A5618">
        <w:t xml:space="preserve"> in the tourism industry</w:t>
      </w:r>
      <w:r w:rsidR="000A5618" w:rsidRPr="000A5618">
        <w:t xml:space="preserve"> </w:t>
      </w:r>
      <w:r w:rsidR="000A5618">
        <w:t>(</w:t>
      </w:r>
      <w:r w:rsidR="000A5618" w:rsidRPr="000A5618">
        <w:t>Fal</w:t>
      </w:r>
      <w:r w:rsidR="000A5618">
        <w:t>lon and Rutherford, 2010)</w:t>
      </w:r>
      <w:r>
        <w:t xml:space="preserve">. They were able to juggle between multiple activities </w:t>
      </w:r>
      <w:r w:rsidR="00591DA1">
        <w:t xml:space="preserve">and make proper resource </w:t>
      </w:r>
      <w:proofErr w:type="spellStart"/>
      <w:r w:rsidR="00591DA1">
        <w:t>mobilis</w:t>
      </w:r>
      <w:r>
        <w:t>ation</w:t>
      </w:r>
      <w:proofErr w:type="spellEnd"/>
      <w:r>
        <w:t xml:space="preserve"> thus enhancing the smooth running of a particular department</w:t>
      </w:r>
      <w:r w:rsidR="000A5618">
        <w:t xml:space="preserve"> in the hospitality industry</w:t>
      </w:r>
      <w:r w:rsidRPr="008305FD">
        <w:t xml:space="preserve"> </w:t>
      </w:r>
      <w:r w:rsidR="000A5618">
        <w:t xml:space="preserve">(Walker, </w:t>
      </w:r>
      <w:r w:rsidRPr="008305FD">
        <w:t>2021)</w:t>
      </w:r>
      <w:r>
        <w:t xml:space="preserve">. </w:t>
      </w:r>
      <w:r w:rsidRPr="00FD10D7">
        <w:rPr>
          <w:b/>
        </w:rPr>
        <w:t>Technical knowledge,</w:t>
      </w:r>
      <w:r>
        <w:t xml:space="preserve"> including the rules and policies regulating food preparation and hygiene, knowing the bill of fare and methods of preparation of beverages, is critical for competency i</w:t>
      </w:r>
      <w:r w:rsidR="008305FD">
        <w:t xml:space="preserve">n </w:t>
      </w:r>
      <w:r w:rsidR="008305FD" w:rsidRPr="008305FD">
        <w:t>the Food and Beverage</w:t>
      </w:r>
      <w:r w:rsidR="008305FD">
        <w:t xml:space="preserve"> department</w:t>
      </w:r>
      <w:r w:rsidR="001C0CBA">
        <w:t>. This made m</w:t>
      </w:r>
      <w:r>
        <w:t xml:space="preserve">e appreciate the level of technical knowledge the supervisor required to ensure that meals were prepared safely as well as meeting the guests' needs. Lastly, the </w:t>
      </w:r>
      <w:r w:rsidR="002E5899">
        <w:t xml:space="preserve">combination </w:t>
      </w:r>
      <w:r>
        <w:t>of work-based skills and technical knowledge is crucial if the goals of providing excellent guest services to food and beverage operations must be achieved</w:t>
      </w:r>
      <w:r w:rsidR="00886E8F" w:rsidRPr="00886E8F">
        <w:t xml:space="preserve"> (Garlick, 2014)</w:t>
      </w:r>
      <w:r>
        <w:t>.</w:t>
      </w:r>
    </w:p>
    <w:p w14:paraId="43DB210B" w14:textId="77777777" w:rsidR="004E425F" w:rsidRDefault="00217825">
      <w:pPr>
        <w:spacing w:line="276" w:lineRule="auto"/>
        <w:jc w:val="left"/>
      </w:pPr>
      <w:r>
        <w:br w:type="page"/>
      </w:r>
    </w:p>
    <w:p w14:paraId="488F7830" w14:textId="77777777" w:rsidR="003B5726" w:rsidRDefault="00217825" w:rsidP="003B5726">
      <w:pPr>
        <w:pStyle w:val="Heading1"/>
      </w:pPr>
      <w:bookmarkStart w:id="3" w:name="_Toc181884560"/>
      <w:r w:rsidRPr="003B5726">
        <w:lastRenderedPageBreak/>
        <w:t xml:space="preserve">Section 3: Reflection on </w:t>
      </w:r>
      <w:proofErr w:type="spellStart"/>
      <w:r w:rsidRPr="003B5726">
        <w:t>Organisational</w:t>
      </w:r>
      <w:proofErr w:type="spellEnd"/>
      <w:r w:rsidRPr="003B5726">
        <w:t xml:space="preserve"> Issues</w:t>
      </w:r>
      <w:bookmarkEnd w:id="3"/>
    </w:p>
    <w:p w14:paraId="4302B76F" w14:textId="77777777" w:rsidR="00D52311" w:rsidRDefault="00217825" w:rsidP="00D52311">
      <w:r w:rsidRPr="00A6275E">
        <w:t>Using Gibbs' Reflective Cycle offers a framework for capturing experiences because one gets to focus on feelings, assess a situation, and create strategies for change in experiences in the future (</w:t>
      </w:r>
      <w:proofErr w:type="spellStart"/>
      <w:r w:rsidRPr="00A6275E">
        <w:t>Adeani</w:t>
      </w:r>
      <w:proofErr w:type="spellEnd"/>
      <w:r w:rsidRPr="00A6275E">
        <w:t xml:space="preserve">, </w:t>
      </w:r>
      <w:proofErr w:type="spellStart"/>
      <w:r w:rsidRPr="00A6275E">
        <w:t>Febriani</w:t>
      </w:r>
      <w:proofErr w:type="spellEnd"/>
      <w:r w:rsidRPr="00A6275E">
        <w:t xml:space="preserve">, and </w:t>
      </w:r>
      <w:proofErr w:type="spellStart"/>
      <w:r w:rsidRPr="00A6275E">
        <w:t>Syafryadin</w:t>
      </w:r>
      <w:proofErr w:type="spellEnd"/>
      <w:r w:rsidRPr="00A6275E">
        <w:t>, 2020).</w:t>
      </w:r>
    </w:p>
    <w:p w14:paraId="5A43E9AD" w14:textId="77777777" w:rsidR="00415C9E" w:rsidRDefault="00217825" w:rsidP="00415C9E">
      <w:pPr>
        <w:keepNext/>
        <w:jc w:val="center"/>
      </w:pPr>
      <w:r w:rsidRPr="007D22E3">
        <w:rPr>
          <w:noProof/>
        </w:rPr>
        <w:drawing>
          <wp:inline distT="0" distB="0" distL="0" distR="0" wp14:anchorId="763CE870" wp14:editId="19AE16A9">
            <wp:extent cx="2886075" cy="2783001"/>
            <wp:effectExtent l="0" t="0" r="0" b="0"/>
            <wp:docPr id="3" name="Picture 3" descr="We do not learn from experience... we learn from reflecting on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We do not learn from experience... we learn from reflecting on experience"/>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2889766" cy="2786560"/>
                    </a:xfrm>
                    <a:prstGeom prst="rect">
                      <a:avLst/>
                    </a:prstGeom>
                    <a:noFill/>
                    <a:ln>
                      <a:noFill/>
                    </a:ln>
                  </pic:spPr>
                </pic:pic>
              </a:graphicData>
            </a:graphic>
          </wp:inline>
        </w:drawing>
      </w:r>
    </w:p>
    <w:p w14:paraId="7A686F34" w14:textId="77777777" w:rsidR="00D52311" w:rsidRDefault="00217825" w:rsidP="00415C9E">
      <w:pPr>
        <w:pStyle w:val="Caption"/>
        <w:jc w:val="center"/>
        <w:rPr>
          <w:color w:val="auto"/>
          <w:sz w:val="22"/>
        </w:rPr>
      </w:pPr>
      <w:r w:rsidRPr="00415C9E">
        <w:rPr>
          <w:color w:val="auto"/>
          <w:sz w:val="22"/>
        </w:rPr>
        <w:t xml:space="preserve">Figure </w:t>
      </w:r>
      <w:r w:rsidRPr="00415C9E">
        <w:rPr>
          <w:color w:val="auto"/>
          <w:sz w:val="22"/>
        </w:rPr>
        <w:fldChar w:fldCharType="begin"/>
      </w:r>
      <w:r w:rsidRPr="00415C9E">
        <w:rPr>
          <w:color w:val="auto"/>
          <w:sz w:val="22"/>
        </w:rPr>
        <w:instrText xml:space="preserve"> SEQ Figure \* ARABIC </w:instrText>
      </w:r>
      <w:r w:rsidRPr="00415C9E">
        <w:rPr>
          <w:color w:val="auto"/>
          <w:sz w:val="22"/>
        </w:rPr>
        <w:fldChar w:fldCharType="separate"/>
      </w:r>
      <w:r w:rsidRPr="00415C9E">
        <w:rPr>
          <w:noProof/>
          <w:color w:val="auto"/>
          <w:sz w:val="22"/>
        </w:rPr>
        <w:t>2</w:t>
      </w:r>
      <w:r w:rsidRPr="00415C9E">
        <w:rPr>
          <w:color w:val="auto"/>
          <w:sz w:val="22"/>
        </w:rPr>
        <w:fldChar w:fldCharType="end"/>
      </w:r>
      <w:r w:rsidRPr="00415C9E">
        <w:rPr>
          <w:color w:val="auto"/>
          <w:sz w:val="22"/>
        </w:rPr>
        <w:t>: Gibbs’ Reflective Cycle (</w:t>
      </w:r>
      <w:proofErr w:type="spellStart"/>
      <w:r w:rsidRPr="00415C9E">
        <w:rPr>
          <w:color w:val="auto"/>
          <w:sz w:val="22"/>
        </w:rPr>
        <w:t>Adeani</w:t>
      </w:r>
      <w:proofErr w:type="spellEnd"/>
      <w:r w:rsidRPr="00415C9E">
        <w:rPr>
          <w:color w:val="auto"/>
          <w:sz w:val="22"/>
        </w:rPr>
        <w:t xml:space="preserve">, </w:t>
      </w:r>
      <w:proofErr w:type="spellStart"/>
      <w:r w:rsidRPr="00415C9E">
        <w:rPr>
          <w:color w:val="auto"/>
          <w:sz w:val="22"/>
        </w:rPr>
        <w:t>Febriani</w:t>
      </w:r>
      <w:proofErr w:type="spellEnd"/>
      <w:r w:rsidRPr="00415C9E">
        <w:rPr>
          <w:color w:val="auto"/>
          <w:sz w:val="22"/>
        </w:rPr>
        <w:t xml:space="preserve"> and </w:t>
      </w:r>
      <w:proofErr w:type="spellStart"/>
      <w:r w:rsidRPr="00415C9E">
        <w:rPr>
          <w:color w:val="auto"/>
          <w:sz w:val="22"/>
        </w:rPr>
        <w:t>Syafryadin</w:t>
      </w:r>
      <w:proofErr w:type="spellEnd"/>
      <w:r w:rsidRPr="00415C9E">
        <w:rPr>
          <w:color w:val="auto"/>
          <w:sz w:val="22"/>
        </w:rPr>
        <w:t>, 2020)</w:t>
      </w:r>
    </w:p>
    <w:p w14:paraId="137F2A89" w14:textId="77777777" w:rsidR="00D2270A" w:rsidRDefault="00217825" w:rsidP="00D2270A">
      <w:r w:rsidRPr="00EA44A9">
        <w:rPr>
          <w:b/>
        </w:rPr>
        <w:t xml:space="preserve">Description: </w:t>
      </w:r>
      <w:r>
        <w:t>During my placement at the Delta Marriott Hotel Swansea, I observed a recurring issue within the food and beverage department which was uncoordinated staff training and development. Although the training program offered staff membership to start with some training in their respective jobs, there was no continued training and development. This was especially true during hectic hours when the staff became overwhelmed by the workload and new issues.</w:t>
      </w:r>
    </w:p>
    <w:p w14:paraId="108F7B00" w14:textId="77777777" w:rsidR="00D2270A" w:rsidRDefault="00217825" w:rsidP="00D2270A">
      <w:r w:rsidRPr="00EA44A9">
        <w:rPr>
          <w:b/>
        </w:rPr>
        <w:t>Feelings:</w:t>
      </w:r>
      <w:r>
        <w:t xml:space="preserve"> This issue frustrated me since I have a question about the possibility of negative effects on the department's performance and guest satisfaction. I came to know that my staff members do not have many opportunities for training and development so they may be getting bored skills may decrease with time productivity with services may go down and mistakes will be more.</w:t>
      </w:r>
    </w:p>
    <w:p w14:paraId="6B6E6F70" w14:textId="77777777" w:rsidR="00D2270A" w:rsidRDefault="00D2270A" w:rsidP="00D2270A"/>
    <w:p w14:paraId="06B5FD9F" w14:textId="77777777" w:rsidR="00D2270A" w:rsidRDefault="00217825" w:rsidP="00D2270A">
      <w:r w:rsidRPr="00EA44A9">
        <w:rPr>
          <w:b/>
        </w:rPr>
        <w:lastRenderedPageBreak/>
        <w:t>Evaluation</w:t>
      </w:r>
      <w:r w:rsidR="00EA44A9" w:rsidRPr="00EA44A9">
        <w:rPr>
          <w:b/>
        </w:rPr>
        <w:t>:</w:t>
      </w:r>
      <w:r w:rsidR="00EA44A9">
        <w:t xml:space="preserve"> </w:t>
      </w:r>
      <w:r>
        <w:t>Such options proved inadequate because there were no regular staff training and professional development programs available to help the staff meet new trends, customer demands, and developments. For instance, in a restaurant, it was lunchtime and a new employee was overwhelmed with several orders and consequently took a long to attend to a customer while the guest remained unhappy. From this incident, I was able to learn that there is tremendous benefit in offering refreshing staff training and development due to the vast variety of situations they are faced with on such a day-to-day basis.</w:t>
      </w:r>
    </w:p>
    <w:p w14:paraId="0ECF7FD3" w14:textId="77777777" w:rsidR="00381B01" w:rsidRPr="00381B01" w:rsidRDefault="00217825" w:rsidP="00D2270A">
      <w:r w:rsidRPr="00D2270A">
        <w:rPr>
          <w:b/>
        </w:rPr>
        <w:t xml:space="preserve">Analysis: </w:t>
      </w:r>
      <w:r>
        <w:t>Possible causes that may lead to the problem include the availability of limited resources to fund the project lack of adequate time for the project, and little commitment from project managers. Besides, a constant stream of customers, combined with a relatively high</w:t>
      </w:r>
      <w:r w:rsidR="00591DA1">
        <w:t xml:space="preserve"> turnover of staff, can </w:t>
      </w:r>
      <w:proofErr w:type="spellStart"/>
      <w:r w:rsidR="00591DA1">
        <w:t>emphasis</w:t>
      </w:r>
      <w:r>
        <w:t>e</w:t>
      </w:r>
      <w:proofErr w:type="spellEnd"/>
      <w:r>
        <w:t xml:space="preserve"> the staff training to the background. However, by committing its resources to Training &amp; Development activities, the department can increase employee motivation, enhance customer satisfaction, and accordingly, the business's success</w:t>
      </w:r>
      <w:r w:rsidR="001972EA">
        <w:t xml:space="preserve"> </w:t>
      </w:r>
      <w:r w:rsidR="001972EA" w:rsidRPr="001972EA">
        <w:t>(Cousins and Weekes, 2020)</w:t>
      </w:r>
      <w:r>
        <w:t>.</w:t>
      </w:r>
    </w:p>
    <w:p w14:paraId="49678AEF" w14:textId="77777777" w:rsidR="002A107C" w:rsidRPr="002A107C" w:rsidRDefault="00217825" w:rsidP="002A107C">
      <w:r w:rsidRPr="00425FC0">
        <w:rPr>
          <w:b/>
        </w:rPr>
        <w:t>Conclusion:</w:t>
      </w:r>
      <w:r>
        <w:t xml:space="preserve"> </w:t>
      </w:r>
      <w:r w:rsidR="00591DA1">
        <w:t xml:space="preserve">It helped me </w:t>
      </w:r>
      <w:proofErr w:type="spellStart"/>
      <w:r w:rsidR="00591DA1">
        <w:t>realis</w:t>
      </w:r>
      <w:r w:rsidRPr="00425FC0">
        <w:t>e</w:t>
      </w:r>
      <w:proofErr w:type="spellEnd"/>
      <w:r w:rsidRPr="00425FC0">
        <w:t xml:space="preserve"> the full value of communication and coordination in a food and beverage facility to succeed. This way, the department can goal to reduce the number of complaints regarding ineffective communication, work inefficiency, and dissatisfaction of the guests while consequently changing the relations between co-workers.</w:t>
      </w:r>
      <w:r>
        <w:rPr>
          <w:b/>
        </w:rPr>
        <w:br w:type="page"/>
      </w:r>
    </w:p>
    <w:p w14:paraId="2449BF07" w14:textId="77777777" w:rsidR="00EA44A9" w:rsidRDefault="00217825" w:rsidP="00EA44A9">
      <w:r w:rsidRPr="001972EA">
        <w:rPr>
          <w:b/>
        </w:rPr>
        <w:lastRenderedPageBreak/>
        <w:t xml:space="preserve">Action plan: </w:t>
      </w:r>
      <w:r>
        <w:t>To address the issue of inconsistent staff training and development, the following practical solutions can be implemented:</w:t>
      </w:r>
    </w:p>
    <w:p w14:paraId="3C323EF8" w14:textId="77777777" w:rsidR="00EA44A9" w:rsidRDefault="00217825" w:rsidP="004E425F">
      <w:r>
        <w:rPr>
          <w:noProof/>
        </w:rPr>
        <w:drawing>
          <wp:inline distT="0" distB="0" distL="0" distR="0" wp14:anchorId="46A8228B" wp14:editId="3B41FD79">
            <wp:extent cx="5962650" cy="5715000"/>
            <wp:effectExtent l="38100" t="0" r="571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EA6783F" w14:textId="77777777" w:rsidR="00EA44A9" w:rsidRDefault="00217825">
      <w:pPr>
        <w:spacing w:line="276" w:lineRule="auto"/>
        <w:jc w:val="left"/>
        <w:rPr>
          <w:rFonts w:eastAsiaTheme="majorEastAsia" w:cstheme="majorBidi"/>
          <w:b/>
          <w:bCs/>
          <w:sz w:val="28"/>
          <w:szCs w:val="28"/>
        </w:rPr>
      </w:pPr>
      <w:r>
        <w:br w:type="page"/>
      </w:r>
    </w:p>
    <w:p w14:paraId="03600605" w14:textId="77777777" w:rsidR="00C20D78" w:rsidRDefault="00217825" w:rsidP="003B5726">
      <w:pPr>
        <w:pStyle w:val="Heading1"/>
      </w:pPr>
      <w:bookmarkStart w:id="4" w:name="_Toc181884561"/>
      <w:r>
        <w:lastRenderedPageBreak/>
        <w:t>Conclusion</w:t>
      </w:r>
      <w:bookmarkEnd w:id="4"/>
      <w:r>
        <w:t xml:space="preserve"> </w:t>
      </w:r>
    </w:p>
    <w:p w14:paraId="15D3AE7C" w14:textId="77777777" w:rsidR="007D57DF" w:rsidRDefault="00217825" w:rsidP="004E425F">
      <w:r w:rsidRPr="001972EA">
        <w:t>Therefore, it is more than certain that the Delta Marriott Hotel Swansea expansion provided me with significant learning opportunities on a full range of issues related to food and beverage management. The practical experience I got from the exercise of supervising someone else was that communication skills are vital as well as a keen understanding of teamwork and problem-solvi</w:t>
      </w:r>
      <w:r w:rsidR="00591DA1">
        <w:t xml:space="preserve">ng skills. Furthermore, I </w:t>
      </w:r>
      <w:proofErr w:type="spellStart"/>
      <w:r w:rsidR="00591DA1">
        <w:t>realis</w:t>
      </w:r>
      <w:r w:rsidRPr="001972EA">
        <w:t>ed</w:t>
      </w:r>
      <w:proofErr w:type="spellEnd"/>
      <w:r w:rsidRPr="001972EA">
        <w:t xml:space="preserve"> the importance of continuing education for all concerned to deliver excellent guest service. A combination of adequate practical experience and theoretical knowledge enables me to have a great platform for my successful career in the hospitality industry. I will ensure that I maintain professional practice and use this experience from this placement to better other areas of practice in future.</w:t>
      </w:r>
    </w:p>
    <w:p w14:paraId="74D97527" w14:textId="77777777" w:rsidR="007D57DF" w:rsidRDefault="00217825">
      <w:pPr>
        <w:spacing w:line="276" w:lineRule="auto"/>
        <w:jc w:val="left"/>
      </w:pPr>
      <w:r>
        <w:br w:type="page"/>
      </w:r>
    </w:p>
    <w:p w14:paraId="55705C84" w14:textId="77777777" w:rsidR="007D57DF" w:rsidRDefault="00217825" w:rsidP="007D57DF">
      <w:pPr>
        <w:pStyle w:val="Heading1"/>
      </w:pPr>
      <w:bookmarkStart w:id="5" w:name="_Toc181884562"/>
      <w:r>
        <w:lastRenderedPageBreak/>
        <w:t>Action plan</w:t>
      </w:r>
      <w:bookmarkEnd w:id="5"/>
    </w:p>
    <w:p w14:paraId="529A1DD3" w14:textId="77777777" w:rsidR="00C20D78" w:rsidRDefault="00217825" w:rsidP="004E425F">
      <w:r w:rsidRPr="00FD10D7">
        <w:t>Through training and development, a person can improve their aptitudes, accumulation, and improvements in the area to better address the requirements of the fast-paced work environment of this sector. To further develop my skill set, I will focus on the following areas.</w:t>
      </w:r>
    </w:p>
    <w:tbl>
      <w:tblPr>
        <w:tblStyle w:val="LightGrid"/>
        <w:tblW w:w="9450" w:type="dxa"/>
        <w:tblLook w:val="04A0" w:firstRow="1" w:lastRow="0" w:firstColumn="1" w:lastColumn="0" w:noHBand="0" w:noVBand="1"/>
      </w:tblPr>
      <w:tblGrid>
        <w:gridCol w:w="2310"/>
        <w:gridCol w:w="6004"/>
        <w:gridCol w:w="1136"/>
      </w:tblGrid>
      <w:tr w:rsidR="00FC2C6F" w14:paraId="3CFD2744" w14:textId="77777777" w:rsidTr="00FC2C6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D771ABD" w14:textId="77777777" w:rsidR="00A171E0" w:rsidRPr="00A171E0" w:rsidRDefault="00217825" w:rsidP="00A171E0">
            <w:pPr>
              <w:rPr>
                <w:rFonts w:eastAsia="Times New Roman"/>
              </w:rPr>
            </w:pPr>
            <w:r w:rsidRPr="00A171E0">
              <w:rPr>
                <w:rFonts w:eastAsia="Times New Roman"/>
              </w:rPr>
              <w:t>Skill Area</w:t>
            </w:r>
          </w:p>
        </w:tc>
        <w:tc>
          <w:tcPr>
            <w:tcW w:w="0" w:type="auto"/>
            <w:hideMark/>
          </w:tcPr>
          <w:p w14:paraId="5D49C4DC" w14:textId="77777777" w:rsidR="00A171E0" w:rsidRPr="00A171E0" w:rsidRDefault="00217825" w:rsidP="00A171E0">
            <w:pPr>
              <w:cnfStyle w:val="100000000000" w:firstRow="1" w:lastRow="0" w:firstColumn="0" w:lastColumn="0" w:oddVBand="0" w:evenVBand="0" w:oddHBand="0" w:evenHBand="0" w:firstRowFirstColumn="0" w:firstRowLastColumn="0" w:lastRowFirstColumn="0" w:lastRowLastColumn="0"/>
              <w:rPr>
                <w:rFonts w:eastAsia="Times New Roman"/>
              </w:rPr>
            </w:pPr>
            <w:r w:rsidRPr="00A171E0">
              <w:rPr>
                <w:rFonts w:eastAsia="Times New Roman"/>
              </w:rPr>
              <w:t>Action</w:t>
            </w:r>
          </w:p>
        </w:tc>
        <w:tc>
          <w:tcPr>
            <w:tcW w:w="0" w:type="auto"/>
            <w:hideMark/>
          </w:tcPr>
          <w:p w14:paraId="72122407" w14:textId="77777777" w:rsidR="00A171E0" w:rsidRPr="00A171E0" w:rsidRDefault="00217825" w:rsidP="00A171E0">
            <w:pPr>
              <w:cnfStyle w:val="100000000000" w:firstRow="1" w:lastRow="0" w:firstColumn="0" w:lastColumn="0" w:oddVBand="0" w:evenVBand="0" w:oddHBand="0" w:evenHBand="0" w:firstRowFirstColumn="0" w:firstRowLastColumn="0" w:lastRowFirstColumn="0" w:lastRowLastColumn="0"/>
              <w:rPr>
                <w:rFonts w:eastAsia="Times New Roman"/>
              </w:rPr>
            </w:pPr>
            <w:r w:rsidRPr="00A171E0">
              <w:rPr>
                <w:rFonts w:eastAsia="Times New Roman"/>
              </w:rPr>
              <w:t>Timeline</w:t>
            </w:r>
          </w:p>
        </w:tc>
      </w:tr>
      <w:tr w:rsidR="00FC2C6F" w14:paraId="69CAB523" w14:textId="77777777" w:rsidTr="00FC2C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6D825F5" w14:textId="77777777" w:rsidR="00A171E0" w:rsidRPr="00A171E0" w:rsidRDefault="00217825" w:rsidP="00A171E0">
            <w:pPr>
              <w:rPr>
                <w:rFonts w:eastAsia="Times New Roman"/>
              </w:rPr>
            </w:pPr>
            <w:r w:rsidRPr="00A171E0">
              <w:rPr>
                <w:rFonts w:eastAsia="Times New Roman"/>
              </w:rPr>
              <w:t>Culinary Skills</w:t>
            </w:r>
          </w:p>
        </w:tc>
        <w:tc>
          <w:tcPr>
            <w:tcW w:w="0" w:type="auto"/>
            <w:hideMark/>
          </w:tcPr>
          <w:p w14:paraId="3D350211"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Enroll in a cooking class or online course. Experiment with new recipes at home.</w:t>
            </w:r>
          </w:p>
        </w:tc>
        <w:tc>
          <w:tcPr>
            <w:tcW w:w="0" w:type="auto"/>
            <w:hideMark/>
          </w:tcPr>
          <w:p w14:paraId="359D2CC1"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3 months</w:t>
            </w:r>
          </w:p>
        </w:tc>
      </w:tr>
      <w:tr w:rsidR="00FC2C6F" w14:paraId="3DF5F6CE" w14:textId="77777777" w:rsidTr="00FC2C6F">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093F56E" w14:textId="77777777" w:rsidR="00A171E0" w:rsidRPr="00A171E0" w:rsidRDefault="00217825" w:rsidP="00A171E0">
            <w:pPr>
              <w:rPr>
                <w:rFonts w:eastAsia="Times New Roman"/>
              </w:rPr>
            </w:pPr>
            <w:r w:rsidRPr="00A171E0">
              <w:rPr>
                <w:rFonts w:eastAsia="Times New Roman"/>
              </w:rPr>
              <w:t>Food and Beverage Management</w:t>
            </w:r>
          </w:p>
        </w:tc>
        <w:tc>
          <w:tcPr>
            <w:tcW w:w="0" w:type="auto"/>
            <w:hideMark/>
          </w:tcPr>
          <w:p w14:paraId="673B3E26" w14:textId="77777777" w:rsidR="00A171E0" w:rsidRPr="00A171E0" w:rsidRDefault="00217825" w:rsidP="00A171E0">
            <w:pPr>
              <w:cnfStyle w:val="000000010000" w:firstRow="0" w:lastRow="0" w:firstColumn="0" w:lastColumn="0" w:oddVBand="0" w:evenVBand="0" w:oddHBand="0" w:evenHBand="1" w:firstRowFirstColumn="0" w:firstRowLastColumn="0" w:lastRowFirstColumn="0" w:lastRowLastColumn="0"/>
            </w:pPr>
            <w:r w:rsidRPr="00A171E0">
              <w:t>Research industry trends and best practices. Volunteer at local food events or restaurants.</w:t>
            </w:r>
          </w:p>
        </w:tc>
        <w:tc>
          <w:tcPr>
            <w:tcW w:w="0" w:type="auto"/>
            <w:hideMark/>
          </w:tcPr>
          <w:p w14:paraId="66CC12B1" w14:textId="77777777" w:rsidR="00A171E0" w:rsidRPr="00A171E0" w:rsidRDefault="00217825" w:rsidP="00A171E0">
            <w:pPr>
              <w:cnfStyle w:val="000000010000" w:firstRow="0" w:lastRow="0" w:firstColumn="0" w:lastColumn="0" w:oddVBand="0" w:evenVBand="0" w:oddHBand="0" w:evenHBand="1" w:firstRowFirstColumn="0" w:firstRowLastColumn="0" w:lastRowFirstColumn="0" w:lastRowLastColumn="0"/>
            </w:pPr>
            <w:r w:rsidRPr="00A171E0">
              <w:t>6 months</w:t>
            </w:r>
          </w:p>
        </w:tc>
      </w:tr>
      <w:tr w:rsidR="00FC2C6F" w14:paraId="3DFB1F73" w14:textId="77777777" w:rsidTr="00FC2C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200A02E5" w14:textId="77777777" w:rsidR="00A171E0" w:rsidRPr="00A171E0" w:rsidRDefault="00217825" w:rsidP="00A171E0">
            <w:pPr>
              <w:rPr>
                <w:rFonts w:eastAsia="Times New Roman"/>
              </w:rPr>
            </w:pPr>
            <w:r w:rsidRPr="00A171E0">
              <w:rPr>
                <w:rFonts w:eastAsia="Times New Roman"/>
              </w:rPr>
              <w:t>Customer Service</w:t>
            </w:r>
          </w:p>
        </w:tc>
        <w:tc>
          <w:tcPr>
            <w:tcW w:w="0" w:type="auto"/>
            <w:hideMark/>
          </w:tcPr>
          <w:p w14:paraId="3B1DDEAA"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Practice active listening and problem-solving skills</w:t>
            </w:r>
            <w:r>
              <w:t xml:space="preserve"> (ASET, </w:t>
            </w:r>
            <w:r w:rsidRPr="00A171E0">
              <w:t>2017). Seek feedback from friends and family on food and beverage experiences.</w:t>
            </w:r>
          </w:p>
        </w:tc>
        <w:tc>
          <w:tcPr>
            <w:tcW w:w="0" w:type="auto"/>
            <w:hideMark/>
          </w:tcPr>
          <w:p w14:paraId="03F3E093"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Ongoing</w:t>
            </w:r>
          </w:p>
        </w:tc>
      </w:tr>
      <w:tr w:rsidR="00FC2C6F" w14:paraId="3B1918E6" w14:textId="77777777" w:rsidTr="00FC2C6F">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5F25385" w14:textId="77777777" w:rsidR="00A171E0" w:rsidRPr="00A171E0" w:rsidRDefault="00217825" w:rsidP="00A171E0">
            <w:pPr>
              <w:rPr>
                <w:rFonts w:eastAsia="Times New Roman"/>
              </w:rPr>
            </w:pPr>
            <w:r w:rsidRPr="00A171E0">
              <w:rPr>
                <w:rFonts w:eastAsia="Times New Roman"/>
              </w:rPr>
              <w:t>Networking</w:t>
            </w:r>
          </w:p>
        </w:tc>
        <w:tc>
          <w:tcPr>
            <w:tcW w:w="0" w:type="auto"/>
            <w:hideMark/>
          </w:tcPr>
          <w:p w14:paraId="1C7AFFDE" w14:textId="77777777" w:rsidR="00A171E0" w:rsidRPr="00A171E0" w:rsidRDefault="00217825" w:rsidP="00A171E0">
            <w:pPr>
              <w:cnfStyle w:val="000000010000" w:firstRow="0" w:lastRow="0" w:firstColumn="0" w:lastColumn="0" w:oddVBand="0" w:evenVBand="0" w:oddHBand="0" w:evenHBand="1" w:firstRowFirstColumn="0" w:firstRowLastColumn="0" w:lastRowFirstColumn="0" w:lastRowLastColumn="0"/>
            </w:pPr>
            <w:r w:rsidRPr="00A171E0">
              <w:t>Attend industry events and conferences. Connect with professionals on LinkedIn.</w:t>
            </w:r>
          </w:p>
        </w:tc>
        <w:tc>
          <w:tcPr>
            <w:tcW w:w="0" w:type="auto"/>
            <w:hideMark/>
          </w:tcPr>
          <w:p w14:paraId="35B6A65D" w14:textId="77777777" w:rsidR="00A171E0" w:rsidRPr="00A171E0" w:rsidRDefault="00217825" w:rsidP="00A171E0">
            <w:pPr>
              <w:cnfStyle w:val="000000010000" w:firstRow="0" w:lastRow="0" w:firstColumn="0" w:lastColumn="0" w:oddVBand="0" w:evenVBand="0" w:oddHBand="0" w:evenHBand="1" w:firstRowFirstColumn="0" w:firstRowLastColumn="0" w:lastRowFirstColumn="0" w:lastRowLastColumn="0"/>
            </w:pPr>
            <w:r w:rsidRPr="00A171E0">
              <w:t>Quarterly</w:t>
            </w:r>
          </w:p>
        </w:tc>
      </w:tr>
      <w:tr w:rsidR="00FC2C6F" w14:paraId="2D004599" w14:textId="77777777" w:rsidTr="00FC2C6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4CDD0499" w14:textId="77777777" w:rsidR="00A171E0" w:rsidRPr="00A171E0" w:rsidRDefault="00217825" w:rsidP="00A171E0">
            <w:pPr>
              <w:rPr>
                <w:rFonts w:eastAsia="Times New Roman"/>
              </w:rPr>
            </w:pPr>
            <w:r w:rsidRPr="00A171E0">
              <w:rPr>
                <w:rFonts w:eastAsia="Times New Roman"/>
              </w:rPr>
              <w:t>Certification</w:t>
            </w:r>
          </w:p>
        </w:tc>
        <w:tc>
          <w:tcPr>
            <w:tcW w:w="0" w:type="auto"/>
            <w:hideMark/>
          </w:tcPr>
          <w:p w14:paraId="560641A4"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 xml:space="preserve">Pursue certifications like </w:t>
            </w:r>
            <w:proofErr w:type="spellStart"/>
            <w:r w:rsidRPr="00A171E0">
              <w:t>ServSafe</w:t>
            </w:r>
            <w:proofErr w:type="spellEnd"/>
            <w:r w:rsidRPr="00A171E0">
              <w:t xml:space="preserve"> Food Safety or Wine Spectator</w:t>
            </w:r>
            <w:r>
              <w:t xml:space="preserve"> (Hagg, 2013)</w:t>
            </w:r>
            <w:r w:rsidRPr="00A171E0">
              <w:t>.</w:t>
            </w:r>
          </w:p>
        </w:tc>
        <w:tc>
          <w:tcPr>
            <w:tcW w:w="0" w:type="auto"/>
            <w:hideMark/>
          </w:tcPr>
          <w:p w14:paraId="4911052C" w14:textId="77777777" w:rsidR="00A171E0" w:rsidRPr="00A171E0" w:rsidRDefault="00217825" w:rsidP="00A171E0">
            <w:pPr>
              <w:cnfStyle w:val="000000100000" w:firstRow="0" w:lastRow="0" w:firstColumn="0" w:lastColumn="0" w:oddVBand="0" w:evenVBand="0" w:oddHBand="1" w:evenHBand="0" w:firstRowFirstColumn="0" w:firstRowLastColumn="0" w:lastRowFirstColumn="0" w:lastRowLastColumn="0"/>
            </w:pPr>
            <w:r w:rsidRPr="00A171E0">
              <w:t>1 year</w:t>
            </w:r>
          </w:p>
        </w:tc>
      </w:tr>
    </w:tbl>
    <w:p w14:paraId="7E7AC589" w14:textId="77777777" w:rsidR="007D57DF" w:rsidRDefault="007D57DF" w:rsidP="00206C9B">
      <w:pPr>
        <w:pStyle w:val="Caption"/>
        <w:jc w:val="center"/>
        <w:rPr>
          <w:color w:val="auto"/>
        </w:rPr>
      </w:pPr>
    </w:p>
    <w:p w14:paraId="46F9197F" w14:textId="77777777" w:rsidR="0011542C" w:rsidRPr="007D57DF" w:rsidRDefault="00217825" w:rsidP="00206C9B">
      <w:pPr>
        <w:pStyle w:val="Caption"/>
        <w:jc w:val="center"/>
        <w:rPr>
          <w:color w:val="auto"/>
          <w:sz w:val="22"/>
        </w:rPr>
      </w:pPr>
      <w:r w:rsidRPr="007D57DF">
        <w:rPr>
          <w:color w:val="auto"/>
          <w:sz w:val="22"/>
        </w:rPr>
        <w:t xml:space="preserve">Table </w:t>
      </w:r>
      <w:r w:rsidRPr="007D57DF">
        <w:rPr>
          <w:color w:val="auto"/>
          <w:sz w:val="22"/>
        </w:rPr>
        <w:fldChar w:fldCharType="begin"/>
      </w:r>
      <w:r w:rsidRPr="007D57DF">
        <w:rPr>
          <w:color w:val="auto"/>
          <w:sz w:val="22"/>
        </w:rPr>
        <w:instrText xml:space="preserve"> SEQ Table \* ARABIC </w:instrText>
      </w:r>
      <w:r w:rsidRPr="007D57DF">
        <w:rPr>
          <w:color w:val="auto"/>
          <w:sz w:val="22"/>
        </w:rPr>
        <w:fldChar w:fldCharType="separate"/>
      </w:r>
      <w:r w:rsidRPr="007D57DF">
        <w:rPr>
          <w:noProof/>
          <w:color w:val="auto"/>
          <w:sz w:val="22"/>
        </w:rPr>
        <w:t>1</w:t>
      </w:r>
      <w:r w:rsidRPr="007D57DF">
        <w:rPr>
          <w:color w:val="auto"/>
          <w:sz w:val="22"/>
        </w:rPr>
        <w:fldChar w:fldCharType="end"/>
      </w:r>
      <w:r w:rsidR="007D57DF" w:rsidRPr="007D57DF">
        <w:rPr>
          <w:color w:val="auto"/>
          <w:sz w:val="22"/>
        </w:rPr>
        <w:t xml:space="preserve">: </w:t>
      </w:r>
      <w:r w:rsidRPr="007D57DF">
        <w:rPr>
          <w:color w:val="auto"/>
          <w:sz w:val="22"/>
        </w:rPr>
        <w:t>Action Plan for Personal Development (Author</w:t>
      </w:r>
      <w:r w:rsidR="00206C9B" w:rsidRPr="007D57DF">
        <w:rPr>
          <w:color w:val="auto"/>
          <w:sz w:val="22"/>
        </w:rPr>
        <w:t>, 2024</w:t>
      </w:r>
      <w:r w:rsidRPr="007D57DF">
        <w:rPr>
          <w:color w:val="auto"/>
          <w:sz w:val="22"/>
        </w:rPr>
        <w:t>)</w:t>
      </w:r>
    </w:p>
    <w:p w14:paraId="5D53F95F" w14:textId="77777777" w:rsidR="007D57DF" w:rsidRPr="007D57DF" w:rsidRDefault="00217825">
      <w:pPr>
        <w:spacing w:line="276" w:lineRule="auto"/>
        <w:jc w:val="left"/>
        <w:rPr>
          <w:rFonts w:eastAsiaTheme="majorEastAsia" w:cstheme="majorBidi"/>
          <w:b/>
          <w:bCs/>
          <w:sz w:val="36"/>
          <w:szCs w:val="28"/>
        </w:rPr>
      </w:pPr>
      <w:r w:rsidRPr="007D57DF">
        <w:rPr>
          <w:sz w:val="32"/>
        </w:rPr>
        <w:br w:type="page"/>
      </w:r>
    </w:p>
    <w:p w14:paraId="7992A25A" w14:textId="77777777" w:rsidR="002D063F" w:rsidRDefault="00217825" w:rsidP="0011542C">
      <w:pPr>
        <w:pStyle w:val="Heading1"/>
      </w:pPr>
      <w:bookmarkStart w:id="6" w:name="_Toc181884563"/>
      <w:r>
        <w:lastRenderedPageBreak/>
        <w:t>References</w:t>
      </w:r>
      <w:bookmarkEnd w:id="6"/>
      <w:r>
        <w:tab/>
      </w:r>
    </w:p>
    <w:p w14:paraId="096B45AB" w14:textId="77777777" w:rsidR="0068165C" w:rsidRPr="0068165C" w:rsidRDefault="00217825" w:rsidP="0068165C">
      <w:proofErr w:type="spellStart"/>
      <w:r w:rsidRPr="0068165C">
        <w:t>Adeani</w:t>
      </w:r>
      <w:proofErr w:type="spellEnd"/>
      <w:r w:rsidRPr="0068165C">
        <w:t xml:space="preserve">, I.S., </w:t>
      </w:r>
      <w:proofErr w:type="spellStart"/>
      <w:r w:rsidRPr="0068165C">
        <w:t>Febriani</w:t>
      </w:r>
      <w:proofErr w:type="spellEnd"/>
      <w:r w:rsidRPr="0068165C">
        <w:t xml:space="preserve">, R.B. and </w:t>
      </w:r>
      <w:proofErr w:type="spellStart"/>
      <w:r w:rsidRPr="0068165C">
        <w:t>Syafryadin</w:t>
      </w:r>
      <w:proofErr w:type="spellEnd"/>
      <w:r w:rsidRPr="0068165C">
        <w:t xml:space="preserve">, S. (2020). Using Gibbs’ Reflective Cycle in Making Reflections of Literary Analysis. </w:t>
      </w:r>
      <w:r w:rsidRPr="0068165C">
        <w:rPr>
          <w:i/>
          <w:iCs/>
        </w:rPr>
        <w:t>Indonesian EFL Journal</w:t>
      </w:r>
      <w:r w:rsidRPr="0068165C">
        <w:t>, [online] 6(2). Available at: https://journal.uniku.ac.id/index.php/IEFLJ/article/view/3382.</w:t>
      </w:r>
    </w:p>
    <w:p w14:paraId="735C650B" w14:textId="77777777" w:rsidR="00E56BF6" w:rsidRDefault="00217825" w:rsidP="00E56BF6">
      <w:r>
        <w:t xml:space="preserve">ASET (2017). </w:t>
      </w:r>
      <w:r w:rsidRPr="00E56BF6">
        <w:rPr>
          <w:i/>
        </w:rPr>
        <w:t>Good Practice Guide for Work-based and Placement Learning in Higher Education</w:t>
      </w:r>
      <w:r>
        <w:t>. Sheffield: ASET.</w:t>
      </w:r>
    </w:p>
    <w:p w14:paraId="3A9D527B" w14:textId="77777777" w:rsidR="0068165C" w:rsidRDefault="00217825" w:rsidP="00E56BF6">
      <w:r w:rsidRPr="0068165C">
        <w:t xml:space="preserve">Cousins, J. &amp; Weekes, S. (2020). </w:t>
      </w:r>
      <w:r w:rsidRPr="0068165C">
        <w:rPr>
          <w:i/>
        </w:rPr>
        <w:t>Food and Beverage Service</w:t>
      </w:r>
      <w:r w:rsidRPr="0068165C">
        <w:t>. 10th Ed. London: Hodder Education.</w:t>
      </w:r>
    </w:p>
    <w:p w14:paraId="4071F959" w14:textId="77777777" w:rsidR="00E56BF6" w:rsidRDefault="00217825" w:rsidP="00E56BF6">
      <w:r>
        <w:t xml:space="preserve">Fallon, M. &amp; Rutherford, D. (2010). </w:t>
      </w:r>
      <w:r w:rsidRPr="00E56BF6">
        <w:rPr>
          <w:i/>
        </w:rPr>
        <w:t>Hotel Management and Operations</w:t>
      </w:r>
      <w:r>
        <w:t>. London: Wiley.</w:t>
      </w:r>
    </w:p>
    <w:p w14:paraId="6F779BCD" w14:textId="77777777" w:rsidR="0068165C" w:rsidRDefault="00217825" w:rsidP="00E56BF6">
      <w:proofErr w:type="spellStart"/>
      <w:r w:rsidRPr="0068165C">
        <w:t>Fanthorne</w:t>
      </w:r>
      <w:proofErr w:type="spellEnd"/>
      <w:r w:rsidRPr="0068165C">
        <w:t xml:space="preserve">, C. (2004). </w:t>
      </w:r>
      <w:r w:rsidRPr="0068165C">
        <w:rPr>
          <w:i/>
        </w:rPr>
        <w:t>Work Placements – Survival Guide for Students</w:t>
      </w:r>
      <w:r>
        <w:t>. Basingstoke: Macmillan.</w:t>
      </w:r>
    </w:p>
    <w:p w14:paraId="5AA10AD2" w14:textId="77777777" w:rsidR="0068165C" w:rsidRDefault="00217825" w:rsidP="00E56BF6">
      <w:r w:rsidRPr="0068165C">
        <w:t xml:space="preserve">Garlick, A. (2014). Experiential Learning: rationale, approaches and implications for practice in Events Management and Hospitality courses | London Met Repository. </w:t>
      </w:r>
      <w:r w:rsidRPr="0068165C">
        <w:rPr>
          <w:i/>
          <w:iCs/>
        </w:rPr>
        <w:t>Londonmet.ac.uk</w:t>
      </w:r>
      <w:r w:rsidRPr="0068165C">
        <w:t>, [online] 22(7). doi:https://repository.londonmet.ac.uk/326/1/InvestigationsInUniversityTeachingAndLearning%20v9%20p8-14.pdf.</w:t>
      </w:r>
    </w:p>
    <w:p w14:paraId="6F290429" w14:textId="77777777" w:rsidR="00E56BF6" w:rsidRDefault="00217825" w:rsidP="00E56BF6">
      <w:r>
        <w:t xml:space="preserve">Hagg, E. (2013). </w:t>
      </w:r>
      <w:r w:rsidRPr="00E56BF6">
        <w:rPr>
          <w:i/>
        </w:rPr>
        <w:t>Internship Guide: Work Placements Step by Step</w:t>
      </w:r>
      <w:r>
        <w:t>. 5th Ed. The Hague: Eleven International Publishing.</w:t>
      </w:r>
    </w:p>
    <w:p w14:paraId="13918BFD" w14:textId="77777777" w:rsidR="0068165C" w:rsidRDefault="00217825" w:rsidP="00E56BF6">
      <w:r w:rsidRPr="0068165C">
        <w:t xml:space="preserve">Lam, R., Cheung, C. and Lugosi, P. (2022). The impacts of cultural intelligence and emotional </w:t>
      </w:r>
      <w:proofErr w:type="spellStart"/>
      <w:r w:rsidRPr="0068165C">
        <w:t>labour</w:t>
      </w:r>
      <w:proofErr w:type="spellEnd"/>
      <w:r w:rsidRPr="0068165C">
        <w:t xml:space="preserve"> on the job satisfaction of luxury hotel employees. </w:t>
      </w:r>
      <w:r w:rsidRPr="0068165C">
        <w:rPr>
          <w:i/>
          <w:iCs/>
        </w:rPr>
        <w:t>International Journal of Hospitality Management</w:t>
      </w:r>
      <w:r w:rsidRPr="0068165C">
        <w:t xml:space="preserve">, [online] 100(5), p.103084. </w:t>
      </w:r>
      <w:proofErr w:type="spellStart"/>
      <w:r w:rsidRPr="0068165C">
        <w:t>doi:https</w:t>
      </w:r>
      <w:proofErr w:type="spellEnd"/>
      <w:r w:rsidRPr="0068165C">
        <w:t>://doi.org/10.1016/j.ijhm.2021.103084.</w:t>
      </w:r>
    </w:p>
    <w:p w14:paraId="51B41C63" w14:textId="77777777" w:rsidR="00030023" w:rsidRDefault="00217825" w:rsidP="00E56BF6">
      <w:r w:rsidRPr="00030023">
        <w:t xml:space="preserve">Marriott Bonvoy. (2024). </w:t>
      </w:r>
      <w:r w:rsidRPr="00030023">
        <w:rPr>
          <w:i/>
          <w:iCs/>
        </w:rPr>
        <w:t>Delta Hotels Swansea</w:t>
      </w:r>
      <w:r w:rsidRPr="00030023">
        <w:t>. [online] Available at: https://www.marriott.com/en-us/hotels/cwlsd-delta-hotels-swansea/dining/ [Accessed 4 Nov. 2024].</w:t>
      </w:r>
    </w:p>
    <w:p w14:paraId="05B1D3A4" w14:textId="77777777" w:rsidR="0068165C" w:rsidRDefault="00217825" w:rsidP="009547CF">
      <w:r w:rsidRPr="0068165C">
        <w:t xml:space="preserve">Mroz, J.E., Allen, J.A., Verhoeven, D.C. and Shuffler, M.L. (2018). Do We Need Another Meeting? The Science of Workplace Meetings. </w:t>
      </w:r>
      <w:r w:rsidRPr="0068165C">
        <w:rPr>
          <w:i/>
          <w:iCs/>
        </w:rPr>
        <w:t>Current Directions in Psychological Science</w:t>
      </w:r>
      <w:r w:rsidRPr="0068165C">
        <w:t xml:space="preserve">, 27(6), pp.484–491. </w:t>
      </w:r>
      <w:proofErr w:type="spellStart"/>
      <w:r w:rsidRPr="0068165C">
        <w:t>doi:https</w:t>
      </w:r>
      <w:proofErr w:type="spellEnd"/>
      <w:r w:rsidRPr="0068165C">
        <w:t>://doi.org/10.1177/0963721418776307.</w:t>
      </w:r>
    </w:p>
    <w:p w14:paraId="1210ED9C" w14:textId="77777777" w:rsidR="00381B01" w:rsidRDefault="00217825" w:rsidP="009547CF">
      <w:r w:rsidRPr="00381B01">
        <w:lastRenderedPageBreak/>
        <w:t xml:space="preserve">Talukder, M.B., Kumar, S., Sood, K. and Grima, S. (2023). Information technology, food service quality and restaurant revisit intention. </w:t>
      </w:r>
      <w:r w:rsidRPr="00381B01">
        <w:rPr>
          <w:i/>
          <w:iCs/>
        </w:rPr>
        <w:t>Um.edu.mt</w:t>
      </w:r>
      <w:r w:rsidRPr="00381B01">
        <w:t xml:space="preserve">, [online] 44(7). </w:t>
      </w:r>
      <w:proofErr w:type="spellStart"/>
      <w:r w:rsidRPr="00381B01">
        <w:t>doi</w:t>
      </w:r>
      <w:proofErr w:type="spellEnd"/>
      <w:r w:rsidRPr="00381B01">
        <w:t xml:space="preserve"> https://www.um.edu.mt/library/oar/handle/123456789/121087.</w:t>
      </w:r>
    </w:p>
    <w:p w14:paraId="2E782189" w14:textId="77777777" w:rsidR="00E56BF6" w:rsidRPr="00E56BF6" w:rsidRDefault="00217825" w:rsidP="00E56BF6">
      <w:r w:rsidRPr="0068165C">
        <w:t xml:space="preserve">Walker, J.C. (2021). </w:t>
      </w:r>
      <w:r w:rsidRPr="0068165C">
        <w:rPr>
          <w:i/>
        </w:rPr>
        <w:t>Introduction to Hospitality</w:t>
      </w:r>
      <w:r w:rsidRPr="0068165C">
        <w:t>. 8th Ed. Ha</w:t>
      </w:r>
      <w:r>
        <w:t>rlow: Pearson Education Limited.</w:t>
      </w:r>
    </w:p>
    <w:sectPr w:rsidR="00E56BF6" w:rsidRPr="00E56BF6" w:rsidSect="00F431CD">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919656" w14:textId="77777777" w:rsidR="000A5505" w:rsidRDefault="000A5505">
      <w:pPr>
        <w:spacing w:after="0" w:line="240" w:lineRule="auto"/>
      </w:pPr>
      <w:r>
        <w:separator/>
      </w:r>
    </w:p>
  </w:endnote>
  <w:endnote w:type="continuationSeparator" w:id="0">
    <w:p w14:paraId="16965391" w14:textId="77777777" w:rsidR="000A5505" w:rsidRDefault="000A5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A5E1BB" w14:textId="77777777" w:rsidR="006265A2" w:rsidRDefault="00626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92086F" w14:textId="77777777" w:rsidR="006265A2" w:rsidRDefault="006265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4A9490" w14:textId="77777777" w:rsidR="006265A2" w:rsidRDefault="006265A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881004"/>
      <w:docPartObj>
        <w:docPartGallery w:val="Page Numbers (Bottom of Page)"/>
        <w:docPartUnique/>
      </w:docPartObj>
    </w:sdtPr>
    <w:sdtEndPr>
      <w:rPr>
        <w:noProof/>
      </w:rPr>
    </w:sdtEndPr>
    <w:sdtContent>
      <w:p w14:paraId="2C17523C" w14:textId="77777777" w:rsidR="00F431CD" w:rsidRDefault="00217825">
        <w:pPr>
          <w:pStyle w:val="Footer"/>
          <w:jc w:val="center"/>
        </w:pPr>
        <w:r>
          <w:fldChar w:fldCharType="begin"/>
        </w:r>
        <w:r>
          <w:instrText xml:space="preserve"> PAGE   \* MERGEFORMAT </w:instrText>
        </w:r>
        <w:r>
          <w:fldChar w:fldCharType="separate"/>
        </w:r>
        <w:r w:rsidR="00274743">
          <w:rPr>
            <w:noProof/>
          </w:rPr>
          <w:t>9</w:t>
        </w:r>
        <w:r>
          <w:rPr>
            <w:noProof/>
          </w:rPr>
          <w:fldChar w:fldCharType="end"/>
        </w:r>
      </w:p>
    </w:sdtContent>
  </w:sdt>
  <w:p w14:paraId="15BA8431" w14:textId="77777777" w:rsidR="00F431CD" w:rsidRDefault="00F43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A35DF" w14:textId="77777777" w:rsidR="000A5505" w:rsidRDefault="000A5505">
      <w:pPr>
        <w:spacing w:after="0" w:line="240" w:lineRule="auto"/>
      </w:pPr>
      <w:r>
        <w:separator/>
      </w:r>
    </w:p>
  </w:footnote>
  <w:footnote w:type="continuationSeparator" w:id="0">
    <w:p w14:paraId="68D5F23F" w14:textId="77777777" w:rsidR="000A5505" w:rsidRDefault="000A5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9CEE4C" w14:textId="77777777" w:rsidR="006265A2" w:rsidRDefault="006265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2F9F41" w14:textId="77777777" w:rsidR="006265A2" w:rsidRDefault="006265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A3AD3C" w14:textId="77777777" w:rsidR="006265A2" w:rsidRDefault="006265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94A26"/>
    <w:multiLevelType w:val="hybridMultilevel"/>
    <w:tmpl w:val="98744216"/>
    <w:lvl w:ilvl="0" w:tplc="8F705112">
      <w:start w:val="1"/>
      <w:numFmt w:val="bullet"/>
      <w:lvlText w:val=""/>
      <w:lvlJc w:val="left"/>
      <w:pPr>
        <w:ind w:left="720" w:hanging="360"/>
      </w:pPr>
      <w:rPr>
        <w:rFonts w:ascii="Symbol" w:hAnsi="Symbol" w:hint="default"/>
      </w:rPr>
    </w:lvl>
    <w:lvl w:ilvl="1" w:tplc="B5FE50C0" w:tentative="1">
      <w:start w:val="1"/>
      <w:numFmt w:val="bullet"/>
      <w:lvlText w:val="o"/>
      <w:lvlJc w:val="left"/>
      <w:pPr>
        <w:ind w:left="1440" w:hanging="360"/>
      </w:pPr>
      <w:rPr>
        <w:rFonts w:ascii="Courier New" w:hAnsi="Courier New" w:cs="Courier New" w:hint="default"/>
      </w:rPr>
    </w:lvl>
    <w:lvl w:ilvl="2" w:tplc="3CB8B8A8" w:tentative="1">
      <w:start w:val="1"/>
      <w:numFmt w:val="bullet"/>
      <w:lvlText w:val=""/>
      <w:lvlJc w:val="left"/>
      <w:pPr>
        <w:ind w:left="2160" w:hanging="360"/>
      </w:pPr>
      <w:rPr>
        <w:rFonts w:ascii="Wingdings" w:hAnsi="Wingdings" w:hint="default"/>
      </w:rPr>
    </w:lvl>
    <w:lvl w:ilvl="3" w:tplc="7B18C2D0" w:tentative="1">
      <w:start w:val="1"/>
      <w:numFmt w:val="bullet"/>
      <w:lvlText w:val=""/>
      <w:lvlJc w:val="left"/>
      <w:pPr>
        <w:ind w:left="2880" w:hanging="360"/>
      </w:pPr>
      <w:rPr>
        <w:rFonts w:ascii="Symbol" w:hAnsi="Symbol" w:hint="default"/>
      </w:rPr>
    </w:lvl>
    <w:lvl w:ilvl="4" w:tplc="38A8CECA" w:tentative="1">
      <w:start w:val="1"/>
      <w:numFmt w:val="bullet"/>
      <w:lvlText w:val="o"/>
      <w:lvlJc w:val="left"/>
      <w:pPr>
        <w:ind w:left="3600" w:hanging="360"/>
      </w:pPr>
      <w:rPr>
        <w:rFonts w:ascii="Courier New" w:hAnsi="Courier New" w:cs="Courier New" w:hint="default"/>
      </w:rPr>
    </w:lvl>
    <w:lvl w:ilvl="5" w:tplc="B32A0022" w:tentative="1">
      <w:start w:val="1"/>
      <w:numFmt w:val="bullet"/>
      <w:lvlText w:val=""/>
      <w:lvlJc w:val="left"/>
      <w:pPr>
        <w:ind w:left="4320" w:hanging="360"/>
      </w:pPr>
      <w:rPr>
        <w:rFonts w:ascii="Wingdings" w:hAnsi="Wingdings" w:hint="default"/>
      </w:rPr>
    </w:lvl>
    <w:lvl w:ilvl="6" w:tplc="5BCE504C" w:tentative="1">
      <w:start w:val="1"/>
      <w:numFmt w:val="bullet"/>
      <w:lvlText w:val=""/>
      <w:lvlJc w:val="left"/>
      <w:pPr>
        <w:ind w:left="5040" w:hanging="360"/>
      </w:pPr>
      <w:rPr>
        <w:rFonts w:ascii="Symbol" w:hAnsi="Symbol" w:hint="default"/>
      </w:rPr>
    </w:lvl>
    <w:lvl w:ilvl="7" w:tplc="F77C1CE6" w:tentative="1">
      <w:start w:val="1"/>
      <w:numFmt w:val="bullet"/>
      <w:lvlText w:val="o"/>
      <w:lvlJc w:val="left"/>
      <w:pPr>
        <w:ind w:left="5760" w:hanging="360"/>
      </w:pPr>
      <w:rPr>
        <w:rFonts w:ascii="Courier New" w:hAnsi="Courier New" w:cs="Courier New" w:hint="default"/>
      </w:rPr>
    </w:lvl>
    <w:lvl w:ilvl="8" w:tplc="2B3A973E" w:tentative="1">
      <w:start w:val="1"/>
      <w:numFmt w:val="bullet"/>
      <w:lvlText w:val=""/>
      <w:lvlJc w:val="left"/>
      <w:pPr>
        <w:ind w:left="6480" w:hanging="360"/>
      </w:pPr>
      <w:rPr>
        <w:rFonts w:ascii="Wingdings" w:hAnsi="Wingdings" w:hint="default"/>
      </w:rPr>
    </w:lvl>
  </w:abstractNum>
  <w:abstractNum w:abstractNumId="1" w15:restartNumberingAfterBreak="0">
    <w:nsid w:val="58057A12"/>
    <w:multiLevelType w:val="hybridMultilevel"/>
    <w:tmpl w:val="AE021B14"/>
    <w:lvl w:ilvl="0" w:tplc="D1DC9B1E">
      <w:start w:val="1"/>
      <w:numFmt w:val="bullet"/>
      <w:lvlText w:val=""/>
      <w:lvlJc w:val="left"/>
      <w:pPr>
        <w:ind w:left="720" w:hanging="360"/>
      </w:pPr>
      <w:rPr>
        <w:rFonts w:ascii="Symbol" w:hAnsi="Symbol" w:hint="default"/>
      </w:rPr>
    </w:lvl>
    <w:lvl w:ilvl="1" w:tplc="517084D8" w:tentative="1">
      <w:start w:val="1"/>
      <w:numFmt w:val="bullet"/>
      <w:lvlText w:val="o"/>
      <w:lvlJc w:val="left"/>
      <w:pPr>
        <w:ind w:left="1440" w:hanging="360"/>
      </w:pPr>
      <w:rPr>
        <w:rFonts w:ascii="Courier New" w:hAnsi="Courier New" w:cs="Courier New" w:hint="default"/>
      </w:rPr>
    </w:lvl>
    <w:lvl w:ilvl="2" w:tplc="D40681F8" w:tentative="1">
      <w:start w:val="1"/>
      <w:numFmt w:val="bullet"/>
      <w:lvlText w:val=""/>
      <w:lvlJc w:val="left"/>
      <w:pPr>
        <w:ind w:left="2160" w:hanging="360"/>
      </w:pPr>
      <w:rPr>
        <w:rFonts w:ascii="Wingdings" w:hAnsi="Wingdings" w:hint="default"/>
      </w:rPr>
    </w:lvl>
    <w:lvl w:ilvl="3" w:tplc="B074FF1C" w:tentative="1">
      <w:start w:val="1"/>
      <w:numFmt w:val="bullet"/>
      <w:lvlText w:val=""/>
      <w:lvlJc w:val="left"/>
      <w:pPr>
        <w:ind w:left="2880" w:hanging="360"/>
      </w:pPr>
      <w:rPr>
        <w:rFonts w:ascii="Symbol" w:hAnsi="Symbol" w:hint="default"/>
      </w:rPr>
    </w:lvl>
    <w:lvl w:ilvl="4" w:tplc="97A6692E" w:tentative="1">
      <w:start w:val="1"/>
      <w:numFmt w:val="bullet"/>
      <w:lvlText w:val="o"/>
      <w:lvlJc w:val="left"/>
      <w:pPr>
        <w:ind w:left="3600" w:hanging="360"/>
      </w:pPr>
      <w:rPr>
        <w:rFonts w:ascii="Courier New" w:hAnsi="Courier New" w:cs="Courier New" w:hint="default"/>
      </w:rPr>
    </w:lvl>
    <w:lvl w:ilvl="5" w:tplc="650296EE" w:tentative="1">
      <w:start w:val="1"/>
      <w:numFmt w:val="bullet"/>
      <w:lvlText w:val=""/>
      <w:lvlJc w:val="left"/>
      <w:pPr>
        <w:ind w:left="4320" w:hanging="360"/>
      </w:pPr>
      <w:rPr>
        <w:rFonts w:ascii="Wingdings" w:hAnsi="Wingdings" w:hint="default"/>
      </w:rPr>
    </w:lvl>
    <w:lvl w:ilvl="6" w:tplc="C1E2AE16" w:tentative="1">
      <w:start w:val="1"/>
      <w:numFmt w:val="bullet"/>
      <w:lvlText w:val=""/>
      <w:lvlJc w:val="left"/>
      <w:pPr>
        <w:ind w:left="5040" w:hanging="360"/>
      </w:pPr>
      <w:rPr>
        <w:rFonts w:ascii="Symbol" w:hAnsi="Symbol" w:hint="default"/>
      </w:rPr>
    </w:lvl>
    <w:lvl w:ilvl="7" w:tplc="1FAA190E" w:tentative="1">
      <w:start w:val="1"/>
      <w:numFmt w:val="bullet"/>
      <w:lvlText w:val="o"/>
      <w:lvlJc w:val="left"/>
      <w:pPr>
        <w:ind w:left="5760" w:hanging="360"/>
      </w:pPr>
      <w:rPr>
        <w:rFonts w:ascii="Courier New" w:hAnsi="Courier New" w:cs="Courier New" w:hint="default"/>
      </w:rPr>
    </w:lvl>
    <w:lvl w:ilvl="8" w:tplc="6C86D61C" w:tentative="1">
      <w:start w:val="1"/>
      <w:numFmt w:val="bullet"/>
      <w:lvlText w:val=""/>
      <w:lvlJc w:val="left"/>
      <w:pPr>
        <w:ind w:left="6480" w:hanging="360"/>
      </w:pPr>
      <w:rPr>
        <w:rFonts w:ascii="Wingdings" w:hAnsi="Wingdings" w:hint="default"/>
      </w:rPr>
    </w:lvl>
  </w:abstractNum>
  <w:num w:numId="1" w16cid:durableId="1072580963">
    <w:abstractNumId w:val="0"/>
  </w:num>
  <w:num w:numId="2" w16cid:durableId="8391995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29CE"/>
    <w:rsid w:val="000029D3"/>
    <w:rsid w:val="00030023"/>
    <w:rsid w:val="0007330D"/>
    <w:rsid w:val="00093306"/>
    <w:rsid w:val="000A5505"/>
    <w:rsid w:val="000A5618"/>
    <w:rsid w:val="0011542C"/>
    <w:rsid w:val="00163552"/>
    <w:rsid w:val="00180B48"/>
    <w:rsid w:val="00182670"/>
    <w:rsid w:val="001972EA"/>
    <w:rsid w:val="001C0CBA"/>
    <w:rsid w:val="00206C9B"/>
    <w:rsid w:val="00217825"/>
    <w:rsid w:val="00274743"/>
    <w:rsid w:val="002A107C"/>
    <w:rsid w:val="002C6177"/>
    <w:rsid w:val="002D063F"/>
    <w:rsid w:val="002E5899"/>
    <w:rsid w:val="0037679D"/>
    <w:rsid w:val="00381B01"/>
    <w:rsid w:val="00396432"/>
    <w:rsid w:val="003B5726"/>
    <w:rsid w:val="003B70EF"/>
    <w:rsid w:val="003C14DC"/>
    <w:rsid w:val="00415C9E"/>
    <w:rsid w:val="00425FC0"/>
    <w:rsid w:val="004E425F"/>
    <w:rsid w:val="00532665"/>
    <w:rsid w:val="00553D70"/>
    <w:rsid w:val="00561417"/>
    <w:rsid w:val="00576307"/>
    <w:rsid w:val="00591DA1"/>
    <w:rsid w:val="006022FE"/>
    <w:rsid w:val="006265A2"/>
    <w:rsid w:val="0068165C"/>
    <w:rsid w:val="00685146"/>
    <w:rsid w:val="006979BF"/>
    <w:rsid w:val="006D68E3"/>
    <w:rsid w:val="006E7E11"/>
    <w:rsid w:val="00761EE4"/>
    <w:rsid w:val="007902D6"/>
    <w:rsid w:val="007C1AA0"/>
    <w:rsid w:val="007D22E3"/>
    <w:rsid w:val="007D57DF"/>
    <w:rsid w:val="007E2D1A"/>
    <w:rsid w:val="008305FD"/>
    <w:rsid w:val="00835124"/>
    <w:rsid w:val="00857B00"/>
    <w:rsid w:val="00886E8F"/>
    <w:rsid w:val="00931403"/>
    <w:rsid w:val="009547CF"/>
    <w:rsid w:val="009C14F2"/>
    <w:rsid w:val="00A171E0"/>
    <w:rsid w:val="00A21E41"/>
    <w:rsid w:val="00A436C8"/>
    <w:rsid w:val="00A43CE9"/>
    <w:rsid w:val="00A52D74"/>
    <w:rsid w:val="00A6275E"/>
    <w:rsid w:val="00A83D26"/>
    <w:rsid w:val="00B063C0"/>
    <w:rsid w:val="00BA420D"/>
    <w:rsid w:val="00BB6065"/>
    <w:rsid w:val="00C20D78"/>
    <w:rsid w:val="00C729CE"/>
    <w:rsid w:val="00D2270A"/>
    <w:rsid w:val="00D26F22"/>
    <w:rsid w:val="00D52311"/>
    <w:rsid w:val="00DF3D3E"/>
    <w:rsid w:val="00E3144C"/>
    <w:rsid w:val="00E56BF6"/>
    <w:rsid w:val="00EA44A9"/>
    <w:rsid w:val="00EA7A99"/>
    <w:rsid w:val="00F431CD"/>
    <w:rsid w:val="00F61D8E"/>
    <w:rsid w:val="00F93A4C"/>
    <w:rsid w:val="00FC2C6F"/>
    <w:rsid w:val="00FD10D7"/>
    <w:rsid w:val="00FD59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AA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9C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0CBA"/>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CBA"/>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F61D8E"/>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F61D8E"/>
    <w:pPr>
      <w:spacing w:after="100"/>
    </w:pPr>
  </w:style>
  <w:style w:type="character" w:styleId="Hyperlink">
    <w:name w:val="Hyperlink"/>
    <w:basedOn w:val="DefaultParagraphFont"/>
    <w:uiPriority w:val="99"/>
    <w:unhideWhenUsed/>
    <w:rsid w:val="00F61D8E"/>
    <w:rPr>
      <w:color w:val="0000FF" w:themeColor="hyperlink"/>
      <w:u w:val="single"/>
    </w:rPr>
  </w:style>
  <w:style w:type="paragraph" w:styleId="BalloonText">
    <w:name w:val="Balloon Text"/>
    <w:basedOn w:val="Normal"/>
    <w:link w:val="BalloonTextChar"/>
    <w:uiPriority w:val="99"/>
    <w:semiHidden/>
    <w:unhideWhenUsed/>
    <w:rsid w:val="00F61D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1D8E"/>
    <w:rPr>
      <w:rFonts w:ascii="Tahoma" w:hAnsi="Tahoma" w:cs="Tahoma"/>
      <w:sz w:val="16"/>
      <w:szCs w:val="16"/>
    </w:rPr>
  </w:style>
  <w:style w:type="paragraph" w:styleId="Header">
    <w:name w:val="header"/>
    <w:basedOn w:val="Normal"/>
    <w:link w:val="HeaderChar"/>
    <w:uiPriority w:val="99"/>
    <w:unhideWhenUsed/>
    <w:rsid w:val="00F431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31CD"/>
    <w:rPr>
      <w:rFonts w:ascii="Times New Roman" w:hAnsi="Times New Roman"/>
      <w:sz w:val="24"/>
    </w:rPr>
  </w:style>
  <w:style w:type="paragraph" w:styleId="Footer">
    <w:name w:val="footer"/>
    <w:basedOn w:val="Normal"/>
    <w:link w:val="FooterChar"/>
    <w:uiPriority w:val="99"/>
    <w:unhideWhenUsed/>
    <w:rsid w:val="00F431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31CD"/>
    <w:rPr>
      <w:rFonts w:ascii="Times New Roman" w:hAnsi="Times New Roman"/>
      <w:sz w:val="24"/>
    </w:rPr>
  </w:style>
  <w:style w:type="paragraph" w:styleId="ListParagraph">
    <w:name w:val="List Paragraph"/>
    <w:basedOn w:val="Normal"/>
    <w:uiPriority w:val="34"/>
    <w:qFormat/>
    <w:rsid w:val="004E425F"/>
    <w:pPr>
      <w:ind w:left="720"/>
      <w:contextualSpacing/>
    </w:pPr>
  </w:style>
  <w:style w:type="table" w:styleId="LightGrid">
    <w:name w:val="Light Grid"/>
    <w:basedOn w:val="TableNormal"/>
    <w:uiPriority w:val="62"/>
    <w:rsid w:val="002D06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Caption">
    <w:name w:val="caption"/>
    <w:basedOn w:val="Normal"/>
    <w:next w:val="Normal"/>
    <w:uiPriority w:val="35"/>
    <w:unhideWhenUsed/>
    <w:qFormat/>
    <w:rsid w:val="0011542C"/>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Layout" Target="diagrams/layout1.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Data" Target="diagrams/data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6E58A8-4173-4973-BB71-3E6E9710BC39}"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US"/>
        </a:p>
      </dgm:t>
    </dgm:pt>
    <dgm:pt modelId="{FDA6DE84-4DE7-4755-BC6B-C35BD2C4F27E}">
      <dgm:prSet phldrT="[Text]" custT="1"/>
      <dgm:spPr/>
      <dgm:t>
        <a:bodyPr/>
        <a:lstStyle/>
        <a:p>
          <a:pPr algn="just"/>
          <a:r>
            <a:rPr lang="en-US" sz="1200">
              <a:latin typeface="Times New Roman" pitchFamily="18" charset="0"/>
              <a:cs typeface="Times New Roman" pitchFamily="18" charset="0"/>
            </a:rPr>
            <a:t>Rotational Assignments</a:t>
          </a:r>
        </a:p>
      </dgm:t>
    </dgm:pt>
    <dgm:pt modelId="{FAC2E5A5-66C4-411F-A4D1-D46BC7DA818E}" type="parTrans" cxnId="{0C36715E-243D-41FA-B9B8-F10ABDC03D8A}">
      <dgm:prSet/>
      <dgm:spPr/>
      <dgm:t>
        <a:bodyPr/>
        <a:lstStyle/>
        <a:p>
          <a:endParaRPr lang="en-US"/>
        </a:p>
      </dgm:t>
    </dgm:pt>
    <dgm:pt modelId="{A5F04592-D6C9-4DEF-B5ED-8F4C1DE02948}" type="sibTrans" cxnId="{0C36715E-243D-41FA-B9B8-F10ABDC03D8A}">
      <dgm:prSet/>
      <dgm:spPr/>
      <dgm:t>
        <a:bodyPr/>
        <a:lstStyle/>
        <a:p>
          <a:endParaRPr lang="en-US"/>
        </a:p>
      </dgm:t>
    </dgm:pt>
    <dgm:pt modelId="{AECBCA8A-6DFE-4CB7-A28F-54673C6E97F5}">
      <dgm:prSet custT="1"/>
      <dgm:spPr/>
      <dgm:t>
        <a:bodyPr/>
        <a:lstStyle/>
        <a:p>
          <a:pPr algn="just"/>
          <a:r>
            <a:rPr lang="en-US" sz="1200">
              <a:latin typeface="Times New Roman" pitchFamily="18" charset="0"/>
              <a:cs typeface="Times New Roman" pitchFamily="18" charset="0"/>
            </a:rPr>
            <a:t>Gamification of Training</a:t>
          </a:r>
        </a:p>
      </dgm:t>
    </dgm:pt>
    <dgm:pt modelId="{482A9A89-8F8A-4139-98F7-C29864C89817}" type="parTrans" cxnId="{D48EC730-EAB5-4573-B5A4-E25E865592C3}">
      <dgm:prSet/>
      <dgm:spPr/>
      <dgm:t>
        <a:bodyPr/>
        <a:lstStyle/>
        <a:p>
          <a:endParaRPr lang="en-US"/>
        </a:p>
      </dgm:t>
    </dgm:pt>
    <dgm:pt modelId="{BA592BF0-ED01-4ACD-AB46-6935CF7F011D}" type="sibTrans" cxnId="{D48EC730-EAB5-4573-B5A4-E25E865592C3}">
      <dgm:prSet/>
      <dgm:spPr/>
      <dgm:t>
        <a:bodyPr/>
        <a:lstStyle/>
        <a:p>
          <a:endParaRPr lang="en-US"/>
        </a:p>
      </dgm:t>
    </dgm:pt>
    <dgm:pt modelId="{21AF5895-9903-414A-8E50-39E70F96AF1B}">
      <dgm:prSet custT="1"/>
      <dgm:spPr/>
      <dgm:t>
        <a:bodyPr/>
        <a:lstStyle/>
        <a:p>
          <a:pPr algn="just"/>
          <a:r>
            <a:rPr lang="en-US" sz="1200">
              <a:latin typeface="Times New Roman" pitchFamily="18" charset="0"/>
              <a:cs typeface="Times New Roman" pitchFamily="18" charset="0"/>
            </a:rPr>
            <a:t>Employee Recognition Programs</a:t>
          </a:r>
        </a:p>
      </dgm:t>
    </dgm:pt>
    <dgm:pt modelId="{32FA159C-6F64-4465-85D0-5C220488CEFA}" type="parTrans" cxnId="{1B646E6F-71C1-4A14-BE88-5C2E1F2C26A4}">
      <dgm:prSet/>
      <dgm:spPr/>
      <dgm:t>
        <a:bodyPr/>
        <a:lstStyle/>
        <a:p>
          <a:endParaRPr lang="en-US"/>
        </a:p>
      </dgm:t>
    </dgm:pt>
    <dgm:pt modelId="{0AF41EE3-E2C2-4CDE-AE00-9300039801F4}" type="sibTrans" cxnId="{1B646E6F-71C1-4A14-BE88-5C2E1F2C26A4}">
      <dgm:prSet/>
      <dgm:spPr/>
      <dgm:t>
        <a:bodyPr/>
        <a:lstStyle/>
        <a:p>
          <a:endParaRPr lang="en-US"/>
        </a:p>
      </dgm:t>
    </dgm:pt>
    <dgm:pt modelId="{502340A2-3973-4576-A105-186086A42463}">
      <dgm:prSet custT="1"/>
      <dgm:spPr/>
      <dgm:t>
        <a:bodyPr/>
        <a:lstStyle/>
        <a:p>
          <a:pPr algn="just"/>
          <a:r>
            <a:rPr lang="en-US" sz="1200">
              <a:latin typeface="Times New Roman" pitchFamily="18" charset="0"/>
              <a:cs typeface="Times New Roman" pitchFamily="18" charset="0"/>
            </a:rPr>
            <a:t>Appreciate and recognise the hard working, well performing and receptive and willing to learn staff members. By doing this, it will keep encouraging the staff to develop more new knowledge and skills and will also ensure that the organisation creates a good healthy working culture across their employees (Fanthorne, 2004). Establish an ongoing recognition structure e. g. some organisation may use employee of the month or quarter.</a:t>
          </a:r>
        </a:p>
      </dgm:t>
    </dgm:pt>
    <dgm:pt modelId="{DC2DCB29-7064-4415-B538-B62323466480}" type="parTrans" cxnId="{BD8E9C7C-3FC5-4B22-85AA-52F2EEEE7E55}">
      <dgm:prSet/>
      <dgm:spPr/>
      <dgm:t>
        <a:bodyPr/>
        <a:lstStyle/>
        <a:p>
          <a:endParaRPr lang="en-US"/>
        </a:p>
      </dgm:t>
    </dgm:pt>
    <dgm:pt modelId="{81F3AC01-96D8-4E48-9417-54ADE56EAC74}" type="sibTrans" cxnId="{BD8E9C7C-3FC5-4B22-85AA-52F2EEEE7E55}">
      <dgm:prSet/>
      <dgm:spPr/>
      <dgm:t>
        <a:bodyPr/>
        <a:lstStyle/>
        <a:p>
          <a:endParaRPr lang="en-US"/>
        </a:p>
      </dgm:t>
    </dgm:pt>
    <dgm:pt modelId="{BCB04AD6-24B5-4861-BE99-A99D38E404EF}">
      <dgm:prSet custT="1"/>
      <dgm:spPr/>
      <dgm:t>
        <a:bodyPr/>
        <a:lstStyle/>
        <a:p>
          <a:pPr algn="just"/>
          <a:r>
            <a:rPr lang="en-US" sz="1200">
              <a:latin typeface="Times New Roman" pitchFamily="18" charset="0"/>
              <a:cs typeface="Times New Roman" pitchFamily="18" charset="0"/>
            </a:rPr>
            <a:t>Some examples of how to extend the ideas of gamification to training programs are the quizzes, challenges, and further incentives. Application of gamification enhances the level of learner’s participation, motivation, and ability to retain knowledge (Talukder et al., 2023). Integrate some of the gamification factors in virtual training sections or propose them as during face-to-face learning.</a:t>
          </a:r>
        </a:p>
      </dgm:t>
    </dgm:pt>
    <dgm:pt modelId="{D6DE4822-C9B7-4CA3-B7ED-BEC4E6D6B39F}" type="parTrans" cxnId="{96083AE8-1477-4617-8A12-BF7BD12295F6}">
      <dgm:prSet/>
      <dgm:spPr/>
      <dgm:t>
        <a:bodyPr/>
        <a:lstStyle/>
        <a:p>
          <a:endParaRPr lang="en-US"/>
        </a:p>
      </dgm:t>
    </dgm:pt>
    <dgm:pt modelId="{A34341DE-FE33-4FF6-AE01-3DEAD70B47B7}" type="sibTrans" cxnId="{96083AE8-1477-4617-8A12-BF7BD12295F6}">
      <dgm:prSet/>
      <dgm:spPr/>
      <dgm:t>
        <a:bodyPr/>
        <a:lstStyle/>
        <a:p>
          <a:endParaRPr lang="en-US"/>
        </a:p>
      </dgm:t>
    </dgm:pt>
    <dgm:pt modelId="{CD146050-61D6-4ACF-97AA-6776B75C1049}">
      <dgm:prSet phldrT="[Text]" custT="1"/>
      <dgm:spPr/>
      <dgm:t>
        <a:bodyPr/>
        <a:lstStyle/>
        <a:p>
          <a:pPr algn="just"/>
          <a:r>
            <a:rPr lang="en-US" sz="1200">
              <a:latin typeface="Times New Roman" pitchFamily="18" charset="0"/>
              <a:cs typeface="Times New Roman" pitchFamily="18" charset="0"/>
            </a:rPr>
            <a:t>Promote transfer of employees from one department or position to another within food and beverage department and meetings to update employees. This opens opportunities for staff allowing them to have a wider view of the operations and knowledge, creates other challenges, and minimises staff boredom (Mroz et al., 2018). Rotational assignments should be used during the low activity season or even included in development plans as part of training.</a:t>
          </a:r>
        </a:p>
      </dgm:t>
    </dgm:pt>
    <dgm:pt modelId="{4D917607-84DF-49FC-A143-59D1E66FFA1C}" type="parTrans" cxnId="{874B58F3-8469-4FDF-B48E-3DA3E78FA5DA}">
      <dgm:prSet/>
      <dgm:spPr/>
      <dgm:t>
        <a:bodyPr/>
        <a:lstStyle/>
        <a:p>
          <a:endParaRPr lang="en-US"/>
        </a:p>
      </dgm:t>
    </dgm:pt>
    <dgm:pt modelId="{73C560D8-E853-412B-8F39-D80E241B1054}" type="sibTrans" cxnId="{874B58F3-8469-4FDF-B48E-3DA3E78FA5DA}">
      <dgm:prSet/>
      <dgm:spPr/>
      <dgm:t>
        <a:bodyPr/>
        <a:lstStyle/>
        <a:p>
          <a:endParaRPr lang="en-US"/>
        </a:p>
      </dgm:t>
    </dgm:pt>
    <dgm:pt modelId="{72A7EFD1-2615-4C98-9698-04DF8BB3D6C3}">
      <dgm:prSet custT="1"/>
      <dgm:spPr/>
      <dgm:t>
        <a:bodyPr/>
        <a:lstStyle/>
        <a:p>
          <a:pPr algn="just"/>
          <a:r>
            <a:rPr lang="en-US" sz="1200">
              <a:latin typeface="Times New Roman" pitchFamily="18" charset="0"/>
              <a:cs typeface="Times New Roman" pitchFamily="18" charset="0"/>
            </a:rPr>
            <a:t>Collaborative Problem-Solving Sessions</a:t>
          </a:r>
        </a:p>
      </dgm:t>
    </dgm:pt>
    <dgm:pt modelId="{D7F83540-4B7D-437A-B116-5916500EBABC}" type="parTrans" cxnId="{2230B108-94C4-4C54-8874-DD694A3CAAC7}">
      <dgm:prSet/>
      <dgm:spPr/>
      <dgm:t>
        <a:bodyPr/>
        <a:lstStyle/>
        <a:p>
          <a:endParaRPr lang="en-US"/>
        </a:p>
      </dgm:t>
    </dgm:pt>
    <dgm:pt modelId="{F5C7D63E-8DA1-4419-A29E-76564DEF2149}" type="sibTrans" cxnId="{2230B108-94C4-4C54-8874-DD694A3CAAC7}">
      <dgm:prSet/>
      <dgm:spPr/>
      <dgm:t>
        <a:bodyPr/>
        <a:lstStyle/>
        <a:p>
          <a:endParaRPr lang="en-US"/>
        </a:p>
      </dgm:t>
    </dgm:pt>
    <dgm:pt modelId="{8DD1F44B-B6F7-4D1E-A629-8DB36B9824C3}">
      <dgm:prSet custT="1"/>
      <dgm:spPr/>
      <dgm:t>
        <a:bodyPr/>
        <a:lstStyle/>
        <a:p>
          <a:pPr algn="just"/>
          <a:r>
            <a:rPr lang="en-US" sz="1200">
              <a:latin typeface="Times New Roman" pitchFamily="18" charset="0"/>
              <a:cs typeface="Times New Roman" pitchFamily="18" charset="0"/>
            </a:rPr>
            <a:t>Organise regular problem-solving sessions where staff members can discuss challenges, share ideas, and brainstorm solutions. These sessions can foster a culture of innovation and creativity, empowering staff to take ownership of their work and contribute to the department's success (Lam, Cheung, and Lugosi, 2022). Schedule these sessions quarterly or as needed, depending on the specific needs of the department.</a:t>
          </a:r>
        </a:p>
      </dgm:t>
    </dgm:pt>
    <dgm:pt modelId="{51429098-6D9C-4AE6-BC1D-F1B59C9D8F52}" type="parTrans" cxnId="{AF40B7BA-9527-4332-BF03-B9E0FEED9B7D}">
      <dgm:prSet/>
      <dgm:spPr/>
      <dgm:t>
        <a:bodyPr/>
        <a:lstStyle/>
        <a:p>
          <a:endParaRPr lang="en-US"/>
        </a:p>
      </dgm:t>
    </dgm:pt>
    <dgm:pt modelId="{43531748-95CE-405C-AD04-50196C0CCFF8}" type="sibTrans" cxnId="{AF40B7BA-9527-4332-BF03-B9E0FEED9B7D}">
      <dgm:prSet/>
      <dgm:spPr/>
      <dgm:t>
        <a:bodyPr/>
        <a:lstStyle/>
        <a:p>
          <a:endParaRPr lang="en-US"/>
        </a:p>
      </dgm:t>
    </dgm:pt>
    <dgm:pt modelId="{9EBBA6B8-E6EC-4B8E-B827-1FCB3D62E4DC}" type="pres">
      <dgm:prSet presAssocID="{186E58A8-4173-4973-BB71-3E6E9710BC39}" presName="vert0" presStyleCnt="0">
        <dgm:presLayoutVars>
          <dgm:dir/>
          <dgm:animOne val="branch"/>
          <dgm:animLvl val="lvl"/>
        </dgm:presLayoutVars>
      </dgm:prSet>
      <dgm:spPr/>
    </dgm:pt>
    <dgm:pt modelId="{ED4CE89D-B807-4B35-B99A-DA680776AE81}" type="pres">
      <dgm:prSet presAssocID="{FDA6DE84-4DE7-4755-BC6B-C35BD2C4F27E}" presName="thickLine" presStyleLbl="alignNode1" presStyleIdx="0" presStyleCnt="4"/>
      <dgm:spPr/>
    </dgm:pt>
    <dgm:pt modelId="{A775E07B-F8CE-4C0E-B36E-74D9C1D1C5CD}" type="pres">
      <dgm:prSet presAssocID="{FDA6DE84-4DE7-4755-BC6B-C35BD2C4F27E}" presName="horz1" presStyleCnt="0"/>
      <dgm:spPr/>
    </dgm:pt>
    <dgm:pt modelId="{0D388C09-1DA2-4DA3-BE98-EF714964C69D}" type="pres">
      <dgm:prSet presAssocID="{FDA6DE84-4DE7-4755-BC6B-C35BD2C4F27E}" presName="tx1" presStyleLbl="revTx" presStyleIdx="0" presStyleCnt="8"/>
      <dgm:spPr/>
    </dgm:pt>
    <dgm:pt modelId="{5DAD41A0-889B-48B6-9D74-B0047003BA9D}" type="pres">
      <dgm:prSet presAssocID="{FDA6DE84-4DE7-4755-BC6B-C35BD2C4F27E}" presName="vert1" presStyleCnt="0"/>
      <dgm:spPr/>
    </dgm:pt>
    <dgm:pt modelId="{01CA6367-C158-466A-A0F1-BC346EED4E7C}" type="pres">
      <dgm:prSet presAssocID="{CD146050-61D6-4ACF-97AA-6776B75C1049}" presName="vertSpace2a" presStyleCnt="0"/>
      <dgm:spPr/>
    </dgm:pt>
    <dgm:pt modelId="{08612392-2203-497C-B748-2CDE47AA6A9F}" type="pres">
      <dgm:prSet presAssocID="{CD146050-61D6-4ACF-97AA-6776B75C1049}" presName="horz2" presStyleCnt="0"/>
      <dgm:spPr/>
    </dgm:pt>
    <dgm:pt modelId="{497FE3FD-C721-4141-B2D0-0D0E8911AD98}" type="pres">
      <dgm:prSet presAssocID="{CD146050-61D6-4ACF-97AA-6776B75C1049}" presName="horzSpace2" presStyleCnt="0"/>
      <dgm:spPr/>
    </dgm:pt>
    <dgm:pt modelId="{0FC786BC-0096-4E14-A4E3-7C3FB9B6BFE9}" type="pres">
      <dgm:prSet presAssocID="{CD146050-61D6-4ACF-97AA-6776B75C1049}" presName="tx2" presStyleLbl="revTx" presStyleIdx="1" presStyleCnt="8"/>
      <dgm:spPr/>
    </dgm:pt>
    <dgm:pt modelId="{374E25F6-EC70-4FB4-8E41-04F3143CC7F6}" type="pres">
      <dgm:prSet presAssocID="{CD146050-61D6-4ACF-97AA-6776B75C1049}" presName="vert2" presStyleCnt="0"/>
      <dgm:spPr/>
    </dgm:pt>
    <dgm:pt modelId="{702F80D7-855C-44EE-A04E-F929263C58DE}" type="pres">
      <dgm:prSet presAssocID="{CD146050-61D6-4ACF-97AA-6776B75C1049}" presName="thinLine2b" presStyleLbl="callout" presStyleIdx="0" presStyleCnt="4"/>
      <dgm:spPr/>
    </dgm:pt>
    <dgm:pt modelId="{86E7CEBF-B653-4A8E-ADA6-11C75F1DB678}" type="pres">
      <dgm:prSet presAssocID="{CD146050-61D6-4ACF-97AA-6776B75C1049}" presName="vertSpace2b" presStyleCnt="0"/>
      <dgm:spPr/>
    </dgm:pt>
    <dgm:pt modelId="{F97EE267-DC80-4878-9E05-F46F3BC22BC5}" type="pres">
      <dgm:prSet presAssocID="{AECBCA8A-6DFE-4CB7-A28F-54673C6E97F5}" presName="thickLine" presStyleLbl="alignNode1" presStyleIdx="1" presStyleCnt="4"/>
      <dgm:spPr/>
    </dgm:pt>
    <dgm:pt modelId="{962D1F7D-E690-4584-A0B5-22216CE9B19C}" type="pres">
      <dgm:prSet presAssocID="{AECBCA8A-6DFE-4CB7-A28F-54673C6E97F5}" presName="horz1" presStyleCnt="0"/>
      <dgm:spPr/>
    </dgm:pt>
    <dgm:pt modelId="{E950F48A-E73F-4AED-8325-FB8D58F95156}" type="pres">
      <dgm:prSet presAssocID="{AECBCA8A-6DFE-4CB7-A28F-54673C6E97F5}" presName="tx1" presStyleLbl="revTx" presStyleIdx="2" presStyleCnt="8"/>
      <dgm:spPr/>
    </dgm:pt>
    <dgm:pt modelId="{60A7B358-73FB-4767-9456-DF13EA9DAED6}" type="pres">
      <dgm:prSet presAssocID="{AECBCA8A-6DFE-4CB7-A28F-54673C6E97F5}" presName="vert1" presStyleCnt="0"/>
      <dgm:spPr/>
    </dgm:pt>
    <dgm:pt modelId="{0BB591FC-2370-4222-82AD-06F7D742A627}" type="pres">
      <dgm:prSet presAssocID="{BCB04AD6-24B5-4861-BE99-A99D38E404EF}" presName="vertSpace2a" presStyleCnt="0"/>
      <dgm:spPr/>
    </dgm:pt>
    <dgm:pt modelId="{6653BBD4-43A3-4901-9CAD-70C9E6241049}" type="pres">
      <dgm:prSet presAssocID="{BCB04AD6-24B5-4861-BE99-A99D38E404EF}" presName="horz2" presStyleCnt="0"/>
      <dgm:spPr/>
    </dgm:pt>
    <dgm:pt modelId="{E1530C8A-6B99-4773-B253-44E214A5B463}" type="pres">
      <dgm:prSet presAssocID="{BCB04AD6-24B5-4861-BE99-A99D38E404EF}" presName="horzSpace2" presStyleCnt="0"/>
      <dgm:spPr/>
    </dgm:pt>
    <dgm:pt modelId="{DF8E930D-7372-4AAA-B241-BFF8AC97B9C0}" type="pres">
      <dgm:prSet presAssocID="{BCB04AD6-24B5-4861-BE99-A99D38E404EF}" presName="tx2" presStyleLbl="revTx" presStyleIdx="3" presStyleCnt="8"/>
      <dgm:spPr/>
    </dgm:pt>
    <dgm:pt modelId="{4707D352-6D45-41BD-96ED-5A947B8DA361}" type="pres">
      <dgm:prSet presAssocID="{BCB04AD6-24B5-4861-BE99-A99D38E404EF}" presName="vert2" presStyleCnt="0"/>
      <dgm:spPr/>
    </dgm:pt>
    <dgm:pt modelId="{2A440D04-3530-4EDF-BC32-9DFCE5D88C1C}" type="pres">
      <dgm:prSet presAssocID="{BCB04AD6-24B5-4861-BE99-A99D38E404EF}" presName="thinLine2b" presStyleLbl="callout" presStyleIdx="1" presStyleCnt="4"/>
      <dgm:spPr/>
    </dgm:pt>
    <dgm:pt modelId="{455BA666-F8AA-470A-9ED8-E0C38D4EA897}" type="pres">
      <dgm:prSet presAssocID="{BCB04AD6-24B5-4861-BE99-A99D38E404EF}" presName="vertSpace2b" presStyleCnt="0"/>
      <dgm:spPr/>
    </dgm:pt>
    <dgm:pt modelId="{63DA6968-1F63-43CE-84A1-1E8857A0BB98}" type="pres">
      <dgm:prSet presAssocID="{21AF5895-9903-414A-8E50-39E70F96AF1B}" presName="thickLine" presStyleLbl="alignNode1" presStyleIdx="2" presStyleCnt="4"/>
      <dgm:spPr/>
    </dgm:pt>
    <dgm:pt modelId="{5392E56D-D7F4-40AE-8375-995464B72447}" type="pres">
      <dgm:prSet presAssocID="{21AF5895-9903-414A-8E50-39E70F96AF1B}" presName="horz1" presStyleCnt="0"/>
      <dgm:spPr/>
    </dgm:pt>
    <dgm:pt modelId="{2B309D7B-B0E5-4F1E-A203-B9665B27E623}" type="pres">
      <dgm:prSet presAssocID="{21AF5895-9903-414A-8E50-39E70F96AF1B}" presName="tx1" presStyleLbl="revTx" presStyleIdx="4" presStyleCnt="8"/>
      <dgm:spPr/>
    </dgm:pt>
    <dgm:pt modelId="{11991398-1C59-44CE-AAF9-FDF5E94D9A1C}" type="pres">
      <dgm:prSet presAssocID="{21AF5895-9903-414A-8E50-39E70F96AF1B}" presName="vert1" presStyleCnt="0"/>
      <dgm:spPr/>
    </dgm:pt>
    <dgm:pt modelId="{49252BD4-D453-44F5-9531-BB5C4D14B636}" type="pres">
      <dgm:prSet presAssocID="{502340A2-3973-4576-A105-186086A42463}" presName="vertSpace2a" presStyleCnt="0"/>
      <dgm:spPr/>
    </dgm:pt>
    <dgm:pt modelId="{4B0AE56C-F361-413F-B15E-DE58015A6379}" type="pres">
      <dgm:prSet presAssocID="{502340A2-3973-4576-A105-186086A42463}" presName="horz2" presStyleCnt="0"/>
      <dgm:spPr/>
    </dgm:pt>
    <dgm:pt modelId="{52E22A6F-7719-4BB3-BCE1-EAC7CFCF1499}" type="pres">
      <dgm:prSet presAssocID="{502340A2-3973-4576-A105-186086A42463}" presName="horzSpace2" presStyleCnt="0"/>
      <dgm:spPr/>
    </dgm:pt>
    <dgm:pt modelId="{5D0C62FD-6CF6-417A-B8C0-0A33573B9A2F}" type="pres">
      <dgm:prSet presAssocID="{502340A2-3973-4576-A105-186086A42463}" presName="tx2" presStyleLbl="revTx" presStyleIdx="5" presStyleCnt="8"/>
      <dgm:spPr/>
    </dgm:pt>
    <dgm:pt modelId="{6C709B6F-D578-4532-83A9-CE040F900928}" type="pres">
      <dgm:prSet presAssocID="{502340A2-3973-4576-A105-186086A42463}" presName="vert2" presStyleCnt="0"/>
      <dgm:spPr/>
    </dgm:pt>
    <dgm:pt modelId="{C5F32CE4-F760-4660-903B-0B8BA8638B4D}" type="pres">
      <dgm:prSet presAssocID="{502340A2-3973-4576-A105-186086A42463}" presName="thinLine2b" presStyleLbl="callout" presStyleIdx="2" presStyleCnt="4"/>
      <dgm:spPr/>
    </dgm:pt>
    <dgm:pt modelId="{169EA466-6293-4496-8F67-6A93AE938853}" type="pres">
      <dgm:prSet presAssocID="{502340A2-3973-4576-A105-186086A42463}" presName="vertSpace2b" presStyleCnt="0"/>
      <dgm:spPr/>
    </dgm:pt>
    <dgm:pt modelId="{98E39F53-3DCF-479C-B07B-123CC87DF9A1}" type="pres">
      <dgm:prSet presAssocID="{72A7EFD1-2615-4C98-9698-04DF8BB3D6C3}" presName="thickLine" presStyleLbl="alignNode1" presStyleIdx="3" presStyleCnt="4"/>
      <dgm:spPr/>
    </dgm:pt>
    <dgm:pt modelId="{6FBFC3F7-5FDD-4E15-ABB3-795776348398}" type="pres">
      <dgm:prSet presAssocID="{72A7EFD1-2615-4C98-9698-04DF8BB3D6C3}" presName="horz1" presStyleCnt="0"/>
      <dgm:spPr/>
    </dgm:pt>
    <dgm:pt modelId="{99A21012-F8D9-4D8B-BD61-95FA78A360E7}" type="pres">
      <dgm:prSet presAssocID="{72A7EFD1-2615-4C98-9698-04DF8BB3D6C3}" presName="tx1" presStyleLbl="revTx" presStyleIdx="6" presStyleCnt="8"/>
      <dgm:spPr/>
    </dgm:pt>
    <dgm:pt modelId="{FC2E52DF-3742-4CDE-BA86-68787370CDE5}" type="pres">
      <dgm:prSet presAssocID="{72A7EFD1-2615-4C98-9698-04DF8BB3D6C3}" presName="vert1" presStyleCnt="0"/>
      <dgm:spPr/>
    </dgm:pt>
    <dgm:pt modelId="{3D9BBB85-844C-4DAE-8F25-FFDC171B109A}" type="pres">
      <dgm:prSet presAssocID="{8DD1F44B-B6F7-4D1E-A629-8DB36B9824C3}" presName="vertSpace2a" presStyleCnt="0"/>
      <dgm:spPr/>
    </dgm:pt>
    <dgm:pt modelId="{A8809728-A59F-47E0-85CD-DC20EE249C79}" type="pres">
      <dgm:prSet presAssocID="{8DD1F44B-B6F7-4D1E-A629-8DB36B9824C3}" presName="horz2" presStyleCnt="0"/>
      <dgm:spPr/>
    </dgm:pt>
    <dgm:pt modelId="{CE6F1A1F-FA0C-4087-AA2E-689E3A2D3F68}" type="pres">
      <dgm:prSet presAssocID="{8DD1F44B-B6F7-4D1E-A629-8DB36B9824C3}" presName="horzSpace2" presStyleCnt="0"/>
      <dgm:spPr/>
    </dgm:pt>
    <dgm:pt modelId="{2AEBCA7C-6809-4216-B0D4-F4E2C9AE1682}" type="pres">
      <dgm:prSet presAssocID="{8DD1F44B-B6F7-4D1E-A629-8DB36B9824C3}" presName="tx2" presStyleLbl="revTx" presStyleIdx="7" presStyleCnt="8" custScaleX="102849" custScaleY="100090"/>
      <dgm:spPr/>
    </dgm:pt>
    <dgm:pt modelId="{968D5982-D5BC-4A85-B0F1-2DB32678865A}" type="pres">
      <dgm:prSet presAssocID="{8DD1F44B-B6F7-4D1E-A629-8DB36B9824C3}" presName="vert2" presStyleCnt="0"/>
      <dgm:spPr/>
    </dgm:pt>
    <dgm:pt modelId="{E65A541E-A456-4CFB-B0C1-5C36FA5FC161}" type="pres">
      <dgm:prSet presAssocID="{8DD1F44B-B6F7-4D1E-A629-8DB36B9824C3}" presName="thinLine2b" presStyleLbl="callout" presStyleIdx="3" presStyleCnt="4"/>
      <dgm:spPr/>
    </dgm:pt>
    <dgm:pt modelId="{637E5D00-0509-4E3D-A2AD-2D44F6C1297E}" type="pres">
      <dgm:prSet presAssocID="{8DD1F44B-B6F7-4D1E-A629-8DB36B9824C3}" presName="vertSpace2b" presStyleCnt="0"/>
      <dgm:spPr/>
    </dgm:pt>
  </dgm:ptLst>
  <dgm:cxnLst>
    <dgm:cxn modelId="{2230B108-94C4-4C54-8874-DD694A3CAAC7}" srcId="{186E58A8-4173-4973-BB71-3E6E9710BC39}" destId="{72A7EFD1-2615-4C98-9698-04DF8BB3D6C3}" srcOrd="3" destOrd="0" parTransId="{D7F83540-4B7D-437A-B116-5916500EBABC}" sibTransId="{F5C7D63E-8DA1-4419-A29E-76564DEF2149}"/>
    <dgm:cxn modelId="{10A7590E-F339-4F25-9448-AB61E33B60DA}" type="presOf" srcId="{BCB04AD6-24B5-4861-BE99-A99D38E404EF}" destId="{DF8E930D-7372-4AAA-B241-BFF8AC97B9C0}" srcOrd="0" destOrd="0" presId="urn:microsoft.com/office/officeart/2008/layout/LinedList"/>
    <dgm:cxn modelId="{08D61616-571B-4E21-BE73-526AD6AEEF89}" type="presOf" srcId="{CD146050-61D6-4ACF-97AA-6776B75C1049}" destId="{0FC786BC-0096-4E14-A4E3-7C3FB9B6BFE9}" srcOrd="0" destOrd="0" presId="urn:microsoft.com/office/officeart/2008/layout/LinedList"/>
    <dgm:cxn modelId="{CB2F631E-FB8A-4CFF-B6C9-792EC34CC088}" type="presOf" srcId="{AECBCA8A-6DFE-4CB7-A28F-54673C6E97F5}" destId="{E950F48A-E73F-4AED-8325-FB8D58F95156}" srcOrd="0" destOrd="0" presId="urn:microsoft.com/office/officeart/2008/layout/LinedList"/>
    <dgm:cxn modelId="{04390224-44CF-491B-9D00-AFDC03586F77}" type="presOf" srcId="{8DD1F44B-B6F7-4D1E-A629-8DB36B9824C3}" destId="{2AEBCA7C-6809-4216-B0D4-F4E2C9AE1682}" srcOrd="0" destOrd="0" presId="urn:microsoft.com/office/officeart/2008/layout/LinedList"/>
    <dgm:cxn modelId="{D48EC730-EAB5-4573-B5A4-E25E865592C3}" srcId="{186E58A8-4173-4973-BB71-3E6E9710BC39}" destId="{AECBCA8A-6DFE-4CB7-A28F-54673C6E97F5}" srcOrd="1" destOrd="0" parTransId="{482A9A89-8F8A-4139-98F7-C29864C89817}" sibTransId="{BA592BF0-ED01-4ACD-AB46-6935CF7F011D}"/>
    <dgm:cxn modelId="{0C36715E-243D-41FA-B9B8-F10ABDC03D8A}" srcId="{186E58A8-4173-4973-BB71-3E6E9710BC39}" destId="{FDA6DE84-4DE7-4755-BC6B-C35BD2C4F27E}" srcOrd="0" destOrd="0" parTransId="{FAC2E5A5-66C4-411F-A4D1-D46BC7DA818E}" sibTransId="{A5F04592-D6C9-4DEF-B5ED-8F4C1DE02948}"/>
    <dgm:cxn modelId="{B752AB60-BEAF-4B1C-8106-0F050FC76EEE}" type="presOf" srcId="{21AF5895-9903-414A-8E50-39E70F96AF1B}" destId="{2B309D7B-B0E5-4F1E-A203-B9665B27E623}" srcOrd="0" destOrd="0" presId="urn:microsoft.com/office/officeart/2008/layout/LinedList"/>
    <dgm:cxn modelId="{F7076A66-0EF7-4F5E-95EA-8DF6C89BD590}" type="presOf" srcId="{186E58A8-4173-4973-BB71-3E6E9710BC39}" destId="{9EBBA6B8-E6EC-4B8E-B827-1FCB3D62E4DC}" srcOrd="0" destOrd="0" presId="urn:microsoft.com/office/officeart/2008/layout/LinedList"/>
    <dgm:cxn modelId="{39F2444B-4EF6-4A93-B317-F45EA75F7D25}" type="presOf" srcId="{FDA6DE84-4DE7-4755-BC6B-C35BD2C4F27E}" destId="{0D388C09-1DA2-4DA3-BE98-EF714964C69D}" srcOrd="0" destOrd="0" presId="urn:microsoft.com/office/officeart/2008/layout/LinedList"/>
    <dgm:cxn modelId="{1B646E6F-71C1-4A14-BE88-5C2E1F2C26A4}" srcId="{186E58A8-4173-4973-BB71-3E6E9710BC39}" destId="{21AF5895-9903-414A-8E50-39E70F96AF1B}" srcOrd="2" destOrd="0" parTransId="{32FA159C-6F64-4465-85D0-5C220488CEFA}" sibTransId="{0AF41EE3-E2C2-4CDE-AE00-9300039801F4}"/>
    <dgm:cxn modelId="{BD8E9C7C-3FC5-4B22-85AA-52F2EEEE7E55}" srcId="{21AF5895-9903-414A-8E50-39E70F96AF1B}" destId="{502340A2-3973-4576-A105-186086A42463}" srcOrd="0" destOrd="0" parTransId="{DC2DCB29-7064-4415-B538-B62323466480}" sibTransId="{81F3AC01-96D8-4E48-9417-54ADE56EAC74}"/>
    <dgm:cxn modelId="{E372E2B1-D693-4209-A8CB-2E26C75F1AD8}" type="presOf" srcId="{502340A2-3973-4576-A105-186086A42463}" destId="{5D0C62FD-6CF6-417A-B8C0-0A33573B9A2F}" srcOrd="0" destOrd="0" presId="urn:microsoft.com/office/officeart/2008/layout/LinedList"/>
    <dgm:cxn modelId="{67D72DBA-950E-4CE2-B500-310C90748630}" type="presOf" srcId="{72A7EFD1-2615-4C98-9698-04DF8BB3D6C3}" destId="{99A21012-F8D9-4D8B-BD61-95FA78A360E7}" srcOrd="0" destOrd="0" presId="urn:microsoft.com/office/officeart/2008/layout/LinedList"/>
    <dgm:cxn modelId="{AF40B7BA-9527-4332-BF03-B9E0FEED9B7D}" srcId="{72A7EFD1-2615-4C98-9698-04DF8BB3D6C3}" destId="{8DD1F44B-B6F7-4D1E-A629-8DB36B9824C3}" srcOrd="0" destOrd="0" parTransId="{51429098-6D9C-4AE6-BC1D-F1B59C9D8F52}" sibTransId="{43531748-95CE-405C-AD04-50196C0CCFF8}"/>
    <dgm:cxn modelId="{96083AE8-1477-4617-8A12-BF7BD12295F6}" srcId="{AECBCA8A-6DFE-4CB7-A28F-54673C6E97F5}" destId="{BCB04AD6-24B5-4861-BE99-A99D38E404EF}" srcOrd="0" destOrd="0" parTransId="{D6DE4822-C9B7-4CA3-B7ED-BEC4E6D6B39F}" sibTransId="{A34341DE-FE33-4FF6-AE01-3DEAD70B47B7}"/>
    <dgm:cxn modelId="{874B58F3-8469-4FDF-B48E-3DA3E78FA5DA}" srcId="{FDA6DE84-4DE7-4755-BC6B-C35BD2C4F27E}" destId="{CD146050-61D6-4ACF-97AA-6776B75C1049}" srcOrd="0" destOrd="0" parTransId="{4D917607-84DF-49FC-A143-59D1E66FFA1C}" sibTransId="{73C560D8-E853-412B-8F39-D80E241B1054}"/>
    <dgm:cxn modelId="{30999C54-FBD3-4095-83CC-0C9E618DB8CD}" type="presParOf" srcId="{9EBBA6B8-E6EC-4B8E-B827-1FCB3D62E4DC}" destId="{ED4CE89D-B807-4B35-B99A-DA680776AE81}" srcOrd="0" destOrd="0" presId="urn:microsoft.com/office/officeart/2008/layout/LinedList"/>
    <dgm:cxn modelId="{972B34DD-17D5-40AD-A33A-65768423AF0A}" type="presParOf" srcId="{9EBBA6B8-E6EC-4B8E-B827-1FCB3D62E4DC}" destId="{A775E07B-F8CE-4C0E-B36E-74D9C1D1C5CD}" srcOrd="1" destOrd="0" presId="urn:microsoft.com/office/officeart/2008/layout/LinedList"/>
    <dgm:cxn modelId="{24DC74B7-F239-4529-B206-BD36EF2CE683}" type="presParOf" srcId="{A775E07B-F8CE-4C0E-B36E-74D9C1D1C5CD}" destId="{0D388C09-1DA2-4DA3-BE98-EF714964C69D}" srcOrd="0" destOrd="0" presId="urn:microsoft.com/office/officeart/2008/layout/LinedList"/>
    <dgm:cxn modelId="{46EB3E32-DFC8-4702-8FF8-053714468B14}" type="presParOf" srcId="{A775E07B-F8CE-4C0E-B36E-74D9C1D1C5CD}" destId="{5DAD41A0-889B-48B6-9D74-B0047003BA9D}" srcOrd="1" destOrd="0" presId="urn:microsoft.com/office/officeart/2008/layout/LinedList"/>
    <dgm:cxn modelId="{D1EF6775-AC56-4B10-B3A2-AF4D259E8415}" type="presParOf" srcId="{5DAD41A0-889B-48B6-9D74-B0047003BA9D}" destId="{01CA6367-C158-466A-A0F1-BC346EED4E7C}" srcOrd="0" destOrd="0" presId="urn:microsoft.com/office/officeart/2008/layout/LinedList"/>
    <dgm:cxn modelId="{5D586ED0-62D6-491C-8D87-11E640338B0C}" type="presParOf" srcId="{5DAD41A0-889B-48B6-9D74-B0047003BA9D}" destId="{08612392-2203-497C-B748-2CDE47AA6A9F}" srcOrd="1" destOrd="0" presId="urn:microsoft.com/office/officeart/2008/layout/LinedList"/>
    <dgm:cxn modelId="{582D2CF5-2A46-41E4-80EF-638CA5481EAE}" type="presParOf" srcId="{08612392-2203-497C-B748-2CDE47AA6A9F}" destId="{497FE3FD-C721-4141-B2D0-0D0E8911AD98}" srcOrd="0" destOrd="0" presId="urn:microsoft.com/office/officeart/2008/layout/LinedList"/>
    <dgm:cxn modelId="{1E0640A6-E29A-4C47-BC65-D7916677A394}" type="presParOf" srcId="{08612392-2203-497C-B748-2CDE47AA6A9F}" destId="{0FC786BC-0096-4E14-A4E3-7C3FB9B6BFE9}" srcOrd="1" destOrd="0" presId="urn:microsoft.com/office/officeart/2008/layout/LinedList"/>
    <dgm:cxn modelId="{9B73171A-D7AC-4CBB-8928-420456117F97}" type="presParOf" srcId="{08612392-2203-497C-B748-2CDE47AA6A9F}" destId="{374E25F6-EC70-4FB4-8E41-04F3143CC7F6}" srcOrd="2" destOrd="0" presId="urn:microsoft.com/office/officeart/2008/layout/LinedList"/>
    <dgm:cxn modelId="{9B2CF565-45A8-4CA7-8F12-B3561575DF96}" type="presParOf" srcId="{5DAD41A0-889B-48B6-9D74-B0047003BA9D}" destId="{702F80D7-855C-44EE-A04E-F929263C58DE}" srcOrd="2" destOrd="0" presId="urn:microsoft.com/office/officeart/2008/layout/LinedList"/>
    <dgm:cxn modelId="{E9E530D1-4E75-4F23-AA09-D942CBBFA703}" type="presParOf" srcId="{5DAD41A0-889B-48B6-9D74-B0047003BA9D}" destId="{86E7CEBF-B653-4A8E-ADA6-11C75F1DB678}" srcOrd="3" destOrd="0" presId="urn:microsoft.com/office/officeart/2008/layout/LinedList"/>
    <dgm:cxn modelId="{4566325F-7C2F-44D7-BABD-0F582CE42208}" type="presParOf" srcId="{9EBBA6B8-E6EC-4B8E-B827-1FCB3D62E4DC}" destId="{F97EE267-DC80-4878-9E05-F46F3BC22BC5}" srcOrd="2" destOrd="0" presId="urn:microsoft.com/office/officeart/2008/layout/LinedList"/>
    <dgm:cxn modelId="{BB0BF9DB-DC29-40D8-B0A8-3689B22F3738}" type="presParOf" srcId="{9EBBA6B8-E6EC-4B8E-B827-1FCB3D62E4DC}" destId="{962D1F7D-E690-4584-A0B5-22216CE9B19C}" srcOrd="3" destOrd="0" presId="urn:microsoft.com/office/officeart/2008/layout/LinedList"/>
    <dgm:cxn modelId="{BA520702-4C33-4D40-B575-FAD1259BD025}" type="presParOf" srcId="{962D1F7D-E690-4584-A0B5-22216CE9B19C}" destId="{E950F48A-E73F-4AED-8325-FB8D58F95156}" srcOrd="0" destOrd="0" presId="urn:microsoft.com/office/officeart/2008/layout/LinedList"/>
    <dgm:cxn modelId="{DEE9B68F-3703-4EE2-8325-1E5B30ADE08D}" type="presParOf" srcId="{962D1F7D-E690-4584-A0B5-22216CE9B19C}" destId="{60A7B358-73FB-4767-9456-DF13EA9DAED6}" srcOrd="1" destOrd="0" presId="urn:microsoft.com/office/officeart/2008/layout/LinedList"/>
    <dgm:cxn modelId="{69D0032E-F10C-4475-85F3-14F7A68D4392}" type="presParOf" srcId="{60A7B358-73FB-4767-9456-DF13EA9DAED6}" destId="{0BB591FC-2370-4222-82AD-06F7D742A627}" srcOrd="0" destOrd="0" presId="urn:microsoft.com/office/officeart/2008/layout/LinedList"/>
    <dgm:cxn modelId="{BCB58D53-7CE4-4EC3-8CA2-E3223736FFB8}" type="presParOf" srcId="{60A7B358-73FB-4767-9456-DF13EA9DAED6}" destId="{6653BBD4-43A3-4901-9CAD-70C9E6241049}" srcOrd="1" destOrd="0" presId="urn:microsoft.com/office/officeart/2008/layout/LinedList"/>
    <dgm:cxn modelId="{F24F2B0A-C61F-4DB8-89B6-DC7F0F6C3AAA}" type="presParOf" srcId="{6653BBD4-43A3-4901-9CAD-70C9E6241049}" destId="{E1530C8A-6B99-4773-B253-44E214A5B463}" srcOrd="0" destOrd="0" presId="urn:microsoft.com/office/officeart/2008/layout/LinedList"/>
    <dgm:cxn modelId="{F16BC3DA-860B-4318-A561-2CCD1A5484A0}" type="presParOf" srcId="{6653BBD4-43A3-4901-9CAD-70C9E6241049}" destId="{DF8E930D-7372-4AAA-B241-BFF8AC97B9C0}" srcOrd="1" destOrd="0" presId="urn:microsoft.com/office/officeart/2008/layout/LinedList"/>
    <dgm:cxn modelId="{42987C87-FCD7-4B18-86C4-79E8830EC0DE}" type="presParOf" srcId="{6653BBD4-43A3-4901-9CAD-70C9E6241049}" destId="{4707D352-6D45-41BD-96ED-5A947B8DA361}" srcOrd="2" destOrd="0" presId="urn:microsoft.com/office/officeart/2008/layout/LinedList"/>
    <dgm:cxn modelId="{B01C6175-DD8C-489C-9BF1-051385766D89}" type="presParOf" srcId="{60A7B358-73FB-4767-9456-DF13EA9DAED6}" destId="{2A440D04-3530-4EDF-BC32-9DFCE5D88C1C}" srcOrd="2" destOrd="0" presId="urn:microsoft.com/office/officeart/2008/layout/LinedList"/>
    <dgm:cxn modelId="{0F5997F6-9FFA-4480-B338-F2CA5C23DA11}" type="presParOf" srcId="{60A7B358-73FB-4767-9456-DF13EA9DAED6}" destId="{455BA666-F8AA-470A-9ED8-E0C38D4EA897}" srcOrd="3" destOrd="0" presId="urn:microsoft.com/office/officeart/2008/layout/LinedList"/>
    <dgm:cxn modelId="{60E8EE7D-4D9E-406C-9CA0-5100AC7DE579}" type="presParOf" srcId="{9EBBA6B8-E6EC-4B8E-B827-1FCB3D62E4DC}" destId="{63DA6968-1F63-43CE-84A1-1E8857A0BB98}" srcOrd="4" destOrd="0" presId="urn:microsoft.com/office/officeart/2008/layout/LinedList"/>
    <dgm:cxn modelId="{9E87499B-C656-4FF4-983B-8335110CA958}" type="presParOf" srcId="{9EBBA6B8-E6EC-4B8E-B827-1FCB3D62E4DC}" destId="{5392E56D-D7F4-40AE-8375-995464B72447}" srcOrd="5" destOrd="0" presId="urn:microsoft.com/office/officeart/2008/layout/LinedList"/>
    <dgm:cxn modelId="{763C230C-2FD4-49A3-9BE2-AEBD33538A22}" type="presParOf" srcId="{5392E56D-D7F4-40AE-8375-995464B72447}" destId="{2B309D7B-B0E5-4F1E-A203-B9665B27E623}" srcOrd="0" destOrd="0" presId="urn:microsoft.com/office/officeart/2008/layout/LinedList"/>
    <dgm:cxn modelId="{1A7645D5-D5DC-4DB1-9B7B-787770544858}" type="presParOf" srcId="{5392E56D-D7F4-40AE-8375-995464B72447}" destId="{11991398-1C59-44CE-AAF9-FDF5E94D9A1C}" srcOrd="1" destOrd="0" presId="urn:microsoft.com/office/officeart/2008/layout/LinedList"/>
    <dgm:cxn modelId="{29FEB84C-6D2E-416A-8E97-E82C1D1625AD}" type="presParOf" srcId="{11991398-1C59-44CE-AAF9-FDF5E94D9A1C}" destId="{49252BD4-D453-44F5-9531-BB5C4D14B636}" srcOrd="0" destOrd="0" presId="urn:microsoft.com/office/officeart/2008/layout/LinedList"/>
    <dgm:cxn modelId="{96C289BE-86ED-4281-9B81-784ABBA63D09}" type="presParOf" srcId="{11991398-1C59-44CE-AAF9-FDF5E94D9A1C}" destId="{4B0AE56C-F361-413F-B15E-DE58015A6379}" srcOrd="1" destOrd="0" presId="urn:microsoft.com/office/officeart/2008/layout/LinedList"/>
    <dgm:cxn modelId="{DEC67EB3-0D29-4D91-89A7-B7E8E8F349C9}" type="presParOf" srcId="{4B0AE56C-F361-413F-B15E-DE58015A6379}" destId="{52E22A6F-7719-4BB3-BCE1-EAC7CFCF1499}" srcOrd="0" destOrd="0" presId="urn:microsoft.com/office/officeart/2008/layout/LinedList"/>
    <dgm:cxn modelId="{A4B3E856-00DA-4633-A2F8-45B25898E8A4}" type="presParOf" srcId="{4B0AE56C-F361-413F-B15E-DE58015A6379}" destId="{5D0C62FD-6CF6-417A-B8C0-0A33573B9A2F}" srcOrd="1" destOrd="0" presId="urn:microsoft.com/office/officeart/2008/layout/LinedList"/>
    <dgm:cxn modelId="{28621E25-0BE8-4771-992F-A1009B41E9D8}" type="presParOf" srcId="{4B0AE56C-F361-413F-B15E-DE58015A6379}" destId="{6C709B6F-D578-4532-83A9-CE040F900928}" srcOrd="2" destOrd="0" presId="urn:microsoft.com/office/officeart/2008/layout/LinedList"/>
    <dgm:cxn modelId="{28A46B9F-111D-47FC-9BBD-ECC438043725}" type="presParOf" srcId="{11991398-1C59-44CE-AAF9-FDF5E94D9A1C}" destId="{C5F32CE4-F760-4660-903B-0B8BA8638B4D}" srcOrd="2" destOrd="0" presId="urn:microsoft.com/office/officeart/2008/layout/LinedList"/>
    <dgm:cxn modelId="{877C331C-B713-4C1B-AE31-A4590C6B1A5D}" type="presParOf" srcId="{11991398-1C59-44CE-AAF9-FDF5E94D9A1C}" destId="{169EA466-6293-4496-8F67-6A93AE938853}" srcOrd="3" destOrd="0" presId="urn:microsoft.com/office/officeart/2008/layout/LinedList"/>
    <dgm:cxn modelId="{0F8603EE-53A5-49DC-99A0-88FB07C84F7D}" type="presParOf" srcId="{9EBBA6B8-E6EC-4B8E-B827-1FCB3D62E4DC}" destId="{98E39F53-3DCF-479C-B07B-123CC87DF9A1}" srcOrd="6" destOrd="0" presId="urn:microsoft.com/office/officeart/2008/layout/LinedList"/>
    <dgm:cxn modelId="{B0C05003-E848-4332-8F35-B9F4619CA7AE}" type="presParOf" srcId="{9EBBA6B8-E6EC-4B8E-B827-1FCB3D62E4DC}" destId="{6FBFC3F7-5FDD-4E15-ABB3-795776348398}" srcOrd="7" destOrd="0" presId="urn:microsoft.com/office/officeart/2008/layout/LinedList"/>
    <dgm:cxn modelId="{9B354A96-22EA-48BE-85BA-315B8C8936EF}" type="presParOf" srcId="{6FBFC3F7-5FDD-4E15-ABB3-795776348398}" destId="{99A21012-F8D9-4D8B-BD61-95FA78A360E7}" srcOrd="0" destOrd="0" presId="urn:microsoft.com/office/officeart/2008/layout/LinedList"/>
    <dgm:cxn modelId="{F2AC9843-01D7-4558-984F-9C0F42A16176}" type="presParOf" srcId="{6FBFC3F7-5FDD-4E15-ABB3-795776348398}" destId="{FC2E52DF-3742-4CDE-BA86-68787370CDE5}" srcOrd="1" destOrd="0" presId="urn:microsoft.com/office/officeart/2008/layout/LinedList"/>
    <dgm:cxn modelId="{B9126B00-B1BB-4740-82D7-9D7D7C867378}" type="presParOf" srcId="{FC2E52DF-3742-4CDE-BA86-68787370CDE5}" destId="{3D9BBB85-844C-4DAE-8F25-FFDC171B109A}" srcOrd="0" destOrd="0" presId="urn:microsoft.com/office/officeart/2008/layout/LinedList"/>
    <dgm:cxn modelId="{E0F6AEA6-6B9B-40D2-B4D0-30447A3E3C0E}" type="presParOf" srcId="{FC2E52DF-3742-4CDE-BA86-68787370CDE5}" destId="{A8809728-A59F-47E0-85CD-DC20EE249C79}" srcOrd="1" destOrd="0" presId="urn:microsoft.com/office/officeart/2008/layout/LinedList"/>
    <dgm:cxn modelId="{ED5A3D02-500B-4252-81F9-986223B80A1E}" type="presParOf" srcId="{A8809728-A59F-47E0-85CD-DC20EE249C79}" destId="{CE6F1A1F-FA0C-4087-AA2E-689E3A2D3F68}" srcOrd="0" destOrd="0" presId="urn:microsoft.com/office/officeart/2008/layout/LinedList"/>
    <dgm:cxn modelId="{DF0AD70F-6449-4BD2-A807-5DD6676BF49E}" type="presParOf" srcId="{A8809728-A59F-47E0-85CD-DC20EE249C79}" destId="{2AEBCA7C-6809-4216-B0D4-F4E2C9AE1682}" srcOrd="1" destOrd="0" presId="urn:microsoft.com/office/officeart/2008/layout/LinedList"/>
    <dgm:cxn modelId="{603D8481-34EB-4C1E-BD59-A7A9DEB578F9}" type="presParOf" srcId="{A8809728-A59F-47E0-85CD-DC20EE249C79}" destId="{968D5982-D5BC-4A85-B0F1-2DB32678865A}" srcOrd="2" destOrd="0" presId="urn:microsoft.com/office/officeart/2008/layout/LinedList"/>
    <dgm:cxn modelId="{EF6B53DD-23EC-484D-A24F-0B46965982C7}" type="presParOf" srcId="{FC2E52DF-3742-4CDE-BA86-68787370CDE5}" destId="{E65A541E-A456-4CFB-B0C1-5C36FA5FC161}" srcOrd="2" destOrd="0" presId="urn:microsoft.com/office/officeart/2008/layout/LinedList"/>
    <dgm:cxn modelId="{A5C5B834-5B08-4138-857F-C539AD63C9D4}" type="presParOf" srcId="{FC2E52DF-3742-4CDE-BA86-68787370CDE5}" destId="{637E5D00-0509-4E3D-A2AD-2D44F6C1297E}" srcOrd="3" destOrd="0" presId="urn:microsoft.com/office/officeart/2008/layout/Lin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4CE89D-B807-4B35-B99A-DA680776AE81}">
      <dsp:nvSpPr>
        <dsp:cNvPr id="0" name=""/>
        <dsp:cNvSpPr/>
      </dsp:nvSpPr>
      <dsp:spPr>
        <a:xfrm>
          <a:off x="0" y="0"/>
          <a:ext cx="5962650" cy="0"/>
        </a:xfrm>
        <a:prstGeom prst="line">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388C09-1DA2-4DA3-BE98-EF714964C69D}">
      <dsp:nvSpPr>
        <dsp:cNvPr id="0" name=""/>
        <dsp:cNvSpPr/>
      </dsp:nvSpPr>
      <dsp:spPr>
        <a:xfrm>
          <a:off x="0" y="0"/>
          <a:ext cx="1192530" cy="14287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Rotational Assignments</a:t>
          </a:r>
        </a:p>
      </dsp:txBody>
      <dsp:txXfrm>
        <a:off x="0" y="0"/>
        <a:ext cx="1192530" cy="1428750"/>
      </dsp:txXfrm>
    </dsp:sp>
    <dsp:sp modelId="{0FC786BC-0096-4E14-A4E3-7C3FB9B6BFE9}">
      <dsp:nvSpPr>
        <dsp:cNvPr id="0" name=""/>
        <dsp:cNvSpPr/>
      </dsp:nvSpPr>
      <dsp:spPr>
        <a:xfrm>
          <a:off x="1281969" y="64879"/>
          <a:ext cx="4680680" cy="12975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Promote transfer of employees from one department or position to another within food and beverage department and meetings to update employees. This opens opportunities for staff allowing them to have a wider view of the operations and knowledge, creates other challenges, and minimises staff boredom (Mroz et al., 2018). Rotational assignments should be used during the low activity season or even included in development plans as part of training.</a:t>
          </a:r>
        </a:p>
      </dsp:txBody>
      <dsp:txXfrm>
        <a:off x="1281969" y="64879"/>
        <a:ext cx="4680680" cy="1297595"/>
      </dsp:txXfrm>
    </dsp:sp>
    <dsp:sp modelId="{702F80D7-855C-44EE-A04E-F929263C58DE}">
      <dsp:nvSpPr>
        <dsp:cNvPr id="0" name=""/>
        <dsp:cNvSpPr/>
      </dsp:nvSpPr>
      <dsp:spPr>
        <a:xfrm>
          <a:off x="1192530" y="1362474"/>
          <a:ext cx="4770120" cy="0"/>
        </a:xfrm>
        <a:prstGeom prst="line">
          <a:avLst/>
        </a:prstGeom>
        <a:solidFill>
          <a:schemeClr val="dk2">
            <a:hueOff val="0"/>
            <a:satOff val="0"/>
            <a:lumOff val="0"/>
            <a:alphaOff val="0"/>
          </a:schemeClr>
        </a:solidFill>
        <a:ln w="25400" cap="flat" cmpd="sng" algn="ctr">
          <a:solidFill>
            <a:schemeClr val="dk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97EE267-DC80-4878-9E05-F46F3BC22BC5}">
      <dsp:nvSpPr>
        <dsp:cNvPr id="0" name=""/>
        <dsp:cNvSpPr/>
      </dsp:nvSpPr>
      <dsp:spPr>
        <a:xfrm>
          <a:off x="0" y="1428750"/>
          <a:ext cx="5962650" cy="0"/>
        </a:xfrm>
        <a:prstGeom prst="line">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950F48A-E73F-4AED-8325-FB8D58F95156}">
      <dsp:nvSpPr>
        <dsp:cNvPr id="0" name=""/>
        <dsp:cNvSpPr/>
      </dsp:nvSpPr>
      <dsp:spPr>
        <a:xfrm>
          <a:off x="0" y="1428750"/>
          <a:ext cx="1192530" cy="14287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Gamification of Training</a:t>
          </a:r>
        </a:p>
      </dsp:txBody>
      <dsp:txXfrm>
        <a:off x="0" y="1428750"/>
        <a:ext cx="1192530" cy="1428750"/>
      </dsp:txXfrm>
    </dsp:sp>
    <dsp:sp modelId="{DF8E930D-7372-4AAA-B241-BFF8AC97B9C0}">
      <dsp:nvSpPr>
        <dsp:cNvPr id="0" name=""/>
        <dsp:cNvSpPr/>
      </dsp:nvSpPr>
      <dsp:spPr>
        <a:xfrm>
          <a:off x="1281969" y="1493629"/>
          <a:ext cx="4680680" cy="12975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Some examples of how to extend the ideas of gamification to training programs are the quizzes, challenges, and further incentives. Application of gamification enhances the level of learner’s participation, motivation, and ability to retain knowledge (Talukder et al., 2023). Integrate some of the gamification factors in virtual training sections or propose them as during face-to-face learning.</a:t>
          </a:r>
        </a:p>
      </dsp:txBody>
      <dsp:txXfrm>
        <a:off x="1281969" y="1493629"/>
        <a:ext cx="4680680" cy="1297595"/>
      </dsp:txXfrm>
    </dsp:sp>
    <dsp:sp modelId="{2A440D04-3530-4EDF-BC32-9DFCE5D88C1C}">
      <dsp:nvSpPr>
        <dsp:cNvPr id="0" name=""/>
        <dsp:cNvSpPr/>
      </dsp:nvSpPr>
      <dsp:spPr>
        <a:xfrm>
          <a:off x="1192530" y="2791224"/>
          <a:ext cx="4770120" cy="0"/>
        </a:xfrm>
        <a:prstGeom prst="line">
          <a:avLst/>
        </a:prstGeom>
        <a:solidFill>
          <a:schemeClr val="dk2">
            <a:hueOff val="0"/>
            <a:satOff val="0"/>
            <a:lumOff val="0"/>
            <a:alphaOff val="0"/>
          </a:schemeClr>
        </a:solidFill>
        <a:ln w="25400" cap="flat" cmpd="sng" algn="ctr">
          <a:solidFill>
            <a:schemeClr val="dk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3DA6968-1F63-43CE-84A1-1E8857A0BB98}">
      <dsp:nvSpPr>
        <dsp:cNvPr id="0" name=""/>
        <dsp:cNvSpPr/>
      </dsp:nvSpPr>
      <dsp:spPr>
        <a:xfrm>
          <a:off x="0" y="2857500"/>
          <a:ext cx="5962650" cy="0"/>
        </a:xfrm>
        <a:prstGeom prst="line">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B309D7B-B0E5-4F1E-A203-B9665B27E623}">
      <dsp:nvSpPr>
        <dsp:cNvPr id="0" name=""/>
        <dsp:cNvSpPr/>
      </dsp:nvSpPr>
      <dsp:spPr>
        <a:xfrm>
          <a:off x="0" y="2857500"/>
          <a:ext cx="1192530" cy="14287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Employee Recognition Programs</a:t>
          </a:r>
        </a:p>
      </dsp:txBody>
      <dsp:txXfrm>
        <a:off x="0" y="2857500"/>
        <a:ext cx="1192530" cy="1428750"/>
      </dsp:txXfrm>
    </dsp:sp>
    <dsp:sp modelId="{5D0C62FD-6CF6-417A-B8C0-0A33573B9A2F}">
      <dsp:nvSpPr>
        <dsp:cNvPr id="0" name=""/>
        <dsp:cNvSpPr/>
      </dsp:nvSpPr>
      <dsp:spPr>
        <a:xfrm>
          <a:off x="1281969" y="2922379"/>
          <a:ext cx="4680680" cy="12975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Appreciate and recognise the hard working, well performing and receptive and willing to learn staff members. By doing this, it will keep encouraging the staff to develop more new knowledge and skills and will also ensure that the organisation creates a good healthy working culture across their employees (Fanthorne, 2004). Establish an ongoing recognition structure e. g. some organisation may use employee of the month or quarter.</a:t>
          </a:r>
        </a:p>
      </dsp:txBody>
      <dsp:txXfrm>
        <a:off x="1281969" y="2922379"/>
        <a:ext cx="4680680" cy="1297595"/>
      </dsp:txXfrm>
    </dsp:sp>
    <dsp:sp modelId="{C5F32CE4-F760-4660-903B-0B8BA8638B4D}">
      <dsp:nvSpPr>
        <dsp:cNvPr id="0" name=""/>
        <dsp:cNvSpPr/>
      </dsp:nvSpPr>
      <dsp:spPr>
        <a:xfrm>
          <a:off x="1192530" y="4219974"/>
          <a:ext cx="4770120" cy="0"/>
        </a:xfrm>
        <a:prstGeom prst="line">
          <a:avLst/>
        </a:prstGeom>
        <a:solidFill>
          <a:schemeClr val="dk2">
            <a:hueOff val="0"/>
            <a:satOff val="0"/>
            <a:lumOff val="0"/>
            <a:alphaOff val="0"/>
          </a:schemeClr>
        </a:solidFill>
        <a:ln w="25400" cap="flat" cmpd="sng" algn="ctr">
          <a:solidFill>
            <a:schemeClr val="dk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8E39F53-3DCF-479C-B07B-123CC87DF9A1}">
      <dsp:nvSpPr>
        <dsp:cNvPr id="0" name=""/>
        <dsp:cNvSpPr/>
      </dsp:nvSpPr>
      <dsp:spPr>
        <a:xfrm>
          <a:off x="0" y="4286250"/>
          <a:ext cx="5962650" cy="0"/>
        </a:xfrm>
        <a:prstGeom prst="line">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9A21012-F8D9-4D8B-BD61-95FA78A360E7}">
      <dsp:nvSpPr>
        <dsp:cNvPr id="0" name=""/>
        <dsp:cNvSpPr/>
      </dsp:nvSpPr>
      <dsp:spPr>
        <a:xfrm>
          <a:off x="0" y="4286250"/>
          <a:ext cx="1165744" cy="14287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Collaborative Problem-Solving Sessions</a:t>
          </a:r>
        </a:p>
      </dsp:txBody>
      <dsp:txXfrm>
        <a:off x="0" y="4286250"/>
        <a:ext cx="1165744" cy="1428750"/>
      </dsp:txXfrm>
    </dsp:sp>
    <dsp:sp modelId="{2AEBCA7C-6809-4216-B0D4-F4E2C9AE1682}">
      <dsp:nvSpPr>
        <dsp:cNvPr id="0" name=""/>
        <dsp:cNvSpPr/>
      </dsp:nvSpPr>
      <dsp:spPr>
        <a:xfrm>
          <a:off x="1253175" y="4351129"/>
          <a:ext cx="4705905" cy="12987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US" sz="1200" kern="1200">
              <a:latin typeface="Times New Roman" pitchFamily="18" charset="0"/>
              <a:cs typeface="Times New Roman" pitchFamily="18" charset="0"/>
            </a:rPr>
            <a:t>Organise regular problem-solving sessions where staff members can discuss challenges, share ideas, and brainstorm solutions. These sessions can foster a culture of innovation and creativity, empowering staff to take ownership of their work and contribute to the department's success (Lam, Cheung, and Lugosi, 2022). Schedule these sessions quarterly or as needed, depending on the specific needs of the department.</a:t>
          </a:r>
        </a:p>
      </dsp:txBody>
      <dsp:txXfrm>
        <a:off x="1253175" y="4351129"/>
        <a:ext cx="4705905" cy="1298763"/>
      </dsp:txXfrm>
    </dsp:sp>
    <dsp:sp modelId="{E65A541E-A456-4CFB-B0C1-5C36FA5FC161}">
      <dsp:nvSpPr>
        <dsp:cNvPr id="0" name=""/>
        <dsp:cNvSpPr/>
      </dsp:nvSpPr>
      <dsp:spPr>
        <a:xfrm>
          <a:off x="1165744" y="5649892"/>
          <a:ext cx="4662978" cy="0"/>
        </a:xfrm>
        <a:prstGeom prst="line">
          <a:avLst/>
        </a:prstGeom>
        <a:solidFill>
          <a:schemeClr val="dk2">
            <a:hueOff val="0"/>
            <a:satOff val="0"/>
            <a:lumOff val="0"/>
            <a:alphaOff val="0"/>
          </a:schemeClr>
        </a:solidFill>
        <a:ln w="25400" cap="flat" cmpd="sng" algn="ctr">
          <a:solidFill>
            <a:schemeClr val="dk2">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382E6A-20E1-480C-AA37-593F02674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1808</Words>
  <Characters>10310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2024-11-07T20:04:00Z</dcterms:created>
  <dcterms:modified xsi:type="dcterms:W3CDTF">2024-11-13T10:18:00Z</dcterms:modified>
</cp:coreProperties>
</file>