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456FE" w14:textId="778AF338" w:rsidR="008F0B3D" w:rsidRPr="00E855E5" w:rsidRDefault="008F0B3D" w:rsidP="008A326C">
      <w:pPr>
        <w:pStyle w:val="NoSpacing"/>
        <w:rPr>
          <w:rFonts w:ascii="Calibri" w:hAnsi="Calibri" w:cs="Calibri"/>
          <w:sz w:val="20"/>
          <w:szCs w:val="20"/>
        </w:rPr>
      </w:pPr>
      <w:r w:rsidRPr="008A326C">
        <w:rPr>
          <w:rFonts w:ascii="Calibri" w:hAnsi="Calibri" w:cs="Calibri"/>
          <w:sz w:val="22"/>
          <w:szCs w:val="22"/>
        </w:rPr>
        <w:t>Employment relationship and man</w:t>
      </w:r>
      <w:r w:rsidRPr="00E855E5">
        <w:rPr>
          <w:rFonts w:ascii="Calibri" w:hAnsi="Calibri" w:cs="Calibri"/>
          <w:sz w:val="20"/>
          <w:szCs w:val="20"/>
        </w:rPr>
        <w:t xml:space="preserve">agement. </w:t>
      </w:r>
    </w:p>
    <w:p w14:paraId="3E125536" w14:textId="77777777" w:rsidR="008A326C" w:rsidRPr="00E855E5" w:rsidRDefault="008A326C" w:rsidP="008A326C">
      <w:pPr>
        <w:pStyle w:val="NoSpacing"/>
        <w:rPr>
          <w:rFonts w:ascii="Calibri" w:hAnsi="Calibri" w:cs="Calibri"/>
          <w:sz w:val="20"/>
          <w:szCs w:val="20"/>
        </w:rPr>
      </w:pPr>
    </w:p>
    <w:p w14:paraId="7DBF3178" w14:textId="458F80BE" w:rsidR="00DB62C2" w:rsidRPr="00E855E5" w:rsidRDefault="00DB62C2" w:rsidP="008A326C">
      <w:pPr>
        <w:pStyle w:val="NoSpacing"/>
        <w:rPr>
          <w:rFonts w:ascii="Calibri" w:hAnsi="Calibri" w:cs="Calibri"/>
          <w:color w:val="000000"/>
          <w:sz w:val="20"/>
          <w:szCs w:val="20"/>
          <w:u w:color="000000"/>
        </w:rPr>
      </w:pPr>
      <w:r w:rsidRPr="00E855E5">
        <w:rPr>
          <w:rFonts w:ascii="Calibri" w:hAnsi="Calibri" w:cs="Calibri"/>
          <w:color w:val="000000"/>
          <w:sz w:val="20"/>
          <w:szCs w:val="20"/>
          <w:u w:color="000000"/>
        </w:rPr>
        <w:t xml:space="preserve">AC 1.1 </w:t>
      </w:r>
      <w:r w:rsidR="008F0B3D" w:rsidRPr="00E855E5">
        <w:rPr>
          <w:rFonts w:ascii="Calibri" w:hAnsi="Calibri" w:cs="Calibri"/>
          <w:color w:val="000000"/>
          <w:sz w:val="20"/>
          <w:szCs w:val="20"/>
          <w:u w:color="000000"/>
        </w:rPr>
        <w:t>Differentiate between employee involvement and employee participation and how they build relationships</w:t>
      </w:r>
    </w:p>
    <w:p w14:paraId="1C5864A3" w14:textId="475D0313" w:rsidR="00E855E5" w:rsidRPr="00E855E5" w:rsidRDefault="00E855E5"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Employee involvement and employee participation are both ways of engaging staff in the workplace. However, they do differ slightly with the amount of influence on the decision. Involvement means allowing staff to share their ideas, provide feedback and concerns, and to take part in discussions. With the above points, the final decision still lies with the management team. Involvement can include suggestion boxes, staff pulse surveys, and staff meetings where employees can bring up any issues. These methods give employees a platform to voice their opinions and feel heard, but the management retains control over the decisions made.</w:t>
      </w:r>
      <w:r w:rsidR="00853B54">
        <w:rPr>
          <w:rFonts w:ascii="Calibri" w:eastAsia="Times New Roman" w:hAnsi="Calibri" w:cs="Calibri"/>
          <w:kern w:val="0"/>
          <w:sz w:val="20"/>
          <w:szCs w:val="20"/>
          <w:lang w:eastAsia="en-GB"/>
          <w14:ligatures w14:val="none"/>
        </w:rPr>
        <w:t xml:space="preserve"> (CIPD</w:t>
      </w:r>
      <w:r w:rsidR="00F253E9">
        <w:rPr>
          <w:rFonts w:ascii="Calibri" w:eastAsia="Times New Roman" w:hAnsi="Calibri" w:cs="Calibri"/>
          <w:kern w:val="0"/>
          <w:sz w:val="20"/>
          <w:szCs w:val="20"/>
          <w:lang w:eastAsia="en-GB"/>
          <w14:ligatures w14:val="none"/>
        </w:rPr>
        <w:t>, 2024)</w:t>
      </w:r>
    </w:p>
    <w:p w14:paraId="06198CAC" w14:textId="7C163326" w:rsidR="00E855E5" w:rsidRPr="00E855E5" w:rsidRDefault="00E855E5"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Employee participation is a step further, allowing staff to have a direct role in decision-making. These include collaboratively working on policies, direct decision-making conversations, or having staff involved in the business strategy. In this model, employees have more influence over the outcome, making them feel more engaged and integral to the organisation’s success. This approach can also foster greater loyalty to the company as staff feel like they have a stake in its direction.</w:t>
      </w:r>
      <w:r w:rsidR="00B322A9">
        <w:rPr>
          <w:rFonts w:ascii="Calibri" w:eastAsia="Times New Roman" w:hAnsi="Calibri" w:cs="Calibri"/>
          <w:kern w:val="0"/>
          <w:sz w:val="20"/>
          <w:szCs w:val="20"/>
          <w:lang w:eastAsia="en-GB"/>
          <w14:ligatures w14:val="none"/>
        </w:rPr>
        <w:t xml:space="preserve"> (CIPD, Employee voice)</w:t>
      </w:r>
    </w:p>
    <w:p w14:paraId="2FE1B7BB" w14:textId="1878C6D2" w:rsidR="00E04D1D" w:rsidRDefault="00E855E5"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Both of these methods allow staff to feel motivated and help build stronger relationships between employees and management by fostering trust, open communication, and boosting morale. The more involved employees are</w:t>
      </w:r>
      <w:r w:rsidR="00B322A9">
        <w:rPr>
          <w:rFonts w:ascii="Calibri" w:eastAsia="Times New Roman" w:hAnsi="Calibri" w:cs="Calibri"/>
          <w:kern w:val="0"/>
          <w:sz w:val="20"/>
          <w:szCs w:val="20"/>
          <w:lang w:eastAsia="en-GB"/>
          <w14:ligatures w14:val="none"/>
        </w:rPr>
        <w:t xml:space="preserve"> </w:t>
      </w:r>
      <w:r w:rsidRPr="00E855E5">
        <w:rPr>
          <w:rFonts w:ascii="Calibri" w:eastAsia="Times New Roman" w:hAnsi="Calibri" w:cs="Calibri"/>
          <w:kern w:val="0"/>
          <w:sz w:val="20"/>
          <w:szCs w:val="20"/>
          <w:lang w:eastAsia="en-GB"/>
          <w14:ligatures w14:val="none"/>
        </w:rPr>
        <w:t>the more likely they are to feel a sense of ownership in the company, which can increase job satisfaction and overall performance. It also helps to create a culture of collaboration where staff feel like they are valued contributors rather than just passive workers.</w:t>
      </w:r>
      <w:r w:rsidR="009B6B87">
        <w:rPr>
          <w:rFonts w:ascii="Calibri" w:eastAsia="Times New Roman" w:hAnsi="Calibri" w:cs="Calibri"/>
          <w:kern w:val="0"/>
          <w:sz w:val="20"/>
          <w:szCs w:val="20"/>
          <w:lang w:eastAsia="en-GB"/>
          <w14:ligatures w14:val="none"/>
        </w:rPr>
        <w:t xml:space="preserve"> (CIPD, 2024)</w:t>
      </w:r>
    </w:p>
    <w:p w14:paraId="480B35DC" w14:textId="4042F91A" w:rsidR="00E855E5" w:rsidRDefault="00E04D1D"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E</w:t>
      </w:r>
      <w:r w:rsidR="00E855E5" w:rsidRPr="00E855E5">
        <w:rPr>
          <w:rFonts w:ascii="Calibri" w:eastAsia="Times New Roman" w:hAnsi="Calibri" w:cs="Calibri"/>
          <w:kern w:val="0"/>
          <w:sz w:val="20"/>
          <w:szCs w:val="20"/>
          <w:lang w:eastAsia="en-GB"/>
          <w14:ligatures w14:val="none"/>
        </w:rPr>
        <w:t xml:space="preserve">ncouraging both involvement and participation can lead to more creative </w:t>
      </w:r>
      <w:r w:rsidR="00B322A9" w:rsidRPr="00E855E5">
        <w:rPr>
          <w:rFonts w:ascii="Calibri" w:eastAsia="Times New Roman" w:hAnsi="Calibri" w:cs="Calibri"/>
          <w:kern w:val="0"/>
          <w:sz w:val="20"/>
          <w:szCs w:val="20"/>
          <w:lang w:eastAsia="en-GB"/>
          <w14:ligatures w14:val="none"/>
        </w:rPr>
        <w:t>problem solving</w:t>
      </w:r>
      <w:r>
        <w:rPr>
          <w:rFonts w:ascii="Calibri" w:eastAsia="Times New Roman" w:hAnsi="Calibri" w:cs="Calibri"/>
          <w:kern w:val="0"/>
          <w:sz w:val="20"/>
          <w:szCs w:val="20"/>
          <w:lang w:eastAsia="en-GB"/>
          <w14:ligatures w14:val="none"/>
        </w:rPr>
        <w:t xml:space="preserve">, </w:t>
      </w:r>
      <w:r w:rsidR="00E855E5" w:rsidRPr="00E855E5">
        <w:rPr>
          <w:rFonts w:ascii="Calibri" w:eastAsia="Times New Roman" w:hAnsi="Calibri" w:cs="Calibri"/>
          <w:kern w:val="0"/>
          <w:sz w:val="20"/>
          <w:szCs w:val="20"/>
          <w:lang w:eastAsia="en-GB"/>
          <w14:ligatures w14:val="none"/>
        </w:rPr>
        <w:t>as employees bring diverse perspectives and ideas. By creating a working environment where staff are encouraged to speak up, businesses can tap into the collective knowledge and experience of their workforce, ultimately making better decisions. This leads to improved productivity, innovation, and stronger organisational culture. (CIPD</w:t>
      </w:r>
      <w:r w:rsidR="00B322A9">
        <w:rPr>
          <w:rFonts w:ascii="Calibri" w:eastAsia="Times New Roman" w:hAnsi="Calibri" w:cs="Calibri"/>
          <w:kern w:val="0"/>
          <w:sz w:val="20"/>
          <w:szCs w:val="20"/>
          <w:lang w:eastAsia="en-GB"/>
          <w14:ligatures w14:val="none"/>
        </w:rPr>
        <w:t>,</w:t>
      </w:r>
      <w:r w:rsidR="00E855E5" w:rsidRPr="00E855E5">
        <w:rPr>
          <w:rFonts w:ascii="Calibri" w:eastAsia="Times New Roman" w:hAnsi="Calibri" w:cs="Calibri"/>
          <w:kern w:val="0"/>
          <w:sz w:val="20"/>
          <w:szCs w:val="20"/>
          <w:lang w:eastAsia="en-GB"/>
          <w14:ligatures w14:val="none"/>
        </w:rPr>
        <w:t xml:space="preserve"> Factsheet)</w:t>
      </w:r>
    </w:p>
    <w:p w14:paraId="457A0304" w14:textId="62FD7FF4" w:rsidR="002C6260" w:rsidRPr="0002189C" w:rsidRDefault="0002189C" w:rsidP="00E855E5">
      <w:pPr>
        <w:spacing w:before="100" w:beforeAutospacing="1" w:after="100" w:afterAutospacing="1" w:line="240" w:lineRule="auto"/>
        <w:rPr>
          <w:rFonts w:ascii="Calibri" w:eastAsia="Times New Roman" w:hAnsi="Calibri" w:cs="Calibri"/>
          <w:color w:val="FF0000"/>
          <w:kern w:val="0"/>
          <w:sz w:val="20"/>
          <w:szCs w:val="20"/>
          <w:lang w:eastAsia="en-GB"/>
          <w14:ligatures w14:val="none"/>
        </w:rPr>
      </w:pPr>
      <w:r w:rsidRPr="0002189C">
        <w:rPr>
          <w:rFonts w:ascii="Calibri" w:hAnsi="Calibri" w:cs="Calibri"/>
          <w:color w:val="FF0000"/>
          <w:sz w:val="20"/>
          <w:szCs w:val="20"/>
        </w:rPr>
        <w:t xml:space="preserve">In the case of the recent public sector merger, where leadership and people practice teams are new and largely from the private sector, encouraging employee involvement and participation is vital for relationship-building. Staff who may feel uncertain or disconnected due to the organisational changes need clear channels to express concerns and contribute to decisions. Involvement through regular feedback mechanisms and participation in joint decision-making bodies can help rebuild trust, show respect for the legacy culture, and bridge any gaps between employees and the new </w:t>
      </w:r>
      <w:r w:rsidRPr="00B2491A">
        <w:rPr>
          <w:rFonts w:ascii="Calibri" w:hAnsi="Calibri" w:cs="Calibri"/>
          <w:color w:val="FF0000"/>
          <w:sz w:val="20"/>
          <w:szCs w:val="20"/>
        </w:rPr>
        <w:t>leadershi</w:t>
      </w:r>
      <w:r w:rsidR="00B2491A" w:rsidRPr="00B2491A">
        <w:rPr>
          <w:rFonts w:ascii="Calibri" w:hAnsi="Calibri" w:cs="Calibri"/>
          <w:color w:val="FF0000"/>
          <w:sz w:val="20"/>
          <w:szCs w:val="20"/>
        </w:rPr>
        <w:t xml:space="preserve">p </w:t>
      </w:r>
      <w:r w:rsidR="00B2491A" w:rsidRPr="00B2491A">
        <w:rPr>
          <w:rFonts w:ascii="Calibri" w:hAnsi="Calibri" w:cs="Calibri"/>
          <w:color w:val="FF0000"/>
          <w:sz w:val="20"/>
          <w:szCs w:val="20"/>
        </w:rPr>
        <w:t>(Jones and Perkins, 2024).</w:t>
      </w:r>
      <w:r w:rsidR="00B2491A" w:rsidRPr="00B2491A">
        <w:rPr>
          <w:rFonts w:ascii="Calibri" w:hAnsi="Calibri" w:cs="Calibri"/>
          <w:color w:val="FF0000"/>
          <w:sz w:val="20"/>
          <w:szCs w:val="20"/>
        </w:rPr>
        <w:t xml:space="preserve"> </w:t>
      </w:r>
      <w:r w:rsidRPr="00B2491A">
        <w:rPr>
          <w:rFonts w:ascii="Calibri" w:hAnsi="Calibri" w:cs="Calibri"/>
          <w:color w:val="FF0000"/>
          <w:sz w:val="20"/>
          <w:szCs w:val="20"/>
        </w:rPr>
        <w:t xml:space="preserve">This fosters open communication, strengthens working relationships, and supports a more cohesive and engaged </w:t>
      </w:r>
      <w:r w:rsidRPr="0002189C">
        <w:rPr>
          <w:rFonts w:ascii="Calibri" w:hAnsi="Calibri" w:cs="Calibri"/>
          <w:color w:val="FF0000"/>
          <w:sz w:val="20"/>
          <w:szCs w:val="20"/>
        </w:rPr>
        <w:t>workforce during the transition.</w:t>
      </w:r>
    </w:p>
    <w:p w14:paraId="4DBCAA0C" w14:textId="77777777" w:rsidR="00E855E5" w:rsidRPr="00E855E5" w:rsidRDefault="00E855E5" w:rsidP="008A326C">
      <w:pPr>
        <w:pStyle w:val="NoSpacing"/>
        <w:rPr>
          <w:rFonts w:ascii="Calibri" w:hAnsi="Calibri" w:cs="Calibri"/>
          <w:sz w:val="20"/>
          <w:szCs w:val="20"/>
        </w:rPr>
      </w:pPr>
    </w:p>
    <w:p w14:paraId="3F43423E" w14:textId="5E3BE0DC" w:rsidR="00CD2FFF" w:rsidRDefault="00DB62C2" w:rsidP="008A326C">
      <w:pPr>
        <w:pStyle w:val="NoSpacing"/>
        <w:rPr>
          <w:rFonts w:ascii="Calibri" w:hAnsi="Calibri" w:cs="Calibri"/>
          <w:sz w:val="20"/>
          <w:szCs w:val="20"/>
        </w:rPr>
      </w:pPr>
      <w:r w:rsidRPr="00E855E5">
        <w:rPr>
          <w:rFonts w:ascii="Calibri" w:hAnsi="Calibri" w:cs="Calibri"/>
          <w:sz w:val="20"/>
          <w:szCs w:val="20"/>
        </w:rPr>
        <w:t xml:space="preserve">AC 1.2 </w:t>
      </w:r>
      <w:r w:rsidRPr="00E855E5">
        <w:rPr>
          <w:rFonts w:ascii="Calibri" w:hAnsi="Calibri" w:cs="Calibri"/>
          <w:color w:val="000000"/>
          <w:sz w:val="20"/>
          <w:szCs w:val="20"/>
          <w:u w:color="000000"/>
        </w:rPr>
        <w:t>Compare forms of union and non-union employee representation</w:t>
      </w:r>
    </w:p>
    <w:p w14:paraId="25F53A15" w14:textId="70801D20" w:rsidR="00B322A9" w:rsidRPr="00B322A9" w:rsidRDefault="00B322A9" w:rsidP="00B322A9">
      <w:pPr>
        <w:spacing w:before="100" w:beforeAutospacing="1" w:after="100" w:afterAutospacing="1" w:line="240" w:lineRule="auto"/>
        <w:rPr>
          <w:rFonts w:ascii="Calibri" w:eastAsia="Times New Roman" w:hAnsi="Calibri" w:cs="Calibri"/>
          <w:kern w:val="0"/>
          <w:sz w:val="20"/>
          <w:szCs w:val="20"/>
          <w:lang w:eastAsia="en-GB"/>
          <w14:ligatures w14:val="none"/>
        </w:rPr>
      </w:pPr>
      <w:r w:rsidRPr="00B322A9">
        <w:rPr>
          <w:rFonts w:ascii="Calibri" w:eastAsia="Times New Roman" w:hAnsi="Calibri" w:cs="Calibri"/>
          <w:kern w:val="0"/>
          <w:sz w:val="20"/>
          <w:szCs w:val="20"/>
          <w:lang w:eastAsia="en-GB"/>
          <w14:ligatures w14:val="none"/>
        </w:rPr>
        <w:t xml:space="preserve">Employee representation can be either union or non-union, each with its own advantages and challenges. Union representation involves employees joining a trade union, where they are represented by union representatives who negotiate with employers on their behalf. Unions help secure better wages, working conditions, and job security for their members. By joining a union, employees benefit from the collective power of the group, which allows them to negotiate better deals than they </w:t>
      </w:r>
      <w:r w:rsidR="00E04D1D">
        <w:rPr>
          <w:rFonts w:ascii="Calibri" w:eastAsia="Times New Roman" w:hAnsi="Calibri" w:cs="Calibri"/>
          <w:kern w:val="0"/>
          <w:sz w:val="20"/>
          <w:szCs w:val="20"/>
          <w:lang w:eastAsia="en-GB"/>
          <w14:ligatures w14:val="none"/>
        </w:rPr>
        <w:t>might no</w:t>
      </w:r>
      <w:r w:rsidRPr="00B322A9">
        <w:rPr>
          <w:rFonts w:ascii="Calibri" w:eastAsia="Times New Roman" w:hAnsi="Calibri" w:cs="Calibri"/>
          <w:kern w:val="0"/>
          <w:sz w:val="20"/>
          <w:szCs w:val="20"/>
          <w:lang w:eastAsia="en-GB"/>
          <w14:ligatures w14:val="none"/>
        </w:rPr>
        <w:t xml:space="preserve">t be able to on their own. Additionally, unions provide legal support, which can be crucial if issues such as unfair dismissal, workplace discrimination, or violations of rights arise. However, union membership comes with membership fees, which can be a disadvantage for some workers. Some employees may feel the cost is not worth the benefits, especially if they do not need legal support or do not experience significant workplace issues. </w:t>
      </w:r>
      <w:r>
        <w:rPr>
          <w:rFonts w:ascii="Calibri" w:eastAsia="Times New Roman" w:hAnsi="Calibri" w:cs="Calibri"/>
          <w:kern w:val="0"/>
          <w:sz w:val="20"/>
          <w:szCs w:val="20"/>
          <w:lang w:eastAsia="en-GB"/>
          <w14:ligatures w14:val="none"/>
        </w:rPr>
        <w:t>Negotiations</w:t>
      </w:r>
      <w:r w:rsidRPr="00B322A9">
        <w:rPr>
          <w:rFonts w:ascii="Calibri" w:eastAsia="Times New Roman" w:hAnsi="Calibri" w:cs="Calibri"/>
          <w:kern w:val="0"/>
          <w:sz w:val="20"/>
          <w:szCs w:val="20"/>
          <w:lang w:eastAsia="en-GB"/>
          <w14:ligatures w14:val="none"/>
        </w:rPr>
        <w:t xml:space="preserve"> between unions and employers can sometimes lead to strikes or other forms of industrial action, which may cause disruption in the workplace, potentially harming relationships with management and affecting the business’s operations.</w:t>
      </w:r>
      <w:r w:rsidR="004E0CAB">
        <w:rPr>
          <w:rFonts w:ascii="Calibri" w:eastAsia="Times New Roman" w:hAnsi="Calibri" w:cs="Calibri"/>
          <w:kern w:val="0"/>
          <w:sz w:val="20"/>
          <w:szCs w:val="20"/>
          <w:lang w:eastAsia="en-GB"/>
          <w14:ligatures w14:val="none"/>
        </w:rPr>
        <w:t xml:space="preserve"> (UNISON)</w:t>
      </w:r>
    </w:p>
    <w:p w14:paraId="4BC2028F" w14:textId="36E6B0CD" w:rsidR="00B322A9" w:rsidRPr="00B322A9" w:rsidRDefault="00B322A9" w:rsidP="00B322A9">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Non</w:t>
      </w:r>
      <w:r w:rsidRPr="00B322A9">
        <w:rPr>
          <w:rFonts w:ascii="Calibri" w:eastAsia="Times New Roman" w:hAnsi="Calibri" w:cs="Calibri"/>
          <w:kern w:val="0"/>
          <w:sz w:val="20"/>
          <w:szCs w:val="20"/>
          <w:lang w:eastAsia="en-GB"/>
          <w14:ligatures w14:val="none"/>
        </w:rPr>
        <w:t xml:space="preserve">-union representation can take many forms, such as employee forums, direct communication between staff and management or consultation processes where employees are invited to provide input on workplace issues. This approach is useful for businesses that want to encourage more open, direct discussions and quicker decision-making processes. Non-union representation allows for a more flexible and immediate form of communication between staff </w:t>
      </w:r>
      <w:r w:rsidR="00EE1818" w:rsidRPr="00B322A9">
        <w:rPr>
          <w:rFonts w:ascii="Calibri" w:eastAsia="Times New Roman" w:hAnsi="Calibri" w:cs="Calibri"/>
          <w:kern w:val="0"/>
          <w:sz w:val="20"/>
          <w:szCs w:val="20"/>
          <w:lang w:eastAsia="en-GB"/>
          <w14:ligatures w14:val="none"/>
        </w:rPr>
        <w:t xml:space="preserve">and </w:t>
      </w:r>
      <w:r w:rsidR="00EE1818">
        <w:rPr>
          <w:rFonts w:ascii="Calibri" w:eastAsia="Times New Roman" w:hAnsi="Calibri" w:cs="Calibri"/>
          <w:kern w:val="0"/>
          <w:sz w:val="20"/>
          <w:szCs w:val="20"/>
          <w:lang w:eastAsia="en-GB"/>
          <w14:ligatures w14:val="none"/>
        </w:rPr>
        <w:t>management</w:t>
      </w:r>
      <w:r w:rsidRPr="00B322A9">
        <w:rPr>
          <w:rFonts w:ascii="Calibri" w:eastAsia="Times New Roman" w:hAnsi="Calibri" w:cs="Calibri"/>
          <w:kern w:val="0"/>
          <w:sz w:val="20"/>
          <w:szCs w:val="20"/>
          <w:lang w:eastAsia="en-GB"/>
          <w14:ligatures w14:val="none"/>
        </w:rPr>
        <w:t>, helping to create a more collaborative working environment. Since there are no union fees involved, employees can communicate freely without the financial burden that union membership might bring. In smaller companies or businesses where there isn’t a history of unionisation, non-union representation may also feel more personal, as employees have direct access to management. However, the key challenge with non-union representation is that it may not provide the same level of protection for employees as unions do. Without the collective bargaining power of a union, individual employees may find it more difficult to challenge management decisions, particularly if they feel they are being treated unfairly.</w:t>
      </w:r>
      <w:r w:rsidR="004E0CAB">
        <w:rPr>
          <w:rFonts w:ascii="Calibri" w:eastAsia="Times New Roman" w:hAnsi="Calibri" w:cs="Calibri"/>
          <w:kern w:val="0"/>
          <w:sz w:val="20"/>
          <w:szCs w:val="20"/>
          <w:lang w:eastAsia="en-GB"/>
          <w14:ligatures w14:val="none"/>
        </w:rPr>
        <w:t xml:space="preserve"> (CIPD, Trade unions)</w:t>
      </w:r>
    </w:p>
    <w:p w14:paraId="6CE8F400" w14:textId="0E85698E" w:rsidR="00B322A9" w:rsidRPr="00B322A9" w:rsidRDefault="004E0CAB" w:rsidP="00B322A9">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 xml:space="preserve">With the </w:t>
      </w:r>
      <w:r w:rsidR="001A481B">
        <w:rPr>
          <w:rFonts w:ascii="Calibri" w:eastAsia="Times New Roman" w:hAnsi="Calibri" w:cs="Calibri"/>
          <w:kern w:val="0"/>
          <w:sz w:val="20"/>
          <w:szCs w:val="20"/>
          <w:lang w:eastAsia="en-GB"/>
          <w14:ligatures w14:val="none"/>
        </w:rPr>
        <w:t>aims to protect</w:t>
      </w:r>
      <w:r>
        <w:rPr>
          <w:rFonts w:ascii="Calibri" w:eastAsia="Times New Roman" w:hAnsi="Calibri" w:cs="Calibri"/>
          <w:kern w:val="0"/>
          <w:sz w:val="20"/>
          <w:szCs w:val="20"/>
          <w:lang w:eastAsia="en-GB"/>
          <w14:ligatures w14:val="none"/>
        </w:rPr>
        <w:t>, u</w:t>
      </w:r>
      <w:r w:rsidR="00B322A9" w:rsidRPr="00B322A9">
        <w:rPr>
          <w:rFonts w:ascii="Calibri" w:eastAsia="Times New Roman" w:hAnsi="Calibri" w:cs="Calibri"/>
          <w:kern w:val="0"/>
          <w:sz w:val="20"/>
          <w:szCs w:val="20"/>
          <w:lang w:eastAsia="en-GB"/>
          <w14:ligatures w14:val="none"/>
        </w:rPr>
        <w:t xml:space="preserve">nions operate independently of the employer, which gives them the ability to challenge and negotiate with management more effectively. In contrast, non-union representation relies heavily on the management’s willingness to listen and act on employee concerns, which may vary depending on the leadership style and company culture. This can sometimes lead to issues not being addressed as promptly or effectively as they would be in a unionised setting. </w:t>
      </w:r>
      <w:r>
        <w:rPr>
          <w:rFonts w:ascii="Calibri" w:eastAsia="Times New Roman" w:hAnsi="Calibri" w:cs="Calibri"/>
          <w:kern w:val="0"/>
          <w:sz w:val="20"/>
          <w:szCs w:val="20"/>
          <w:lang w:eastAsia="en-GB"/>
          <w14:ligatures w14:val="none"/>
        </w:rPr>
        <w:t>(ACAS</w:t>
      </w:r>
      <w:r w:rsidR="006566F8">
        <w:rPr>
          <w:rFonts w:ascii="Calibri" w:eastAsia="Times New Roman" w:hAnsi="Calibri" w:cs="Calibri"/>
          <w:kern w:val="0"/>
          <w:sz w:val="20"/>
          <w:szCs w:val="20"/>
          <w:lang w:eastAsia="en-GB"/>
          <w14:ligatures w14:val="none"/>
        </w:rPr>
        <w:t>,2024</w:t>
      </w:r>
      <w:r>
        <w:rPr>
          <w:rFonts w:ascii="Calibri" w:eastAsia="Times New Roman" w:hAnsi="Calibri" w:cs="Calibri"/>
          <w:kern w:val="0"/>
          <w:sz w:val="20"/>
          <w:szCs w:val="20"/>
          <w:lang w:eastAsia="en-GB"/>
          <w14:ligatures w14:val="none"/>
        </w:rPr>
        <w:t>)</w:t>
      </w:r>
    </w:p>
    <w:p w14:paraId="71F0D6A5" w14:textId="77777777" w:rsidR="00B322A9" w:rsidRPr="00E855E5" w:rsidRDefault="00B322A9" w:rsidP="008A326C">
      <w:pPr>
        <w:pStyle w:val="NoSpacing"/>
        <w:rPr>
          <w:rFonts w:ascii="Calibri" w:hAnsi="Calibri" w:cs="Calibri"/>
          <w:sz w:val="20"/>
          <w:szCs w:val="20"/>
        </w:rPr>
      </w:pPr>
    </w:p>
    <w:p w14:paraId="5746FB5C" w14:textId="5C3A7649" w:rsidR="00FE21D2" w:rsidRPr="00652609" w:rsidRDefault="00CD2FFF" w:rsidP="008A326C">
      <w:pPr>
        <w:pStyle w:val="NoSpacing"/>
        <w:rPr>
          <w:rFonts w:ascii="Calibri" w:hAnsi="Calibri" w:cs="Calibri"/>
          <w:sz w:val="20"/>
          <w:szCs w:val="20"/>
        </w:rPr>
      </w:pPr>
      <w:r w:rsidRPr="00E855E5">
        <w:rPr>
          <w:rFonts w:ascii="Calibri" w:hAnsi="Calibri" w:cs="Calibri"/>
          <w:sz w:val="20"/>
          <w:szCs w:val="20"/>
        </w:rPr>
        <w:t xml:space="preserve">AC1.3 </w:t>
      </w:r>
      <w:r w:rsidRPr="00E855E5">
        <w:rPr>
          <w:rFonts w:ascii="Calibri" w:hAnsi="Calibri" w:cs="Calibri"/>
          <w:color w:val="000000"/>
          <w:sz w:val="20"/>
          <w:szCs w:val="20"/>
          <w:u w:color="000000"/>
        </w:rPr>
        <w:t xml:space="preserve">Evaluate the relationship between employee voice and organisational performance. </w:t>
      </w:r>
    </w:p>
    <w:p w14:paraId="41B3A001" w14:textId="72DEDFDD" w:rsidR="00652609" w:rsidRPr="00652609"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Employee voice refers to the ways in which employees express their opinions, concerns</w:t>
      </w:r>
      <w:r>
        <w:rPr>
          <w:rFonts w:ascii="Calibri" w:eastAsia="Times New Roman" w:hAnsi="Calibri" w:cs="Calibri"/>
          <w:kern w:val="0"/>
          <w:sz w:val="20"/>
          <w:szCs w:val="20"/>
          <w:lang w:eastAsia="en-GB"/>
          <w14:ligatures w14:val="none"/>
        </w:rPr>
        <w:t xml:space="preserve"> </w:t>
      </w:r>
      <w:r w:rsidRPr="00652609">
        <w:rPr>
          <w:rFonts w:ascii="Calibri" w:eastAsia="Times New Roman" w:hAnsi="Calibri" w:cs="Calibri"/>
          <w:kern w:val="0"/>
          <w:sz w:val="20"/>
          <w:szCs w:val="20"/>
          <w:lang w:eastAsia="en-GB"/>
          <w14:ligatures w14:val="none"/>
        </w:rPr>
        <w:t>and suggestions within the workplace</w:t>
      </w:r>
      <w:r w:rsidR="00612448">
        <w:rPr>
          <w:rFonts w:ascii="Calibri" w:hAnsi="Calibri" w:cs="Calibri"/>
          <w:sz w:val="20"/>
          <w:szCs w:val="20"/>
        </w:rPr>
        <w:t xml:space="preserve">. </w:t>
      </w:r>
      <w:r w:rsidRPr="00652609">
        <w:rPr>
          <w:rFonts w:ascii="Calibri" w:eastAsia="Times New Roman" w:hAnsi="Calibri" w:cs="Calibri"/>
          <w:kern w:val="0"/>
          <w:sz w:val="20"/>
          <w:szCs w:val="20"/>
          <w:lang w:eastAsia="en-GB"/>
          <w14:ligatures w14:val="none"/>
        </w:rPr>
        <w:t>This concept plays an important role in shaping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ational performance. When employees feel like they are heard, they tend to be more motivated, engaged, and committed to their roles. This increased engagement can lead to better job satisfaction, stronger workplace relationships, and ultimately, improved productivity. In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ations where employee voice is encouraged, workers are more likely to feel valued and respected, which positively influences their attitudes and performance.</w:t>
      </w:r>
      <w:r w:rsidR="00F1677A">
        <w:rPr>
          <w:rFonts w:ascii="Calibri" w:eastAsia="Times New Roman" w:hAnsi="Calibri" w:cs="Calibri"/>
          <w:kern w:val="0"/>
          <w:sz w:val="20"/>
          <w:szCs w:val="20"/>
          <w:lang w:eastAsia="en-GB"/>
          <w14:ligatures w14:val="none"/>
        </w:rPr>
        <w:t xml:space="preserve"> (CIPD, </w:t>
      </w:r>
      <w:r w:rsidR="006566F8">
        <w:rPr>
          <w:rFonts w:ascii="Calibri" w:eastAsia="Times New Roman" w:hAnsi="Calibri" w:cs="Calibri"/>
          <w:kern w:val="0"/>
          <w:sz w:val="20"/>
          <w:szCs w:val="20"/>
          <w:lang w:eastAsia="en-GB"/>
          <w14:ligatures w14:val="none"/>
        </w:rPr>
        <w:t xml:space="preserve">2023, </w:t>
      </w:r>
      <w:r w:rsidR="00F1677A">
        <w:rPr>
          <w:rFonts w:ascii="Calibri" w:eastAsia="Times New Roman" w:hAnsi="Calibri" w:cs="Calibri"/>
          <w:kern w:val="0"/>
          <w:sz w:val="20"/>
          <w:szCs w:val="20"/>
          <w:lang w:eastAsia="en-GB"/>
          <w14:ligatures w14:val="none"/>
        </w:rPr>
        <w:t>Employee voice)</w:t>
      </w:r>
    </w:p>
    <w:p w14:paraId="230E138B" w14:textId="39E43E49" w:rsidR="00652609" w:rsidRPr="00652609"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Having open communication channels between management and employees helps to identify potential problems early before they escalate into larger issues. Early problem detection allows for more effective and proactive decision-making and problem-solving. As a result,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ations that promote employee voice can address concerns before they negatively affect morale or the overall work environment. Additionally, encouraging employees to share their opinions and suggestions can lead to innovative solutions and improvements within the company, which might otherwise be overlooked.</w:t>
      </w:r>
      <w:r w:rsidR="00F1677A">
        <w:rPr>
          <w:rFonts w:ascii="Calibri" w:eastAsia="Times New Roman" w:hAnsi="Calibri" w:cs="Calibri"/>
          <w:kern w:val="0"/>
          <w:sz w:val="20"/>
          <w:szCs w:val="20"/>
          <w:lang w:eastAsia="en-GB"/>
          <w14:ligatures w14:val="none"/>
        </w:rPr>
        <w:t xml:space="preserve"> (HR magazine)</w:t>
      </w:r>
    </w:p>
    <w:p w14:paraId="6E10896B" w14:textId="7EAF06F7" w:rsidR="00652609" w:rsidRPr="0026459A"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Employers who promote a culture of openness and inclusivity often experience lower staff turnover, as employees feel more connected to the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 xml:space="preserve">ation and its </w:t>
      </w:r>
      <w:r w:rsidR="001A481B">
        <w:rPr>
          <w:rFonts w:ascii="Calibri" w:eastAsia="Times New Roman" w:hAnsi="Calibri" w:cs="Calibri"/>
          <w:kern w:val="0"/>
          <w:sz w:val="20"/>
          <w:szCs w:val="20"/>
          <w:lang w:eastAsia="en-GB"/>
          <w14:ligatures w14:val="none"/>
        </w:rPr>
        <w:t>goals</w:t>
      </w:r>
      <w:r w:rsidRPr="00652609">
        <w:rPr>
          <w:rFonts w:ascii="Calibri" w:eastAsia="Times New Roman" w:hAnsi="Calibri" w:cs="Calibri"/>
          <w:kern w:val="0"/>
          <w:sz w:val="20"/>
          <w:szCs w:val="20"/>
          <w:lang w:eastAsia="en-GB"/>
          <w14:ligatures w14:val="none"/>
        </w:rPr>
        <w:t xml:space="preserve">. This involvement fosters a sense of ownership and pride in their work. </w:t>
      </w:r>
      <w:r w:rsidR="001A481B">
        <w:rPr>
          <w:rFonts w:ascii="Calibri" w:eastAsia="Times New Roman" w:hAnsi="Calibri" w:cs="Calibri"/>
          <w:kern w:val="0"/>
          <w:sz w:val="20"/>
          <w:szCs w:val="20"/>
          <w:lang w:eastAsia="en-GB"/>
          <w14:ligatures w14:val="none"/>
        </w:rPr>
        <w:t>W</w:t>
      </w:r>
      <w:r w:rsidRPr="00652609">
        <w:rPr>
          <w:rFonts w:ascii="Calibri" w:eastAsia="Times New Roman" w:hAnsi="Calibri" w:cs="Calibri"/>
          <w:kern w:val="0"/>
          <w:sz w:val="20"/>
          <w:szCs w:val="20"/>
          <w:lang w:eastAsia="en-GB"/>
          <w14:ligatures w14:val="none"/>
        </w:rPr>
        <w:t>hen employees are included in the decision-making process, they are more likely to take initiative and feel personally responsible for the company’s success.</w:t>
      </w:r>
      <w:r w:rsidR="0026459A" w:rsidRPr="0026459A">
        <w:t xml:space="preserve"> </w:t>
      </w:r>
      <w:r w:rsidR="0026459A" w:rsidRPr="0026459A">
        <w:rPr>
          <w:rFonts w:ascii="Calibri" w:hAnsi="Calibri" w:cs="Calibri"/>
          <w:sz w:val="20"/>
          <w:szCs w:val="20"/>
        </w:rPr>
        <w:t>(Ferreira &amp; Mitchell, 2021)</w:t>
      </w:r>
    </w:p>
    <w:p w14:paraId="0B74CA7B" w14:textId="65A22877" w:rsidR="00652609" w:rsidRPr="00652609"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For</w:t>
      </w:r>
      <w:r w:rsidRPr="00652609">
        <w:rPr>
          <w:rFonts w:ascii="Calibri" w:eastAsia="Times New Roman" w:hAnsi="Calibri" w:cs="Calibri"/>
          <w:kern w:val="0"/>
          <w:sz w:val="20"/>
          <w:szCs w:val="20"/>
          <w:lang w:eastAsia="en-GB"/>
          <w14:ligatures w14:val="none"/>
        </w:rPr>
        <w:t xml:space="preserve"> employee voice to be effective, it is crucial for organi</w:t>
      </w:r>
      <w:r w:rsidR="00B02D59">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ations to foster a culture where employees can speak up without fear of retribution or negative consequences. A safe environment where feedback is welcomed and valued will improve overall organi</w:t>
      </w:r>
      <w:r w:rsidR="00B02D59">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 xml:space="preserve">ational development and innovation. </w:t>
      </w:r>
      <w:r w:rsidR="00B02D59">
        <w:rPr>
          <w:rFonts w:ascii="Calibri" w:eastAsia="Times New Roman" w:hAnsi="Calibri" w:cs="Calibri"/>
          <w:kern w:val="0"/>
          <w:sz w:val="20"/>
          <w:szCs w:val="20"/>
          <w:lang w:eastAsia="en-GB"/>
          <w14:ligatures w14:val="none"/>
        </w:rPr>
        <w:t>If</w:t>
      </w:r>
      <w:r w:rsidRPr="00652609">
        <w:rPr>
          <w:rFonts w:ascii="Calibri" w:eastAsia="Times New Roman" w:hAnsi="Calibri" w:cs="Calibri"/>
          <w:kern w:val="0"/>
          <w:sz w:val="20"/>
          <w:szCs w:val="20"/>
          <w:lang w:eastAsia="en-GB"/>
          <w14:ligatures w14:val="none"/>
        </w:rPr>
        <w:t xml:space="preserve"> employee voice is ignored, overlooked, or poorly managed, it can lead to negative outcomes such as low morale, reduced motivation, and even increased absenteeism.</w:t>
      </w:r>
      <w:r w:rsidR="00F1677A">
        <w:rPr>
          <w:rFonts w:ascii="Calibri" w:eastAsia="Times New Roman" w:hAnsi="Calibri" w:cs="Calibri"/>
          <w:kern w:val="0"/>
          <w:sz w:val="20"/>
          <w:szCs w:val="20"/>
          <w:lang w:eastAsia="en-GB"/>
          <w14:ligatures w14:val="none"/>
        </w:rPr>
        <w:t xml:space="preserve"> (CIPD</w:t>
      </w:r>
      <w:r w:rsidR="006566F8">
        <w:rPr>
          <w:rFonts w:ascii="Calibri" w:eastAsia="Times New Roman" w:hAnsi="Calibri" w:cs="Calibri"/>
          <w:kern w:val="0"/>
          <w:sz w:val="20"/>
          <w:szCs w:val="20"/>
          <w:lang w:eastAsia="en-GB"/>
          <w14:ligatures w14:val="none"/>
        </w:rPr>
        <w:t>,2024</w:t>
      </w:r>
      <w:r w:rsidR="00F1677A">
        <w:rPr>
          <w:rFonts w:ascii="Calibri" w:eastAsia="Times New Roman" w:hAnsi="Calibri" w:cs="Calibri"/>
          <w:kern w:val="0"/>
          <w:sz w:val="20"/>
          <w:szCs w:val="20"/>
          <w:lang w:eastAsia="en-GB"/>
          <w14:ligatures w14:val="none"/>
        </w:rPr>
        <w:t>)</w:t>
      </w:r>
    </w:p>
    <w:p w14:paraId="6436C2A7" w14:textId="3056C8C1" w:rsidR="00525404" w:rsidRPr="00C22503" w:rsidRDefault="00652609" w:rsidP="00C22503">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A lack of employee voice can create an atmosphere of disengagement, leading to higher levels of dissatisfaction, conflict, and frustration within the workplace. Over time, this can result in increased turnover rates, as employees seek a more supportive and open environment.</w:t>
      </w:r>
      <w:r w:rsidR="00B02D59">
        <w:rPr>
          <w:rFonts w:ascii="Calibri" w:eastAsia="Times New Roman" w:hAnsi="Calibri" w:cs="Calibri"/>
          <w:kern w:val="0"/>
          <w:sz w:val="20"/>
          <w:szCs w:val="20"/>
          <w:lang w:eastAsia="en-GB"/>
          <w14:ligatures w14:val="none"/>
        </w:rPr>
        <w:t xml:space="preserve"> O</w:t>
      </w:r>
      <w:r w:rsidR="00B02D59" w:rsidRPr="00652609">
        <w:rPr>
          <w:rFonts w:ascii="Calibri" w:eastAsia="Times New Roman" w:hAnsi="Calibri" w:cs="Calibri"/>
          <w:kern w:val="0"/>
          <w:sz w:val="20"/>
          <w:szCs w:val="20"/>
          <w:lang w:eastAsia="en-GB"/>
          <w14:ligatures w14:val="none"/>
        </w:rPr>
        <w:t>rganis</w:t>
      </w:r>
      <w:r w:rsidR="00B02D59">
        <w:rPr>
          <w:rFonts w:ascii="Calibri" w:eastAsia="Times New Roman" w:hAnsi="Calibri" w:cs="Calibri"/>
          <w:kern w:val="0"/>
          <w:sz w:val="20"/>
          <w:szCs w:val="20"/>
          <w:lang w:eastAsia="en-GB"/>
          <w14:ligatures w14:val="none"/>
        </w:rPr>
        <w:t>a</w:t>
      </w:r>
      <w:r w:rsidR="00B02D59" w:rsidRPr="00652609">
        <w:rPr>
          <w:rFonts w:ascii="Calibri" w:eastAsia="Times New Roman" w:hAnsi="Calibri" w:cs="Calibri"/>
          <w:kern w:val="0"/>
          <w:sz w:val="20"/>
          <w:szCs w:val="20"/>
          <w:lang w:eastAsia="en-GB"/>
          <w14:ligatures w14:val="none"/>
        </w:rPr>
        <w:t>tions</w:t>
      </w:r>
      <w:r w:rsidRPr="00652609">
        <w:rPr>
          <w:rFonts w:ascii="Calibri" w:eastAsia="Times New Roman" w:hAnsi="Calibri" w:cs="Calibri"/>
          <w:kern w:val="0"/>
          <w:sz w:val="20"/>
          <w:szCs w:val="20"/>
          <w:lang w:eastAsia="en-GB"/>
          <w14:ligatures w14:val="none"/>
        </w:rPr>
        <w:t xml:space="preserve"> that effectively manage employee voice tend to </w:t>
      </w:r>
      <w:r w:rsidR="001A481B">
        <w:rPr>
          <w:rFonts w:ascii="Calibri" w:eastAsia="Times New Roman" w:hAnsi="Calibri" w:cs="Calibri"/>
          <w:kern w:val="0"/>
          <w:sz w:val="20"/>
          <w:szCs w:val="20"/>
          <w:lang w:eastAsia="en-GB"/>
          <w14:ligatures w14:val="none"/>
        </w:rPr>
        <w:t>have</w:t>
      </w:r>
      <w:r w:rsidRPr="00652609">
        <w:rPr>
          <w:rFonts w:ascii="Calibri" w:eastAsia="Times New Roman" w:hAnsi="Calibri" w:cs="Calibri"/>
          <w:kern w:val="0"/>
          <w:sz w:val="20"/>
          <w:szCs w:val="20"/>
          <w:lang w:eastAsia="en-GB"/>
          <w14:ligatures w14:val="none"/>
        </w:rPr>
        <w:t xml:space="preserve"> better teamwork, greater collaboration, and stronger organi</w:t>
      </w:r>
      <w:r w:rsidR="00B02D59">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 xml:space="preserve">ational performance. </w:t>
      </w:r>
      <w:r w:rsidR="00B02D59">
        <w:rPr>
          <w:rFonts w:ascii="Calibri" w:eastAsia="Times New Roman" w:hAnsi="Calibri" w:cs="Calibri"/>
          <w:kern w:val="0"/>
          <w:sz w:val="20"/>
          <w:szCs w:val="20"/>
          <w:lang w:eastAsia="en-GB"/>
          <w14:ligatures w14:val="none"/>
        </w:rPr>
        <w:t>F</w:t>
      </w:r>
      <w:r w:rsidRPr="00652609">
        <w:rPr>
          <w:rFonts w:ascii="Calibri" w:eastAsia="Times New Roman" w:hAnsi="Calibri" w:cs="Calibri"/>
          <w:kern w:val="0"/>
          <w:sz w:val="20"/>
          <w:szCs w:val="20"/>
          <w:lang w:eastAsia="en-GB"/>
          <w14:ligatures w14:val="none"/>
        </w:rPr>
        <w:t>ailing to manage employee feedback effectively can harm both productivity and workplace culture, leading to long-term negative impacts on the company’s success and employee retention.</w:t>
      </w:r>
      <w:r w:rsidR="0033309A" w:rsidRPr="0033309A">
        <w:t xml:space="preserve"> </w:t>
      </w:r>
      <w:r w:rsidR="0033309A" w:rsidRPr="0033309A">
        <w:rPr>
          <w:rFonts w:ascii="Calibri" w:hAnsi="Calibri" w:cs="Calibri"/>
          <w:sz w:val="20"/>
          <w:szCs w:val="20"/>
        </w:rPr>
        <w:t>(Muller-Heyndyk, 2019)</w:t>
      </w:r>
    </w:p>
    <w:p w14:paraId="3EABE80D" w14:textId="6B923CE3" w:rsidR="00FE21D2" w:rsidRPr="00E855E5" w:rsidRDefault="00FE21D2" w:rsidP="008A326C">
      <w:pPr>
        <w:pStyle w:val="NoSpacing"/>
        <w:rPr>
          <w:rFonts w:ascii="Calibri" w:hAnsi="Calibri" w:cs="Calibri"/>
          <w:sz w:val="20"/>
          <w:szCs w:val="20"/>
        </w:rPr>
      </w:pPr>
      <w:r w:rsidRPr="00E855E5">
        <w:rPr>
          <w:rFonts w:ascii="Calibri" w:eastAsia="Trebuchet MS" w:hAnsi="Calibri" w:cs="Calibri"/>
          <w:sz w:val="20"/>
          <w:szCs w:val="20"/>
        </w:rPr>
        <w:t xml:space="preserve">AC1.4 </w:t>
      </w:r>
      <w:r w:rsidRPr="00E855E5">
        <w:rPr>
          <w:rFonts w:ascii="Calibri" w:hAnsi="Calibri" w:cs="Calibri"/>
          <w:color w:val="000000"/>
          <w:sz w:val="20"/>
          <w:szCs w:val="20"/>
          <w:u w:color="000000"/>
          <w:lang w:val="en-US"/>
        </w:rPr>
        <w:t>Explain the concept of better working lives and how this can be designed</w:t>
      </w:r>
    </w:p>
    <w:p w14:paraId="1495E3E6" w14:textId="50F147C7"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The idea of better working lives is all about creating a workplace where employees feel valued, supported, and motivated. It’s not just about getting paid – it’s also about things like work-life balance, job satisfaction, career growth, and overall well-being. A better working life means employees feel involved in their work, have chances to grow, and work in an environment that looks after their physical and mental health. When staff feel supported, they’re more likely to stay committed and do their best at work</w:t>
      </w:r>
      <w:r w:rsidRPr="008D706D">
        <w:rPr>
          <w:rFonts w:ascii="Calibri" w:eastAsia="Times New Roman" w:hAnsi="Calibri" w:cs="Calibri"/>
          <w:kern w:val="0"/>
          <w:sz w:val="20"/>
          <w:szCs w:val="20"/>
          <w:lang w:eastAsia="en-GB"/>
          <w14:ligatures w14:val="none"/>
        </w:rPr>
        <w:t>.</w:t>
      </w:r>
      <w:r w:rsidR="008D706D" w:rsidRPr="008D706D">
        <w:rPr>
          <w:rFonts w:ascii="Calibri" w:hAnsi="Calibri" w:cs="Calibri"/>
          <w:sz w:val="20"/>
          <w:szCs w:val="20"/>
        </w:rPr>
        <w:t xml:space="preserve"> (Barber, 2020)</w:t>
      </w:r>
    </w:p>
    <w:p w14:paraId="5554A567" w14:textId="5D1E64A0"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To design better working lives, businesses can do a few things.</w:t>
      </w:r>
      <w:r>
        <w:rPr>
          <w:rFonts w:ascii="Calibri" w:eastAsia="Times New Roman" w:hAnsi="Calibri" w:cs="Calibri"/>
          <w:kern w:val="0"/>
          <w:sz w:val="20"/>
          <w:szCs w:val="20"/>
          <w:lang w:eastAsia="en-GB"/>
          <w14:ligatures w14:val="none"/>
        </w:rPr>
        <w:t xml:space="preserve"> G</w:t>
      </w:r>
      <w:r w:rsidRPr="00525404">
        <w:rPr>
          <w:rFonts w:ascii="Calibri" w:eastAsia="Times New Roman" w:hAnsi="Calibri" w:cs="Calibri"/>
          <w:kern w:val="0"/>
          <w:sz w:val="20"/>
          <w:szCs w:val="20"/>
          <w:lang w:eastAsia="en-GB"/>
          <w14:ligatures w14:val="none"/>
        </w:rPr>
        <w:t>ood management and supportive workplace policies are key. Employers can help employees balance work and life by offering flexible working options like remote work, flexible hours, or job sharing. These arrangements allow employees to manage their personal lives alongside their work, which can reduce stress and help them feel happier at work. Flexibility shows employees that the company cares about them, which can lead to better loyalty and more productivity. Flexibility at work can also help reduce absenteeism because employees can manage their time better and take care of personal responsibilities, such as childcare or appointments.</w:t>
      </w:r>
      <w:r w:rsidR="0014517A">
        <w:rPr>
          <w:rFonts w:ascii="Calibri" w:eastAsia="Times New Roman" w:hAnsi="Calibri" w:cs="Calibri"/>
          <w:kern w:val="0"/>
          <w:sz w:val="20"/>
          <w:szCs w:val="20"/>
          <w:lang w:eastAsia="en-GB"/>
          <w14:ligatures w14:val="none"/>
        </w:rPr>
        <w:t xml:space="preserve"> (Indeed</w:t>
      </w:r>
      <w:r w:rsidR="00CE6E15">
        <w:rPr>
          <w:rFonts w:ascii="Calibri" w:eastAsia="Times New Roman" w:hAnsi="Calibri" w:cs="Calibri"/>
          <w:kern w:val="0"/>
          <w:sz w:val="20"/>
          <w:szCs w:val="20"/>
          <w:lang w:eastAsia="en-GB"/>
          <w14:ligatures w14:val="none"/>
        </w:rPr>
        <w:t>, 2024</w:t>
      </w:r>
      <w:r w:rsidR="0014517A">
        <w:rPr>
          <w:rFonts w:ascii="Calibri" w:eastAsia="Times New Roman" w:hAnsi="Calibri" w:cs="Calibri"/>
          <w:kern w:val="0"/>
          <w:sz w:val="20"/>
          <w:szCs w:val="20"/>
          <w:lang w:eastAsia="en-GB"/>
          <w14:ligatures w14:val="none"/>
        </w:rPr>
        <w:t>)</w:t>
      </w:r>
    </w:p>
    <w:p w14:paraId="2B5A38C3" w14:textId="5CA986D4"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Fair pay and benefits are also really important. When employees feel they’re paid fairly and have good benefits, they’re more likely to be satisfied with their jobs. Things like health insurance, holiday pay, and pension schemes show that a company values its workers and helps them feel secure. When employees feel financially supported, they tend to be happier and more motivated to work. Offering good pay and benefits also makes it easier for companies to attract talented workers and retain them for the long term, which can save time and money in recruitment.</w:t>
      </w:r>
      <w:r w:rsidR="0014517A">
        <w:rPr>
          <w:rFonts w:ascii="Calibri" w:eastAsia="Times New Roman" w:hAnsi="Calibri" w:cs="Calibri"/>
          <w:kern w:val="0"/>
          <w:sz w:val="20"/>
          <w:szCs w:val="20"/>
          <w:lang w:eastAsia="en-GB"/>
          <w14:ligatures w14:val="none"/>
        </w:rPr>
        <w:t xml:space="preserve"> (CIPD</w:t>
      </w:r>
      <w:r w:rsidR="00CE6E15">
        <w:rPr>
          <w:rFonts w:ascii="Calibri" w:eastAsia="Times New Roman" w:hAnsi="Calibri" w:cs="Calibri"/>
          <w:kern w:val="0"/>
          <w:sz w:val="20"/>
          <w:szCs w:val="20"/>
          <w:lang w:eastAsia="en-GB"/>
          <w14:ligatures w14:val="none"/>
        </w:rPr>
        <w:t>,2024</w:t>
      </w:r>
      <w:r w:rsidR="0014517A">
        <w:rPr>
          <w:rFonts w:ascii="Calibri" w:eastAsia="Times New Roman" w:hAnsi="Calibri" w:cs="Calibri"/>
          <w:kern w:val="0"/>
          <w:sz w:val="20"/>
          <w:szCs w:val="20"/>
          <w:lang w:eastAsia="en-GB"/>
          <w14:ligatures w14:val="none"/>
        </w:rPr>
        <w:t>)</w:t>
      </w:r>
    </w:p>
    <w:p w14:paraId="3F404A3C" w14:textId="541BF861"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Another way to create a better working life is by offering career development and training. Employees want to feel like they’re progressing in their jobs, not just stuck in a dead-end role. Companies can help by providing training, offering promotion opportunities</w:t>
      </w:r>
      <w:r w:rsidR="0014517A">
        <w:rPr>
          <w:rFonts w:ascii="Calibri" w:eastAsia="Times New Roman" w:hAnsi="Calibri" w:cs="Calibri"/>
          <w:kern w:val="0"/>
          <w:sz w:val="20"/>
          <w:szCs w:val="20"/>
          <w:lang w:eastAsia="en-GB"/>
          <w14:ligatures w14:val="none"/>
        </w:rPr>
        <w:t xml:space="preserve"> </w:t>
      </w:r>
      <w:r w:rsidRPr="00525404">
        <w:rPr>
          <w:rFonts w:ascii="Calibri" w:eastAsia="Times New Roman" w:hAnsi="Calibri" w:cs="Calibri"/>
          <w:kern w:val="0"/>
          <w:sz w:val="20"/>
          <w:szCs w:val="20"/>
          <w:lang w:eastAsia="en-GB"/>
          <w14:ligatures w14:val="none"/>
        </w:rPr>
        <w:t>and giving employees the chance to develop their skills. When people feel like they’re growing in their careers, they’re more likely to stay motivated and engaged with their work. Career development also helps employees feel confident and competent in their roles, which can improve job satisfaction.</w:t>
      </w:r>
      <w:r w:rsidR="0014517A">
        <w:rPr>
          <w:rFonts w:ascii="Calibri" w:eastAsia="Times New Roman" w:hAnsi="Calibri" w:cs="Calibri"/>
          <w:kern w:val="0"/>
          <w:sz w:val="20"/>
          <w:szCs w:val="20"/>
          <w:lang w:eastAsia="en-GB"/>
          <w14:ligatures w14:val="none"/>
        </w:rPr>
        <w:t xml:space="preserve"> (Sarasswatti, G. Forbes)</w:t>
      </w:r>
    </w:p>
    <w:p w14:paraId="206CBEE2" w14:textId="24CAC3EC" w:rsidR="00525404" w:rsidRPr="00DD79A1"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It’s also important to have a workplace culture that’s supportive and inclusive. Employees who feel respected and listened to are more likely to enjoy their jobs. When workers know they have a voice in decisions and that their opinions matter, they’re more likely to be satisfied with their work. A positive, inclusive culture also helps everyone feel valued, no matter who they are. Encouraging open communication and feedback can make employees feel more involved in the direction of the company and strengthen their connection to the organisation.</w:t>
      </w:r>
      <w:r w:rsidR="00DD79A1">
        <w:rPr>
          <w:rFonts w:ascii="Calibri" w:eastAsia="Times New Roman" w:hAnsi="Calibri" w:cs="Calibri"/>
          <w:kern w:val="0"/>
          <w:sz w:val="20"/>
          <w:szCs w:val="20"/>
          <w:lang w:eastAsia="en-GB"/>
          <w14:ligatures w14:val="none"/>
        </w:rPr>
        <w:t xml:space="preserve"> </w:t>
      </w:r>
      <w:r w:rsidR="00DD79A1" w:rsidRPr="00DD79A1">
        <w:rPr>
          <w:rFonts w:ascii="Calibri" w:hAnsi="Calibri" w:cs="Calibri"/>
          <w:sz w:val="20"/>
          <w:szCs w:val="20"/>
        </w:rPr>
        <w:t>(Rebello, 2021)</w:t>
      </w:r>
    </w:p>
    <w:p w14:paraId="06E3AAD6" w14:textId="34120FEC" w:rsidR="00525404" w:rsidRPr="00525404" w:rsidRDefault="0014517A"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W</w:t>
      </w:r>
      <w:r w:rsidR="00525404" w:rsidRPr="00525404">
        <w:rPr>
          <w:rFonts w:ascii="Calibri" w:eastAsia="Times New Roman" w:hAnsi="Calibri" w:cs="Calibri"/>
          <w:kern w:val="0"/>
          <w:sz w:val="20"/>
          <w:szCs w:val="20"/>
          <w:lang w:eastAsia="en-GB"/>
          <w14:ligatures w14:val="none"/>
        </w:rPr>
        <w:t xml:space="preserve">ell-being programs like Employee </w:t>
      </w:r>
      <w:r w:rsidR="001A481B">
        <w:rPr>
          <w:rFonts w:ascii="Calibri" w:eastAsia="Times New Roman" w:hAnsi="Calibri" w:cs="Calibri"/>
          <w:kern w:val="0"/>
          <w:sz w:val="20"/>
          <w:szCs w:val="20"/>
          <w:lang w:eastAsia="en-GB"/>
          <w14:ligatures w14:val="none"/>
        </w:rPr>
        <w:t>a</w:t>
      </w:r>
      <w:r w:rsidR="00525404" w:rsidRPr="00525404">
        <w:rPr>
          <w:rFonts w:ascii="Calibri" w:eastAsia="Times New Roman" w:hAnsi="Calibri" w:cs="Calibri"/>
          <w:kern w:val="0"/>
          <w:sz w:val="20"/>
          <w:szCs w:val="20"/>
          <w:lang w:eastAsia="en-GB"/>
          <w14:ligatures w14:val="none"/>
        </w:rPr>
        <w:t xml:space="preserve">ssistance </w:t>
      </w:r>
      <w:r w:rsidR="001A481B">
        <w:rPr>
          <w:rFonts w:ascii="Calibri" w:eastAsia="Times New Roman" w:hAnsi="Calibri" w:cs="Calibri"/>
          <w:kern w:val="0"/>
          <w:sz w:val="20"/>
          <w:szCs w:val="20"/>
          <w:lang w:eastAsia="en-GB"/>
          <w14:ligatures w14:val="none"/>
        </w:rPr>
        <w:t>p</w:t>
      </w:r>
      <w:r w:rsidR="00525404" w:rsidRPr="00525404">
        <w:rPr>
          <w:rFonts w:ascii="Calibri" w:eastAsia="Times New Roman" w:hAnsi="Calibri" w:cs="Calibri"/>
          <w:kern w:val="0"/>
          <w:sz w:val="20"/>
          <w:szCs w:val="20"/>
          <w:lang w:eastAsia="en-GB"/>
          <w14:ligatures w14:val="none"/>
        </w:rPr>
        <w:t>rograms (EAPs), mental health support, wellness schemes,</w:t>
      </w:r>
      <w:r w:rsidR="001A481B">
        <w:rPr>
          <w:rFonts w:ascii="Calibri" w:eastAsia="Times New Roman" w:hAnsi="Calibri" w:cs="Calibri"/>
          <w:kern w:val="0"/>
          <w:sz w:val="20"/>
          <w:szCs w:val="20"/>
          <w:lang w:eastAsia="en-GB"/>
          <w14:ligatures w14:val="none"/>
        </w:rPr>
        <w:t xml:space="preserve"> Employee supportive programs</w:t>
      </w:r>
      <w:r w:rsidR="00525404" w:rsidRPr="00525404">
        <w:rPr>
          <w:rFonts w:ascii="Calibri" w:eastAsia="Times New Roman" w:hAnsi="Calibri" w:cs="Calibri"/>
          <w:kern w:val="0"/>
          <w:sz w:val="20"/>
          <w:szCs w:val="20"/>
          <w:lang w:eastAsia="en-GB"/>
          <w14:ligatures w14:val="none"/>
        </w:rPr>
        <w:t xml:space="preserve"> and reasonable workloads are key to creating a better working life. These initiatives help employees stay healthy, avoid burnout and feel happier at work. A focus on well-being is important for creating a work environment that encourages both physical and mental health. Employers who promote well-being are also likely to see better results in terms of productivity and employee satisfaction. When staff feel good, they perform better and are more likely to stay with the company long term.</w:t>
      </w:r>
      <w:r w:rsidR="000B6E94">
        <w:rPr>
          <w:rFonts w:ascii="Calibri" w:eastAsia="Times New Roman" w:hAnsi="Calibri" w:cs="Calibri"/>
          <w:kern w:val="0"/>
          <w:sz w:val="20"/>
          <w:szCs w:val="20"/>
          <w:lang w:eastAsia="en-GB"/>
          <w14:ligatures w14:val="none"/>
        </w:rPr>
        <w:t xml:space="preserve"> (CIPD, 2024)</w:t>
      </w:r>
    </w:p>
    <w:p w14:paraId="10C3D6A3" w14:textId="78EDFDF6" w:rsidR="00525404" w:rsidRPr="00C22503" w:rsidRDefault="00525404" w:rsidP="00C22503">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By focusing on these areas, businesses can create a working environment that benefits both employees and employers, leading to a healthier, happier, and more productive workforce.</w:t>
      </w:r>
    </w:p>
    <w:p w14:paraId="0463E49A" w14:textId="09989C6E" w:rsidR="00A14C37" w:rsidRPr="00A14C37" w:rsidRDefault="008A326C" w:rsidP="008A326C">
      <w:pPr>
        <w:pStyle w:val="NoSpacing"/>
        <w:rPr>
          <w:rFonts w:ascii="Calibri" w:hAnsi="Calibri" w:cs="Calibri"/>
          <w:sz w:val="20"/>
          <w:szCs w:val="20"/>
        </w:rPr>
      </w:pPr>
      <w:r w:rsidRPr="00E855E5">
        <w:rPr>
          <w:rFonts w:ascii="Calibri" w:hAnsi="Calibri" w:cs="Calibri"/>
          <w:sz w:val="20"/>
          <w:szCs w:val="20"/>
        </w:rPr>
        <w:t xml:space="preserve">2.1 </w:t>
      </w:r>
      <w:r w:rsidRPr="00E855E5">
        <w:rPr>
          <w:rFonts w:ascii="Calibri" w:hAnsi="Calibri" w:cs="Calibri"/>
          <w:color w:val="000000"/>
          <w:sz w:val="20"/>
          <w:szCs w:val="20"/>
          <w:u w:color="000000"/>
          <w:lang w:val="en-US"/>
        </w:rPr>
        <w:t xml:space="preserve">Distinguish between organisational conflict and </w:t>
      </w:r>
      <w:r w:rsidRPr="00E855E5">
        <w:rPr>
          <w:rFonts w:ascii="Calibri" w:hAnsi="Calibri" w:cs="Calibri"/>
          <w:sz w:val="20"/>
          <w:szCs w:val="20"/>
        </w:rPr>
        <w:t>misbehavior</w:t>
      </w:r>
      <w:r w:rsidRPr="00E855E5">
        <w:rPr>
          <w:rFonts w:ascii="Calibri" w:hAnsi="Calibri" w:cs="Calibri"/>
          <w:color w:val="000000"/>
          <w:sz w:val="20"/>
          <w:szCs w:val="20"/>
          <w:u w:color="000000"/>
          <w:lang w:val="en-US"/>
        </w:rPr>
        <w:t>.</w:t>
      </w:r>
    </w:p>
    <w:p w14:paraId="49630990" w14:textId="18BA7894" w:rsidR="00A14C37" w:rsidRPr="00A14C37" w:rsidRDefault="00A14C37" w:rsidP="00A14C37">
      <w:pPr>
        <w:spacing w:before="100" w:beforeAutospacing="1" w:after="100" w:afterAutospacing="1" w:line="240" w:lineRule="auto"/>
        <w:rPr>
          <w:rFonts w:ascii="Calibri" w:eastAsia="Times New Roman" w:hAnsi="Calibri" w:cs="Calibri"/>
          <w:kern w:val="0"/>
          <w:sz w:val="20"/>
          <w:szCs w:val="20"/>
          <w:lang w:eastAsia="en-GB"/>
          <w14:ligatures w14:val="none"/>
        </w:rPr>
      </w:pPr>
      <w:r w:rsidRPr="00A14C37">
        <w:rPr>
          <w:rFonts w:ascii="Calibri" w:eastAsia="Times New Roman" w:hAnsi="Calibri" w:cs="Calibri"/>
          <w:kern w:val="0"/>
          <w:sz w:val="20"/>
          <w:szCs w:val="20"/>
          <w:lang w:eastAsia="en-GB"/>
          <w14:ligatures w14:val="none"/>
        </w:rPr>
        <w:t xml:space="preserve">Organisational conflict and misbehaviour are issues that can happen in a workplace, but they are slightly different. Organisational conflict happens when there is a disagreement or clash between people or groups. This could be about anything from different opinions or goals to how resources are shared. Conflict can happen because people see things differently, and it’s not always a bad thing. If managed well, it can help people understand each other better, </w:t>
      </w:r>
      <w:r w:rsidR="0099434A" w:rsidRPr="00A14C37">
        <w:rPr>
          <w:rFonts w:ascii="Calibri" w:eastAsia="Times New Roman" w:hAnsi="Calibri" w:cs="Calibri"/>
          <w:kern w:val="0"/>
          <w:sz w:val="20"/>
          <w:szCs w:val="20"/>
          <w:lang w:eastAsia="en-GB"/>
          <w14:ligatures w14:val="none"/>
        </w:rPr>
        <w:t xml:space="preserve">find </w:t>
      </w:r>
      <w:r w:rsidR="0099434A">
        <w:rPr>
          <w:rFonts w:ascii="Calibri" w:eastAsia="Times New Roman" w:hAnsi="Calibri" w:cs="Calibri"/>
          <w:kern w:val="0"/>
          <w:sz w:val="20"/>
          <w:szCs w:val="20"/>
          <w:lang w:eastAsia="en-GB"/>
          <w14:ligatures w14:val="none"/>
        </w:rPr>
        <w:t>a</w:t>
      </w:r>
      <w:r>
        <w:rPr>
          <w:rFonts w:ascii="Calibri" w:eastAsia="Times New Roman" w:hAnsi="Calibri" w:cs="Calibri"/>
          <w:kern w:val="0"/>
          <w:sz w:val="20"/>
          <w:szCs w:val="20"/>
          <w:lang w:eastAsia="en-GB"/>
          <w14:ligatures w14:val="none"/>
        </w:rPr>
        <w:t xml:space="preserve"> </w:t>
      </w:r>
      <w:r w:rsidRPr="00A14C37">
        <w:rPr>
          <w:rFonts w:ascii="Calibri" w:eastAsia="Times New Roman" w:hAnsi="Calibri" w:cs="Calibri"/>
          <w:kern w:val="0"/>
          <w:sz w:val="20"/>
          <w:szCs w:val="20"/>
          <w:lang w:eastAsia="en-GB"/>
          <w14:ligatures w14:val="none"/>
        </w:rPr>
        <w:t>common ground</w:t>
      </w:r>
      <w:r>
        <w:rPr>
          <w:rFonts w:ascii="Calibri" w:eastAsia="Times New Roman" w:hAnsi="Calibri" w:cs="Calibri"/>
          <w:kern w:val="0"/>
          <w:sz w:val="20"/>
          <w:szCs w:val="20"/>
          <w:lang w:eastAsia="en-GB"/>
          <w14:ligatures w14:val="none"/>
        </w:rPr>
        <w:t xml:space="preserve"> </w:t>
      </w:r>
      <w:r w:rsidRPr="00A14C37">
        <w:rPr>
          <w:rFonts w:ascii="Calibri" w:eastAsia="Times New Roman" w:hAnsi="Calibri" w:cs="Calibri"/>
          <w:kern w:val="0"/>
          <w:sz w:val="20"/>
          <w:szCs w:val="20"/>
          <w:lang w:eastAsia="en-GB"/>
          <w14:ligatures w14:val="none"/>
        </w:rPr>
        <w:t>and come up with creative solutions. When dealt with constructively, conflict can promote growth and lead to improvements in processes or relationships. However, if ignored or handled poorly, it can lead to tension, frustration</w:t>
      </w:r>
      <w:r>
        <w:rPr>
          <w:rFonts w:ascii="Calibri" w:eastAsia="Times New Roman" w:hAnsi="Calibri" w:cs="Calibri"/>
          <w:kern w:val="0"/>
          <w:sz w:val="20"/>
          <w:szCs w:val="20"/>
          <w:lang w:eastAsia="en-GB"/>
          <w14:ligatures w14:val="none"/>
        </w:rPr>
        <w:t xml:space="preserve"> </w:t>
      </w:r>
      <w:r w:rsidRPr="00A14C37">
        <w:rPr>
          <w:rFonts w:ascii="Calibri" w:eastAsia="Times New Roman" w:hAnsi="Calibri" w:cs="Calibri"/>
          <w:kern w:val="0"/>
          <w:sz w:val="20"/>
          <w:szCs w:val="20"/>
          <w:lang w:eastAsia="en-GB"/>
          <w14:ligatures w14:val="none"/>
        </w:rPr>
        <w:t>and deeper issues in the workplace, which can affect productivity and morale.</w:t>
      </w:r>
      <w:r w:rsidR="004B6BDC">
        <w:rPr>
          <w:rFonts w:ascii="Calibri" w:eastAsia="Times New Roman" w:hAnsi="Calibri" w:cs="Calibri"/>
          <w:kern w:val="0"/>
          <w:sz w:val="20"/>
          <w:szCs w:val="20"/>
          <w:lang w:eastAsia="en-GB"/>
          <w14:ligatures w14:val="none"/>
        </w:rPr>
        <w:t xml:space="preserve"> (CIPD, organisational culture)</w:t>
      </w:r>
    </w:p>
    <w:p w14:paraId="7772B77F" w14:textId="07CF9812" w:rsidR="00A14C37" w:rsidRDefault="00A14C37" w:rsidP="00A14C37">
      <w:pPr>
        <w:spacing w:before="100" w:beforeAutospacing="1" w:after="100" w:afterAutospacing="1" w:line="240" w:lineRule="auto"/>
        <w:rPr>
          <w:rFonts w:ascii="Calibri" w:eastAsia="Times New Roman" w:hAnsi="Calibri" w:cs="Calibri"/>
          <w:kern w:val="0"/>
          <w:sz w:val="20"/>
          <w:szCs w:val="20"/>
          <w:lang w:eastAsia="en-GB"/>
          <w14:ligatures w14:val="none"/>
        </w:rPr>
      </w:pPr>
      <w:r w:rsidRPr="00A14C37">
        <w:rPr>
          <w:rFonts w:ascii="Calibri" w:eastAsia="Times New Roman" w:hAnsi="Calibri" w:cs="Calibri"/>
          <w:kern w:val="0"/>
          <w:sz w:val="20"/>
          <w:szCs w:val="20"/>
          <w:lang w:eastAsia="en-GB"/>
          <w14:ligatures w14:val="none"/>
        </w:rPr>
        <w:t>Misbehaviour is when someone behaves badly or inappropriately at work. This could include things like not doing their job properly, being dishonest, bullying, or causing trouble for others. Misbehaviour disrupts the workplace and can make it harder for colleagues to do their jobs effectively. It can also affect the overall work culture, leading to a lack of trust, resentment, and a toxic environment. Misbehaviour, unlike conflict, is about actions that go against the rules, company values, or the expectations of the organisation. Conflict can sometimes lead to positive outcomes, but misbehaviour is harmful and goes against what is expected in a professional setting. Both need to be handled carefully, but they are different problems that require different solutions. Effective conflict resolution and managing misbehaviour are both essential for maintaining a healthy work environment.</w:t>
      </w:r>
      <w:r w:rsidR="004B6BDC">
        <w:rPr>
          <w:rFonts w:ascii="Calibri" w:eastAsia="Times New Roman" w:hAnsi="Calibri" w:cs="Calibri"/>
          <w:kern w:val="0"/>
          <w:sz w:val="20"/>
          <w:szCs w:val="20"/>
          <w:lang w:eastAsia="en-GB"/>
          <w14:ligatures w14:val="none"/>
        </w:rPr>
        <w:t xml:space="preserve"> (CIPD, 2020)</w:t>
      </w:r>
    </w:p>
    <w:p w14:paraId="15895DD5" w14:textId="0AD56A72" w:rsidR="007C5CEE" w:rsidRPr="00C94367" w:rsidRDefault="007C5CEE" w:rsidP="00A14C37">
      <w:pPr>
        <w:spacing w:before="100" w:beforeAutospacing="1" w:after="100" w:afterAutospacing="1" w:line="240" w:lineRule="auto"/>
        <w:rPr>
          <w:rFonts w:ascii="Calibri" w:eastAsia="Times New Roman" w:hAnsi="Calibri" w:cs="Calibri"/>
          <w:color w:val="FF0000"/>
          <w:kern w:val="0"/>
          <w:sz w:val="20"/>
          <w:szCs w:val="20"/>
          <w:lang w:eastAsia="en-GB"/>
          <w14:ligatures w14:val="none"/>
        </w:rPr>
      </w:pPr>
      <w:r w:rsidRPr="00C94367">
        <w:rPr>
          <w:rFonts w:ascii="Calibri" w:hAnsi="Calibri" w:cs="Calibri"/>
          <w:color w:val="FF0000"/>
          <w:sz w:val="20"/>
          <w:szCs w:val="20"/>
        </w:rPr>
        <w:t xml:space="preserve">Following the recent merger, it's likely that staff from both former public sector organisations may feel uncertain about changes, especially under new leadership teams who are unfamiliar with public sector norms. This can lead to organisational conflict, particularly if employees perceive that their values, practices, or roles are being overlooked or misunderstood. At the same time, some individuals might respond with misbehaviour—such as resisting new procedures, ignoring protocols, or behaving inappropriately towards </w:t>
      </w:r>
      <w:r w:rsidRPr="003B4A05">
        <w:rPr>
          <w:rFonts w:ascii="Calibri" w:hAnsi="Calibri" w:cs="Calibri"/>
          <w:color w:val="FF0000"/>
          <w:sz w:val="20"/>
          <w:szCs w:val="20"/>
        </w:rPr>
        <w:t>colleagues</w:t>
      </w:r>
      <w:r w:rsidR="003B4A05">
        <w:rPr>
          <w:rFonts w:ascii="Calibri" w:hAnsi="Calibri" w:cs="Calibri"/>
          <w:color w:val="FF0000"/>
          <w:sz w:val="20"/>
          <w:szCs w:val="20"/>
        </w:rPr>
        <w:t xml:space="preserve"> </w:t>
      </w:r>
      <w:r w:rsidR="003B4A05" w:rsidRPr="003B4A05">
        <w:rPr>
          <w:rFonts w:ascii="Calibri" w:hAnsi="Calibri" w:cs="Calibri"/>
          <w:color w:val="FF0000"/>
          <w:sz w:val="20"/>
          <w:szCs w:val="20"/>
        </w:rPr>
        <w:t>(Taylor, 2025).</w:t>
      </w:r>
      <w:r w:rsidRPr="003B4A05">
        <w:rPr>
          <w:rFonts w:ascii="Calibri" w:hAnsi="Calibri" w:cs="Calibri"/>
          <w:color w:val="FF0000"/>
          <w:sz w:val="20"/>
          <w:szCs w:val="20"/>
        </w:rPr>
        <w:t xml:space="preserve"> These </w:t>
      </w:r>
      <w:r w:rsidRPr="00C94367">
        <w:rPr>
          <w:rFonts w:ascii="Calibri" w:hAnsi="Calibri" w:cs="Calibri"/>
          <w:color w:val="FF0000"/>
          <w:sz w:val="20"/>
          <w:szCs w:val="20"/>
        </w:rPr>
        <w:t>situations require clear and confident people management to prevent a breakdown in trust and to ensure that the organisation continues to meet its public service responsibilities.</w:t>
      </w:r>
    </w:p>
    <w:p w14:paraId="710EABAA" w14:textId="77777777" w:rsidR="008A326C" w:rsidRPr="00E855E5" w:rsidRDefault="008A326C" w:rsidP="008A326C">
      <w:pPr>
        <w:pStyle w:val="NoSpacing"/>
        <w:rPr>
          <w:rFonts w:ascii="Calibri" w:eastAsia="Trebuchet MS" w:hAnsi="Calibri" w:cs="Calibri"/>
          <w:sz w:val="20"/>
          <w:szCs w:val="20"/>
        </w:rPr>
      </w:pPr>
    </w:p>
    <w:p w14:paraId="2B04AF00" w14:textId="06511E93" w:rsidR="00FA3DC3" w:rsidRPr="00E855E5" w:rsidRDefault="008A326C" w:rsidP="008A326C">
      <w:pPr>
        <w:pStyle w:val="NoSpacing"/>
        <w:rPr>
          <w:rFonts w:ascii="Calibri" w:hAnsi="Calibri" w:cs="Calibri"/>
          <w:sz w:val="20"/>
          <w:szCs w:val="20"/>
        </w:rPr>
      </w:pPr>
      <w:r w:rsidRPr="00E855E5">
        <w:rPr>
          <w:rFonts w:ascii="Calibri" w:eastAsia="Trebuchet MS" w:hAnsi="Calibri" w:cs="Calibri"/>
          <w:sz w:val="20"/>
          <w:szCs w:val="20"/>
        </w:rPr>
        <w:t xml:space="preserve">AC 2.2 </w:t>
      </w:r>
      <w:r w:rsidRPr="00E855E5">
        <w:rPr>
          <w:rFonts w:ascii="Calibri" w:hAnsi="Calibri" w:cs="Calibri"/>
          <w:color w:val="000000"/>
          <w:sz w:val="20"/>
          <w:szCs w:val="20"/>
          <w:u w:color="000000"/>
          <w:lang w:val="en-US"/>
        </w:rPr>
        <w:t>Assess emerging trends in the types of conflict and industrial sanctions.</w:t>
      </w:r>
    </w:p>
    <w:p w14:paraId="18A0D1BD" w14:textId="77777777" w:rsidR="008A326C" w:rsidRPr="00E855E5" w:rsidRDefault="008A326C" w:rsidP="008A326C">
      <w:pPr>
        <w:pStyle w:val="NoSpacing"/>
        <w:rPr>
          <w:rFonts w:ascii="Calibri" w:hAnsi="Calibri" w:cs="Calibri"/>
          <w:sz w:val="20"/>
          <w:szCs w:val="20"/>
        </w:rPr>
      </w:pPr>
    </w:p>
    <w:p w14:paraId="783E6A05" w14:textId="784866BF"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Emerging trends in workplace conflict and industrial sanctions are changing as work environments evolve, especially with more people working remotely and changes in how we communicate. One trend in conflict is the rise of issues related to remote working. When people work from home or in hybrid settings, it can be harder to resolve disagreements. Conflicts can arise from unclear communication, different work expectations, or problems with collaboration. People might feel isolated or struggle with managing their time, which can lead to frustration or tension in the team.</w:t>
      </w:r>
      <w:r w:rsidR="00542130">
        <w:rPr>
          <w:rFonts w:ascii="Calibri" w:hAnsi="Calibri" w:cs="Calibri"/>
          <w:sz w:val="20"/>
          <w:szCs w:val="20"/>
        </w:rPr>
        <w:t xml:space="preserve"> (ACAS, Workplace Culture) </w:t>
      </w:r>
    </w:p>
    <w:p w14:paraId="0B08537A" w14:textId="77777777" w:rsidR="008A326C" w:rsidRPr="00E855E5" w:rsidRDefault="008A326C" w:rsidP="008A326C">
      <w:pPr>
        <w:pStyle w:val="NoSpacing"/>
        <w:rPr>
          <w:rFonts w:ascii="Calibri" w:hAnsi="Calibri" w:cs="Calibri"/>
          <w:sz w:val="20"/>
          <w:szCs w:val="20"/>
        </w:rPr>
      </w:pPr>
    </w:p>
    <w:p w14:paraId="0D763596" w14:textId="7092163D"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Another trend in conflict is the generation gap between older and younger employees. As different generations work together, they often have different approaches to work. Younger workers, like Millennials or Gen Z, may want more flexibility or prefer using technology to communicate, while older workers might stick to traditional ways of working. This can cause tension if there’s a lack of understanding between the two groups.</w:t>
      </w:r>
      <w:r w:rsidR="006833D4">
        <w:rPr>
          <w:rFonts w:ascii="Calibri" w:hAnsi="Calibri" w:cs="Calibri"/>
          <w:sz w:val="20"/>
          <w:szCs w:val="20"/>
        </w:rPr>
        <w:t xml:space="preserve"> (CIPD, 2017)</w:t>
      </w:r>
    </w:p>
    <w:p w14:paraId="7DEA7B00" w14:textId="77777777" w:rsidR="008A326C" w:rsidRPr="00E855E5" w:rsidRDefault="008A326C" w:rsidP="008A326C">
      <w:pPr>
        <w:pStyle w:val="NoSpacing"/>
        <w:rPr>
          <w:rFonts w:ascii="Calibri" w:hAnsi="Calibri" w:cs="Calibri"/>
          <w:sz w:val="20"/>
          <w:szCs w:val="20"/>
        </w:rPr>
      </w:pPr>
    </w:p>
    <w:p w14:paraId="0AF26109" w14:textId="4832CEF3"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When it comes to industrial sanctions, there’s been a shift towards more supportive approaches. Instead of harsh punishments, many companies are using things like mediation to resolve conflicts. This means giving employees a chance to talk about the issue and find a solution together before any formal sanctions are given. There’s also a growing focus on employee wellbeing, with many businesses recognising that stress or mental health issues can contribute to conflicts at work. Instead of just handing out penalties like warnings or suspensions, employers are offering support, such as counselling or changes to work conditions, to help employees deal with the root causes of problems.</w:t>
      </w:r>
      <w:r w:rsidR="001B3BA8">
        <w:rPr>
          <w:rFonts w:ascii="Calibri" w:hAnsi="Calibri" w:cs="Calibri"/>
          <w:sz w:val="20"/>
          <w:szCs w:val="20"/>
        </w:rPr>
        <w:t xml:space="preserve"> (CIPD, 2024)</w:t>
      </w:r>
    </w:p>
    <w:p w14:paraId="1BABB028" w14:textId="77777777" w:rsidR="008A326C" w:rsidRPr="00E855E5" w:rsidRDefault="008A326C" w:rsidP="008A326C">
      <w:pPr>
        <w:pStyle w:val="NoSpacing"/>
        <w:rPr>
          <w:rFonts w:ascii="Calibri" w:hAnsi="Calibri" w:cs="Calibri"/>
          <w:sz w:val="20"/>
          <w:szCs w:val="20"/>
        </w:rPr>
      </w:pPr>
    </w:p>
    <w:p w14:paraId="0F8149D3" w14:textId="2CF52466" w:rsidR="008A326C" w:rsidRDefault="008A326C" w:rsidP="008A326C">
      <w:pPr>
        <w:pStyle w:val="NoSpacing"/>
        <w:rPr>
          <w:rFonts w:ascii="Calibri" w:hAnsi="Calibri" w:cs="Calibri"/>
          <w:sz w:val="20"/>
          <w:szCs w:val="20"/>
        </w:rPr>
      </w:pPr>
      <w:r w:rsidRPr="00E855E5">
        <w:rPr>
          <w:rFonts w:ascii="Calibri" w:hAnsi="Calibri" w:cs="Calibri"/>
          <w:sz w:val="20"/>
          <w:szCs w:val="20"/>
        </w:rPr>
        <w:t>Trends in conflict are moving towards recognising and addressing issues in new ways, especially with remote working and generational differences. Sanctions are also becoming more about resolving problems and supporting employees, rather than just punishing them.</w:t>
      </w:r>
    </w:p>
    <w:p w14:paraId="13C6C1FF" w14:textId="469A47FB" w:rsidR="00701A0B" w:rsidRPr="00C22503" w:rsidRDefault="00653550" w:rsidP="00C22503">
      <w:pPr>
        <w:pStyle w:val="NormalWeb"/>
        <w:rPr>
          <w:rFonts w:ascii="Calibri" w:hAnsi="Calibri" w:cs="Calibri"/>
          <w:color w:val="FF0000"/>
          <w:sz w:val="20"/>
          <w:szCs w:val="20"/>
        </w:rPr>
      </w:pPr>
      <w:r w:rsidRPr="004A6CE7">
        <w:rPr>
          <w:rFonts w:ascii="Calibri" w:hAnsi="Calibri" w:cs="Calibri"/>
          <w:color w:val="FF0000"/>
          <w:sz w:val="20"/>
          <w:szCs w:val="20"/>
        </w:rPr>
        <w:t>Another emerging trend involves collective conflict, especially in unionised environments like the public sector. Following a merger, employees may feel uncertain about job security, changes in working conditions, or perceived threats to existing agreements. If concerns aren’t addressed collectively, disputes may escalate through trade union involvement, potentially leading to industrial action such as strikes, work-to-rule, or protests</w:t>
      </w:r>
      <w:r w:rsidR="00932B54">
        <w:rPr>
          <w:rFonts w:ascii="Calibri" w:hAnsi="Calibri" w:cs="Calibri"/>
          <w:color w:val="FF0000"/>
          <w:sz w:val="20"/>
          <w:szCs w:val="20"/>
        </w:rPr>
        <w:t xml:space="preserve"> </w:t>
      </w:r>
      <w:r w:rsidR="00932B54" w:rsidRPr="00932B54">
        <w:rPr>
          <w:rFonts w:ascii="Calibri" w:hAnsi="Calibri" w:cs="Calibri"/>
          <w:color w:val="FF0000"/>
          <w:sz w:val="20"/>
          <w:szCs w:val="20"/>
        </w:rPr>
        <w:t>(Marchington et al., 2021).</w:t>
      </w:r>
      <w:r w:rsidR="00932B54">
        <w:rPr>
          <w:rFonts w:ascii="Calibri" w:hAnsi="Calibri" w:cs="Calibri"/>
          <w:color w:val="FF0000"/>
          <w:sz w:val="20"/>
          <w:szCs w:val="20"/>
        </w:rPr>
        <w:t xml:space="preserve"> </w:t>
      </w:r>
      <w:r w:rsidRPr="004A6CE7">
        <w:rPr>
          <w:rFonts w:ascii="Calibri" w:hAnsi="Calibri" w:cs="Calibri"/>
          <w:color w:val="FF0000"/>
          <w:sz w:val="20"/>
          <w:szCs w:val="20"/>
        </w:rPr>
        <w:t>Union membership, particularly in the public sector, remains significant, and employees are increasingly using collective voice to challenge decisions they feel are unfair. Leaders unfamiliar with public sector industrial relations may underestimate this risk. As a result, early engagement with unions and clear communication about changes are crucial to prevent escalation and maintain trust across both legacy organisations</w:t>
      </w:r>
      <w:r w:rsidR="00932B54">
        <w:rPr>
          <w:rFonts w:ascii="Calibri" w:hAnsi="Calibri" w:cs="Calibri"/>
          <w:color w:val="FF0000"/>
          <w:sz w:val="20"/>
          <w:szCs w:val="20"/>
        </w:rPr>
        <w:t xml:space="preserve"> </w:t>
      </w:r>
      <w:r w:rsidR="00932B54" w:rsidRPr="00932B54">
        <w:rPr>
          <w:rFonts w:ascii="Calibri" w:hAnsi="Calibri" w:cs="Calibri"/>
          <w:color w:val="FF0000"/>
          <w:sz w:val="20"/>
          <w:szCs w:val="20"/>
        </w:rPr>
        <w:t>(Marchington et al., 2021).</w:t>
      </w:r>
    </w:p>
    <w:p w14:paraId="56242109" w14:textId="022D0288" w:rsidR="008A326C" w:rsidRPr="00E855E5" w:rsidRDefault="008A326C" w:rsidP="008A326C">
      <w:pPr>
        <w:pStyle w:val="Nornal"/>
        <w:spacing w:after="0" w:line="240" w:lineRule="auto"/>
        <w:rPr>
          <w:rFonts w:ascii="Calibri" w:hAnsi="Calibri" w:cs="Calibri"/>
          <w:sz w:val="20"/>
          <w:szCs w:val="20"/>
        </w:rPr>
      </w:pPr>
      <w:r w:rsidRPr="00E855E5">
        <w:rPr>
          <w:rFonts w:ascii="Calibri" w:eastAsia="Trebuchet MS" w:hAnsi="Calibri" w:cs="Calibri"/>
          <w:sz w:val="20"/>
          <w:szCs w:val="20"/>
        </w:rPr>
        <w:t xml:space="preserve">AC 2.3 </w:t>
      </w:r>
      <w:r w:rsidRPr="00E855E5">
        <w:rPr>
          <w:rFonts w:ascii="Calibri" w:hAnsi="Calibri" w:cs="Calibri"/>
          <w:sz w:val="20"/>
          <w:szCs w:val="20"/>
        </w:rPr>
        <w:t xml:space="preserve">Distinguish between </w:t>
      </w:r>
      <w:bookmarkStart w:id="0" w:name="_Hlk194502454"/>
      <w:r w:rsidRPr="00E855E5">
        <w:rPr>
          <w:rFonts w:ascii="Calibri" w:hAnsi="Calibri" w:cs="Calibri"/>
          <w:sz w:val="20"/>
          <w:szCs w:val="20"/>
        </w:rPr>
        <w:t>third-party conciliation, mediation and arbitration</w:t>
      </w:r>
      <w:bookmarkEnd w:id="0"/>
    </w:p>
    <w:p w14:paraId="074ABC1E" w14:textId="77777777" w:rsidR="008A326C" w:rsidRPr="00E855E5" w:rsidRDefault="008A326C" w:rsidP="008A326C">
      <w:pPr>
        <w:pStyle w:val="Nornal"/>
        <w:spacing w:after="0" w:line="240" w:lineRule="auto"/>
        <w:rPr>
          <w:rFonts w:ascii="Calibri" w:hAnsi="Calibri" w:cs="Calibri"/>
          <w:sz w:val="20"/>
          <w:szCs w:val="20"/>
        </w:rPr>
      </w:pPr>
    </w:p>
    <w:p w14:paraId="099D585B" w14:textId="34F36EE2" w:rsidR="008A326C" w:rsidRPr="00E855E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Third-party conciliation, mediation, and arbitration are ways to resolve disputes in the workplace, but they are all different. Conciliation is when a neutral third party is brought in to help both sides of a dispute reach an agreement. The conciliator's job is to listen to both sides and suggest possible solutions, but they don't have the power to make a decision. It is to encourage communication and help the parties find a middle ground on their own. Conciliation is often used when there is a good chance of reaching an agreement but both sides need a little help to get there.</w:t>
      </w:r>
      <w:r w:rsidR="008D4B61">
        <w:rPr>
          <w:rFonts w:ascii="Calibri" w:hAnsi="Calibri" w:cs="Calibri"/>
          <w:sz w:val="20"/>
          <w:szCs w:val="20"/>
          <w:lang w:eastAsia="en-GB"/>
        </w:rPr>
        <w:t xml:space="preserve"> (CIPD</w:t>
      </w:r>
      <w:r w:rsidR="00666F3E">
        <w:rPr>
          <w:rFonts w:ascii="Calibri" w:hAnsi="Calibri" w:cs="Calibri"/>
          <w:sz w:val="20"/>
          <w:szCs w:val="20"/>
          <w:lang w:eastAsia="en-GB"/>
        </w:rPr>
        <w:t>, 2022</w:t>
      </w:r>
      <w:r w:rsidR="008D4B61">
        <w:rPr>
          <w:rFonts w:ascii="Calibri" w:hAnsi="Calibri" w:cs="Calibri"/>
          <w:sz w:val="20"/>
          <w:szCs w:val="20"/>
          <w:lang w:eastAsia="en-GB"/>
        </w:rPr>
        <w:t>)</w:t>
      </w:r>
    </w:p>
    <w:p w14:paraId="2753F3F9" w14:textId="77777777" w:rsidR="008A326C" w:rsidRPr="00E855E5" w:rsidRDefault="008A326C" w:rsidP="008A326C">
      <w:pPr>
        <w:pStyle w:val="NoSpacing"/>
        <w:rPr>
          <w:rFonts w:ascii="Calibri" w:hAnsi="Calibri" w:cs="Calibri"/>
          <w:sz w:val="20"/>
          <w:szCs w:val="20"/>
          <w:lang w:eastAsia="en-GB"/>
        </w:rPr>
      </w:pPr>
    </w:p>
    <w:p w14:paraId="7453482A" w14:textId="0FB662A7" w:rsidR="008A326C" w:rsidRPr="00F433A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Mediation is similar, the mediator plays more of an active role in guiding the conversation. The mediator helps both sides talk through their issues and suggests ways to resolve the conflict, but like a conciliator, they don’t have the power to make a final decision. The difference is that mediation often involves more direct involvement in negotiating a solution, it’s usually a bit more structured than conciliation. The aim is still to help both parties reach an agreement, but it’s more focused on communication and finding a fair outcome.</w:t>
      </w:r>
      <w:r w:rsidR="003747D0" w:rsidRPr="003747D0">
        <w:t xml:space="preserve"> </w:t>
      </w:r>
      <w:r w:rsidR="003747D0" w:rsidRPr="00F433A5">
        <w:rPr>
          <w:rFonts w:ascii="Calibri" w:hAnsi="Calibri" w:cs="Calibri"/>
          <w:sz w:val="20"/>
          <w:szCs w:val="20"/>
        </w:rPr>
        <w:t>(Acas, 2022)</w:t>
      </w:r>
    </w:p>
    <w:p w14:paraId="65887E94" w14:textId="77777777" w:rsidR="008A326C" w:rsidRPr="00E855E5" w:rsidRDefault="008A326C" w:rsidP="008A326C">
      <w:pPr>
        <w:pStyle w:val="NoSpacing"/>
        <w:rPr>
          <w:rFonts w:ascii="Calibri" w:hAnsi="Calibri" w:cs="Calibri"/>
          <w:sz w:val="20"/>
          <w:szCs w:val="20"/>
          <w:lang w:eastAsia="en-GB"/>
        </w:rPr>
      </w:pPr>
    </w:p>
    <w:p w14:paraId="3A045A6F" w14:textId="26022F79" w:rsidR="008A326C" w:rsidRPr="00E855E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Arbitration is different because the third party does have the power to decide. An arbitrator listens to both sides of the dispute, considers all the facts, and then makes a binding decision that both parties must follow. Arbitration is often used when the parties can't agree on a solution on their own and need a final decision to move forward. It’s more formal than conciliation and mediation, and the decision made by the arbitrator is legally binding.</w:t>
      </w:r>
      <w:r w:rsidR="001B3BA8">
        <w:rPr>
          <w:rFonts w:ascii="Calibri" w:hAnsi="Calibri" w:cs="Calibri"/>
          <w:sz w:val="20"/>
          <w:szCs w:val="20"/>
          <w:lang w:eastAsia="en-GB"/>
        </w:rPr>
        <w:t xml:space="preserve"> (GOV.UK)</w:t>
      </w:r>
    </w:p>
    <w:p w14:paraId="7579B330" w14:textId="77777777" w:rsidR="008A326C" w:rsidRPr="00E855E5" w:rsidRDefault="008A326C" w:rsidP="008A326C">
      <w:pPr>
        <w:pStyle w:val="NoSpacing"/>
        <w:rPr>
          <w:rFonts w:ascii="Calibri" w:hAnsi="Calibri" w:cs="Calibri"/>
          <w:sz w:val="20"/>
          <w:szCs w:val="20"/>
          <w:lang w:eastAsia="en-GB"/>
        </w:rPr>
      </w:pPr>
    </w:p>
    <w:p w14:paraId="540E32CF" w14:textId="6DDF9C7F" w:rsidR="008A326C"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Conciliation and mediation are about helping both sides talk through their issues and find a solution with the help of a third party, arbitration involves a third party making a decision that both sides must accept.</w:t>
      </w:r>
    </w:p>
    <w:p w14:paraId="16206D61" w14:textId="77777777" w:rsidR="00FC2071" w:rsidRDefault="00FC2071" w:rsidP="008A326C">
      <w:pPr>
        <w:pStyle w:val="NoSpacing"/>
        <w:rPr>
          <w:rFonts w:ascii="Calibri" w:hAnsi="Calibri" w:cs="Calibri"/>
          <w:sz w:val="20"/>
          <w:szCs w:val="20"/>
          <w:lang w:eastAsia="en-GB"/>
        </w:rPr>
      </w:pPr>
    </w:p>
    <w:p w14:paraId="27CFDF98" w14:textId="76E2B01B" w:rsidR="008A326C" w:rsidRDefault="00FC2071" w:rsidP="009E6291">
      <w:pPr>
        <w:pStyle w:val="NoSpacing"/>
        <w:rPr>
          <w:rFonts w:ascii="Calibri" w:hAnsi="Calibri" w:cs="Calibri"/>
          <w:color w:val="FF0000"/>
          <w:sz w:val="20"/>
          <w:szCs w:val="20"/>
        </w:rPr>
      </w:pPr>
      <w:r w:rsidRPr="00FC2071">
        <w:rPr>
          <w:rFonts w:ascii="Calibri" w:hAnsi="Calibri" w:cs="Calibri"/>
          <w:color w:val="FF0000"/>
          <w:sz w:val="20"/>
          <w:szCs w:val="20"/>
        </w:rPr>
        <w:t xml:space="preserve">In the newly merged public sector organisation, where tensions may arise due to cultural differences, role uncertainty, or leadership changes, these third-party interventions can play a key role in maintaining harmony. Mediation could be useful for resolving interpersonal issues between staff from the different legacy organisations, while conciliation may support informal resolution in disputes involving trade unions and </w:t>
      </w:r>
      <w:r w:rsidRPr="005B427F">
        <w:rPr>
          <w:rFonts w:ascii="Calibri" w:hAnsi="Calibri" w:cs="Calibri"/>
          <w:color w:val="FF0000"/>
          <w:sz w:val="20"/>
          <w:szCs w:val="20"/>
        </w:rPr>
        <w:t>management</w:t>
      </w:r>
      <w:r w:rsidR="005B427F" w:rsidRPr="005B427F">
        <w:rPr>
          <w:rFonts w:ascii="Calibri" w:hAnsi="Calibri" w:cs="Calibri"/>
          <w:color w:val="FF0000"/>
          <w:sz w:val="20"/>
          <w:szCs w:val="20"/>
        </w:rPr>
        <w:t xml:space="preserve"> </w:t>
      </w:r>
      <w:r w:rsidR="005B427F" w:rsidRPr="005B427F">
        <w:rPr>
          <w:rFonts w:ascii="Calibri" w:hAnsi="Calibri" w:cs="Calibri"/>
          <w:color w:val="FF0000"/>
          <w:sz w:val="20"/>
          <w:szCs w:val="20"/>
        </w:rPr>
        <w:t>(Taylor and Woodhams, 2022)</w:t>
      </w:r>
      <w:r w:rsidRPr="005B427F">
        <w:rPr>
          <w:rFonts w:ascii="Calibri" w:hAnsi="Calibri" w:cs="Calibri"/>
          <w:color w:val="FF0000"/>
          <w:sz w:val="20"/>
          <w:szCs w:val="20"/>
        </w:rPr>
        <w:t xml:space="preserve">. If collective disputes escalate, arbitration may be necessary, especially where formal agreements or </w:t>
      </w:r>
      <w:r w:rsidRPr="00FC2071">
        <w:rPr>
          <w:rFonts w:ascii="Calibri" w:hAnsi="Calibri" w:cs="Calibri"/>
          <w:color w:val="FF0000"/>
          <w:sz w:val="20"/>
          <w:szCs w:val="20"/>
        </w:rPr>
        <w:t>negotiations have broken down. Given the new leadership's lack of public sector experience, understanding how and when to use these methods is essential for managing conflict fairly and lawfully</w:t>
      </w:r>
      <w:r w:rsidR="009E6291">
        <w:rPr>
          <w:rFonts w:ascii="Calibri" w:hAnsi="Calibri" w:cs="Calibri"/>
          <w:color w:val="FF0000"/>
          <w:sz w:val="20"/>
          <w:szCs w:val="20"/>
        </w:rPr>
        <w:t xml:space="preserve"> </w:t>
      </w:r>
      <w:r w:rsidR="009E6291" w:rsidRPr="005B427F">
        <w:rPr>
          <w:rFonts w:ascii="Calibri" w:hAnsi="Calibri" w:cs="Calibri"/>
          <w:color w:val="FF0000"/>
          <w:sz w:val="20"/>
          <w:szCs w:val="20"/>
        </w:rPr>
        <w:t>(Taylor and Woodhams, 2022).</w:t>
      </w:r>
    </w:p>
    <w:p w14:paraId="7B9F74A9" w14:textId="77777777" w:rsidR="009E6291" w:rsidRPr="00E855E5" w:rsidRDefault="009E6291" w:rsidP="009E6291">
      <w:pPr>
        <w:pStyle w:val="NoSpacing"/>
        <w:rPr>
          <w:rFonts w:ascii="Calibri" w:eastAsia="Trebuchet MS" w:hAnsi="Calibri" w:cs="Calibri"/>
          <w:sz w:val="20"/>
          <w:szCs w:val="20"/>
        </w:rPr>
      </w:pPr>
    </w:p>
    <w:p w14:paraId="496E0151" w14:textId="7EDFDBF5" w:rsidR="008A326C" w:rsidRPr="00E855E5" w:rsidRDefault="008A326C" w:rsidP="008A326C">
      <w:pPr>
        <w:pStyle w:val="Nornal"/>
        <w:spacing w:after="0" w:line="240" w:lineRule="auto"/>
        <w:rPr>
          <w:rFonts w:ascii="Calibri" w:hAnsi="Calibri" w:cs="Calibri"/>
          <w:sz w:val="20"/>
          <w:szCs w:val="20"/>
        </w:rPr>
      </w:pPr>
      <w:r w:rsidRPr="00E855E5">
        <w:rPr>
          <w:rFonts w:ascii="Calibri" w:eastAsia="Trebuchet MS" w:hAnsi="Calibri" w:cs="Calibri"/>
          <w:sz w:val="20"/>
          <w:szCs w:val="20"/>
        </w:rPr>
        <w:t xml:space="preserve">AC 3.1 </w:t>
      </w:r>
      <w:r w:rsidRPr="00E855E5">
        <w:rPr>
          <w:rFonts w:ascii="Calibri" w:hAnsi="Calibri" w:cs="Calibri"/>
          <w:sz w:val="20"/>
          <w:szCs w:val="20"/>
        </w:rPr>
        <w:t>Explain the principles of legislation relating to unfair dismissal in respect of capability and misconduct issues.</w:t>
      </w:r>
    </w:p>
    <w:p w14:paraId="678F9277" w14:textId="77777777" w:rsidR="00A110D6" w:rsidRPr="004618F6" w:rsidRDefault="00A110D6" w:rsidP="00A110D6">
      <w:pPr>
        <w:pStyle w:val="NormalWeb"/>
        <w:rPr>
          <w:rFonts w:ascii="Calibri" w:hAnsi="Calibri" w:cs="Calibri"/>
          <w:sz w:val="20"/>
          <w:szCs w:val="20"/>
        </w:rPr>
      </w:pPr>
      <w:r w:rsidRPr="004618F6">
        <w:rPr>
          <w:rFonts w:ascii="Calibri" w:hAnsi="Calibri" w:cs="Calibri"/>
          <w:sz w:val="20"/>
          <w:szCs w:val="20"/>
        </w:rPr>
        <w:t>When it comes to unfair dismissal, there are certain principles set out in law to make sure that employees are treated fairly, especially when it comes to capability and misconduct issues.</w:t>
      </w:r>
    </w:p>
    <w:p w14:paraId="09F2D146" w14:textId="77777777" w:rsidR="00A110D6" w:rsidRPr="004618F6" w:rsidRDefault="00A110D6" w:rsidP="00A110D6">
      <w:pPr>
        <w:pStyle w:val="NormalWeb"/>
        <w:rPr>
          <w:rFonts w:ascii="Calibri" w:hAnsi="Calibri" w:cs="Calibri"/>
          <w:sz w:val="20"/>
          <w:szCs w:val="20"/>
        </w:rPr>
      </w:pPr>
      <w:r w:rsidRPr="004618F6">
        <w:rPr>
          <w:rFonts w:ascii="Calibri" w:hAnsi="Calibri" w:cs="Calibri"/>
          <w:sz w:val="20"/>
          <w:szCs w:val="20"/>
        </w:rPr>
        <w:t>For capability, this is when an employee is dismissed because they are unable to do their job properly. This could be because of poor performance, lack of skills, or illness. If an employer wants to dismiss someone for this reason, they need to prove they’ve followed a fair process. This usually involves giving the employee support, training, or time to improve. Employers must also make sure that the expectations for the job are clear, and they’ve given the employee a reasonable chance to meet those expectations. If the employer hasn’t given the employee these chances, the dismissal could be seen as unfair. (CIPD, 2024)</w:t>
      </w:r>
    </w:p>
    <w:p w14:paraId="43532F70" w14:textId="77777777" w:rsidR="00A110D6" w:rsidRPr="004618F6" w:rsidRDefault="00A110D6" w:rsidP="00A110D6">
      <w:pPr>
        <w:pStyle w:val="NormalWeb"/>
        <w:rPr>
          <w:rFonts w:ascii="Calibri" w:hAnsi="Calibri" w:cs="Calibri"/>
          <w:sz w:val="20"/>
          <w:szCs w:val="20"/>
        </w:rPr>
      </w:pPr>
      <w:r w:rsidRPr="004618F6">
        <w:rPr>
          <w:rFonts w:ascii="Calibri" w:hAnsi="Calibri" w:cs="Calibri"/>
          <w:sz w:val="20"/>
          <w:szCs w:val="20"/>
        </w:rPr>
        <w:t>Misconduct happens when an employee’s behaviour goes against the company rules, like being late all the time, stealing, or behaving inappropriately. If someone is dismissed for misconduct, the employer must have a fair reason to do so. They need to show they’ve properly investigated the issue, given the employee a chance to explain themselves, and considered whether the action was serious enough to justify firing them. For less serious misconduct, a warning, letter of concern or other disciplinary action might be more appropriate instead of firing the person straight away. (ACAS, 2023)</w:t>
      </w:r>
    </w:p>
    <w:p w14:paraId="694FC0B0" w14:textId="77777777" w:rsidR="00A110D6" w:rsidRPr="004618F6" w:rsidRDefault="00A110D6" w:rsidP="00A110D6">
      <w:pPr>
        <w:pStyle w:val="NormalWeb"/>
        <w:rPr>
          <w:rFonts w:ascii="Calibri" w:hAnsi="Calibri" w:cs="Calibri"/>
          <w:sz w:val="20"/>
          <w:szCs w:val="20"/>
        </w:rPr>
      </w:pPr>
      <w:r w:rsidRPr="004618F6">
        <w:rPr>
          <w:rFonts w:ascii="Calibri" w:hAnsi="Calibri" w:cs="Calibri"/>
          <w:sz w:val="20"/>
          <w:szCs w:val="20"/>
        </w:rPr>
        <w:t>The process must be fair and reasonable. If the employer doesn’t follow the correct procedure or doesn’t give the employee a chance to improve or explain themselves, the dismissal might be considered unfair. If this happens, the employee could have the right to challenge the dismissal in an employment tribunal.</w:t>
      </w:r>
    </w:p>
    <w:p w14:paraId="33A01A72" w14:textId="0C68D3D5" w:rsidR="00A110D6" w:rsidRPr="00A110D6" w:rsidRDefault="00A110D6" w:rsidP="00A110D6">
      <w:pPr>
        <w:pStyle w:val="NormalWeb"/>
        <w:rPr>
          <w:rFonts w:ascii="Calibri" w:hAnsi="Calibri" w:cs="Calibri"/>
          <w:color w:val="FF0000"/>
          <w:sz w:val="20"/>
          <w:szCs w:val="20"/>
        </w:rPr>
      </w:pPr>
      <w:r w:rsidRPr="00A110D6">
        <w:rPr>
          <w:rFonts w:ascii="Calibri" w:hAnsi="Calibri" w:cs="Calibri"/>
          <w:color w:val="FF0000"/>
          <w:sz w:val="20"/>
          <w:szCs w:val="20"/>
        </w:rPr>
        <w:t xml:space="preserve">Additionally, employees have the legal </w:t>
      </w:r>
      <w:r w:rsidRPr="00A110D6">
        <w:rPr>
          <w:rStyle w:val="Strong"/>
          <w:rFonts w:ascii="Calibri" w:eastAsiaTheme="majorEastAsia" w:hAnsi="Calibri" w:cs="Calibri"/>
          <w:b w:val="0"/>
          <w:bCs w:val="0"/>
          <w:color w:val="FF0000"/>
          <w:sz w:val="20"/>
          <w:szCs w:val="20"/>
        </w:rPr>
        <w:t>right to be accompanied</w:t>
      </w:r>
      <w:r w:rsidRPr="00A110D6">
        <w:rPr>
          <w:rFonts w:ascii="Calibri" w:hAnsi="Calibri" w:cs="Calibri"/>
          <w:color w:val="FF0000"/>
          <w:sz w:val="20"/>
          <w:szCs w:val="20"/>
        </w:rPr>
        <w:t xml:space="preserve"> at disciplinary and dismissal hearings by a colleague or trade union representative</w:t>
      </w:r>
      <w:r w:rsidR="005451B5">
        <w:rPr>
          <w:rFonts w:ascii="Calibri" w:hAnsi="Calibri" w:cs="Calibri"/>
          <w:color w:val="FF0000"/>
          <w:sz w:val="20"/>
          <w:szCs w:val="20"/>
        </w:rPr>
        <w:t xml:space="preserve"> (Daniels, 2022)</w:t>
      </w:r>
      <w:r w:rsidRPr="00A110D6">
        <w:rPr>
          <w:rFonts w:ascii="Calibri" w:hAnsi="Calibri" w:cs="Calibri"/>
          <w:color w:val="FF0000"/>
          <w:sz w:val="20"/>
          <w:szCs w:val="20"/>
        </w:rPr>
        <w:t>. This right is designed to ensure employees receive support and a fair hearing during potentially stressful meetings. Employers must respect this right, or risk the dismissal being ruled unfair on procedural grounds. (Employment Relations Act 1999)</w:t>
      </w:r>
      <w:r w:rsidR="008D7640">
        <w:rPr>
          <w:rFonts w:ascii="Calibri" w:hAnsi="Calibri" w:cs="Calibri"/>
          <w:color w:val="FF0000"/>
          <w:sz w:val="20"/>
          <w:szCs w:val="20"/>
        </w:rPr>
        <w:t xml:space="preserve"> (Daniels, 2022)</w:t>
      </w:r>
    </w:p>
    <w:p w14:paraId="3EB788AA" w14:textId="2291088F" w:rsidR="00E86948" w:rsidRPr="00C22503" w:rsidRDefault="00EE7F9F" w:rsidP="00C22503">
      <w:pPr>
        <w:pStyle w:val="NormalWeb"/>
        <w:rPr>
          <w:rFonts w:ascii="Calibri" w:hAnsi="Calibri" w:cs="Calibri"/>
          <w:color w:val="FF0000"/>
          <w:sz w:val="20"/>
          <w:szCs w:val="20"/>
        </w:rPr>
      </w:pPr>
      <w:r>
        <w:rPr>
          <w:rFonts w:ascii="Calibri" w:hAnsi="Calibri" w:cs="Calibri"/>
          <w:color w:val="FF0000"/>
          <w:sz w:val="20"/>
          <w:szCs w:val="20"/>
        </w:rPr>
        <w:t>Where</w:t>
      </w:r>
      <w:r w:rsidR="00A110D6" w:rsidRPr="00A110D6">
        <w:rPr>
          <w:rFonts w:ascii="Calibri" w:hAnsi="Calibri" w:cs="Calibri"/>
          <w:color w:val="FF0000"/>
          <w:sz w:val="20"/>
          <w:szCs w:val="20"/>
        </w:rPr>
        <w:t xml:space="preserve"> new leadership and management teams come largely from the private sector, it is especially important to understand and apply these principles carefully. The public sector often has well-established employee relations practices and a strong union presence, which means following fair dismissal procedures is crucial to maintaining trust and morale during organisational change. Proper training and adherence to legal requirements will help prevent disputes and protect both the employees and the organisation from legal challenges.</w:t>
      </w:r>
      <w:r w:rsidR="00E957BF">
        <w:rPr>
          <w:rFonts w:ascii="Calibri" w:hAnsi="Calibri" w:cs="Calibri"/>
          <w:color w:val="FF0000"/>
          <w:sz w:val="20"/>
          <w:szCs w:val="20"/>
        </w:rPr>
        <w:t xml:space="preserve"> </w:t>
      </w:r>
      <w:bookmarkStart w:id="1" w:name="_Hlk201172961"/>
      <w:r w:rsidR="00E957BF">
        <w:rPr>
          <w:rFonts w:ascii="Calibri" w:hAnsi="Calibri" w:cs="Calibri"/>
          <w:color w:val="FF0000"/>
          <w:sz w:val="20"/>
          <w:szCs w:val="20"/>
        </w:rPr>
        <w:t>(Daniels, 2022)</w:t>
      </w:r>
      <w:bookmarkEnd w:id="1"/>
    </w:p>
    <w:p w14:paraId="085F662F" w14:textId="1181E193" w:rsidR="003E4C05" w:rsidRPr="00E855E5" w:rsidRDefault="00846BF7" w:rsidP="008A326C">
      <w:pPr>
        <w:pStyle w:val="Nornal"/>
        <w:spacing w:after="0" w:line="240" w:lineRule="auto"/>
        <w:rPr>
          <w:rFonts w:ascii="Calibri" w:hAnsi="Calibri" w:cs="Calibri"/>
          <w:sz w:val="20"/>
          <w:szCs w:val="20"/>
        </w:rPr>
      </w:pPr>
      <w:r w:rsidRPr="00E855E5">
        <w:rPr>
          <w:rFonts w:ascii="Calibri" w:hAnsi="Calibri" w:cs="Calibri"/>
          <w:sz w:val="20"/>
          <w:szCs w:val="20"/>
        </w:rPr>
        <w:t>AC 3.2 Analyse three key causes of employee grievances.</w:t>
      </w:r>
    </w:p>
    <w:p w14:paraId="06C02AF7" w14:textId="77777777" w:rsidR="00846BF7" w:rsidRPr="00E855E5" w:rsidRDefault="00846BF7" w:rsidP="008A326C">
      <w:pPr>
        <w:pStyle w:val="Nornal"/>
        <w:spacing w:after="0" w:line="240" w:lineRule="auto"/>
        <w:rPr>
          <w:rFonts w:ascii="Calibri" w:hAnsi="Calibri" w:cs="Calibri"/>
          <w:sz w:val="20"/>
          <w:szCs w:val="20"/>
        </w:rPr>
      </w:pPr>
    </w:p>
    <w:p w14:paraId="5363D3B3" w14:textId="54BD21BF"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Employee grievances can arise for many different reasons, it’s important to understand some of the main causes so employers can address them before they become bigger problems and issues.</w:t>
      </w:r>
    </w:p>
    <w:p w14:paraId="6B42F1DE" w14:textId="77777777" w:rsidR="00846BF7" w:rsidRPr="00E855E5" w:rsidRDefault="00846BF7" w:rsidP="00846BF7">
      <w:pPr>
        <w:pStyle w:val="NoSpacing"/>
        <w:rPr>
          <w:rFonts w:ascii="Calibri" w:hAnsi="Calibri" w:cs="Calibri"/>
          <w:sz w:val="20"/>
          <w:szCs w:val="20"/>
        </w:rPr>
      </w:pPr>
    </w:p>
    <w:p w14:paraId="37BD5FB5" w14:textId="40A0A8D5"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A common cause of employee grievances is poor communication. When there’s a lack of clear communication between employers and employees, misunderstandings can easily occur and happen. If employees aren’t given clear instructions or feedback on their work, they might feel confused or frustrated. If they’re not kept in the loop about important changes or decisions in the company, it can lead to a feeling of being left out or undervalued. Lack of communication can result in grievances, as employees feel they aren’t being treated fairly or with respect.</w:t>
      </w:r>
      <w:r w:rsidR="00B73A24">
        <w:rPr>
          <w:rFonts w:ascii="Calibri" w:hAnsi="Calibri" w:cs="Calibri"/>
          <w:sz w:val="20"/>
          <w:szCs w:val="20"/>
        </w:rPr>
        <w:t xml:space="preserve"> (CIPD, 2024)</w:t>
      </w:r>
    </w:p>
    <w:p w14:paraId="4ECB973D" w14:textId="77777777" w:rsidR="00846BF7" w:rsidRPr="00E855E5" w:rsidRDefault="00846BF7" w:rsidP="00846BF7">
      <w:pPr>
        <w:pStyle w:val="NoSpacing"/>
        <w:rPr>
          <w:rFonts w:ascii="Calibri" w:hAnsi="Calibri" w:cs="Calibri"/>
          <w:sz w:val="20"/>
          <w:szCs w:val="20"/>
        </w:rPr>
      </w:pPr>
    </w:p>
    <w:p w14:paraId="770D68E2" w14:textId="35D0D415"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Another cause of grievances is unfair treatment. Employees want to feel that they are being treated fairly at work. If they believe that their colleagues are being treated better, whether it's in terms of pay, promotion opportunities, or how they are managed, it can cause disputes and frustration. If some employees feel they’re being overlooked for promotions despite their hard work or if there’s a sense that some staff are given special treatment, this can lead to grievances. When employees feel that their efforts aren’t recognised or that there’s bias in decision-making, they are more likely to express dissatisfaction.</w:t>
      </w:r>
      <w:r w:rsidR="008D4B61">
        <w:rPr>
          <w:rFonts w:ascii="Calibri" w:hAnsi="Calibri" w:cs="Calibri"/>
          <w:sz w:val="20"/>
          <w:szCs w:val="20"/>
        </w:rPr>
        <w:t xml:space="preserve"> (HR digest)</w:t>
      </w:r>
    </w:p>
    <w:p w14:paraId="6721E881" w14:textId="77777777" w:rsidR="00846BF7" w:rsidRPr="00E855E5" w:rsidRDefault="00846BF7" w:rsidP="00846BF7">
      <w:pPr>
        <w:pStyle w:val="NoSpacing"/>
        <w:rPr>
          <w:rFonts w:ascii="Calibri" w:hAnsi="Calibri" w:cs="Calibri"/>
          <w:sz w:val="20"/>
          <w:szCs w:val="20"/>
        </w:rPr>
      </w:pPr>
    </w:p>
    <w:p w14:paraId="1CA6D089" w14:textId="77777777"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 xml:space="preserve">Workload and stress are also significant causes of grievances. If employees are given too much work to do in too little time, they may feel overwhelmed and stressed. This can lead to feelings of burnout, dissatisfaction, and ultimately a grievance. On the flip side, if the workload is unbalanced and some employees feel they’re doing much more than others, this can also cause resentment. </w:t>
      </w:r>
    </w:p>
    <w:p w14:paraId="587DA6E7" w14:textId="4116A438"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Grievances related to workload often arise when employees feel they are being pushed too hard or are being treated unfairly in terms of the amount of work they are expected to do.</w:t>
      </w:r>
    </w:p>
    <w:p w14:paraId="6778CF0C" w14:textId="594150C8" w:rsidR="00846BF7" w:rsidRDefault="00846BF7" w:rsidP="00846BF7">
      <w:pPr>
        <w:pStyle w:val="NoSpacing"/>
        <w:rPr>
          <w:rFonts w:ascii="Calibri" w:hAnsi="Calibri" w:cs="Calibri"/>
          <w:sz w:val="20"/>
          <w:szCs w:val="20"/>
        </w:rPr>
      </w:pPr>
      <w:r w:rsidRPr="00E855E5">
        <w:rPr>
          <w:rFonts w:ascii="Calibri" w:hAnsi="Calibri" w:cs="Calibri"/>
          <w:sz w:val="20"/>
          <w:szCs w:val="20"/>
        </w:rPr>
        <w:t>Grievances often stem from poor communication, feelings of unfair treatment, and issues related to workload and stress. Addressing these causes early can help improve workplace morale and prevent small issues from becoming bigger problems.</w:t>
      </w:r>
      <w:r w:rsidR="001B3BA8">
        <w:rPr>
          <w:rFonts w:ascii="Calibri" w:hAnsi="Calibri" w:cs="Calibri"/>
          <w:sz w:val="20"/>
          <w:szCs w:val="20"/>
        </w:rPr>
        <w:t xml:space="preserve"> (Indeed, 2025)</w:t>
      </w:r>
    </w:p>
    <w:p w14:paraId="036221F3" w14:textId="067A073E" w:rsidR="00E21F0F" w:rsidRPr="00804301" w:rsidRDefault="00E21F0F" w:rsidP="00804301">
      <w:pPr>
        <w:pStyle w:val="NormalWeb"/>
      </w:pPr>
      <w:r w:rsidRPr="00E21F0F">
        <w:rPr>
          <w:rFonts w:ascii="Calibri" w:hAnsi="Calibri" w:cs="Calibri"/>
          <w:color w:val="FF0000"/>
          <w:sz w:val="20"/>
          <w:szCs w:val="20"/>
        </w:rPr>
        <w:t>With the organisation undergoing significant changes following the merger, and many new leaders unfamiliar with public sector norms, the risk of grievances may increase</w:t>
      </w:r>
      <w:r w:rsidR="0074551A">
        <w:rPr>
          <w:rFonts w:ascii="Calibri" w:hAnsi="Calibri" w:cs="Calibri"/>
          <w:color w:val="FF0000"/>
          <w:sz w:val="20"/>
          <w:szCs w:val="20"/>
        </w:rPr>
        <w:t xml:space="preserve"> </w:t>
      </w:r>
      <w:r w:rsidR="0074551A" w:rsidRPr="00932B54">
        <w:rPr>
          <w:rFonts w:ascii="Calibri" w:hAnsi="Calibri" w:cs="Calibri"/>
          <w:color w:val="FF0000"/>
          <w:sz w:val="20"/>
          <w:szCs w:val="20"/>
        </w:rPr>
        <w:t>(Marchington et al., 2021)</w:t>
      </w:r>
      <w:r w:rsidRPr="00E21F0F">
        <w:rPr>
          <w:rFonts w:ascii="Calibri" w:hAnsi="Calibri" w:cs="Calibri"/>
          <w:color w:val="FF0000"/>
          <w:sz w:val="20"/>
          <w:szCs w:val="20"/>
        </w:rPr>
        <w:t xml:space="preserve">. Employees could experience uncertainty, confusion, or feel disregarded if change is implemented without sufficient transparency or engagement. These conditions can easily intensify issues related to communication breakdowns, perceived inequities, or work-related </w:t>
      </w:r>
      <w:r w:rsidRPr="00804301">
        <w:rPr>
          <w:rFonts w:ascii="Calibri" w:hAnsi="Calibri" w:cs="Calibri"/>
          <w:color w:val="FF0000"/>
          <w:sz w:val="20"/>
          <w:szCs w:val="20"/>
        </w:rPr>
        <w:t>stress</w:t>
      </w:r>
      <w:r w:rsidR="005435C6" w:rsidRPr="00804301">
        <w:rPr>
          <w:rFonts w:ascii="Calibri" w:hAnsi="Calibri" w:cs="Calibri"/>
          <w:color w:val="FF0000"/>
          <w:sz w:val="20"/>
          <w:szCs w:val="20"/>
        </w:rPr>
        <w:t xml:space="preserve"> </w:t>
      </w:r>
      <w:r w:rsidR="00804301" w:rsidRPr="00804301">
        <w:rPr>
          <w:rFonts w:ascii="Calibri" w:hAnsi="Calibri" w:cs="Calibri"/>
          <w:color w:val="FF0000"/>
          <w:sz w:val="20"/>
          <w:szCs w:val="20"/>
        </w:rPr>
        <w:t>(Waite et al., 2021).</w:t>
      </w:r>
      <w:r w:rsidR="00804301" w:rsidRPr="00804301">
        <w:rPr>
          <w:rFonts w:ascii="Calibri" w:hAnsi="Calibri" w:cs="Calibri"/>
          <w:color w:val="FF0000"/>
          <w:sz w:val="20"/>
          <w:szCs w:val="20"/>
        </w:rPr>
        <w:t xml:space="preserve"> </w:t>
      </w:r>
      <w:r w:rsidRPr="00804301">
        <w:rPr>
          <w:rFonts w:ascii="Calibri" w:hAnsi="Calibri" w:cs="Calibri"/>
          <w:color w:val="FF0000"/>
          <w:sz w:val="20"/>
          <w:szCs w:val="20"/>
        </w:rPr>
        <w:t xml:space="preserve">Taking </w:t>
      </w:r>
      <w:r w:rsidRPr="00E21F0F">
        <w:rPr>
          <w:rFonts w:ascii="Calibri" w:hAnsi="Calibri" w:cs="Calibri"/>
          <w:color w:val="FF0000"/>
          <w:sz w:val="20"/>
          <w:szCs w:val="20"/>
        </w:rPr>
        <w:t>deliberate steps to involve employees and acknowledge existing practices will help build trust and reduce the likelihood of formal complaints.</w:t>
      </w:r>
    </w:p>
    <w:p w14:paraId="720EC2D2" w14:textId="532E189D" w:rsidR="00D4318D" w:rsidRPr="00E855E5" w:rsidRDefault="00D4318D" w:rsidP="00D4318D">
      <w:pPr>
        <w:rPr>
          <w:rFonts w:ascii="Calibri" w:hAnsi="Calibri" w:cs="Calibri"/>
          <w:sz w:val="20"/>
          <w:szCs w:val="20"/>
        </w:rPr>
      </w:pPr>
      <w:r w:rsidRPr="00E855E5">
        <w:rPr>
          <w:rFonts w:ascii="Calibri" w:hAnsi="Calibri" w:cs="Calibri"/>
          <w:color w:val="000000"/>
          <w:sz w:val="20"/>
          <w:szCs w:val="20"/>
          <w:u w:color="000000"/>
          <w:lang w:val="en-US"/>
        </w:rPr>
        <w:t>AC3.3 Advise on the importance of handling grievances effectively.</w:t>
      </w:r>
    </w:p>
    <w:p w14:paraId="0A570BA8" w14:textId="35C86B3F" w:rsidR="00D4318D" w:rsidRPr="00E855E5" w:rsidRDefault="00D4318D" w:rsidP="00D4318D">
      <w:pPr>
        <w:pStyle w:val="NoSpacing"/>
        <w:rPr>
          <w:rFonts w:ascii="Calibri" w:hAnsi="Calibri" w:cs="Calibri"/>
          <w:sz w:val="20"/>
          <w:szCs w:val="20"/>
        </w:rPr>
      </w:pPr>
      <w:r w:rsidRPr="00E855E5">
        <w:rPr>
          <w:rFonts w:ascii="Calibri" w:hAnsi="Calibri" w:cs="Calibri"/>
          <w:sz w:val="20"/>
          <w:szCs w:val="20"/>
        </w:rPr>
        <w:t>Handling grievances effectively is important for maintaining a positive and productive work environment. When grievances are not dealt with properly, they can lead to bigger problems, such as low morale, increased stress, and even more serious issues like high turnover or legal disputes.</w:t>
      </w:r>
    </w:p>
    <w:p w14:paraId="48730C6A" w14:textId="77777777" w:rsidR="00D4318D" w:rsidRPr="00E855E5" w:rsidRDefault="00D4318D" w:rsidP="00D4318D">
      <w:pPr>
        <w:pStyle w:val="NoSpacing"/>
        <w:rPr>
          <w:rFonts w:ascii="Calibri" w:hAnsi="Calibri" w:cs="Calibri"/>
          <w:sz w:val="20"/>
          <w:szCs w:val="20"/>
        </w:rPr>
      </w:pPr>
    </w:p>
    <w:p w14:paraId="4866E4AD" w14:textId="362230E1" w:rsidR="00D4318D" w:rsidRPr="00E855E5" w:rsidRDefault="00D4318D" w:rsidP="00D4318D">
      <w:pPr>
        <w:pStyle w:val="NoSpacing"/>
        <w:rPr>
          <w:rFonts w:ascii="Calibri" w:hAnsi="Calibri" w:cs="Calibri"/>
          <w:sz w:val="20"/>
          <w:szCs w:val="20"/>
        </w:rPr>
      </w:pPr>
      <w:r w:rsidRPr="00E855E5">
        <w:rPr>
          <w:rFonts w:ascii="Calibri" w:hAnsi="Calibri" w:cs="Calibri"/>
          <w:sz w:val="20"/>
          <w:szCs w:val="20"/>
        </w:rPr>
        <w:t>Addressing grievances quickly and fairly helps to maintain employee trust. When employees feel that their concerns are taken seriously, they are more likely to feel valued and respected. This can boost their job satisfaction and motivation. If grievances are ignored or mishandled, it can lead to a feeling of frustration and resentment, which may make employees less engaged in their work.</w:t>
      </w:r>
      <w:r w:rsidR="008D4B61">
        <w:rPr>
          <w:rFonts w:ascii="Calibri" w:hAnsi="Calibri" w:cs="Calibri"/>
          <w:sz w:val="20"/>
          <w:szCs w:val="20"/>
        </w:rPr>
        <w:t xml:space="preserve"> (Gov.uk)</w:t>
      </w:r>
    </w:p>
    <w:p w14:paraId="7951FC71" w14:textId="77777777" w:rsidR="00D4318D" w:rsidRPr="00E855E5" w:rsidRDefault="00D4318D" w:rsidP="00D4318D">
      <w:pPr>
        <w:pStyle w:val="NoSpacing"/>
        <w:rPr>
          <w:rFonts w:ascii="Calibri" w:hAnsi="Calibri" w:cs="Calibri"/>
          <w:sz w:val="20"/>
          <w:szCs w:val="20"/>
        </w:rPr>
      </w:pPr>
    </w:p>
    <w:p w14:paraId="2E5FA6FA" w14:textId="7F6AB5AA" w:rsidR="00D4318D" w:rsidRPr="00E855E5" w:rsidRDefault="00D4318D" w:rsidP="00D4318D">
      <w:pPr>
        <w:pStyle w:val="NoSpacing"/>
        <w:rPr>
          <w:rFonts w:ascii="Calibri" w:hAnsi="Calibri" w:cs="Calibri"/>
          <w:sz w:val="20"/>
          <w:szCs w:val="20"/>
        </w:rPr>
      </w:pPr>
      <w:r w:rsidRPr="00E855E5">
        <w:rPr>
          <w:rFonts w:ascii="Calibri" w:hAnsi="Calibri" w:cs="Calibri"/>
          <w:sz w:val="20"/>
          <w:szCs w:val="20"/>
        </w:rPr>
        <w:t>Effective grievance handling can prevent escalation. Small issues can often be resolved quickly if they're dealt with early on, if left unchecked they can escalate into much bigger problems, such as conflict between colleagues or even formal complaints or legal action. By dealing with grievances in a timely manner, employers can stop issues from growing out of control and causing disruption in the workplace.</w:t>
      </w:r>
    </w:p>
    <w:p w14:paraId="098B1823" w14:textId="77777777" w:rsidR="00E855E5" w:rsidRPr="00E855E5" w:rsidRDefault="00E855E5" w:rsidP="00D4318D">
      <w:pPr>
        <w:pStyle w:val="NoSpacing"/>
        <w:rPr>
          <w:rFonts w:ascii="Calibri" w:hAnsi="Calibri" w:cs="Calibri"/>
          <w:sz w:val="20"/>
          <w:szCs w:val="20"/>
        </w:rPr>
      </w:pPr>
    </w:p>
    <w:p w14:paraId="5284C721" w14:textId="3D711D76" w:rsidR="00D4318D" w:rsidRDefault="00E855E5" w:rsidP="00D4318D">
      <w:pPr>
        <w:pStyle w:val="NoSpacing"/>
        <w:rPr>
          <w:rFonts w:ascii="Calibri" w:hAnsi="Calibri" w:cs="Calibri"/>
          <w:sz w:val="20"/>
          <w:szCs w:val="20"/>
        </w:rPr>
      </w:pPr>
      <w:r w:rsidRPr="00E855E5">
        <w:rPr>
          <w:rFonts w:ascii="Calibri" w:hAnsi="Calibri" w:cs="Calibri"/>
          <w:sz w:val="20"/>
          <w:szCs w:val="20"/>
        </w:rPr>
        <w:t>Handling</w:t>
      </w:r>
      <w:r w:rsidR="00D4318D" w:rsidRPr="00E855E5">
        <w:rPr>
          <w:rFonts w:ascii="Calibri" w:hAnsi="Calibri" w:cs="Calibri"/>
          <w:sz w:val="20"/>
          <w:szCs w:val="20"/>
        </w:rPr>
        <w:t xml:space="preserve"> grievances well helps to create a positive workplace culture. When employees see that grievances are addressed fairly and openly, it encourages a culture of openness and fairness. This can improve communication and make employees more likely to raise concerns in the future, knowing they’ll be heard. It also promotes a sense of fairness across the company, which is key to creating a supportive and respectful workplace.</w:t>
      </w:r>
      <w:r w:rsidR="001B3BA8">
        <w:rPr>
          <w:rFonts w:ascii="Calibri" w:hAnsi="Calibri" w:cs="Calibri"/>
          <w:sz w:val="20"/>
          <w:szCs w:val="20"/>
        </w:rPr>
        <w:t xml:space="preserve"> (ACAS, 2020)</w:t>
      </w:r>
    </w:p>
    <w:p w14:paraId="600445CC" w14:textId="77777777" w:rsidR="0069490D" w:rsidRDefault="0069490D" w:rsidP="00D4318D">
      <w:pPr>
        <w:pStyle w:val="NoSpacing"/>
        <w:rPr>
          <w:rFonts w:ascii="Calibri" w:hAnsi="Calibri" w:cs="Calibri"/>
          <w:sz w:val="20"/>
          <w:szCs w:val="20"/>
        </w:rPr>
      </w:pPr>
    </w:p>
    <w:p w14:paraId="71C82093" w14:textId="2596A270" w:rsidR="0069490D" w:rsidRPr="0069490D" w:rsidRDefault="0069490D" w:rsidP="00D4318D">
      <w:pPr>
        <w:pStyle w:val="NoSpacing"/>
        <w:rPr>
          <w:rFonts w:ascii="Calibri" w:hAnsi="Calibri" w:cs="Calibri"/>
          <w:strike/>
          <w:sz w:val="20"/>
          <w:szCs w:val="20"/>
        </w:rPr>
      </w:pPr>
      <w:r w:rsidRPr="0069490D">
        <w:rPr>
          <w:rFonts w:ascii="Calibri" w:hAnsi="Calibri" w:cs="Calibri"/>
          <w:strike/>
          <w:sz w:val="20"/>
          <w:szCs w:val="20"/>
        </w:rPr>
        <w:t>Handling grievances effectively is crucial for keeping employees happy, preventing bigger issues from arising, and creating a positive workplace culture. It’s something that should be taken seriously to ensure the smooth running of any organisation</w:t>
      </w:r>
    </w:p>
    <w:p w14:paraId="28E60F36" w14:textId="4AD8224A" w:rsidR="00D4318D" w:rsidRPr="00DA499E" w:rsidRDefault="00D4318D" w:rsidP="00D4318D">
      <w:pPr>
        <w:pStyle w:val="NoSpacing"/>
        <w:rPr>
          <w:rFonts w:ascii="Calibri" w:hAnsi="Calibri" w:cs="Calibri"/>
          <w:color w:val="FF0000"/>
          <w:sz w:val="20"/>
          <w:szCs w:val="20"/>
        </w:rPr>
      </w:pPr>
    </w:p>
    <w:p w14:paraId="17A971FC" w14:textId="02E69A54" w:rsidR="00BD2198" w:rsidRPr="00BD2198" w:rsidRDefault="00BD2198" w:rsidP="00D4318D">
      <w:pPr>
        <w:pStyle w:val="NoSpacing"/>
        <w:rPr>
          <w:rFonts w:ascii="Calibri" w:hAnsi="Calibri" w:cs="Calibri"/>
          <w:color w:val="FF0000"/>
          <w:sz w:val="20"/>
          <w:szCs w:val="20"/>
        </w:rPr>
      </w:pPr>
      <w:r w:rsidRPr="00DA499E">
        <w:rPr>
          <w:rFonts w:ascii="Calibri" w:hAnsi="Calibri" w:cs="Calibri"/>
          <w:color w:val="FF0000"/>
          <w:sz w:val="20"/>
          <w:szCs w:val="20"/>
        </w:rPr>
        <w:t>With major organisational changes and new leadership in place, employees may be more sensitive to how their concerns are handled. A shift in management approaches, especially when moving from private to public sector styles, can create uncertainty or misunderstandings among long-standing staff</w:t>
      </w:r>
      <w:r w:rsidR="00DA499E" w:rsidRPr="00DA499E">
        <w:rPr>
          <w:rFonts w:ascii="Calibri" w:hAnsi="Calibri" w:cs="Calibri"/>
          <w:color w:val="FF0000"/>
          <w:sz w:val="20"/>
          <w:szCs w:val="20"/>
        </w:rPr>
        <w:t xml:space="preserve"> </w:t>
      </w:r>
      <w:r w:rsidR="00DA499E" w:rsidRPr="00DA499E">
        <w:rPr>
          <w:rFonts w:ascii="Calibri" w:hAnsi="Calibri" w:cs="Calibri"/>
          <w:color w:val="FF0000"/>
          <w:sz w:val="20"/>
          <w:szCs w:val="20"/>
        </w:rPr>
        <w:t>(Kew and Stredwick, 2016).</w:t>
      </w:r>
      <w:r w:rsidRPr="00DA499E">
        <w:rPr>
          <w:rFonts w:ascii="Calibri" w:hAnsi="Calibri" w:cs="Calibri"/>
          <w:color w:val="FF0000"/>
          <w:sz w:val="20"/>
          <w:szCs w:val="20"/>
        </w:rPr>
        <w:t xml:space="preserve"> If grievances aren’t managed fairly and transparently during this period, it may lead to increased tension, lower morale, or even formal disputes. Ensuring that all grievances are dealt with </w:t>
      </w:r>
      <w:r w:rsidRPr="00BD2198">
        <w:rPr>
          <w:rFonts w:ascii="Calibri" w:hAnsi="Calibri" w:cs="Calibri"/>
          <w:color w:val="FF0000"/>
          <w:sz w:val="20"/>
          <w:szCs w:val="20"/>
        </w:rPr>
        <w:t>promptly and respectfully will help build trust, support employee engagement, and maintain a cohesive working environment during a time of transition</w:t>
      </w:r>
      <w:r w:rsidR="00323F87">
        <w:rPr>
          <w:rFonts w:ascii="Calibri" w:hAnsi="Calibri" w:cs="Calibri"/>
          <w:color w:val="FF0000"/>
          <w:sz w:val="20"/>
          <w:szCs w:val="20"/>
        </w:rPr>
        <w:t xml:space="preserve"> </w:t>
      </w:r>
      <w:r w:rsidR="00323F87">
        <w:rPr>
          <w:rFonts w:ascii="Calibri" w:hAnsi="Calibri" w:cs="Calibri"/>
          <w:color w:val="FF0000"/>
          <w:sz w:val="20"/>
          <w:szCs w:val="20"/>
        </w:rPr>
        <w:t>(Daniels, 2022)</w:t>
      </w:r>
      <w:r w:rsidRPr="00BD2198">
        <w:rPr>
          <w:rFonts w:ascii="Calibri" w:hAnsi="Calibri" w:cs="Calibri"/>
          <w:color w:val="FF0000"/>
          <w:sz w:val="20"/>
          <w:szCs w:val="20"/>
        </w:rPr>
        <w:t>.</w:t>
      </w:r>
    </w:p>
    <w:p w14:paraId="27BF5A08" w14:textId="77777777" w:rsidR="00E855E5" w:rsidRDefault="00E855E5" w:rsidP="00D4318D">
      <w:pPr>
        <w:pStyle w:val="NoSpacing"/>
        <w:rPr>
          <w:rFonts w:ascii="Calibri" w:hAnsi="Calibri" w:cs="Calibri"/>
          <w:sz w:val="22"/>
          <w:szCs w:val="22"/>
        </w:rPr>
      </w:pPr>
    </w:p>
    <w:p w14:paraId="0506CA53" w14:textId="77777777" w:rsidR="003515D1" w:rsidRPr="00701A0B" w:rsidRDefault="003515D1" w:rsidP="003515D1">
      <w:pPr>
        <w:pStyle w:val="NoSpacing"/>
        <w:rPr>
          <w:rFonts w:ascii="Calibri" w:hAnsi="Calibri" w:cs="Calibri"/>
          <w:sz w:val="20"/>
          <w:szCs w:val="20"/>
        </w:rPr>
      </w:pPr>
      <w:r w:rsidRPr="00542130">
        <w:rPr>
          <w:rFonts w:ascii="Calibri" w:hAnsi="Calibri" w:cs="Calibri"/>
          <w:sz w:val="20"/>
          <w:szCs w:val="20"/>
          <w:u w:val="single"/>
        </w:rPr>
        <w:t xml:space="preserve">Bibliography. </w:t>
      </w:r>
    </w:p>
    <w:p w14:paraId="708C8D6B" w14:textId="77777777" w:rsidR="003515D1" w:rsidRDefault="003515D1" w:rsidP="003515D1">
      <w:pPr>
        <w:pStyle w:val="NoSpacing"/>
        <w:rPr>
          <w:rFonts w:ascii="Calibri" w:hAnsi="Calibri" w:cs="Calibri"/>
          <w:sz w:val="20"/>
          <w:szCs w:val="20"/>
          <w:u w:val="single"/>
        </w:rPr>
      </w:pPr>
    </w:p>
    <w:p w14:paraId="5B1A35B5" w14:textId="77777777" w:rsidR="003515D1" w:rsidRPr="001B3BA8" w:rsidRDefault="003515D1" w:rsidP="003515D1">
      <w:pPr>
        <w:pStyle w:val="NoSpacing"/>
        <w:rPr>
          <w:rFonts w:ascii="Calibri" w:hAnsi="Calibri" w:cs="Calibri"/>
          <w:sz w:val="20"/>
          <w:szCs w:val="20"/>
          <w:u w:val="single"/>
        </w:rPr>
      </w:pPr>
      <w:r w:rsidRPr="001B3BA8">
        <w:rPr>
          <w:rFonts w:ascii="Calibri" w:hAnsi="Calibri" w:cs="Calibri"/>
          <w:sz w:val="20"/>
          <w:szCs w:val="20"/>
        </w:rPr>
        <w:t xml:space="preserve">ACAS, 2020. </w:t>
      </w:r>
      <w:hyperlink r:id="rId8" w:anchor=":~:text=The%20Acas%20Code%20of%20Practice%20sets%20out%20principles,both%20in%20general%20terms%20and%20in%20individual%20cases." w:history="1">
        <w:r w:rsidRPr="001B3BA8">
          <w:rPr>
            <w:rStyle w:val="Hyperlink"/>
            <w:rFonts w:ascii="Calibri" w:hAnsi="Calibri" w:cs="Calibri"/>
            <w:sz w:val="20"/>
            <w:szCs w:val="20"/>
          </w:rPr>
          <w:t>https://www.acas.org.uk/sites/default/files/2024-08/discipline-and-grievances-at-work-the-acas-guide.pdf</w:t>
        </w:r>
      </w:hyperlink>
      <w:r w:rsidRPr="001B3BA8">
        <w:rPr>
          <w:rFonts w:ascii="Calibri" w:hAnsi="Calibri" w:cs="Calibri"/>
          <w:sz w:val="20"/>
          <w:szCs w:val="20"/>
        </w:rPr>
        <w:t xml:space="preserve"> (Accessed 01/04/2025)</w:t>
      </w:r>
    </w:p>
    <w:p w14:paraId="178B5A11" w14:textId="77777777" w:rsidR="003515D1" w:rsidRDefault="003515D1" w:rsidP="003515D1">
      <w:pPr>
        <w:pStyle w:val="NoSpacing"/>
        <w:rPr>
          <w:rFonts w:ascii="Calibri" w:hAnsi="Calibri" w:cs="Calibri"/>
          <w:sz w:val="20"/>
          <w:szCs w:val="20"/>
        </w:rPr>
      </w:pPr>
    </w:p>
    <w:p w14:paraId="580AF493" w14:textId="77777777" w:rsidR="003515D1" w:rsidRDefault="003515D1" w:rsidP="003515D1">
      <w:pPr>
        <w:pStyle w:val="NoSpacing"/>
        <w:rPr>
          <w:rFonts w:ascii="Calibri" w:hAnsi="Calibri" w:cs="Calibri"/>
          <w:sz w:val="20"/>
          <w:szCs w:val="20"/>
        </w:rPr>
      </w:pPr>
      <w:r w:rsidRPr="004E0CAB">
        <w:rPr>
          <w:rFonts w:ascii="Calibri" w:hAnsi="Calibri" w:cs="Calibri"/>
          <w:sz w:val="20"/>
          <w:szCs w:val="20"/>
        </w:rPr>
        <w:t xml:space="preserve">ACAS. Guides on trade unions. Available at: </w:t>
      </w:r>
      <w:hyperlink r:id="rId9" w:history="1">
        <w:r w:rsidRPr="004E0CAB">
          <w:rPr>
            <w:rStyle w:val="Hyperlink"/>
            <w:rFonts w:ascii="Calibri" w:hAnsi="Calibri" w:cs="Calibri"/>
            <w:sz w:val="20"/>
            <w:szCs w:val="20"/>
          </w:rPr>
          <w:t>Acas guides on trade union and employee representation | Acas</w:t>
        </w:r>
      </w:hyperlink>
      <w:r>
        <w:rPr>
          <w:rFonts w:ascii="Calibri" w:hAnsi="Calibri" w:cs="Calibri"/>
          <w:sz w:val="20"/>
          <w:szCs w:val="20"/>
        </w:rPr>
        <w:t xml:space="preserve"> (Accessed 29/03/2025)</w:t>
      </w:r>
    </w:p>
    <w:p w14:paraId="3755804C" w14:textId="77777777" w:rsidR="003515D1" w:rsidRDefault="003515D1" w:rsidP="003515D1">
      <w:pPr>
        <w:pStyle w:val="NoSpacing"/>
        <w:rPr>
          <w:rFonts w:ascii="Calibri" w:hAnsi="Calibri" w:cs="Calibri"/>
          <w:sz w:val="20"/>
          <w:szCs w:val="20"/>
        </w:rPr>
      </w:pPr>
    </w:p>
    <w:p w14:paraId="6627B5BB" w14:textId="77777777" w:rsidR="003515D1" w:rsidRDefault="003515D1" w:rsidP="003515D1">
      <w:pPr>
        <w:pStyle w:val="NoSpacing"/>
        <w:rPr>
          <w:rFonts w:ascii="Calibri" w:hAnsi="Calibri" w:cs="Calibri"/>
          <w:sz w:val="20"/>
          <w:szCs w:val="20"/>
        </w:rPr>
      </w:pPr>
      <w:r w:rsidRPr="001B3BA8">
        <w:rPr>
          <w:rFonts w:ascii="Calibri" w:hAnsi="Calibri" w:cs="Calibri"/>
          <w:sz w:val="20"/>
          <w:szCs w:val="20"/>
        </w:rPr>
        <w:t xml:space="preserve">ACAS. </w:t>
      </w:r>
      <w:hyperlink r:id="rId10" w:history="1">
        <w:r w:rsidRPr="001B3BA8">
          <w:rPr>
            <w:rStyle w:val="Hyperlink"/>
            <w:rFonts w:ascii="Calibri" w:hAnsi="Calibri" w:cs="Calibri"/>
            <w:sz w:val="20"/>
            <w:szCs w:val="20"/>
          </w:rPr>
          <w:t>Unfair dismissal - Dismissals - Acas</w:t>
        </w:r>
      </w:hyperlink>
      <w:r w:rsidRPr="001B3BA8">
        <w:rPr>
          <w:rFonts w:ascii="Calibri" w:hAnsi="Calibri" w:cs="Calibri"/>
          <w:sz w:val="20"/>
          <w:szCs w:val="20"/>
        </w:rPr>
        <w:t xml:space="preserve"> (Accessed 01/04/2025)</w:t>
      </w:r>
    </w:p>
    <w:p w14:paraId="1C73A3C6" w14:textId="77777777" w:rsidR="003515D1" w:rsidRDefault="003515D1" w:rsidP="003515D1">
      <w:pPr>
        <w:pStyle w:val="NoSpacing"/>
        <w:rPr>
          <w:rFonts w:ascii="Calibri" w:hAnsi="Calibri" w:cs="Calibri"/>
          <w:sz w:val="20"/>
          <w:szCs w:val="20"/>
        </w:rPr>
      </w:pPr>
    </w:p>
    <w:p w14:paraId="1B5E986E" w14:textId="77777777" w:rsidR="003515D1" w:rsidRPr="00F81138" w:rsidRDefault="003515D1" w:rsidP="003515D1">
      <w:pPr>
        <w:pStyle w:val="NoSpacing"/>
        <w:rPr>
          <w:rFonts w:ascii="Calibri" w:hAnsi="Calibri" w:cs="Calibri"/>
          <w:sz w:val="20"/>
          <w:szCs w:val="20"/>
        </w:rPr>
      </w:pPr>
      <w:r w:rsidRPr="00F81138">
        <w:rPr>
          <w:rFonts w:ascii="Calibri" w:hAnsi="Calibri" w:cs="Calibri"/>
          <w:sz w:val="20"/>
          <w:szCs w:val="20"/>
        </w:rPr>
        <w:t xml:space="preserve">Acas. (2022, October 18). </w:t>
      </w:r>
      <w:r w:rsidRPr="00F81138">
        <w:rPr>
          <w:rFonts w:ascii="Calibri" w:hAnsi="Calibri" w:cs="Calibri"/>
          <w:i/>
          <w:iCs/>
          <w:sz w:val="20"/>
          <w:szCs w:val="20"/>
        </w:rPr>
        <w:t>What mediation is and how it can help</w:t>
      </w:r>
      <w:r w:rsidRPr="00F81138">
        <w:rPr>
          <w:rFonts w:ascii="Calibri" w:hAnsi="Calibri" w:cs="Calibri"/>
          <w:sz w:val="20"/>
          <w:szCs w:val="20"/>
        </w:rPr>
        <w:t xml:space="preserve">. </w:t>
      </w:r>
      <w:hyperlink r:id="rId11" w:tgtFrame="_new" w:history="1">
        <w:r w:rsidRPr="00F81138">
          <w:rPr>
            <w:rFonts w:ascii="Calibri" w:hAnsi="Calibri" w:cs="Calibri"/>
            <w:color w:val="0000FF"/>
            <w:sz w:val="20"/>
            <w:szCs w:val="20"/>
            <w:u w:val="single"/>
          </w:rPr>
          <w:t>https://www.acas.org.uk/mediation</w:t>
        </w:r>
      </w:hyperlink>
    </w:p>
    <w:p w14:paraId="170A81F7" w14:textId="77777777" w:rsidR="003515D1" w:rsidRDefault="003515D1" w:rsidP="003515D1">
      <w:pPr>
        <w:pStyle w:val="NoSpacing"/>
        <w:rPr>
          <w:rFonts w:ascii="Calibri" w:hAnsi="Calibri" w:cs="Calibri"/>
          <w:sz w:val="20"/>
          <w:szCs w:val="20"/>
        </w:rPr>
      </w:pPr>
    </w:p>
    <w:p w14:paraId="09289795" w14:textId="77777777" w:rsidR="003515D1" w:rsidRDefault="003515D1" w:rsidP="003515D1">
      <w:pPr>
        <w:pStyle w:val="NoSpacing"/>
        <w:rPr>
          <w:rFonts w:ascii="Calibri" w:hAnsi="Calibri" w:cs="Calibri"/>
          <w:sz w:val="20"/>
          <w:szCs w:val="20"/>
        </w:rPr>
      </w:pPr>
      <w:r>
        <w:rPr>
          <w:rFonts w:ascii="Calibri" w:hAnsi="Calibri" w:cs="Calibri"/>
          <w:sz w:val="20"/>
          <w:szCs w:val="20"/>
        </w:rPr>
        <w:t xml:space="preserve">ACAS. Workplace Culture. Available at: </w:t>
      </w:r>
      <w:hyperlink r:id="rId12" w:history="1">
        <w:r w:rsidRPr="00542130">
          <w:rPr>
            <w:rStyle w:val="Hyperlink"/>
            <w:rFonts w:ascii="Calibri" w:hAnsi="Calibri" w:cs="Calibri"/>
            <w:sz w:val="20"/>
            <w:szCs w:val="20"/>
          </w:rPr>
          <w:t>Workplace conflict: research and commentary | Acas</w:t>
        </w:r>
      </w:hyperlink>
      <w:r>
        <w:rPr>
          <w:rFonts w:ascii="Calibri" w:hAnsi="Calibri" w:cs="Calibri"/>
          <w:sz w:val="20"/>
          <w:szCs w:val="20"/>
        </w:rPr>
        <w:t xml:space="preserve"> (Accessed 31/03/2025)</w:t>
      </w:r>
    </w:p>
    <w:p w14:paraId="754BE11A" w14:textId="77777777" w:rsidR="003515D1" w:rsidRDefault="003515D1" w:rsidP="003515D1">
      <w:pPr>
        <w:pStyle w:val="NoSpacing"/>
        <w:rPr>
          <w:rFonts w:ascii="Calibri" w:hAnsi="Calibri" w:cs="Calibri"/>
          <w:sz w:val="20"/>
          <w:szCs w:val="20"/>
        </w:rPr>
      </w:pPr>
    </w:p>
    <w:p w14:paraId="7B07A890" w14:textId="77777777" w:rsidR="003515D1" w:rsidRDefault="003515D1" w:rsidP="003515D1">
      <w:pPr>
        <w:pStyle w:val="NoSpacing"/>
        <w:rPr>
          <w:rFonts w:ascii="Calibri" w:hAnsi="Calibri" w:cs="Calibri"/>
          <w:sz w:val="20"/>
          <w:szCs w:val="20"/>
        </w:rPr>
      </w:pPr>
      <w:r w:rsidRPr="00966903">
        <w:rPr>
          <w:rFonts w:ascii="Calibri" w:hAnsi="Calibri" w:cs="Calibri"/>
          <w:sz w:val="20"/>
          <w:szCs w:val="20"/>
        </w:rPr>
        <w:t xml:space="preserve">Barber, B., 2020. </w:t>
      </w:r>
      <w:r w:rsidRPr="00966903">
        <w:rPr>
          <w:rFonts w:ascii="Calibri" w:hAnsi="Calibri" w:cs="Calibri"/>
          <w:i/>
          <w:iCs/>
          <w:sz w:val="20"/>
          <w:szCs w:val="20"/>
        </w:rPr>
        <w:t>Building back: making working lives better</w:t>
      </w:r>
      <w:r w:rsidRPr="00966903">
        <w:rPr>
          <w:rFonts w:ascii="Calibri" w:hAnsi="Calibri" w:cs="Calibri"/>
          <w:sz w:val="20"/>
          <w:szCs w:val="20"/>
        </w:rPr>
        <w:t xml:space="preserve">. Acas. Available at: </w:t>
      </w:r>
      <w:hyperlink r:id="rId13" w:tgtFrame="_new" w:history="1">
        <w:r w:rsidRPr="00966903">
          <w:rPr>
            <w:rFonts w:ascii="Calibri" w:hAnsi="Calibri" w:cs="Calibri"/>
            <w:color w:val="0000FF"/>
            <w:sz w:val="20"/>
            <w:szCs w:val="20"/>
            <w:u w:val="single"/>
          </w:rPr>
          <w:t>https://www.acas.org.uk/research-and-commentary/building-back-making-working-lives-better</w:t>
        </w:r>
      </w:hyperlink>
      <w:r w:rsidRPr="00966903">
        <w:rPr>
          <w:rFonts w:ascii="Calibri" w:hAnsi="Calibri" w:cs="Calibri"/>
          <w:sz w:val="20"/>
          <w:szCs w:val="20"/>
        </w:rPr>
        <w:t xml:space="preserve"> [Accessed </w:t>
      </w:r>
      <w:r>
        <w:rPr>
          <w:rFonts w:ascii="Calibri" w:hAnsi="Calibri" w:cs="Calibri"/>
          <w:sz w:val="20"/>
          <w:szCs w:val="20"/>
        </w:rPr>
        <w:t>1</w:t>
      </w:r>
      <w:r w:rsidRPr="00966903">
        <w:rPr>
          <w:rFonts w:ascii="Calibri" w:hAnsi="Calibri" w:cs="Calibri"/>
          <w:sz w:val="20"/>
          <w:szCs w:val="20"/>
          <w:vertAlign w:val="superscript"/>
        </w:rPr>
        <w:t>st</w:t>
      </w:r>
      <w:r>
        <w:rPr>
          <w:rFonts w:ascii="Calibri" w:hAnsi="Calibri" w:cs="Calibri"/>
          <w:sz w:val="20"/>
          <w:szCs w:val="20"/>
        </w:rPr>
        <w:t xml:space="preserve"> </w:t>
      </w:r>
      <w:r w:rsidRPr="00966903">
        <w:rPr>
          <w:rFonts w:ascii="Calibri" w:hAnsi="Calibri" w:cs="Calibri"/>
          <w:sz w:val="20"/>
          <w:szCs w:val="20"/>
        </w:rPr>
        <w:t>May 2025]</w:t>
      </w:r>
    </w:p>
    <w:p w14:paraId="6FDAA1E8" w14:textId="77777777" w:rsidR="003515D1" w:rsidRDefault="003515D1" w:rsidP="003515D1">
      <w:pPr>
        <w:pStyle w:val="NoSpacing"/>
        <w:rPr>
          <w:rFonts w:ascii="Calibri" w:hAnsi="Calibri" w:cs="Calibri"/>
          <w:sz w:val="20"/>
          <w:szCs w:val="20"/>
        </w:rPr>
      </w:pPr>
    </w:p>
    <w:p w14:paraId="31823C64" w14:textId="77777777" w:rsidR="003515D1" w:rsidRPr="00144754" w:rsidRDefault="003515D1" w:rsidP="003515D1">
      <w:pPr>
        <w:pStyle w:val="NoSpacing"/>
        <w:rPr>
          <w:rFonts w:ascii="Calibri" w:hAnsi="Calibri" w:cs="Calibri"/>
          <w:sz w:val="20"/>
          <w:szCs w:val="20"/>
        </w:rPr>
      </w:pPr>
      <w:r w:rsidRPr="00144754">
        <w:rPr>
          <w:rFonts w:ascii="Calibri" w:hAnsi="Calibri" w:cs="Calibri"/>
          <w:sz w:val="20"/>
          <w:szCs w:val="20"/>
        </w:rPr>
        <w:t xml:space="preserve">CIPD, 2024. </w:t>
      </w:r>
      <w:r w:rsidRPr="00144754">
        <w:rPr>
          <w:rFonts w:ascii="Calibri" w:hAnsi="Calibri" w:cs="Calibri"/>
          <w:i/>
          <w:iCs/>
          <w:sz w:val="20"/>
          <w:szCs w:val="20"/>
        </w:rPr>
        <w:t>Discipline</w:t>
      </w:r>
      <w:r w:rsidRPr="00144754">
        <w:rPr>
          <w:rFonts w:ascii="Calibri" w:hAnsi="Calibri" w:cs="Calibri"/>
          <w:sz w:val="20"/>
          <w:szCs w:val="20"/>
        </w:rPr>
        <w:t xml:space="preserve">. Available at: </w:t>
      </w:r>
      <w:hyperlink r:id="rId14" w:tgtFrame="_new" w:history="1">
        <w:r w:rsidRPr="00144754">
          <w:rPr>
            <w:rFonts w:ascii="Calibri" w:hAnsi="Calibri" w:cs="Calibri"/>
            <w:color w:val="0000FF"/>
            <w:sz w:val="20"/>
            <w:szCs w:val="20"/>
            <w:u w:val="single"/>
          </w:rPr>
          <w:t>https://www.cipd.org/uk/knowledge/factsheets/discipline-factsheet/</w:t>
        </w:r>
      </w:hyperlink>
      <w:r w:rsidRPr="00144754">
        <w:rPr>
          <w:rFonts w:ascii="Calibri" w:hAnsi="Calibri" w:cs="Calibri"/>
          <w:sz w:val="20"/>
          <w:szCs w:val="20"/>
        </w:rPr>
        <w:t xml:space="preserve"> [Accessed 9 May 2025]</w:t>
      </w:r>
    </w:p>
    <w:p w14:paraId="6C538C96" w14:textId="77777777" w:rsidR="003515D1" w:rsidRDefault="003515D1" w:rsidP="003515D1">
      <w:pPr>
        <w:pStyle w:val="NoSpacing"/>
        <w:rPr>
          <w:rFonts w:ascii="Calibri" w:hAnsi="Calibri" w:cs="Calibri"/>
          <w:sz w:val="20"/>
          <w:szCs w:val="20"/>
        </w:rPr>
      </w:pPr>
    </w:p>
    <w:p w14:paraId="5C45428A" w14:textId="77777777" w:rsidR="003515D1" w:rsidRPr="008A0F1B" w:rsidRDefault="003515D1" w:rsidP="003515D1">
      <w:pPr>
        <w:pStyle w:val="NoSpacing"/>
        <w:rPr>
          <w:rFonts w:ascii="Calibri" w:hAnsi="Calibri" w:cs="Calibri"/>
          <w:sz w:val="20"/>
          <w:szCs w:val="20"/>
        </w:rPr>
      </w:pPr>
      <w:r w:rsidRPr="008A0F1B">
        <w:rPr>
          <w:rFonts w:ascii="Calibri" w:hAnsi="Calibri" w:cs="Calibri"/>
          <w:sz w:val="20"/>
          <w:szCs w:val="20"/>
        </w:rPr>
        <w:t xml:space="preserve">CIPD. (2024) </w:t>
      </w:r>
      <w:r w:rsidRPr="008A0F1B">
        <w:rPr>
          <w:rFonts w:ascii="Calibri" w:hAnsi="Calibri" w:cs="Calibri"/>
          <w:i/>
          <w:iCs/>
          <w:sz w:val="20"/>
          <w:szCs w:val="20"/>
        </w:rPr>
        <w:t>Employee engagement and motivation</w:t>
      </w:r>
      <w:r w:rsidRPr="008A0F1B">
        <w:rPr>
          <w:rFonts w:ascii="Calibri" w:hAnsi="Calibri" w:cs="Calibri"/>
          <w:sz w:val="20"/>
          <w:szCs w:val="20"/>
        </w:rPr>
        <w:t xml:space="preserve">. Available at: </w:t>
      </w:r>
      <w:hyperlink r:id="rId15" w:tgtFrame="_new" w:history="1">
        <w:r w:rsidRPr="008A0F1B">
          <w:rPr>
            <w:rFonts w:ascii="Calibri" w:hAnsi="Calibri" w:cs="Calibri"/>
            <w:color w:val="0000FF"/>
            <w:sz w:val="20"/>
            <w:szCs w:val="20"/>
            <w:u w:val="single"/>
          </w:rPr>
          <w:t>https://www.cipd.org/uk/knowledge/factsheets/engagement-factsheet/</w:t>
        </w:r>
      </w:hyperlink>
      <w:r w:rsidRPr="008A0F1B">
        <w:rPr>
          <w:rFonts w:ascii="Calibri" w:hAnsi="Calibri" w:cs="Calibri"/>
          <w:sz w:val="20"/>
          <w:szCs w:val="20"/>
        </w:rPr>
        <w:t xml:space="preserve"> (Accessed: 7 May 2025).</w:t>
      </w:r>
    </w:p>
    <w:p w14:paraId="68167F46" w14:textId="77777777" w:rsidR="003515D1" w:rsidRDefault="003515D1" w:rsidP="003515D1">
      <w:pPr>
        <w:pStyle w:val="NoSpacing"/>
        <w:rPr>
          <w:rFonts w:ascii="Calibri" w:hAnsi="Calibri" w:cs="Calibri"/>
          <w:sz w:val="20"/>
          <w:szCs w:val="20"/>
        </w:rPr>
      </w:pPr>
    </w:p>
    <w:p w14:paraId="421D83C9" w14:textId="77777777" w:rsidR="003515D1" w:rsidRPr="008D4B61" w:rsidRDefault="003515D1" w:rsidP="003515D1">
      <w:pPr>
        <w:pStyle w:val="NoSpacing"/>
        <w:rPr>
          <w:rFonts w:ascii="Calibri" w:hAnsi="Calibri" w:cs="Calibri"/>
          <w:sz w:val="20"/>
          <w:szCs w:val="20"/>
        </w:rPr>
      </w:pPr>
      <w:r w:rsidRPr="008D4B61">
        <w:rPr>
          <w:rFonts w:ascii="Calibri" w:hAnsi="Calibri" w:cs="Calibri"/>
          <w:sz w:val="20"/>
          <w:szCs w:val="20"/>
        </w:rPr>
        <w:t xml:space="preserve">CIPD factsheet </w:t>
      </w:r>
      <w:hyperlink r:id="rId16" w:history="1">
        <w:r w:rsidRPr="008D4B61">
          <w:rPr>
            <w:rStyle w:val="Hyperlink"/>
            <w:rFonts w:ascii="Calibri" w:hAnsi="Calibri" w:cs="Calibri"/>
            <w:sz w:val="20"/>
            <w:szCs w:val="20"/>
          </w:rPr>
          <w:t>Dismissal Procedures | Factsheets | CIPD</w:t>
        </w:r>
      </w:hyperlink>
      <w:r w:rsidRPr="008D4B61">
        <w:rPr>
          <w:rFonts w:ascii="Calibri" w:hAnsi="Calibri" w:cs="Calibri"/>
          <w:sz w:val="20"/>
          <w:szCs w:val="20"/>
        </w:rPr>
        <w:t xml:space="preserve"> (Accessed 10/04/2025)</w:t>
      </w:r>
    </w:p>
    <w:p w14:paraId="01558A51" w14:textId="77777777" w:rsidR="003515D1" w:rsidRPr="008D4B61" w:rsidRDefault="003515D1" w:rsidP="003515D1">
      <w:pPr>
        <w:pStyle w:val="NoSpacing"/>
        <w:rPr>
          <w:rFonts w:ascii="Calibri" w:hAnsi="Calibri" w:cs="Calibri"/>
          <w:sz w:val="20"/>
          <w:szCs w:val="20"/>
          <w:u w:val="single"/>
        </w:rPr>
      </w:pPr>
    </w:p>
    <w:p w14:paraId="49A8062A" w14:textId="77777777" w:rsidR="003515D1" w:rsidRPr="004E0CAB" w:rsidRDefault="003515D1" w:rsidP="003515D1">
      <w:pPr>
        <w:pStyle w:val="NoSpacing"/>
        <w:rPr>
          <w:rFonts w:ascii="Calibri" w:hAnsi="Calibri" w:cs="Calibri"/>
          <w:sz w:val="20"/>
          <w:szCs w:val="20"/>
        </w:rPr>
      </w:pPr>
      <w:r w:rsidRPr="004E0CAB">
        <w:rPr>
          <w:rFonts w:ascii="Calibri" w:hAnsi="Calibri" w:cs="Calibri"/>
          <w:sz w:val="20"/>
          <w:szCs w:val="20"/>
        </w:rPr>
        <w:t xml:space="preserve">CIPD. Employee Relations. Available at: </w:t>
      </w:r>
      <w:hyperlink r:id="rId17" w:history="1">
        <w:r w:rsidRPr="004E0CAB">
          <w:rPr>
            <w:rStyle w:val="Hyperlink"/>
            <w:rFonts w:ascii="Calibri" w:hAnsi="Calibri" w:cs="Calibri"/>
            <w:sz w:val="20"/>
            <w:szCs w:val="20"/>
          </w:rPr>
          <w:t>Employee Relations | Factsheets | CIPD</w:t>
        </w:r>
      </w:hyperlink>
      <w:r w:rsidRPr="004E0CAB">
        <w:rPr>
          <w:rFonts w:ascii="Calibri" w:hAnsi="Calibri" w:cs="Calibri"/>
          <w:sz w:val="20"/>
          <w:szCs w:val="20"/>
        </w:rPr>
        <w:t xml:space="preserve"> (Accessed 28/03/2025)</w:t>
      </w:r>
    </w:p>
    <w:p w14:paraId="4E0150B3" w14:textId="77777777" w:rsidR="003515D1" w:rsidRPr="004E0CAB" w:rsidRDefault="003515D1" w:rsidP="003515D1">
      <w:pPr>
        <w:pStyle w:val="NoSpacing"/>
        <w:rPr>
          <w:rFonts w:ascii="Calibri" w:hAnsi="Calibri" w:cs="Calibri"/>
          <w:sz w:val="20"/>
          <w:szCs w:val="20"/>
        </w:rPr>
      </w:pPr>
    </w:p>
    <w:p w14:paraId="2381C75C" w14:textId="77777777" w:rsidR="003515D1" w:rsidRDefault="003515D1" w:rsidP="003515D1">
      <w:pPr>
        <w:pStyle w:val="NoSpacing"/>
        <w:rPr>
          <w:rFonts w:ascii="Calibri" w:hAnsi="Calibri" w:cs="Calibri"/>
          <w:sz w:val="20"/>
          <w:szCs w:val="20"/>
        </w:rPr>
      </w:pPr>
      <w:r w:rsidRPr="004E0CAB">
        <w:rPr>
          <w:rFonts w:ascii="Calibri" w:hAnsi="Calibri" w:cs="Calibri"/>
          <w:sz w:val="20"/>
          <w:szCs w:val="20"/>
        </w:rPr>
        <w:t xml:space="preserve">CIPD. Employee voice. Available at: </w:t>
      </w:r>
      <w:hyperlink r:id="rId18" w:history="1">
        <w:r w:rsidRPr="004E0CAB">
          <w:rPr>
            <w:rStyle w:val="Hyperlink"/>
            <w:rFonts w:ascii="Calibri" w:hAnsi="Calibri" w:cs="Calibri"/>
            <w:sz w:val="20"/>
            <w:szCs w:val="20"/>
          </w:rPr>
          <w:t>Employee Voice | CIPD</w:t>
        </w:r>
      </w:hyperlink>
      <w:r w:rsidRPr="004E0CAB">
        <w:rPr>
          <w:rFonts w:ascii="Calibri" w:hAnsi="Calibri" w:cs="Calibri"/>
          <w:sz w:val="20"/>
          <w:szCs w:val="20"/>
        </w:rPr>
        <w:t xml:space="preserve"> (Accessed 28/03/2025)</w:t>
      </w:r>
    </w:p>
    <w:p w14:paraId="44C9D037" w14:textId="77777777" w:rsidR="003515D1" w:rsidRDefault="003515D1" w:rsidP="003515D1">
      <w:pPr>
        <w:pStyle w:val="NoSpacing"/>
        <w:rPr>
          <w:rFonts w:ascii="Calibri" w:hAnsi="Calibri" w:cs="Calibri"/>
          <w:sz w:val="20"/>
          <w:szCs w:val="20"/>
        </w:rPr>
      </w:pPr>
    </w:p>
    <w:p w14:paraId="0D45A5E0" w14:textId="77777777" w:rsidR="003515D1" w:rsidRDefault="003515D1" w:rsidP="003515D1">
      <w:pPr>
        <w:pStyle w:val="NoSpacing"/>
        <w:rPr>
          <w:rFonts w:ascii="Calibri" w:hAnsi="Calibri" w:cs="Calibri"/>
          <w:sz w:val="20"/>
          <w:szCs w:val="20"/>
        </w:rPr>
      </w:pPr>
      <w:r w:rsidRPr="006E6C4B">
        <w:rPr>
          <w:rFonts w:ascii="Calibri" w:hAnsi="Calibri" w:cs="Calibri"/>
          <w:sz w:val="20"/>
          <w:szCs w:val="20"/>
        </w:rPr>
        <w:t xml:space="preserve">CIPD. (2024). </w:t>
      </w:r>
      <w:r w:rsidRPr="006E6C4B">
        <w:rPr>
          <w:rFonts w:ascii="Calibri" w:hAnsi="Calibri" w:cs="Calibri"/>
          <w:i/>
          <w:iCs/>
          <w:sz w:val="20"/>
          <w:szCs w:val="20"/>
        </w:rPr>
        <w:t>Employee relations: An introduction</w:t>
      </w:r>
      <w:r w:rsidRPr="006E6C4B">
        <w:rPr>
          <w:rFonts w:ascii="Calibri" w:hAnsi="Calibri" w:cs="Calibri"/>
          <w:sz w:val="20"/>
          <w:szCs w:val="20"/>
        </w:rPr>
        <w:t xml:space="preserve">. </w:t>
      </w:r>
      <w:hyperlink r:id="rId19" w:tgtFrame="_new" w:history="1">
        <w:r w:rsidRPr="006E6C4B">
          <w:rPr>
            <w:rFonts w:ascii="Calibri" w:hAnsi="Calibri" w:cs="Calibri"/>
            <w:color w:val="0000FF"/>
            <w:sz w:val="20"/>
            <w:szCs w:val="20"/>
            <w:u w:val="single"/>
          </w:rPr>
          <w:t>https://www.cipd.org/uk/knowledge/factsheets/relations-employees-factsheet/</w:t>
        </w:r>
      </w:hyperlink>
    </w:p>
    <w:p w14:paraId="43F93853" w14:textId="77777777" w:rsidR="003515D1" w:rsidRDefault="003515D1" w:rsidP="003515D1">
      <w:pPr>
        <w:pStyle w:val="NoSpacing"/>
        <w:rPr>
          <w:rFonts w:ascii="Calibri" w:hAnsi="Calibri" w:cs="Calibri"/>
          <w:sz w:val="20"/>
          <w:szCs w:val="20"/>
        </w:rPr>
      </w:pPr>
    </w:p>
    <w:p w14:paraId="4AF29999" w14:textId="77777777" w:rsidR="003515D1" w:rsidRDefault="003515D1" w:rsidP="003515D1">
      <w:pPr>
        <w:pStyle w:val="NoSpacing"/>
        <w:rPr>
          <w:rFonts w:ascii="Calibri" w:hAnsi="Calibri" w:cs="Calibri"/>
          <w:sz w:val="20"/>
          <w:szCs w:val="20"/>
        </w:rPr>
      </w:pPr>
      <w:r w:rsidRPr="008D2593">
        <w:rPr>
          <w:rFonts w:ascii="Calibri" w:hAnsi="Calibri" w:cs="Calibri"/>
          <w:sz w:val="20"/>
          <w:szCs w:val="20"/>
        </w:rPr>
        <w:t xml:space="preserve">CIPD, 2017. </w:t>
      </w:r>
      <w:r w:rsidRPr="008D2593">
        <w:rPr>
          <w:rFonts w:ascii="Calibri" w:hAnsi="Calibri" w:cs="Calibri"/>
          <w:i/>
          <w:iCs/>
          <w:sz w:val="20"/>
          <w:szCs w:val="20"/>
        </w:rPr>
        <w:t>Generation insights – a changing picture of personality</w:t>
      </w:r>
      <w:r w:rsidRPr="008D2593">
        <w:rPr>
          <w:rFonts w:ascii="Calibri" w:hAnsi="Calibri" w:cs="Calibri"/>
          <w:sz w:val="20"/>
          <w:szCs w:val="20"/>
        </w:rPr>
        <w:t xml:space="preserve">. Available at: </w:t>
      </w:r>
      <w:hyperlink r:id="rId20" w:tgtFrame="_new" w:history="1">
        <w:r w:rsidRPr="008D2593">
          <w:rPr>
            <w:rFonts w:ascii="Calibri" w:hAnsi="Calibri" w:cs="Calibri"/>
            <w:color w:val="0000FF"/>
            <w:sz w:val="20"/>
            <w:szCs w:val="20"/>
            <w:u w:val="single"/>
          </w:rPr>
          <w:t>https://www.cipd.org/uk/knowledge/bitesize-research/generation-insights/</w:t>
        </w:r>
      </w:hyperlink>
      <w:r w:rsidRPr="008D2593">
        <w:rPr>
          <w:rFonts w:ascii="Calibri" w:hAnsi="Calibri" w:cs="Calibri"/>
          <w:sz w:val="20"/>
          <w:szCs w:val="20"/>
        </w:rPr>
        <w:t xml:space="preserve"> [Accessed 7 May 2025].</w:t>
      </w:r>
    </w:p>
    <w:p w14:paraId="57FB6D6E" w14:textId="77777777" w:rsidR="003515D1" w:rsidRPr="008D2593" w:rsidRDefault="003515D1" w:rsidP="003515D1">
      <w:pPr>
        <w:pStyle w:val="NoSpacing"/>
        <w:rPr>
          <w:rFonts w:ascii="Calibri" w:hAnsi="Calibri" w:cs="Calibri"/>
          <w:sz w:val="20"/>
          <w:szCs w:val="20"/>
        </w:rPr>
      </w:pPr>
    </w:p>
    <w:p w14:paraId="63A1EF8C" w14:textId="77777777" w:rsidR="003515D1" w:rsidRDefault="003515D1" w:rsidP="003515D1">
      <w:pPr>
        <w:pStyle w:val="NoSpacing"/>
        <w:rPr>
          <w:rFonts w:ascii="Calibri" w:hAnsi="Calibri" w:cs="Calibri"/>
          <w:sz w:val="20"/>
          <w:szCs w:val="20"/>
        </w:rPr>
      </w:pPr>
      <w:r w:rsidRPr="004B6BDC">
        <w:rPr>
          <w:rFonts w:ascii="Calibri" w:hAnsi="Calibri" w:cs="Calibri"/>
          <w:sz w:val="20"/>
          <w:szCs w:val="20"/>
        </w:rPr>
        <w:t xml:space="preserve">CIPD, 2020. Managing conflict. </w:t>
      </w:r>
      <w:hyperlink r:id="rId21" w:history="1">
        <w:r w:rsidRPr="004B6BDC">
          <w:rPr>
            <w:rStyle w:val="Hyperlink"/>
            <w:rFonts w:ascii="Calibri" w:hAnsi="Calibri" w:cs="Calibri"/>
            <w:sz w:val="20"/>
            <w:szCs w:val="20"/>
          </w:rPr>
          <w:t>Managing conflict in the modern workplace | CIPD</w:t>
        </w:r>
      </w:hyperlink>
      <w:r>
        <w:rPr>
          <w:rFonts w:ascii="Calibri" w:hAnsi="Calibri" w:cs="Calibri"/>
          <w:sz w:val="20"/>
          <w:szCs w:val="20"/>
        </w:rPr>
        <w:t xml:space="preserve"> (Accessed 31/03/2025)</w:t>
      </w:r>
    </w:p>
    <w:p w14:paraId="566FBEDA" w14:textId="77777777" w:rsidR="003515D1" w:rsidRPr="004B6BDC" w:rsidRDefault="003515D1" w:rsidP="003515D1">
      <w:pPr>
        <w:pStyle w:val="NoSpacing"/>
        <w:rPr>
          <w:rFonts w:ascii="Calibri" w:hAnsi="Calibri" w:cs="Calibri"/>
          <w:sz w:val="20"/>
          <w:szCs w:val="20"/>
        </w:rPr>
      </w:pPr>
    </w:p>
    <w:p w14:paraId="17F987BE" w14:textId="77777777" w:rsidR="003515D1" w:rsidRDefault="003515D1" w:rsidP="003515D1">
      <w:pPr>
        <w:pStyle w:val="NoSpacing"/>
        <w:rPr>
          <w:rFonts w:ascii="Calibri" w:hAnsi="Calibri" w:cs="Calibri"/>
          <w:sz w:val="20"/>
          <w:szCs w:val="20"/>
        </w:rPr>
      </w:pPr>
      <w:r w:rsidRPr="00F1677A">
        <w:rPr>
          <w:rFonts w:ascii="Calibri" w:hAnsi="Calibri" w:cs="Calibri"/>
          <w:sz w:val="20"/>
          <w:szCs w:val="20"/>
        </w:rPr>
        <w:t xml:space="preserve">CIPD. Organisational culture. Available at </w:t>
      </w:r>
      <w:hyperlink r:id="rId22" w:history="1">
        <w:r w:rsidRPr="00F1677A">
          <w:rPr>
            <w:rStyle w:val="Hyperlink"/>
            <w:rFonts w:ascii="Calibri" w:hAnsi="Calibri" w:cs="Calibri"/>
            <w:sz w:val="20"/>
            <w:szCs w:val="20"/>
          </w:rPr>
          <w:t>Organisational culture | CIPD</w:t>
        </w:r>
      </w:hyperlink>
      <w:r w:rsidRPr="00F1677A">
        <w:rPr>
          <w:rFonts w:ascii="Calibri" w:hAnsi="Calibri" w:cs="Calibri"/>
          <w:sz w:val="20"/>
          <w:szCs w:val="20"/>
        </w:rPr>
        <w:t xml:space="preserve"> (Accessed 28/03/2025)</w:t>
      </w:r>
    </w:p>
    <w:p w14:paraId="5AD92FA1" w14:textId="77777777" w:rsidR="003515D1" w:rsidRDefault="003515D1" w:rsidP="003515D1">
      <w:pPr>
        <w:pStyle w:val="NoSpacing"/>
        <w:rPr>
          <w:rFonts w:ascii="Calibri" w:hAnsi="Calibri" w:cs="Calibri"/>
          <w:sz w:val="20"/>
          <w:szCs w:val="20"/>
        </w:rPr>
      </w:pPr>
    </w:p>
    <w:p w14:paraId="590528C0" w14:textId="77777777" w:rsidR="003515D1" w:rsidRPr="008D4B61" w:rsidRDefault="003515D1" w:rsidP="003515D1">
      <w:pPr>
        <w:pStyle w:val="NoSpacing"/>
        <w:rPr>
          <w:rFonts w:ascii="Calibri" w:hAnsi="Calibri" w:cs="Calibri"/>
          <w:sz w:val="20"/>
          <w:szCs w:val="20"/>
        </w:rPr>
      </w:pPr>
      <w:r w:rsidRPr="008D4B61">
        <w:rPr>
          <w:rFonts w:ascii="Calibri" w:hAnsi="Calibri" w:cs="Calibri"/>
          <w:sz w:val="20"/>
          <w:szCs w:val="20"/>
        </w:rPr>
        <w:t xml:space="preserve">CIPD </w:t>
      </w:r>
      <w:hyperlink r:id="rId23" w:history="1">
        <w:r w:rsidRPr="008D4B61">
          <w:rPr>
            <w:rStyle w:val="Hyperlink"/>
            <w:rFonts w:ascii="Calibri" w:hAnsi="Calibri" w:cs="Calibri"/>
            <w:sz w:val="20"/>
            <w:szCs w:val="20"/>
          </w:rPr>
          <w:t>Workplace Mediation | Factsheets | CIPD</w:t>
        </w:r>
      </w:hyperlink>
      <w:r w:rsidRPr="008D4B61">
        <w:rPr>
          <w:rFonts w:ascii="Calibri" w:hAnsi="Calibri" w:cs="Calibri"/>
          <w:sz w:val="20"/>
          <w:szCs w:val="20"/>
        </w:rPr>
        <w:t xml:space="preserve"> (Accessed 10/04/2025)</w:t>
      </w:r>
    </w:p>
    <w:p w14:paraId="35F931DB" w14:textId="77777777" w:rsidR="003515D1" w:rsidRDefault="003515D1" w:rsidP="003515D1">
      <w:pPr>
        <w:pStyle w:val="NoSpacing"/>
        <w:rPr>
          <w:rFonts w:ascii="Calibri" w:hAnsi="Calibri" w:cs="Calibri"/>
          <w:sz w:val="20"/>
          <w:szCs w:val="20"/>
        </w:rPr>
      </w:pPr>
    </w:p>
    <w:p w14:paraId="33FA6BD0" w14:textId="77777777" w:rsidR="003515D1" w:rsidRPr="00542130" w:rsidRDefault="003515D1" w:rsidP="003515D1">
      <w:pPr>
        <w:pStyle w:val="NoSpacing"/>
        <w:rPr>
          <w:rFonts w:ascii="Calibri" w:hAnsi="Calibri" w:cs="Calibri"/>
          <w:sz w:val="20"/>
          <w:szCs w:val="20"/>
        </w:rPr>
      </w:pPr>
      <w:r w:rsidRPr="0014517A">
        <w:rPr>
          <w:rFonts w:ascii="Calibri" w:hAnsi="Calibri" w:cs="Calibri"/>
          <w:sz w:val="20"/>
          <w:szCs w:val="20"/>
        </w:rPr>
        <w:t>CIPD</w:t>
      </w:r>
      <w:r>
        <w:rPr>
          <w:rFonts w:ascii="Calibri" w:hAnsi="Calibri" w:cs="Calibri"/>
          <w:sz w:val="20"/>
          <w:szCs w:val="20"/>
        </w:rPr>
        <w:t xml:space="preserve">, 2024. </w:t>
      </w:r>
      <w:hyperlink r:id="rId24" w:history="1">
        <w:r w:rsidRPr="001B3BA8">
          <w:rPr>
            <w:rStyle w:val="Hyperlink"/>
            <w:rFonts w:ascii="Calibri" w:hAnsi="Calibri" w:cs="Calibri"/>
            <w:sz w:val="20"/>
            <w:szCs w:val="20"/>
          </w:rPr>
          <w:t>Supporting Mental Health at Work: Practical guidance | CIPD</w:t>
        </w:r>
      </w:hyperlink>
      <w:r>
        <w:rPr>
          <w:rFonts w:ascii="Calibri" w:hAnsi="Calibri" w:cs="Calibri"/>
          <w:sz w:val="20"/>
          <w:szCs w:val="20"/>
        </w:rPr>
        <w:t xml:space="preserve"> (Accessed 31/03/2025)</w:t>
      </w:r>
    </w:p>
    <w:p w14:paraId="2906C874" w14:textId="77777777" w:rsidR="003515D1" w:rsidRDefault="003515D1" w:rsidP="003515D1">
      <w:pPr>
        <w:pStyle w:val="NoSpacing"/>
        <w:rPr>
          <w:rFonts w:ascii="Calibri" w:hAnsi="Calibri" w:cs="Calibri"/>
          <w:sz w:val="20"/>
          <w:szCs w:val="20"/>
        </w:rPr>
      </w:pPr>
    </w:p>
    <w:p w14:paraId="0444E555" w14:textId="77777777" w:rsidR="003515D1" w:rsidRPr="000B6E94" w:rsidRDefault="003515D1" w:rsidP="003515D1">
      <w:pPr>
        <w:pStyle w:val="NoSpacing"/>
        <w:rPr>
          <w:rFonts w:ascii="Calibri" w:hAnsi="Calibri" w:cs="Calibri"/>
          <w:sz w:val="20"/>
          <w:szCs w:val="20"/>
        </w:rPr>
      </w:pPr>
      <w:r w:rsidRPr="000B6E94">
        <w:rPr>
          <w:rFonts w:ascii="Calibri" w:hAnsi="Calibri" w:cs="Calibri"/>
          <w:sz w:val="20"/>
          <w:szCs w:val="20"/>
        </w:rPr>
        <w:t xml:space="preserve">CIPD, 2024. </w:t>
      </w:r>
      <w:hyperlink r:id="rId25" w:history="1">
        <w:r w:rsidRPr="000B6E94">
          <w:rPr>
            <w:rStyle w:val="Hyperlink"/>
            <w:rFonts w:ascii="Calibri" w:hAnsi="Calibri" w:cs="Calibri"/>
            <w:sz w:val="20"/>
            <w:szCs w:val="20"/>
          </w:rPr>
          <w:t>Wellbeing at Work | Factsheets | CIPD</w:t>
        </w:r>
      </w:hyperlink>
      <w:r w:rsidRPr="000B6E94">
        <w:rPr>
          <w:rFonts w:ascii="Calibri" w:hAnsi="Calibri" w:cs="Calibri"/>
          <w:sz w:val="20"/>
          <w:szCs w:val="20"/>
        </w:rPr>
        <w:t xml:space="preserve"> (Accessed 29/03/2025)</w:t>
      </w:r>
    </w:p>
    <w:p w14:paraId="621EA387" w14:textId="77777777" w:rsidR="003515D1" w:rsidRPr="004E0CAB" w:rsidRDefault="003515D1" w:rsidP="003515D1">
      <w:pPr>
        <w:pStyle w:val="NoSpacing"/>
        <w:rPr>
          <w:rFonts w:ascii="Calibri" w:hAnsi="Calibri" w:cs="Calibri"/>
          <w:sz w:val="20"/>
          <w:szCs w:val="20"/>
        </w:rPr>
      </w:pPr>
    </w:p>
    <w:p w14:paraId="4C744DFB" w14:textId="77777777" w:rsidR="003515D1" w:rsidRDefault="003515D1" w:rsidP="003515D1">
      <w:pPr>
        <w:pStyle w:val="NoSpacing"/>
        <w:rPr>
          <w:rFonts w:ascii="Calibri" w:hAnsi="Calibri" w:cs="Calibri"/>
          <w:sz w:val="20"/>
          <w:szCs w:val="20"/>
        </w:rPr>
      </w:pPr>
      <w:r w:rsidRPr="004E0CAB">
        <w:rPr>
          <w:rFonts w:ascii="Calibri" w:hAnsi="Calibri" w:cs="Calibri"/>
          <w:sz w:val="20"/>
          <w:szCs w:val="20"/>
        </w:rPr>
        <w:t xml:space="preserve">CIPD. Trade unions factsheet </w:t>
      </w:r>
      <w:hyperlink r:id="rId26" w:history="1">
        <w:r w:rsidRPr="004E0CAB">
          <w:rPr>
            <w:rStyle w:val="Hyperlink"/>
            <w:rFonts w:ascii="Calibri" w:hAnsi="Calibri" w:cs="Calibri"/>
            <w:sz w:val="20"/>
            <w:szCs w:val="20"/>
          </w:rPr>
          <w:t>Trade Unions | Factsheets | CIPD</w:t>
        </w:r>
      </w:hyperlink>
      <w:r w:rsidRPr="004E0CAB">
        <w:rPr>
          <w:rFonts w:ascii="Calibri" w:hAnsi="Calibri" w:cs="Calibri"/>
          <w:sz w:val="20"/>
          <w:szCs w:val="20"/>
        </w:rPr>
        <w:t xml:space="preserve"> (Accessed 29/03/2025)</w:t>
      </w:r>
    </w:p>
    <w:p w14:paraId="24E06B27" w14:textId="77777777" w:rsidR="003515D1" w:rsidRDefault="003515D1" w:rsidP="003515D1">
      <w:pPr>
        <w:pStyle w:val="NoSpacing"/>
        <w:rPr>
          <w:rFonts w:ascii="Calibri" w:hAnsi="Calibri" w:cs="Calibri"/>
          <w:sz w:val="20"/>
          <w:szCs w:val="20"/>
        </w:rPr>
      </w:pPr>
    </w:p>
    <w:p w14:paraId="507B9042" w14:textId="77777777" w:rsidR="003515D1" w:rsidRDefault="003515D1" w:rsidP="003515D1">
      <w:pPr>
        <w:pStyle w:val="NoSpacing"/>
        <w:rPr>
          <w:rFonts w:ascii="Calibri" w:hAnsi="Calibri" w:cs="Calibri"/>
          <w:sz w:val="20"/>
          <w:szCs w:val="20"/>
        </w:rPr>
      </w:pPr>
      <w:r w:rsidRPr="00312A2D">
        <w:rPr>
          <w:rFonts w:ascii="Calibri" w:hAnsi="Calibri" w:cs="Calibri"/>
          <w:sz w:val="20"/>
          <w:szCs w:val="20"/>
        </w:rPr>
        <w:t xml:space="preserve">Daniels, K. (2022) </w:t>
      </w:r>
      <w:r w:rsidRPr="00312A2D">
        <w:rPr>
          <w:rStyle w:val="Emphasis"/>
          <w:rFonts w:ascii="Calibri" w:hAnsi="Calibri" w:cs="Calibri"/>
          <w:sz w:val="20"/>
          <w:szCs w:val="20"/>
        </w:rPr>
        <w:t>Introduction to Employment Law: Fundamentals for HR and Business Students</w:t>
      </w:r>
      <w:r w:rsidRPr="00312A2D">
        <w:rPr>
          <w:rFonts w:ascii="Calibri" w:hAnsi="Calibri" w:cs="Calibri"/>
          <w:sz w:val="20"/>
          <w:szCs w:val="20"/>
        </w:rPr>
        <w:t>. 6th edn. London: CIPD.</w:t>
      </w:r>
      <w:r>
        <w:rPr>
          <w:rFonts w:ascii="Calibri" w:hAnsi="Calibri" w:cs="Calibri"/>
          <w:sz w:val="20"/>
          <w:szCs w:val="20"/>
        </w:rPr>
        <w:t xml:space="preserve"> (Accessed 18/06/2025)</w:t>
      </w:r>
    </w:p>
    <w:p w14:paraId="2F5A0CB1" w14:textId="77777777" w:rsidR="003515D1" w:rsidRPr="00312A2D" w:rsidRDefault="003515D1" w:rsidP="003515D1">
      <w:pPr>
        <w:pStyle w:val="NoSpacing"/>
        <w:rPr>
          <w:rFonts w:ascii="Calibri" w:hAnsi="Calibri" w:cs="Calibri"/>
          <w:sz w:val="20"/>
          <w:szCs w:val="20"/>
        </w:rPr>
      </w:pPr>
    </w:p>
    <w:p w14:paraId="2CA5BE8A" w14:textId="77777777" w:rsidR="003515D1" w:rsidRPr="003B445C" w:rsidRDefault="003515D1" w:rsidP="003515D1">
      <w:pPr>
        <w:pStyle w:val="NoSpacing"/>
        <w:rPr>
          <w:rFonts w:ascii="Calibri" w:hAnsi="Calibri" w:cs="Calibri"/>
          <w:sz w:val="20"/>
          <w:szCs w:val="20"/>
        </w:rPr>
      </w:pPr>
      <w:r w:rsidRPr="003B445C">
        <w:rPr>
          <w:rFonts w:ascii="Calibri" w:hAnsi="Calibri" w:cs="Calibri"/>
          <w:sz w:val="20"/>
          <w:szCs w:val="20"/>
        </w:rPr>
        <w:t xml:space="preserve">Ferreira, J., &amp; Mitchell, C. V. (2021, April 7). 7 keys to leading business turnarounds and culture change. </w:t>
      </w:r>
      <w:r w:rsidRPr="003B445C">
        <w:rPr>
          <w:rFonts w:ascii="Calibri" w:hAnsi="Calibri" w:cs="Calibri"/>
          <w:i/>
          <w:iCs/>
          <w:sz w:val="20"/>
          <w:szCs w:val="20"/>
        </w:rPr>
        <w:t>Forbes</w:t>
      </w:r>
      <w:r w:rsidRPr="003B445C">
        <w:rPr>
          <w:rFonts w:ascii="Calibri" w:hAnsi="Calibri" w:cs="Calibri"/>
          <w:sz w:val="20"/>
          <w:szCs w:val="20"/>
        </w:rPr>
        <w:t xml:space="preserve">. </w:t>
      </w:r>
      <w:hyperlink r:id="rId27" w:tgtFrame="_new" w:history="1">
        <w:r w:rsidRPr="003B445C">
          <w:rPr>
            <w:rFonts w:ascii="Calibri" w:hAnsi="Calibri" w:cs="Calibri"/>
            <w:color w:val="0000FF"/>
            <w:sz w:val="20"/>
            <w:szCs w:val="20"/>
            <w:u w:val="single"/>
          </w:rPr>
          <w:t>https://www.forbes.com/sites/forbesbooksauthors/2021/04/07/7-keys-to-leading-business-turnarounds-and-culture-change/</w:t>
        </w:r>
      </w:hyperlink>
    </w:p>
    <w:p w14:paraId="6D8B7E9C" w14:textId="77777777" w:rsidR="003515D1" w:rsidRPr="008D4B61" w:rsidRDefault="003515D1" w:rsidP="003515D1">
      <w:pPr>
        <w:pStyle w:val="NoSpacing"/>
        <w:rPr>
          <w:rFonts w:ascii="Calibri" w:hAnsi="Calibri" w:cs="Calibri"/>
          <w:sz w:val="20"/>
          <w:szCs w:val="20"/>
        </w:rPr>
      </w:pPr>
    </w:p>
    <w:p w14:paraId="1B8515A5" w14:textId="77777777" w:rsidR="003515D1" w:rsidRPr="008D4B61" w:rsidRDefault="003515D1" w:rsidP="003515D1">
      <w:pPr>
        <w:pStyle w:val="NoSpacing"/>
        <w:rPr>
          <w:rFonts w:ascii="Calibri" w:hAnsi="Calibri" w:cs="Calibri"/>
          <w:sz w:val="20"/>
          <w:szCs w:val="20"/>
        </w:rPr>
      </w:pPr>
      <w:r w:rsidRPr="008D4B61">
        <w:rPr>
          <w:rFonts w:ascii="Calibri" w:hAnsi="Calibri" w:cs="Calibri"/>
          <w:sz w:val="20"/>
          <w:szCs w:val="20"/>
        </w:rPr>
        <w:t xml:space="preserve">GOV.UK. </w:t>
      </w:r>
      <w:hyperlink r:id="rId28" w:history="1">
        <w:r w:rsidRPr="008D4B61">
          <w:rPr>
            <w:rStyle w:val="Hyperlink"/>
            <w:sz w:val="20"/>
            <w:szCs w:val="20"/>
          </w:rPr>
          <w:t>Raise a grievance at work: Overview - GOV.UK</w:t>
        </w:r>
      </w:hyperlink>
      <w:r w:rsidRPr="008D4B61">
        <w:rPr>
          <w:sz w:val="20"/>
          <w:szCs w:val="20"/>
        </w:rPr>
        <w:t xml:space="preserve"> (Accessed 05/04/202</w:t>
      </w:r>
      <w:r>
        <w:rPr>
          <w:sz w:val="20"/>
          <w:szCs w:val="20"/>
        </w:rPr>
        <w:t>5</w:t>
      </w:r>
      <w:r w:rsidRPr="008D4B61">
        <w:rPr>
          <w:sz w:val="20"/>
          <w:szCs w:val="20"/>
        </w:rPr>
        <w:t>)</w:t>
      </w:r>
    </w:p>
    <w:p w14:paraId="5B9C0EDE" w14:textId="77777777" w:rsidR="003515D1" w:rsidRPr="001B3BA8" w:rsidRDefault="003515D1" w:rsidP="003515D1">
      <w:pPr>
        <w:pStyle w:val="NoSpacing"/>
        <w:rPr>
          <w:rFonts w:ascii="Calibri" w:hAnsi="Calibri" w:cs="Calibri"/>
          <w:sz w:val="20"/>
          <w:szCs w:val="20"/>
        </w:rPr>
      </w:pPr>
    </w:p>
    <w:p w14:paraId="0CF32FC5" w14:textId="77777777" w:rsidR="003515D1" w:rsidRDefault="003515D1" w:rsidP="003515D1">
      <w:pPr>
        <w:pStyle w:val="NoSpacing"/>
        <w:rPr>
          <w:rFonts w:ascii="Calibri" w:hAnsi="Calibri" w:cs="Calibri"/>
          <w:sz w:val="20"/>
          <w:szCs w:val="20"/>
        </w:rPr>
      </w:pPr>
      <w:r w:rsidRPr="001B3BA8">
        <w:rPr>
          <w:rFonts w:ascii="Calibri" w:hAnsi="Calibri" w:cs="Calibri"/>
          <w:sz w:val="20"/>
          <w:szCs w:val="20"/>
        </w:rPr>
        <w:t xml:space="preserve">GOV.UK. </w:t>
      </w:r>
      <w:hyperlink r:id="rId29" w:history="1">
        <w:r w:rsidRPr="001B3BA8">
          <w:rPr>
            <w:rStyle w:val="Hyperlink"/>
            <w:rFonts w:ascii="Calibri" w:hAnsi="Calibri" w:cs="Calibri"/>
            <w:sz w:val="20"/>
            <w:szCs w:val="20"/>
          </w:rPr>
          <w:t>Solve a workplace dispute: Mediation, conciliation and arbitration - GOV.UK</w:t>
        </w:r>
      </w:hyperlink>
      <w:r>
        <w:rPr>
          <w:rFonts w:ascii="Calibri" w:hAnsi="Calibri" w:cs="Calibri"/>
          <w:sz w:val="20"/>
          <w:szCs w:val="20"/>
        </w:rPr>
        <w:t xml:space="preserve"> (Accessed 01/04/2025)</w:t>
      </w:r>
    </w:p>
    <w:p w14:paraId="687C593A" w14:textId="77777777" w:rsidR="003515D1" w:rsidRDefault="003515D1" w:rsidP="003515D1">
      <w:pPr>
        <w:pStyle w:val="NoSpacing"/>
        <w:rPr>
          <w:rFonts w:ascii="Calibri" w:hAnsi="Calibri" w:cs="Calibri"/>
          <w:sz w:val="20"/>
          <w:szCs w:val="20"/>
        </w:rPr>
      </w:pPr>
    </w:p>
    <w:p w14:paraId="0577FCE9" w14:textId="77777777" w:rsidR="003515D1" w:rsidRPr="008D4B61" w:rsidRDefault="003515D1" w:rsidP="003515D1">
      <w:pPr>
        <w:pStyle w:val="NoSpacing"/>
        <w:rPr>
          <w:rFonts w:ascii="Calibri" w:hAnsi="Calibri" w:cs="Calibri"/>
          <w:sz w:val="20"/>
          <w:szCs w:val="20"/>
        </w:rPr>
      </w:pPr>
      <w:r w:rsidRPr="008D4B61">
        <w:rPr>
          <w:rFonts w:ascii="Calibri" w:hAnsi="Calibri" w:cs="Calibri"/>
          <w:sz w:val="20"/>
          <w:szCs w:val="20"/>
        </w:rPr>
        <w:t xml:space="preserve">HR Digest. </w:t>
      </w:r>
      <w:hyperlink r:id="rId30" w:history="1">
        <w:r w:rsidRPr="008D4B61">
          <w:rPr>
            <w:rStyle w:val="Hyperlink"/>
            <w:rFonts w:ascii="Calibri" w:hAnsi="Calibri" w:cs="Calibri"/>
            <w:sz w:val="20"/>
            <w:szCs w:val="20"/>
          </w:rPr>
          <w:t>What are the leading causes of employee grievances?</w:t>
        </w:r>
      </w:hyperlink>
      <w:r w:rsidRPr="008D4B61">
        <w:rPr>
          <w:rFonts w:ascii="Calibri" w:hAnsi="Calibri" w:cs="Calibri"/>
          <w:sz w:val="20"/>
          <w:szCs w:val="20"/>
        </w:rPr>
        <w:t xml:space="preserve"> (Accessed 06/04/2025)</w:t>
      </w:r>
    </w:p>
    <w:p w14:paraId="672E2D44" w14:textId="77777777" w:rsidR="003515D1" w:rsidRDefault="003515D1" w:rsidP="003515D1">
      <w:pPr>
        <w:pStyle w:val="NoSpacing"/>
        <w:rPr>
          <w:rFonts w:ascii="Calibri" w:hAnsi="Calibri" w:cs="Calibri"/>
          <w:sz w:val="20"/>
          <w:szCs w:val="20"/>
        </w:rPr>
      </w:pPr>
    </w:p>
    <w:p w14:paraId="718B7380" w14:textId="77777777" w:rsidR="003515D1" w:rsidRDefault="003515D1" w:rsidP="003515D1">
      <w:pPr>
        <w:pStyle w:val="NoSpacing"/>
        <w:rPr>
          <w:rFonts w:ascii="Calibri" w:hAnsi="Calibri" w:cs="Calibri"/>
          <w:sz w:val="20"/>
          <w:szCs w:val="20"/>
        </w:rPr>
      </w:pPr>
      <w:r w:rsidRPr="00F1677A">
        <w:rPr>
          <w:rFonts w:ascii="Calibri" w:hAnsi="Calibri" w:cs="Calibri"/>
          <w:sz w:val="20"/>
          <w:szCs w:val="20"/>
        </w:rPr>
        <w:t xml:space="preserve">HR Magazine. Breaking the silence. Available at: </w:t>
      </w:r>
      <w:hyperlink r:id="rId31" w:history="1">
        <w:r w:rsidRPr="00F1677A">
          <w:rPr>
            <w:rStyle w:val="Hyperlink"/>
            <w:rFonts w:ascii="Calibri" w:hAnsi="Calibri" w:cs="Calibri"/>
            <w:sz w:val="20"/>
            <w:szCs w:val="20"/>
          </w:rPr>
          <w:t>HR Magazine - Breaking the silence: Employee voice</w:t>
        </w:r>
      </w:hyperlink>
      <w:r w:rsidRPr="00F1677A">
        <w:rPr>
          <w:rFonts w:ascii="Calibri" w:hAnsi="Calibri" w:cs="Calibri"/>
          <w:sz w:val="20"/>
          <w:szCs w:val="20"/>
        </w:rPr>
        <w:t xml:space="preserve"> (Accessed 28/03/205)</w:t>
      </w:r>
    </w:p>
    <w:p w14:paraId="0DDAE1A0" w14:textId="77777777" w:rsidR="003515D1" w:rsidRPr="0014517A" w:rsidRDefault="003515D1" w:rsidP="003515D1">
      <w:pPr>
        <w:pStyle w:val="NoSpacing"/>
        <w:rPr>
          <w:rFonts w:ascii="Calibri" w:hAnsi="Calibri" w:cs="Calibri"/>
          <w:sz w:val="20"/>
          <w:szCs w:val="20"/>
        </w:rPr>
      </w:pPr>
    </w:p>
    <w:p w14:paraId="210E6ECD" w14:textId="77777777" w:rsidR="003515D1" w:rsidRPr="0014517A" w:rsidRDefault="003515D1" w:rsidP="003515D1">
      <w:pPr>
        <w:pStyle w:val="NoSpacing"/>
        <w:rPr>
          <w:rFonts w:ascii="Calibri" w:hAnsi="Calibri" w:cs="Calibri"/>
          <w:sz w:val="20"/>
          <w:szCs w:val="20"/>
        </w:rPr>
      </w:pPr>
      <w:r w:rsidRPr="0014517A">
        <w:rPr>
          <w:rFonts w:ascii="Calibri" w:hAnsi="Calibri" w:cs="Calibri"/>
          <w:sz w:val="20"/>
          <w:szCs w:val="20"/>
        </w:rPr>
        <w:t xml:space="preserve">Indeed. A guide to good management. Available at </w:t>
      </w:r>
      <w:hyperlink r:id="rId32" w:history="1">
        <w:r w:rsidRPr="0014517A">
          <w:rPr>
            <w:rStyle w:val="Hyperlink"/>
            <w:rFonts w:ascii="Calibri" w:hAnsi="Calibri" w:cs="Calibri"/>
            <w:sz w:val="20"/>
            <w:szCs w:val="20"/>
          </w:rPr>
          <w:t>A Guide to Good Management Practices</w:t>
        </w:r>
      </w:hyperlink>
      <w:r w:rsidRPr="0014517A">
        <w:rPr>
          <w:rFonts w:ascii="Calibri" w:hAnsi="Calibri" w:cs="Calibri"/>
          <w:sz w:val="20"/>
          <w:szCs w:val="20"/>
        </w:rPr>
        <w:t xml:space="preserve"> (Accessed 29/03/2025)</w:t>
      </w:r>
    </w:p>
    <w:p w14:paraId="41BD6060" w14:textId="77777777" w:rsidR="003515D1" w:rsidRDefault="003515D1" w:rsidP="003515D1">
      <w:pPr>
        <w:pStyle w:val="NoSpacing"/>
        <w:rPr>
          <w:rFonts w:ascii="Calibri" w:hAnsi="Calibri" w:cs="Calibri"/>
          <w:sz w:val="20"/>
          <w:szCs w:val="20"/>
        </w:rPr>
      </w:pPr>
    </w:p>
    <w:p w14:paraId="19271BAB" w14:textId="77777777" w:rsidR="003515D1" w:rsidRDefault="003515D1" w:rsidP="003515D1">
      <w:pPr>
        <w:pStyle w:val="NoSpacing"/>
        <w:rPr>
          <w:rFonts w:ascii="Calibri" w:hAnsi="Calibri" w:cs="Calibri"/>
          <w:sz w:val="20"/>
          <w:szCs w:val="20"/>
        </w:rPr>
      </w:pPr>
      <w:r w:rsidRPr="001B3BA8">
        <w:rPr>
          <w:rFonts w:ascii="Calibri" w:hAnsi="Calibri" w:cs="Calibri"/>
          <w:sz w:val="20"/>
          <w:szCs w:val="20"/>
        </w:rPr>
        <w:t xml:space="preserve">Indeed, 2025. </w:t>
      </w:r>
      <w:hyperlink r:id="rId33" w:history="1">
        <w:r w:rsidRPr="001B3BA8">
          <w:rPr>
            <w:rStyle w:val="Hyperlink"/>
            <w:rFonts w:ascii="Calibri" w:hAnsi="Calibri" w:cs="Calibri"/>
            <w:sz w:val="20"/>
            <w:szCs w:val="20"/>
          </w:rPr>
          <w:t>Grievance at work: examples, causes and ways to avoid them | Indeed.com UK</w:t>
        </w:r>
      </w:hyperlink>
      <w:r w:rsidRPr="001B3BA8">
        <w:rPr>
          <w:rFonts w:ascii="Calibri" w:hAnsi="Calibri" w:cs="Calibri"/>
          <w:sz w:val="20"/>
          <w:szCs w:val="20"/>
        </w:rPr>
        <w:t xml:space="preserve"> (Accessed 01/04/2025)</w:t>
      </w:r>
    </w:p>
    <w:p w14:paraId="0C5D2BF7" w14:textId="77777777" w:rsidR="003515D1" w:rsidRPr="00B9610A" w:rsidRDefault="003515D1" w:rsidP="003515D1">
      <w:pPr>
        <w:pStyle w:val="NoSpacing"/>
        <w:rPr>
          <w:rFonts w:ascii="Calibri" w:hAnsi="Calibri" w:cs="Calibri"/>
          <w:sz w:val="20"/>
          <w:szCs w:val="20"/>
        </w:rPr>
      </w:pPr>
    </w:p>
    <w:p w14:paraId="6D6C6916" w14:textId="77777777" w:rsidR="003515D1" w:rsidRDefault="003515D1" w:rsidP="003515D1">
      <w:pPr>
        <w:pStyle w:val="NoSpacing"/>
        <w:rPr>
          <w:sz w:val="20"/>
          <w:szCs w:val="20"/>
        </w:rPr>
      </w:pPr>
      <w:r w:rsidRPr="00B9610A">
        <w:rPr>
          <w:sz w:val="20"/>
          <w:szCs w:val="20"/>
        </w:rPr>
        <w:t xml:space="preserve">Jones, S.E. and Perkins, S.J. (2024) </w:t>
      </w:r>
      <w:r w:rsidRPr="00B9610A">
        <w:rPr>
          <w:rStyle w:val="Emphasis"/>
          <w:sz w:val="20"/>
          <w:szCs w:val="20"/>
        </w:rPr>
        <w:t>Reward Management: Alternatives, Consequences and Contexts</w:t>
      </w:r>
      <w:r w:rsidRPr="00B9610A">
        <w:rPr>
          <w:sz w:val="20"/>
          <w:szCs w:val="20"/>
        </w:rPr>
        <w:t>. 5th edn. London: CIPD. (Accessed 15/06/2025)</w:t>
      </w:r>
    </w:p>
    <w:p w14:paraId="73086055" w14:textId="77777777" w:rsidR="003515D1" w:rsidRPr="00DB1436" w:rsidRDefault="003515D1" w:rsidP="003515D1">
      <w:pPr>
        <w:pStyle w:val="NoSpacing"/>
        <w:rPr>
          <w:rFonts w:ascii="Calibri" w:hAnsi="Calibri" w:cs="Calibri"/>
          <w:sz w:val="20"/>
          <w:szCs w:val="20"/>
        </w:rPr>
      </w:pPr>
    </w:p>
    <w:p w14:paraId="23649A16" w14:textId="77777777" w:rsidR="003515D1" w:rsidRPr="00DB1436" w:rsidRDefault="003515D1" w:rsidP="003515D1">
      <w:pPr>
        <w:pStyle w:val="NoSpacing"/>
        <w:rPr>
          <w:rFonts w:ascii="Calibri" w:hAnsi="Calibri" w:cs="Calibri"/>
          <w:sz w:val="20"/>
          <w:szCs w:val="20"/>
        </w:rPr>
      </w:pPr>
      <w:r w:rsidRPr="00DB1436">
        <w:rPr>
          <w:rFonts w:ascii="Calibri" w:hAnsi="Calibri" w:cs="Calibri"/>
          <w:sz w:val="20"/>
          <w:szCs w:val="20"/>
        </w:rPr>
        <w:t xml:space="preserve">Kew, J. and Stredwick, J. (2016) </w:t>
      </w:r>
      <w:r w:rsidRPr="00DB1436">
        <w:rPr>
          <w:rStyle w:val="Emphasis"/>
          <w:rFonts w:ascii="Calibri" w:hAnsi="Calibri" w:cs="Calibri"/>
          <w:sz w:val="20"/>
          <w:szCs w:val="20"/>
        </w:rPr>
        <w:t>Human Resource Management in a Business Context</w:t>
      </w:r>
      <w:r w:rsidRPr="00DB1436">
        <w:rPr>
          <w:rFonts w:ascii="Calibri" w:hAnsi="Calibri" w:cs="Calibri"/>
          <w:sz w:val="20"/>
          <w:szCs w:val="20"/>
        </w:rPr>
        <w:t>. 3rd edn. London: CIPD.</w:t>
      </w:r>
      <w:r>
        <w:rPr>
          <w:rFonts w:ascii="Calibri" w:hAnsi="Calibri" w:cs="Calibri"/>
          <w:sz w:val="20"/>
          <w:szCs w:val="20"/>
        </w:rPr>
        <w:t xml:space="preserve"> (Accessed 18/06/2025)</w:t>
      </w:r>
    </w:p>
    <w:p w14:paraId="6578058C" w14:textId="77777777" w:rsidR="003515D1" w:rsidRDefault="003515D1" w:rsidP="003515D1">
      <w:pPr>
        <w:pStyle w:val="NoSpacing"/>
        <w:rPr>
          <w:rFonts w:ascii="Calibri" w:hAnsi="Calibri" w:cs="Calibri"/>
          <w:sz w:val="20"/>
          <w:szCs w:val="20"/>
        </w:rPr>
      </w:pPr>
    </w:p>
    <w:p w14:paraId="4879B79B" w14:textId="77777777" w:rsidR="003515D1" w:rsidRPr="00BA7FAE" w:rsidRDefault="003515D1" w:rsidP="003515D1">
      <w:pPr>
        <w:pStyle w:val="NoSpacing"/>
        <w:rPr>
          <w:sz w:val="20"/>
          <w:szCs w:val="20"/>
        </w:rPr>
      </w:pPr>
      <w:r w:rsidRPr="00BA7FAE">
        <w:rPr>
          <w:sz w:val="20"/>
          <w:szCs w:val="20"/>
        </w:rPr>
        <w:t xml:space="preserve">Marchington, M., Wilkinson, A., Donnelly, R. and Kynighou, A. (2021) </w:t>
      </w:r>
      <w:r w:rsidRPr="00BA7FAE">
        <w:rPr>
          <w:rStyle w:val="Emphasis"/>
          <w:sz w:val="20"/>
          <w:szCs w:val="20"/>
        </w:rPr>
        <w:t>Human Resource Management at Work: The Definitive Guide</w:t>
      </w:r>
      <w:r w:rsidRPr="00BA7FAE">
        <w:rPr>
          <w:sz w:val="20"/>
          <w:szCs w:val="20"/>
        </w:rPr>
        <w:t>. 7th edn. London: CIPD.</w:t>
      </w:r>
      <w:r>
        <w:rPr>
          <w:sz w:val="20"/>
          <w:szCs w:val="20"/>
        </w:rPr>
        <w:t xml:space="preserve"> (Accessed 17/06/2025)</w:t>
      </w:r>
    </w:p>
    <w:p w14:paraId="008596CB" w14:textId="77777777" w:rsidR="003515D1" w:rsidRPr="0014517A" w:rsidRDefault="003515D1" w:rsidP="003515D1">
      <w:pPr>
        <w:pStyle w:val="NoSpacing"/>
        <w:rPr>
          <w:rFonts w:ascii="Calibri" w:hAnsi="Calibri" w:cs="Calibri"/>
          <w:sz w:val="20"/>
          <w:szCs w:val="20"/>
        </w:rPr>
      </w:pPr>
    </w:p>
    <w:p w14:paraId="1FF6A94A" w14:textId="77777777" w:rsidR="003515D1" w:rsidRDefault="003515D1" w:rsidP="003515D1">
      <w:pPr>
        <w:pStyle w:val="NoSpacing"/>
        <w:rPr>
          <w:rFonts w:ascii="Calibri" w:hAnsi="Calibri" w:cs="Calibri"/>
          <w:sz w:val="20"/>
          <w:szCs w:val="20"/>
        </w:rPr>
      </w:pPr>
      <w:r w:rsidRPr="00EC7317">
        <w:rPr>
          <w:rFonts w:ascii="Calibri" w:hAnsi="Calibri" w:cs="Calibri"/>
          <w:sz w:val="20"/>
          <w:szCs w:val="20"/>
        </w:rPr>
        <w:t xml:space="preserve">Muller-Heyndyk, R., 2019. Employers failing to give staff a voice at work. </w:t>
      </w:r>
      <w:r w:rsidRPr="00EC7317">
        <w:rPr>
          <w:rFonts w:ascii="Calibri" w:hAnsi="Calibri" w:cs="Calibri"/>
          <w:i/>
          <w:iCs/>
          <w:sz w:val="20"/>
          <w:szCs w:val="20"/>
        </w:rPr>
        <w:t>HR Magazine</w:t>
      </w:r>
      <w:r w:rsidRPr="00EC7317">
        <w:rPr>
          <w:rFonts w:ascii="Calibri" w:hAnsi="Calibri" w:cs="Calibri"/>
          <w:sz w:val="20"/>
          <w:szCs w:val="20"/>
        </w:rPr>
        <w:t xml:space="preserve">. Available at: </w:t>
      </w:r>
      <w:hyperlink r:id="rId34" w:tgtFrame="_new" w:history="1">
        <w:r w:rsidRPr="00EC7317">
          <w:rPr>
            <w:rFonts w:ascii="Calibri" w:hAnsi="Calibri" w:cs="Calibri"/>
            <w:color w:val="0000FF"/>
            <w:sz w:val="20"/>
            <w:szCs w:val="20"/>
            <w:u w:val="single"/>
          </w:rPr>
          <w:t>https://www.hrmagazine.co.uk/content/news/employers-failing-to-give-staff-a-voice-at-work</w:t>
        </w:r>
      </w:hyperlink>
      <w:r w:rsidRPr="00EC7317">
        <w:rPr>
          <w:rFonts w:ascii="Calibri" w:hAnsi="Calibri" w:cs="Calibri"/>
          <w:sz w:val="20"/>
          <w:szCs w:val="20"/>
        </w:rPr>
        <w:t xml:space="preserve"> [Accessed 7 May 2025].</w:t>
      </w:r>
    </w:p>
    <w:p w14:paraId="54C9308F" w14:textId="77777777" w:rsidR="003515D1" w:rsidRPr="00BA7FAE" w:rsidRDefault="003515D1" w:rsidP="003515D1">
      <w:pPr>
        <w:spacing w:before="100" w:beforeAutospacing="1" w:after="100" w:afterAutospacing="1" w:line="240" w:lineRule="auto"/>
        <w:rPr>
          <w:rFonts w:ascii="Calibri" w:eastAsia="Times New Roman" w:hAnsi="Calibri" w:cs="Calibri"/>
          <w:kern w:val="0"/>
          <w:sz w:val="20"/>
          <w:szCs w:val="20"/>
          <w:lang w:eastAsia="en-GB"/>
          <w14:ligatures w14:val="none"/>
        </w:rPr>
      </w:pPr>
      <w:r w:rsidRPr="00A166EB">
        <w:rPr>
          <w:rFonts w:ascii="Calibri" w:eastAsia="Times New Roman" w:hAnsi="Calibri" w:cs="Calibri"/>
          <w:kern w:val="0"/>
          <w:sz w:val="20"/>
          <w:szCs w:val="20"/>
          <w:lang w:eastAsia="en-GB"/>
          <w14:ligatures w14:val="none"/>
        </w:rPr>
        <w:t xml:space="preserve">Rebello, K.P., 2021. The impact of culture in the workplace. </w:t>
      </w:r>
      <w:r w:rsidRPr="00A166EB">
        <w:rPr>
          <w:rFonts w:ascii="Calibri" w:eastAsia="Times New Roman" w:hAnsi="Calibri" w:cs="Calibri"/>
          <w:i/>
          <w:iCs/>
          <w:kern w:val="0"/>
          <w:sz w:val="20"/>
          <w:szCs w:val="20"/>
          <w:lang w:eastAsia="en-GB"/>
          <w14:ligatures w14:val="none"/>
        </w:rPr>
        <w:t>Forbes</w:t>
      </w:r>
      <w:r w:rsidRPr="00A166EB">
        <w:rPr>
          <w:rFonts w:ascii="Calibri" w:eastAsia="Times New Roman" w:hAnsi="Calibri" w:cs="Calibri"/>
          <w:kern w:val="0"/>
          <w:sz w:val="20"/>
          <w:szCs w:val="20"/>
          <w:lang w:eastAsia="en-GB"/>
          <w14:ligatures w14:val="none"/>
        </w:rPr>
        <w:t xml:space="preserve">. Available at: </w:t>
      </w:r>
      <w:hyperlink r:id="rId35" w:tgtFrame="_new" w:history="1">
        <w:r w:rsidRPr="00BA7FAE">
          <w:rPr>
            <w:rFonts w:ascii="Calibri" w:eastAsia="Times New Roman" w:hAnsi="Calibri" w:cs="Calibri"/>
            <w:color w:val="0000FF"/>
            <w:kern w:val="0"/>
            <w:sz w:val="20"/>
            <w:szCs w:val="20"/>
            <w:u w:val="single"/>
            <w:lang w:eastAsia="en-GB"/>
            <w14:ligatures w14:val="none"/>
          </w:rPr>
          <w:t>https://www.forbes.com/councils/forbesbusinessdevelopmentcouncil/2021/12/01/the-impact-of-culture-in-the-workplace/</w:t>
        </w:r>
      </w:hyperlink>
      <w:r w:rsidRPr="00BA7FAE">
        <w:rPr>
          <w:rFonts w:ascii="Calibri" w:eastAsia="Times New Roman" w:hAnsi="Calibri" w:cs="Calibri"/>
          <w:kern w:val="0"/>
          <w:sz w:val="20"/>
          <w:szCs w:val="20"/>
          <w:lang w:eastAsia="en-GB"/>
          <w14:ligatures w14:val="none"/>
        </w:rPr>
        <w:t xml:space="preserve"> [Accessed 7 May 2025].</w:t>
      </w:r>
    </w:p>
    <w:p w14:paraId="4558B787" w14:textId="77777777" w:rsidR="003515D1" w:rsidRDefault="003515D1" w:rsidP="003515D1">
      <w:pPr>
        <w:spacing w:before="100" w:beforeAutospacing="1" w:after="100" w:afterAutospacing="1" w:line="240" w:lineRule="auto"/>
        <w:rPr>
          <w:sz w:val="20"/>
          <w:szCs w:val="20"/>
        </w:rPr>
      </w:pPr>
      <w:r w:rsidRPr="00BA7FAE">
        <w:rPr>
          <w:sz w:val="20"/>
          <w:szCs w:val="20"/>
        </w:rPr>
        <w:t xml:space="preserve">Taylor, S. and Woodhams, C. (2022) </w:t>
      </w:r>
      <w:r w:rsidRPr="00BA7FAE">
        <w:rPr>
          <w:rStyle w:val="Emphasis"/>
          <w:sz w:val="20"/>
          <w:szCs w:val="20"/>
        </w:rPr>
        <w:t>Human Resource Management: People and Organisations</w:t>
      </w:r>
      <w:r w:rsidRPr="00BA7FAE">
        <w:rPr>
          <w:sz w:val="20"/>
          <w:szCs w:val="20"/>
        </w:rPr>
        <w:t>. 3rd edn. London: CIPD. (Accessed 17/06/2025)</w:t>
      </w:r>
    </w:p>
    <w:p w14:paraId="77858277" w14:textId="77777777" w:rsidR="003515D1" w:rsidRPr="00B9610A" w:rsidRDefault="003515D1" w:rsidP="003515D1">
      <w:pPr>
        <w:spacing w:before="100" w:beforeAutospacing="1" w:after="100" w:afterAutospacing="1" w:line="240" w:lineRule="auto"/>
        <w:rPr>
          <w:rFonts w:ascii="Calibri" w:hAnsi="Calibri" w:cs="Calibri"/>
          <w:sz w:val="20"/>
          <w:szCs w:val="20"/>
        </w:rPr>
      </w:pPr>
      <w:r w:rsidRPr="00B9610A">
        <w:rPr>
          <w:rFonts w:ascii="Calibri" w:hAnsi="Calibri" w:cs="Calibri"/>
          <w:sz w:val="20"/>
          <w:szCs w:val="20"/>
        </w:rPr>
        <w:t xml:space="preserve">Taylor, S. (2025) </w:t>
      </w:r>
      <w:r w:rsidRPr="00B9610A">
        <w:rPr>
          <w:rStyle w:val="Emphasis"/>
          <w:rFonts w:ascii="Calibri" w:hAnsi="Calibri" w:cs="Calibri"/>
          <w:sz w:val="20"/>
          <w:szCs w:val="20"/>
        </w:rPr>
        <w:t>Resourcing and Talent Management: The Theory and Practice of Recruiting and Developing a Workforce</w:t>
      </w:r>
      <w:r w:rsidRPr="00B9610A">
        <w:rPr>
          <w:rFonts w:ascii="Calibri" w:hAnsi="Calibri" w:cs="Calibri"/>
          <w:sz w:val="20"/>
          <w:szCs w:val="20"/>
        </w:rPr>
        <w:t>. 9th edn. London: CIPD. (Accessed 17/06/2025)</w:t>
      </w:r>
    </w:p>
    <w:p w14:paraId="57EB19EC" w14:textId="77777777" w:rsidR="003515D1" w:rsidRPr="0014517A" w:rsidRDefault="003515D1" w:rsidP="003515D1">
      <w:pPr>
        <w:pStyle w:val="NoSpacing"/>
        <w:rPr>
          <w:rFonts w:ascii="Calibri" w:hAnsi="Calibri" w:cs="Calibri"/>
          <w:sz w:val="20"/>
          <w:szCs w:val="20"/>
        </w:rPr>
      </w:pPr>
      <w:r w:rsidRPr="0014517A">
        <w:rPr>
          <w:rFonts w:ascii="Calibri" w:hAnsi="Calibri" w:cs="Calibri"/>
          <w:sz w:val="20"/>
          <w:szCs w:val="20"/>
        </w:rPr>
        <w:t>Sarasswatti, G. Forbes. Available at</w:t>
      </w:r>
    </w:p>
    <w:p w14:paraId="714E54F6" w14:textId="77777777" w:rsidR="003515D1" w:rsidRPr="0014517A" w:rsidRDefault="003515D1" w:rsidP="003515D1">
      <w:pPr>
        <w:pStyle w:val="NoSpacing"/>
        <w:rPr>
          <w:rFonts w:ascii="Calibri" w:hAnsi="Calibri" w:cs="Calibri"/>
          <w:sz w:val="20"/>
          <w:szCs w:val="20"/>
        </w:rPr>
      </w:pPr>
      <w:hyperlink r:id="rId36" w:history="1">
        <w:r w:rsidRPr="0014517A">
          <w:rPr>
            <w:rStyle w:val="Hyperlink"/>
            <w:rFonts w:ascii="Calibri" w:hAnsi="Calibri" w:cs="Calibri"/>
            <w:sz w:val="20"/>
            <w:szCs w:val="20"/>
          </w:rPr>
          <w:t>forbes.com/consent/ketch/?toURL=https://www.forbes.com/councils/forbesbusinesscouncil/2022/07/01/five-reasons-offering-career-development-to-employees-benefits-companies/</w:t>
        </w:r>
      </w:hyperlink>
      <w:r w:rsidRPr="0014517A">
        <w:rPr>
          <w:rFonts w:ascii="Calibri" w:hAnsi="Calibri" w:cs="Calibri"/>
          <w:sz w:val="20"/>
          <w:szCs w:val="20"/>
        </w:rPr>
        <w:t xml:space="preserve"> (Accessed 29/03/2025)</w:t>
      </w:r>
    </w:p>
    <w:p w14:paraId="651E6696" w14:textId="77777777" w:rsidR="003515D1" w:rsidRPr="0014517A" w:rsidRDefault="003515D1" w:rsidP="003515D1">
      <w:pPr>
        <w:pStyle w:val="NoSpacing"/>
        <w:rPr>
          <w:rFonts w:ascii="Calibri" w:hAnsi="Calibri" w:cs="Calibri"/>
          <w:sz w:val="20"/>
          <w:szCs w:val="20"/>
        </w:rPr>
      </w:pPr>
    </w:p>
    <w:p w14:paraId="5A528732" w14:textId="77777777" w:rsidR="003515D1" w:rsidRDefault="003515D1" w:rsidP="003515D1">
      <w:pPr>
        <w:pStyle w:val="NoSpacing"/>
        <w:rPr>
          <w:rFonts w:ascii="Calibri" w:hAnsi="Calibri" w:cs="Calibri"/>
          <w:sz w:val="20"/>
          <w:szCs w:val="20"/>
        </w:rPr>
      </w:pPr>
      <w:r w:rsidRPr="0014517A">
        <w:rPr>
          <w:rFonts w:ascii="Calibri" w:hAnsi="Calibri" w:cs="Calibri"/>
          <w:sz w:val="20"/>
          <w:szCs w:val="20"/>
        </w:rPr>
        <w:t xml:space="preserve">Unison. What is a trade union. Available at: </w:t>
      </w:r>
      <w:hyperlink r:id="rId37" w:history="1">
        <w:r w:rsidRPr="0014517A">
          <w:rPr>
            <w:rStyle w:val="Hyperlink"/>
            <w:rFonts w:ascii="Calibri" w:hAnsi="Calibri" w:cs="Calibri"/>
            <w:sz w:val="20"/>
            <w:szCs w:val="20"/>
          </w:rPr>
          <w:t>What is a trade union? | What we do | UNISON National</w:t>
        </w:r>
      </w:hyperlink>
      <w:r w:rsidRPr="0014517A">
        <w:rPr>
          <w:rFonts w:ascii="Calibri" w:hAnsi="Calibri" w:cs="Calibri"/>
          <w:sz w:val="20"/>
          <w:szCs w:val="20"/>
        </w:rPr>
        <w:t xml:space="preserve"> (Accessed 29/03/2025)</w:t>
      </w:r>
    </w:p>
    <w:p w14:paraId="2B1968ED" w14:textId="77777777" w:rsidR="003515D1" w:rsidRDefault="003515D1" w:rsidP="003515D1">
      <w:pPr>
        <w:pStyle w:val="NoSpacing"/>
        <w:rPr>
          <w:rFonts w:ascii="Calibri" w:hAnsi="Calibri" w:cs="Calibri"/>
          <w:sz w:val="20"/>
          <w:szCs w:val="20"/>
        </w:rPr>
      </w:pPr>
    </w:p>
    <w:p w14:paraId="08DB04D2" w14:textId="77777777" w:rsidR="003515D1" w:rsidRPr="00DB1436" w:rsidRDefault="003515D1" w:rsidP="003515D1">
      <w:pPr>
        <w:pStyle w:val="NoSpacing"/>
        <w:rPr>
          <w:rFonts w:ascii="Calibri" w:hAnsi="Calibri" w:cs="Calibri"/>
          <w:sz w:val="20"/>
          <w:szCs w:val="20"/>
        </w:rPr>
      </w:pPr>
      <w:r w:rsidRPr="00DB1436">
        <w:rPr>
          <w:sz w:val="20"/>
          <w:szCs w:val="20"/>
        </w:rPr>
        <w:t xml:space="preserve">Waite, K., Beevers, K., Small, N., Tomlinson, K. and Hussain, S. (2021) </w:t>
      </w:r>
      <w:r w:rsidRPr="00DB1436">
        <w:rPr>
          <w:rStyle w:val="Emphasis"/>
          <w:sz w:val="20"/>
          <w:szCs w:val="20"/>
        </w:rPr>
        <w:t>People Practice: A Complete Guide</w:t>
      </w:r>
      <w:r w:rsidRPr="00DB1436">
        <w:rPr>
          <w:sz w:val="20"/>
          <w:szCs w:val="20"/>
        </w:rPr>
        <w:t>. 3rd edn. London: CIPD. (Accessed 18/06/2025)</w:t>
      </w:r>
    </w:p>
    <w:p w14:paraId="2FCDCB8E" w14:textId="77777777" w:rsidR="003515D1" w:rsidRDefault="003515D1" w:rsidP="00D4318D">
      <w:pPr>
        <w:pStyle w:val="NoSpacing"/>
        <w:rPr>
          <w:rFonts w:ascii="Calibri" w:hAnsi="Calibri" w:cs="Calibri"/>
          <w:sz w:val="22"/>
          <w:szCs w:val="22"/>
        </w:rPr>
      </w:pPr>
    </w:p>
    <w:p w14:paraId="57C3021C" w14:textId="77777777" w:rsidR="00701A0B" w:rsidRDefault="00701A0B" w:rsidP="00D4318D">
      <w:pPr>
        <w:pStyle w:val="NoSpacing"/>
        <w:rPr>
          <w:rFonts w:ascii="Calibri" w:hAnsi="Calibri" w:cs="Calibri"/>
          <w:sz w:val="22"/>
          <w:szCs w:val="22"/>
        </w:rPr>
      </w:pPr>
    </w:p>
    <w:p w14:paraId="0914EF49" w14:textId="143E174A" w:rsidR="004E0CAB" w:rsidRPr="0014517A" w:rsidRDefault="004E0CAB" w:rsidP="00D4318D">
      <w:pPr>
        <w:pStyle w:val="NoSpacing"/>
        <w:rPr>
          <w:rFonts w:ascii="Calibri" w:hAnsi="Calibri" w:cs="Calibri"/>
          <w:sz w:val="20"/>
          <w:szCs w:val="20"/>
        </w:rPr>
      </w:pPr>
    </w:p>
    <w:sectPr w:rsidR="004E0CAB" w:rsidRPr="001451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0A111" w14:textId="77777777" w:rsidR="006E7396" w:rsidRDefault="006E7396" w:rsidP="0099434A">
      <w:pPr>
        <w:spacing w:after="0" w:line="240" w:lineRule="auto"/>
      </w:pPr>
      <w:r>
        <w:separator/>
      </w:r>
    </w:p>
  </w:endnote>
  <w:endnote w:type="continuationSeparator" w:id="0">
    <w:p w14:paraId="54809345" w14:textId="77777777" w:rsidR="006E7396" w:rsidRDefault="006E7396" w:rsidP="00994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2BE92" w14:textId="77777777" w:rsidR="006E7396" w:rsidRDefault="006E7396" w:rsidP="0099434A">
      <w:pPr>
        <w:spacing w:after="0" w:line="240" w:lineRule="auto"/>
      </w:pPr>
      <w:r>
        <w:separator/>
      </w:r>
    </w:p>
  </w:footnote>
  <w:footnote w:type="continuationSeparator" w:id="0">
    <w:p w14:paraId="3D8D623E" w14:textId="77777777" w:rsidR="006E7396" w:rsidRDefault="006E7396" w:rsidP="009943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64A6F"/>
    <w:multiLevelType w:val="multilevel"/>
    <w:tmpl w:val="6DD4B8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9357E9"/>
    <w:multiLevelType w:val="hybridMultilevel"/>
    <w:tmpl w:val="9EF0FEFC"/>
    <w:styleLink w:val="ImportedStyle6"/>
    <w:lvl w:ilvl="0" w:tplc="A8EAB0DE">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D28CE63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836D1C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DB47D4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9FE47E8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9C1C685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D6AAD8C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E85EDB2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78C0ED2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60E91F1A"/>
    <w:multiLevelType w:val="hybridMultilevel"/>
    <w:tmpl w:val="9EF0FEFC"/>
    <w:numStyleLink w:val="ImportedStyle6"/>
  </w:abstractNum>
  <w:num w:numId="1" w16cid:durableId="284894619">
    <w:abstractNumId w:val="1"/>
  </w:num>
  <w:num w:numId="2" w16cid:durableId="1097169419">
    <w:abstractNumId w:val="2"/>
  </w:num>
  <w:num w:numId="3" w16cid:durableId="530071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B3D"/>
    <w:rsid w:val="0002189C"/>
    <w:rsid w:val="000B6E94"/>
    <w:rsid w:val="00144754"/>
    <w:rsid w:val="0014517A"/>
    <w:rsid w:val="00184A47"/>
    <w:rsid w:val="001A481B"/>
    <w:rsid w:val="001B3BA8"/>
    <w:rsid w:val="00253F24"/>
    <w:rsid w:val="0026459A"/>
    <w:rsid w:val="002C6260"/>
    <w:rsid w:val="00323F87"/>
    <w:rsid w:val="0033309A"/>
    <w:rsid w:val="003515D1"/>
    <w:rsid w:val="003747D0"/>
    <w:rsid w:val="00381748"/>
    <w:rsid w:val="003B445C"/>
    <w:rsid w:val="003B4A05"/>
    <w:rsid w:val="003E4C05"/>
    <w:rsid w:val="00431FB6"/>
    <w:rsid w:val="004618F6"/>
    <w:rsid w:val="004A6CE7"/>
    <w:rsid w:val="004B6BDC"/>
    <w:rsid w:val="004E0CAB"/>
    <w:rsid w:val="00525404"/>
    <w:rsid w:val="00525AEA"/>
    <w:rsid w:val="00542130"/>
    <w:rsid w:val="005435C6"/>
    <w:rsid w:val="005451B5"/>
    <w:rsid w:val="005938E8"/>
    <w:rsid w:val="005B427F"/>
    <w:rsid w:val="00612448"/>
    <w:rsid w:val="00652609"/>
    <w:rsid w:val="00653550"/>
    <w:rsid w:val="006566F8"/>
    <w:rsid w:val="00666F3E"/>
    <w:rsid w:val="006833D4"/>
    <w:rsid w:val="0069490D"/>
    <w:rsid w:val="006D19F5"/>
    <w:rsid w:val="006E6C4B"/>
    <w:rsid w:val="006E7396"/>
    <w:rsid w:val="00701A0B"/>
    <w:rsid w:val="0074551A"/>
    <w:rsid w:val="007C5CEE"/>
    <w:rsid w:val="00804301"/>
    <w:rsid w:val="00846BF7"/>
    <w:rsid w:val="00852664"/>
    <w:rsid w:val="00853B54"/>
    <w:rsid w:val="0089427C"/>
    <w:rsid w:val="008A0F1B"/>
    <w:rsid w:val="008A326C"/>
    <w:rsid w:val="008D2593"/>
    <w:rsid w:val="008D4B61"/>
    <w:rsid w:val="008D706D"/>
    <w:rsid w:val="008D7640"/>
    <w:rsid w:val="008F0B3D"/>
    <w:rsid w:val="00932B54"/>
    <w:rsid w:val="009408B5"/>
    <w:rsid w:val="00955558"/>
    <w:rsid w:val="00966903"/>
    <w:rsid w:val="0099434A"/>
    <w:rsid w:val="009B6B87"/>
    <w:rsid w:val="009E6291"/>
    <w:rsid w:val="009F56B4"/>
    <w:rsid w:val="00A110D6"/>
    <w:rsid w:val="00A14C37"/>
    <w:rsid w:val="00A166EB"/>
    <w:rsid w:val="00A85C1D"/>
    <w:rsid w:val="00AF62F8"/>
    <w:rsid w:val="00B02D59"/>
    <w:rsid w:val="00B2491A"/>
    <w:rsid w:val="00B322A9"/>
    <w:rsid w:val="00B73A24"/>
    <w:rsid w:val="00BD2198"/>
    <w:rsid w:val="00C22503"/>
    <w:rsid w:val="00C7272E"/>
    <w:rsid w:val="00C94367"/>
    <w:rsid w:val="00CD2FFF"/>
    <w:rsid w:val="00CE6E15"/>
    <w:rsid w:val="00D4318D"/>
    <w:rsid w:val="00D9082B"/>
    <w:rsid w:val="00DA499E"/>
    <w:rsid w:val="00DB62C2"/>
    <w:rsid w:val="00DD79A1"/>
    <w:rsid w:val="00E04D1D"/>
    <w:rsid w:val="00E21F0F"/>
    <w:rsid w:val="00E54A97"/>
    <w:rsid w:val="00E855E5"/>
    <w:rsid w:val="00E86948"/>
    <w:rsid w:val="00E957BF"/>
    <w:rsid w:val="00EC7317"/>
    <w:rsid w:val="00EE1818"/>
    <w:rsid w:val="00EE7F9F"/>
    <w:rsid w:val="00F1677A"/>
    <w:rsid w:val="00F253E9"/>
    <w:rsid w:val="00F433A5"/>
    <w:rsid w:val="00F81138"/>
    <w:rsid w:val="00FA3DC3"/>
    <w:rsid w:val="00FC2071"/>
    <w:rsid w:val="00FE21D2"/>
    <w:rsid w:val="00FF10A5"/>
    <w:rsid w:val="00FF5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4BF1"/>
  <w15:chartTrackingRefBased/>
  <w15:docId w15:val="{D648B82A-D14B-4ACF-9E8A-8BFD224D4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B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B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B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B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B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B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B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B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B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B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B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B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B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B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B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B3D"/>
    <w:rPr>
      <w:rFonts w:eastAsiaTheme="majorEastAsia" w:cstheme="majorBidi"/>
      <w:color w:val="272727" w:themeColor="text1" w:themeTint="D8"/>
    </w:rPr>
  </w:style>
  <w:style w:type="paragraph" w:styleId="Title">
    <w:name w:val="Title"/>
    <w:basedOn w:val="Normal"/>
    <w:next w:val="Normal"/>
    <w:link w:val="TitleChar"/>
    <w:uiPriority w:val="10"/>
    <w:qFormat/>
    <w:rsid w:val="008F0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B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B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B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B3D"/>
    <w:pPr>
      <w:spacing w:before="160"/>
      <w:jc w:val="center"/>
    </w:pPr>
    <w:rPr>
      <w:i/>
      <w:iCs/>
      <w:color w:val="404040" w:themeColor="text1" w:themeTint="BF"/>
    </w:rPr>
  </w:style>
  <w:style w:type="character" w:customStyle="1" w:styleId="QuoteChar">
    <w:name w:val="Quote Char"/>
    <w:basedOn w:val="DefaultParagraphFont"/>
    <w:link w:val="Quote"/>
    <w:uiPriority w:val="29"/>
    <w:rsid w:val="008F0B3D"/>
    <w:rPr>
      <w:i/>
      <w:iCs/>
      <w:color w:val="404040" w:themeColor="text1" w:themeTint="BF"/>
    </w:rPr>
  </w:style>
  <w:style w:type="paragraph" w:styleId="ListParagraph">
    <w:name w:val="List Paragraph"/>
    <w:basedOn w:val="Normal"/>
    <w:uiPriority w:val="34"/>
    <w:qFormat/>
    <w:rsid w:val="008F0B3D"/>
    <w:pPr>
      <w:ind w:left="720"/>
      <w:contextualSpacing/>
    </w:pPr>
  </w:style>
  <w:style w:type="character" w:styleId="IntenseEmphasis">
    <w:name w:val="Intense Emphasis"/>
    <w:basedOn w:val="DefaultParagraphFont"/>
    <w:uiPriority w:val="21"/>
    <w:qFormat/>
    <w:rsid w:val="008F0B3D"/>
    <w:rPr>
      <w:i/>
      <w:iCs/>
      <w:color w:val="0F4761" w:themeColor="accent1" w:themeShade="BF"/>
    </w:rPr>
  </w:style>
  <w:style w:type="paragraph" w:styleId="IntenseQuote">
    <w:name w:val="Intense Quote"/>
    <w:basedOn w:val="Normal"/>
    <w:next w:val="Normal"/>
    <w:link w:val="IntenseQuoteChar"/>
    <w:uiPriority w:val="30"/>
    <w:qFormat/>
    <w:rsid w:val="008F0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B3D"/>
    <w:rPr>
      <w:i/>
      <w:iCs/>
      <w:color w:val="0F4761" w:themeColor="accent1" w:themeShade="BF"/>
    </w:rPr>
  </w:style>
  <w:style w:type="character" w:styleId="IntenseReference">
    <w:name w:val="Intense Reference"/>
    <w:basedOn w:val="DefaultParagraphFont"/>
    <w:uiPriority w:val="32"/>
    <w:qFormat/>
    <w:rsid w:val="008F0B3D"/>
    <w:rPr>
      <w:b/>
      <w:bCs/>
      <w:smallCaps/>
      <w:color w:val="0F4761" w:themeColor="accent1" w:themeShade="BF"/>
      <w:spacing w:val="5"/>
    </w:rPr>
  </w:style>
  <w:style w:type="paragraph" w:customStyle="1" w:styleId="Listparag">
    <w:name w:val="List parag"/>
    <w:rsid w:val="00DB62C2"/>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eastAsia="en-GB"/>
      <w14:ligatures w14:val="none"/>
    </w:rPr>
  </w:style>
  <w:style w:type="paragraph" w:customStyle="1" w:styleId="Nornal">
    <w:name w:val="Nornal"/>
    <w:rsid w:val="00CD2FFF"/>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6">
    <w:name w:val="Imported Style 6"/>
    <w:rsid w:val="00CD2FFF"/>
    <w:pPr>
      <w:numPr>
        <w:numId w:val="1"/>
      </w:numPr>
    </w:pPr>
  </w:style>
  <w:style w:type="paragraph" w:styleId="NoSpacing">
    <w:name w:val="No Spacing"/>
    <w:uiPriority w:val="1"/>
    <w:qFormat/>
    <w:rsid w:val="008A326C"/>
    <w:pPr>
      <w:spacing w:after="0" w:line="240" w:lineRule="auto"/>
    </w:pPr>
  </w:style>
  <w:style w:type="character" w:styleId="Hyperlink">
    <w:name w:val="Hyperlink"/>
    <w:basedOn w:val="DefaultParagraphFont"/>
    <w:uiPriority w:val="99"/>
    <w:semiHidden/>
    <w:unhideWhenUsed/>
    <w:rsid w:val="00E855E5"/>
    <w:rPr>
      <w:color w:val="0000FF"/>
      <w:u w:val="single"/>
    </w:rPr>
  </w:style>
  <w:style w:type="paragraph" w:styleId="Header">
    <w:name w:val="header"/>
    <w:basedOn w:val="Normal"/>
    <w:link w:val="HeaderChar"/>
    <w:uiPriority w:val="99"/>
    <w:unhideWhenUsed/>
    <w:rsid w:val="00994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34A"/>
  </w:style>
  <w:style w:type="paragraph" w:styleId="Footer">
    <w:name w:val="footer"/>
    <w:basedOn w:val="Normal"/>
    <w:link w:val="FooterChar"/>
    <w:uiPriority w:val="99"/>
    <w:unhideWhenUsed/>
    <w:rsid w:val="00994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34A"/>
  </w:style>
  <w:style w:type="paragraph" w:styleId="EndnoteText">
    <w:name w:val="endnote text"/>
    <w:basedOn w:val="Normal"/>
    <w:link w:val="EndnoteTextChar"/>
    <w:uiPriority w:val="99"/>
    <w:semiHidden/>
    <w:unhideWhenUsed/>
    <w:rsid w:val="003747D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47D0"/>
    <w:rPr>
      <w:sz w:val="20"/>
      <w:szCs w:val="20"/>
    </w:rPr>
  </w:style>
  <w:style w:type="character" w:styleId="EndnoteReference">
    <w:name w:val="endnote reference"/>
    <w:basedOn w:val="DefaultParagraphFont"/>
    <w:uiPriority w:val="99"/>
    <w:semiHidden/>
    <w:unhideWhenUsed/>
    <w:rsid w:val="003747D0"/>
    <w:rPr>
      <w:vertAlign w:val="superscript"/>
    </w:rPr>
  </w:style>
  <w:style w:type="paragraph" w:styleId="NormalWeb">
    <w:name w:val="Normal (Web)"/>
    <w:basedOn w:val="Normal"/>
    <w:uiPriority w:val="99"/>
    <w:unhideWhenUsed/>
    <w:rsid w:val="002C62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110D6"/>
    <w:rPr>
      <w:b/>
      <w:bCs/>
    </w:rPr>
  </w:style>
  <w:style w:type="character" w:styleId="Emphasis">
    <w:name w:val="Emphasis"/>
    <w:basedOn w:val="DefaultParagraphFont"/>
    <w:uiPriority w:val="20"/>
    <w:qFormat/>
    <w:rsid w:val="009E62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656129">
      <w:bodyDiv w:val="1"/>
      <w:marLeft w:val="0"/>
      <w:marRight w:val="0"/>
      <w:marTop w:val="0"/>
      <w:marBottom w:val="0"/>
      <w:divBdr>
        <w:top w:val="none" w:sz="0" w:space="0" w:color="auto"/>
        <w:left w:val="none" w:sz="0" w:space="0" w:color="auto"/>
        <w:bottom w:val="none" w:sz="0" w:space="0" w:color="auto"/>
        <w:right w:val="none" w:sz="0" w:space="0" w:color="auto"/>
      </w:divBdr>
    </w:div>
    <w:div w:id="213780579">
      <w:bodyDiv w:val="1"/>
      <w:marLeft w:val="0"/>
      <w:marRight w:val="0"/>
      <w:marTop w:val="0"/>
      <w:marBottom w:val="0"/>
      <w:divBdr>
        <w:top w:val="none" w:sz="0" w:space="0" w:color="auto"/>
        <w:left w:val="none" w:sz="0" w:space="0" w:color="auto"/>
        <w:bottom w:val="none" w:sz="0" w:space="0" w:color="auto"/>
        <w:right w:val="none" w:sz="0" w:space="0" w:color="auto"/>
      </w:divBdr>
    </w:div>
    <w:div w:id="243999149">
      <w:bodyDiv w:val="1"/>
      <w:marLeft w:val="0"/>
      <w:marRight w:val="0"/>
      <w:marTop w:val="0"/>
      <w:marBottom w:val="0"/>
      <w:divBdr>
        <w:top w:val="none" w:sz="0" w:space="0" w:color="auto"/>
        <w:left w:val="none" w:sz="0" w:space="0" w:color="auto"/>
        <w:bottom w:val="none" w:sz="0" w:space="0" w:color="auto"/>
        <w:right w:val="none" w:sz="0" w:space="0" w:color="auto"/>
      </w:divBdr>
    </w:div>
    <w:div w:id="469522432">
      <w:bodyDiv w:val="1"/>
      <w:marLeft w:val="0"/>
      <w:marRight w:val="0"/>
      <w:marTop w:val="0"/>
      <w:marBottom w:val="0"/>
      <w:divBdr>
        <w:top w:val="none" w:sz="0" w:space="0" w:color="auto"/>
        <w:left w:val="none" w:sz="0" w:space="0" w:color="auto"/>
        <w:bottom w:val="none" w:sz="0" w:space="0" w:color="auto"/>
        <w:right w:val="none" w:sz="0" w:space="0" w:color="auto"/>
      </w:divBdr>
    </w:div>
    <w:div w:id="486871223">
      <w:bodyDiv w:val="1"/>
      <w:marLeft w:val="0"/>
      <w:marRight w:val="0"/>
      <w:marTop w:val="0"/>
      <w:marBottom w:val="0"/>
      <w:divBdr>
        <w:top w:val="none" w:sz="0" w:space="0" w:color="auto"/>
        <w:left w:val="none" w:sz="0" w:space="0" w:color="auto"/>
        <w:bottom w:val="none" w:sz="0" w:space="0" w:color="auto"/>
        <w:right w:val="none" w:sz="0" w:space="0" w:color="auto"/>
      </w:divBdr>
      <w:divsChild>
        <w:div w:id="1767186548">
          <w:marLeft w:val="0"/>
          <w:marRight w:val="0"/>
          <w:marTop w:val="0"/>
          <w:marBottom w:val="0"/>
          <w:divBdr>
            <w:top w:val="none" w:sz="0" w:space="0" w:color="auto"/>
            <w:left w:val="none" w:sz="0" w:space="0" w:color="auto"/>
            <w:bottom w:val="none" w:sz="0" w:space="0" w:color="auto"/>
            <w:right w:val="none" w:sz="0" w:space="0" w:color="auto"/>
          </w:divBdr>
          <w:divsChild>
            <w:div w:id="874007607">
              <w:marLeft w:val="0"/>
              <w:marRight w:val="0"/>
              <w:marTop w:val="0"/>
              <w:marBottom w:val="0"/>
              <w:divBdr>
                <w:top w:val="none" w:sz="0" w:space="0" w:color="auto"/>
                <w:left w:val="none" w:sz="0" w:space="0" w:color="auto"/>
                <w:bottom w:val="none" w:sz="0" w:space="0" w:color="auto"/>
                <w:right w:val="none" w:sz="0" w:space="0" w:color="auto"/>
              </w:divBdr>
              <w:divsChild>
                <w:div w:id="1543446765">
                  <w:marLeft w:val="0"/>
                  <w:marRight w:val="0"/>
                  <w:marTop w:val="0"/>
                  <w:marBottom w:val="0"/>
                  <w:divBdr>
                    <w:top w:val="none" w:sz="0" w:space="0" w:color="auto"/>
                    <w:left w:val="none" w:sz="0" w:space="0" w:color="auto"/>
                    <w:bottom w:val="none" w:sz="0" w:space="0" w:color="auto"/>
                    <w:right w:val="none" w:sz="0" w:space="0" w:color="auto"/>
                  </w:divBdr>
                  <w:divsChild>
                    <w:div w:id="1770153543">
                      <w:marLeft w:val="0"/>
                      <w:marRight w:val="0"/>
                      <w:marTop w:val="0"/>
                      <w:marBottom w:val="0"/>
                      <w:divBdr>
                        <w:top w:val="none" w:sz="0" w:space="0" w:color="auto"/>
                        <w:left w:val="none" w:sz="0" w:space="0" w:color="auto"/>
                        <w:bottom w:val="none" w:sz="0" w:space="0" w:color="auto"/>
                        <w:right w:val="none" w:sz="0" w:space="0" w:color="auto"/>
                      </w:divBdr>
                      <w:divsChild>
                        <w:div w:id="768620651">
                          <w:marLeft w:val="0"/>
                          <w:marRight w:val="0"/>
                          <w:marTop w:val="0"/>
                          <w:marBottom w:val="0"/>
                          <w:divBdr>
                            <w:top w:val="none" w:sz="0" w:space="0" w:color="auto"/>
                            <w:left w:val="none" w:sz="0" w:space="0" w:color="auto"/>
                            <w:bottom w:val="none" w:sz="0" w:space="0" w:color="auto"/>
                            <w:right w:val="none" w:sz="0" w:space="0" w:color="auto"/>
                          </w:divBdr>
                          <w:divsChild>
                            <w:div w:id="1728450382">
                              <w:marLeft w:val="0"/>
                              <w:marRight w:val="0"/>
                              <w:marTop w:val="0"/>
                              <w:marBottom w:val="0"/>
                              <w:divBdr>
                                <w:top w:val="none" w:sz="0" w:space="0" w:color="auto"/>
                                <w:left w:val="none" w:sz="0" w:space="0" w:color="auto"/>
                                <w:bottom w:val="none" w:sz="0" w:space="0" w:color="auto"/>
                                <w:right w:val="none" w:sz="0" w:space="0" w:color="auto"/>
                              </w:divBdr>
                              <w:divsChild>
                                <w:div w:id="121191154">
                                  <w:marLeft w:val="0"/>
                                  <w:marRight w:val="0"/>
                                  <w:marTop w:val="0"/>
                                  <w:marBottom w:val="0"/>
                                  <w:divBdr>
                                    <w:top w:val="none" w:sz="0" w:space="0" w:color="auto"/>
                                    <w:left w:val="none" w:sz="0" w:space="0" w:color="auto"/>
                                    <w:bottom w:val="none" w:sz="0" w:space="0" w:color="auto"/>
                                    <w:right w:val="none" w:sz="0" w:space="0" w:color="auto"/>
                                  </w:divBdr>
                                  <w:divsChild>
                                    <w:div w:id="118524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7404980">
      <w:bodyDiv w:val="1"/>
      <w:marLeft w:val="0"/>
      <w:marRight w:val="0"/>
      <w:marTop w:val="0"/>
      <w:marBottom w:val="0"/>
      <w:divBdr>
        <w:top w:val="none" w:sz="0" w:space="0" w:color="auto"/>
        <w:left w:val="none" w:sz="0" w:space="0" w:color="auto"/>
        <w:bottom w:val="none" w:sz="0" w:space="0" w:color="auto"/>
        <w:right w:val="none" w:sz="0" w:space="0" w:color="auto"/>
      </w:divBdr>
    </w:div>
    <w:div w:id="604122146">
      <w:bodyDiv w:val="1"/>
      <w:marLeft w:val="0"/>
      <w:marRight w:val="0"/>
      <w:marTop w:val="0"/>
      <w:marBottom w:val="0"/>
      <w:divBdr>
        <w:top w:val="none" w:sz="0" w:space="0" w:color="auto"/>
        <w:left w:val="none" w:sz="0" w:space="0" w:color="auto"/>
        <w:bottom w:val="none" w:sz="0" w:space="0" w:color="auto"/>
        <w:right w:val="none" w:sz="0" w:space="0" w:color="auto"/>
      </w:divBdr>
    </w:div>
    <w:div w:id="671102308">
      <w:bodyDiv w:val="1"/>
      <w:marLeft w:val="0"/>
      <w:marRight w:val="0"/>
      <w:marTop w:val="0"/>
      <w:marBottom w:val="0"/>
      <w:divBdr>
        <w:top w:val="none" w:sz="0" w:space="0" w:color="auto"/>
        <w:left w:val="none" w:sz="0" w:space="0" w:color="auto"/>
        <w:bottom w:val="none" w:sz="0" w:space="0" w:color="auto"/>
        <w:right w:val="none" w:sz="0" w:space="0" w:color="auto"/>
      </w:divBdr>
      <w:divsChild>
        <w:div w:id="7676985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6565947">
      <w:bodyDiv w:val="1"/>
      <w:marLeft w:val="0"/>
      <w:marRight w:val="0"/>
      <w:marTop w:val="0"/>
      <w:marBottom w:val="0"/>
      <w:divBdr>
        <w:top w:val="none" w:sz="0" w:space="0" w:color="auto"/>
        <w:left w:val="none" w:sz="0" w:space="0" w:color="auto"/>
        <w:bottom w:val="none" w:sz="0" w:space="0" w:color="auto"/>
        <w:right w:val="none" w:sz="0" w:space="0" w:color="auto"/>
      </w:divBdr>
    </w:div>
    <w:div w:id="1245215307">
      <w:bodyDiv w:val="1"/>
      <w:marLeft w:val="0"/>
      <w:marRight w:val="0"/>
      <w:marTop w:val="0"/>
      <w:marBottom w:val="0"/>
      <w:divBdr>
        <w:top w:val="none" w:sz="0" w:space="0" w:color="auto"/>
        <w:left w:val="none" w:sz="0" w:space="0" w:color="auto"/>
        <w:bottom w:val="none" w:sz="0" w:space="0" w:color="auto"/>
        <w:right w:val="none" w:sz="0" w:space="0" w:color="auto"/>
      </w:divBdr>
    </w:div>
    <w:div w:id="1369718286">
      <w:bodyDiv w:val="1"/>
      <w:marLeft w:val="0"/>
      <w:marRight w:val="0"/>
      <w:marTop w:val="0"/>
      <w:marBottom w:val="0"/>
      <w:divBdr>
        <w:top w:val="none" w:sz="0" w:space="0" w:color="auto"/>
        <w:left w:val="none" w:sz="0" w:space="0" w:color="auto"/>
        <w:bottom w:val="none" w:sz="0" w:space="0" w:color="auto"/>
        <w:right w:val="none" w:sz="0" w:space="0" w:color="auto"/>
      </w:divBdr>
    </w:div>
    <w:div w:id="1466580396">
      <w:bodyDiv w:val="1"/>
      <w:marLeft w:val="0"/>
      <w:marRight w:val="0"/>
      <w:marTop w:val="0"/>
      <w:marBottom w:val="0"/>
      <w:divBdr>
        <w:top w:val="none" w:sz="0" w:space="0" w:color="auto"/>
        <w:left w:val="none" w:sz="0" w:space="0" w:color="auto"/>
        <w:bottom w:val="none" w:sz="0" w:space="0" w:color="auto"/>
        <w:right w:val="none" w:sz="0" w:space="0" w:color="auto"/>
      </w:divBdr>
    </w:div>
    <w:div w:id="1500733160">
      <w:bodyDiv w:val="1"/>
      <w:marLeft w:val="0"/>
      <w:marRight w:val="0"/>
      <w:marTop w:val="0"/>
      <w:marBottom w:val="0"/>
      <w:divBdr>
        <w:top w:val="none" w:sz="0" w:space="0" w:color="auto"/>
        <w:left w:val="none" w:sz="0" w:space="0" w:color="auto"/>
        <w:bottom w:val="none" w:sz="0" w:space="0" w:color="auto"/>
        <w:right w:val="none" w:sz="0" w:space="0" w:color="auto"/>
      </w:divBdr>
    </w:div>
    <w:div w:id="1728383102">
      <w:bodyDiv w:val="1"/>
      <w:marLeft w:val="0"/>
      <w:marRight w:val="0"/>
      <w:marTop w:val="0"/>
      <w:marBottom w:val="0"/>
      <w:divBdr>
        <w:top w:val="none" w:sz="0" w:space="0" w:color="auto"/>
        <w:left w:val="none" w:sz="0" w:space="0" w:color="auto"/>
        <w:bottom w:val="none" w:sz="0" w:space="0" w:color="auto"/>
        <w:right w:val="none" w:sz="0" w:space="0" w:color="auto"/>
      </w:divBdr>
    </w:div>
    <w:div w:id="1778988408">
      <w:bodyDiv w:val="1"/>
      <w:marLeft w:val="0"/>
      <w:marRight w:val="0"/>
      <w:marTop w:val="0"/>
      <w:marBottom w:val="0"/>
      <w:divBdr>
        <w:top w:val="none" w:sz="0" w:space="0" w:color="auto"/>
        <w:left w:val="none" w:sz="0" w:space="0" w:color="auto"/>
        <w:bottom w:val="none" w:sz="0" w:space="0" w:color="auto"/>
        <w:right w:val="none" w:sz="0" w:space="0" w:color="auto"/>
      </w:divBdr>
    </w:div>
    <w:div w:id="1984239323">
      <w:bodyDiv w:val="1"/>
      <w:marLeft w:val="0"/>
      <w:marRight w:val="0"/>
      <w:marTop w:val="0"/>
      <w:marBottom w:val="0"/>
      <w:divBdr>
        <w:top w:val="none" w:sz="0" w:space="0" w:color="auto"/>
        <w:left w:val="none" w:sz="0" w:space="0" w:color="auto"/>
        <w:bottom w:val="none" w:sz="0" w:space="0" w:color="auto"/>
        <w:right w:val="none" w:sz="0" w:space="0" w:color="auto"/>
      </w:divBdr>
      <w:divsChild>
        <w:div w:id="14000588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6292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research-and-commentary/building-back-making-working-lives-better" TargetMode="External"/><Relationship Id="rId18" Type="http://schemas.openxmlformats.org/officeDocument/2006/relationships/hyperlink" Target="https://www.cipd.org/uk/knowledge/factsheets/voice-factsheet/" TargetMode="External"/><Relationship Id="rId26" Type="http://schemas.openxmlformats.org/officeDocument/2006/relationships/hyperlink" Target="https://www.cipd.org/uk/knowledge/factsheets/trade-unions-factsheet/" TargetMode="External"/><Relationship Id="rId39" Type="http://schemas.openxmlformats.org/officeDocument/2006/relationships/theme" Target="theme/theme1.xml"/><Relationship Id="rId21" Type="http://schemas.openxmlformats.org/officeDocument/2006/relationships/hyperlink" Target="https://www.cipd.org/uk/knowledge/reports/managing-workplace-conflict-report/" TargetMode="External"/><Relationship Id="rId34" Type="http://schemas.openxmlformats.org/officeDocument/2006/relationships/hyperlink" Target="https://www.hrmagazine.co.uk/content/news/employers-failing-to-give-staff-a-voice-at-work" TargetMode="External"/><Relationship Id="rId7" Type="http://schemas.openxmlformats.org/officeDocument/2006/relationships/endnotes" Target="endnotes.xml"/><Relationship Id="rId12" Type="http://schemas.openxmlformats.org/officeDocument/2006/relationships/hyperlink" Target="https://www.acas.org.uk/research-and-commentary/workplace-conflict" TargetMode="External"/><Relationship Id="rId17" Type="http://schemas.openxmlformats.org/officeDocument/2006/relationships/hyperlink" Target="https://www.cipd.org/uk/knowledge/factsheets/relations-employees-factsheet/" TargetMode="External"/><Relationship Id="rId25" Type="http://schemas.openxmlformats.org/officeDocument/2006/relationships/hyperlink" Target="https://www.cipd.org/uk/knowledge/factsheets/well-being-factsheet/" TargetMode="External"/><Relationship Id="rId33" Type="http://schemas.openxmlformats.org/officeDocument/2006/relationships/hyperlink" Target="https://uk.indeed.com/career-advice/career-development/grievance-at-work-exampl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knowledge/factsheets/dismissal-factsheet/" TargetMode="External"/><Relationship Id="rId20" Type="http://schemas.openxmlformats.org/officeDocument/2006/relationships/hyperlink" Target="https://www.cipd.org/uk/knowledge/bitesize-research/generation-insights/" TargetMode="External"/><Relationship Id="rId29" Type="http://schemas.openxmlformats.org/officeDocument/2006/relationships/hyperlink" Target="https://www.gov.uk/solve-workplace-dispute/mediation-conciliation-and-arbit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mediation" TargetMode="External"/><Relationship Id="rId24" Type="http://schemas.openxmlformats.org/officeDocument/2006/relationships/hyperlink" Target="https://www.cipd.org/uk/knowledge/guides/mental-health-support-guide/" TargetMode="External"/><Relationship Id="rId32" Type="http://schemas.openxmlformats.org/officeDocument/2006/relationships/hyperlink" Target="https://www.indeed.com/hire/c/info/good-management" TargetMode="External"/><Relationship Id="rId37" Type="http://schemas.openxmlformats.org/officeDocument/2006/relationships/hyperlink" Target="https://www.unison.org.uk/about/what-we-do/about-trade-unions/" TargetMode="External"/><Relationship Id="rId5" Type="http://schemas.openxmlformats.org/officeDocument/2006/relationships/webSettings" Target="webSettings.xml"/><Relationship Id="rId15" Type="http://schemas.openxmlformats.org/officeDocument/2006/relationships/hyperlink" Target="https://www.cipd.org/uk/knowledge/factsheets/engagement-factsheet/" TargetMode="External"/><Relationship Id="rId23" Type="http://schemas.openxmlformats.org/officeDocument/2006/relationships/hyperlink" Target="https://www.cipd.org/uk/knowledge/factsheets/mediation-factsheet/" TargetMode="External"/><Relationship Id="rId28" Type="http://schemas.openxmlformats.org/officeDocument/2006/relationships/hyperlink" Target="https://www.gov.uk/raise-grievance-at-work" TargetMode="External"/><Relationship Id="rId36" Type="http://schemas.openxmlformats.org/officeDocument/2006/relationships/hyperlink" Target="https://www.forbes.com/consent/ketch/?toURL=https://www.forbes.com/councils/forbesbusinesscouncil/2022/07/01/five-reasons-offering-career-development-to-employees-benefits-companies/" TargetMode="External"/><Relationship Id="rId10" Type="http://schemas.openxmlformats.org/officeDocument/2006/relationships/hyperlink" Target="https://www.acas.org.uk/dismissals/unfair-dismissal" TargetMode="External"/><Relationship Id="rId19" Type="http://schemas.openxmlformats.org/officeDocument/2006/relationships/hyperlink" Target="https://www.cipd.org/uk/knowledge/factsheets/relations-employees-factsheet/" TargetMode="External"/><Relationship Id="rId31" Type="http://schemas.openxmlformats.org/officeDocument/2006/relationships/hyperlink" Target="https://www.hrmagazine.co.uk/content/features/breaking-the-silence-employee-voice/" TargetMode="External"/><Relationship Id="rId4" Type="http://schemas.openxmlformats.org/officeDocument/2006/relationships/settings" Target="settings.xml"/><Relationship Id="rId9" Type="http://schemas.openxmlformats.org/officeDocument/2006/relationships/hyperlink" Target="https://www.acas.org.uk/acas-guides-on-trade-union-and-employee-representation" TargetMode="External"/><Relationship Id="rId14" Type="http://schemas.openxmlformats.org/officeDocument/2006/relationships/hyperlink" Target="https://www.cipd.org/uk/knowledge/factsheets/discipline-factsheet/" TargetMode="External"/><Relationship Id="rId22" Type="http://schemas.openxmlformats.org/officeDocument/2006/relationships/hyperlink" Target="https://www.cipd.org/uk/views-and-insights/cipd-viewpoint/organisational-culture/" TargetMode="External"/><Relationship Id="rId27" Type="http://schemas.openxmlformats.org/officeDocument/2006/relationships/hyperlink" Target="https://www.forbes.com/sites/forbesbooksauthors/2021/04/07/7-keys-to-leading-business-turnarounds-and-culture-change/" TargetMode="External"/><Relationship Id="rId30" Type="http://schemas.openxmlformats.org/officeDocument/2006/relationships/hyperlink" Target="https://www.thehrdigest.com/what-are-the-leading-causes-of-employee-grievances/" TargetMode="External"/><Relationship Id="rId35" Type="http://schemas.openxmlformats.org/officeDocument/2006/relationships/hyperlink" Target="https://www.forbes.com/councils/forbesbusinessdevelopmentcouncil/2021/12/01/the-impact-of-culture-in-the-workplace/" TargetMode="External"/><Relationship Id="rId8" Type="http://schemas.openxmlformats.org/officeDocument/2006/relationships/hyperlink" Target="https://www.acas.org.uk/sites/default/files/2024-08/discipline-and-grievances-at-work-the-acas-guide.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6131E-4FA9-45EA-B895-A87C61E7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Pages>
  <Words>5534</Words>
  <Characters>31550</Characters>
  <Application>Microsoft Office Word</Application>
  <DocSecurity>0</DocSecurity>
  <Lines>420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64</cp:revision>
  <dcterms:created xsi:type="dcterms:W3CDTF">2025-04-18T14:20:00Z</dcterms:created>
  <dcterms:modified xsi:type="dcterms:W3CDTF">2025-06-18T20:08:00Z</dcterms:modified>
</cp:coreProperties>
</file>