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DD2FC" w14:textId="77777777" w:rsidR="00D34D03" w:rsidRDefault="00D34D03">
      <w:pPr>
        <w:pStyle w:val="Title"/>
        <w:jc w:val="center"/>
        <w:rPr>
          <w:b/>
          <w:sz w:val="36"/>
          <w:szCs w:val="36"/>
        </w:rPr>
      </w:pPr>
      <w:bookmarkStart w:id="0" w:name="_m5ch0fpmvbz6" w:colFirst="0" w:colLast="0"/>
      <w:bookmarkEnd w:id="0"/>
    </w:p>
    <w:p w14:paraId="4AF3D136" w14:textId="77777777" w:rsidR="00D34D03" w:rsidRDefault="00D34D03">
      <w:pPr>
        <w:pStyle w:val="Title"/>
        <w:jc w:val="center"/>
        <w:rPr>
          <w:b/>
          <w:sz w:val="36"/>
          <w:szCs w:val="36"/>
        </w:rPr>
      </w:pPr>
    </w:p>
    <w:p w14:paraId="06ADCFED" w14:textId="77777777" w:rsidR="00D34D03" w:rsidRDefault="00D34D03">
      <w:pPr>
        <w:pStyle w:val="Title"/>
        <w:jc w:val="center"/>
        <w:rPr>
          <w:b/>
          <w:sz w:val="36"/>
          <w:szCs w:val="36"/>
        </w:rPr>
      </w:pPr>
    </w:p>
    <w:p w14:paraId="550E5944" w14:textId="13764CA6" w:rsidR="00D34D03" w:rsidRDefault="00D34D03">
      <w:pPr>
        <w:pStyle w:val="Title"/>
        <w:jc w:val="center"/>
        <w:rPr>
          <w:b/>
          <w:sz w:val="36"/>
          <w:szCs w:val="36"/>
        </w:rPr>
      </w:pPr>
    </w:p>
    <w:p w14:paraId="30C00479" w14:textId="21D6830F" w:rsidR="00724BD3" w:rsidRPr="005E45D9" w:rsidRDefault="005E45D9" w:rsidP="00724BD3">
      <w:pPr>
        <w:jc w:val="center"/>
        <w:rPr>
          <w:b/>
          <w:bCs/>
          <w:sz w:val="36"/>
          <w:szCs w:val="36"/>
        </w:rPr>
      </w:pPr>
      <w:r>
        <w:rPr>
          <w:b/>
          <w:bCs/>
          <w:sz w:val="36"/>
          <w:szCs w:val="36"/>
        </w:rPr>
        <w:t xml:space="preserve">Student Name: </w:t>
      </w:r>
      <w:proofErr w:type="spellStart"/>
      <w:r>
        <w:rPr>
          <w:b/>
          <w:bCs/>
          <w:sz w:val="36"/>
          <w:szCs w:val="36"/>
        </w:rPr>
        <w:t>Pirvu</w:t>
      </w:r>
      <w:proofErr w:type="spellEnd"/>
      <w:r>
        <w:rPr>
          <w:b/>
          <w:bCs/>
          <w:sz w:val="36"/>
          <w:szCs w:val="36"/>
        </w:rPr>
        <w:t xml:space="preserve"> Remus Nicolae</w:t>
      </w:r>
    </w:p>
    <w:p w14:paraId="228358F3" w14:textId="004265DE" w:rsidR="00D34D03" w:rsidRDefault="00724BD3">
      <w:pPr>
        <w:pStyle w:val="Title"/>
        <w:jc w:val="center"/>
        <w:rPr>
          <w:b/>
          <w:sz w:val="36"/>
          <w:szCs w:val="36"/>
        </w:rPr>
      </w:pPr>
      <w:r>
        <w:rPr>
          <w:b/>
          <w:sz w:val="36"/>
          <w:szCs w:val="36"/>
        </w:rPr>
        <w:t>Student Id: 2112416</w:t>
      </w:r>
    </w:p>
    <w:p w14:paraId="0E4AA515" w14:textId="7CE91906" w:rsidR="00724BD3" w:rsidRDefault="00724BD3" w:rsidP="00724BD3">
      <w:pPr>
        <w:jc w:val="center"/>
        <w:rPr>
          <w:b/>
          <w:bCs/>
          <w:sz w:val="36"/>
          <w:szCs w:val="36"/>
        </w:rPr>
      </w:pPr>
      <w:r>
        <w:rPr>
          <w:b/>
          <w:bCs/>
          <w:sz w:val="36"/>
          <w:szCs w:val="36"/>
        </w:rPr>
        <w:t>Module</w:t>
      </w:r>
      <w:r w:rsidR="005E45D9">
        <w:rPr>
          <w:b/>
          <w:bCs/>
          <w:sz w:val="36"/>
          <w:szCs w:val="36"/>
        </w:rPr>
        <w:t>: Community Engagement</w:t>
      </w:r>
    </w:p>
    <w:p w14:paraId="1571FAB6" w14:textId="4C4C57D9" w:rsidR="005E45D9" w:rsidRDefault="005E45D9" w:rsidP="00724BD3">
      <w:pPr>
        <w:jc w:val="center"/>
        <w:rPr>
          <w:b/>
          <w:bCs/>
          <w:sz w:val="36"/>
          <w:szCs w:val="36"/>
        </w:rPr>
      </w:pPr>
      <w:r>
        <w:rPr>
          <w:b/>
          <w:bCs/>
          <w:sz w:val="36"/>
          <w:szCs w:val="36"/>
        </w:rPr>
        <w:t>Module Code: LCBB4002</w:t>
      </w:r>
    </w:p>
    <w:p w14:paraId="27D301C4" w14:textId="1BD95623" w:rsidR="005E45D9" w:rsidRPr="00724BD3" w:rsidRDefault="005E45D9" w:rsidP="00724BD3">
      <w:pPr>
        <w:jc w:val="center"/>
        <w:rPr>
          <w:b/>
          <w:bCs/>
          <w:sz w:val="36"/>
          <w:szCs w:val="36"/>
        </w:rPr>
      </w:pPr>
      <w:r>
        <w:rPr>
          <w:b/>
          <w:bCs/>
          <w:sz w:val="36"/>
          <w:szCs w:val="36"/>
        </w:rPr>
        <w:t xml:space="preserve">Assignment Title: Assessment 1 </w:t>
      </w:r>
    </w:p>
    <w:p w14:paraId="23F8348D" w14:textId="77777777" w:rsidR="00D34D03" w:rsidRDefault="00D34D03">
      <w:pPr>
        <w:pStyle w:val="Title"/>
        <w:jc w:val="center"/>
        <w:rPr>
          <w:b/>
          <w:sz w:val="36"/>
          <w:szCs w:val="36"/>
        </w:rPr>
      </w:pPr>
    </w:p>
    <w:p w14:paraId="0404C9A3" w14:textId="77777777" w:rsidR="00D34D03" w:rsidRDefault="00D34D03">
      <w:pPr>
        <w:pStyle w:val="Title"/>
        <w:jc w:val="center"/>
        <w:rPr>
          <w:b/>
          <w:sz w:val="36"/>
          <w:szCs w:val="36"/>
        </w:rPr>
      </w:pPr>
    </w:p>
    <w:p w14:paraId="46B81F79" w14:textId="77777777" w:rsidR="00D34D03" w:rsidRDefault="00D34D03">
      <w:pPr>
        <w:pStyle w:val="Title"/>
        <w:jc w:val="center"/>
        <w:rPr>
          <w:b/>
          <w:sz w:val="36"/>
          <w:szCs w:val="36"/>
        </w:rPr>
      </w:pPr>
    </w:p>
    <w:p w14:paraId="209C33B5" w14:textId="77777777" w:rsidR="00D34D03" w:rsidRDefault="00D34D03">
      <w:pPr>
        <w:pStyle w:val="Title"/>
        <w:jc w:val="center"/>
        <w:rPr>
          <w:b/>
          <w:sz w:val="36"/>
          <w:szCs w:val="36"/>
        </w:rPr>
      </w:pPr>
    </w:p>
    <w:p w14:paraId="23787CEC" w14:textId="77777777" w:rsidR="00D34D03" w:rsidRDefault="00D34D03">
      <w:pPr>
        <w:pStyle w:val="Title"/>
        <w:jc w:val="center"/>
        <w:rPr>
          <w:b/>
          <w:sz w:val="36"/>
          <w:szCs w:val="36"/>
        </w:rPr>
      </w:pPr>
    </w:p>
    <w:p w14:paraId="605D3F3A" w14:textId="77777777" w:rsidR="00D34D03" w:rsidRDefault="00D34D03">
      <w:pPr>
        <w:pStyle w:val="Title"/>
        <w:jc w:val="center"/>
        <w:rPr>
          <w:b/>
          <w:sz w:val="36"/>
          <w:szCs w:val="36"/>
        </w:rPr>
      </w:pPr>
    </w:p>
    <w:p w14:paraId="744F7792" w14:textId="77777777" w:rsidR="00D34D03" w:rsidRDefault="00D34D03">
      <w:pPr>
        <w:pStyle w:val="Title"/>
        <w:jc w:val="center"/>
        <w:rPr>
          <w:b/>
          <w:sz w:val="36"/>
          <w:szCs w:val="36"/>
        </w:rPr>
      </w:pPr>
    </w:p>
    <w:p w14:paraId="27AB24A3" w14:textId="77777777" w:rsidR="00D34D03" w:rsidRDefault="000E5614">
      <w:pPr>
        <w:pStyle w:val="Title"/>
        <w:jc w:val="center"/>
        <w:rPr>
          <w:b/>
          <w:sz w:val="36"/>
          <w:szCs w:val="36"/>
        </w:rPr>
      </w:pPr>
      <w:r>
        <w:rPr>
          <w:b/>
          <w:sz w:val="36"/>
          <w:szCs w:val="36"/>
        </w:rPr>
        <w:t>Local Authority Community Engagement Process</w:t>
      </w:r>
    </w:p>
    <w:p w14:paraId="6BA939C9" w14:textId="77777777" w:rsidR="00D34D03" w:rsidRDefault="00D34D03" w:rsidP="00D34D03">
      <w:r>
        <w:br w:type="page"/>
      </w:r>
    </w:p>
    <w:sdt>
      <w:sdtPr>
        <w:rPr>
          <w:rFonts w:ascii="Times New Roman" w:eastAsia="Times New Roman" w:hAnsi="Times New Roman" w:cs="Times New Roman"/>
          <w:color w:val="auto"/>
          <w:sz w:val="24"/>
          <w:szCs w:val="24"/>
          <w:lang w:val="en"/>
        </w:rPr>
        <w:id w:val="-469746803"/>
        <w:docPartObj>
          <w:docPartGallery w:val="Table of Contents"/>
          <w:docPartUnique/>
        </w:docPartObj>
      </w:sdtPr>
      <w:sdtEndPr>
        <w:rPr>
          <w:b/>
          <w:bCs/>
          <w:noProof/>
        </w:rPr>
      </w:sdtEndPr>
      <w:sdtContent>
        <w:p w14:paraId="561AB32D" w14:textId="77777777" w:rsidR="00D34D03" w:rsidRPr="00D34D03" w:rsidRDefault="00D34D03" w:rsidP="00D34D03">
          <w:pPr>
            <w:pStyle w:val="TOCHeading"/>
            <w:jc w:val="center"/>
            <w:rPr>
              <w:rFonts w:ascii="Times New Roman" w:hAnsi="Times New Roman" w:cs="Times New Roman"/>
              <w:color w:val="auto"/>
              <w:sz w:val="28"/>
              <w:szCs w:val="28"/>
            </w:rPr>
          </w:pPr>
          <w:r w:rsidRPr="00D34D03">
            <w:rPr>
              <w:rFonts w:ascii="Times New Roman" w:hAnsi="Times New Roman" w:cs="Times New Roman"/>
              <w:color w:val="auto"/>
              <w:sz w:val="28"/>
              <w:szCs w:val="28"/>
            </w:rPr>
            <w:t>Table of Contents</w:t>
          </w:r>
        </w:p>
        <w:p w14:paraId="5958B98F" w14:textId="77777777" w:rsidR="008E3BB0" w:rsidRDefault="00D34D03">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01826531" w:history="1">
            <w:r w:rsidR="008E3BB0" w:rsidRPr="00D86081">
              <w:rPr>
                <w:rStyle w:val="Hyperlink"/>
                <w:noProof/>
              </w:rPr>
              <w:t>Introduction</w:t>
            </w:r>
            <w:r w:rsidR="008E3BB0">
              <w:rPr>
                <w:noProof/>
                <w:webHidden/>
              </w:rPr>
              <w:tab/>
            </w:r>
            <w:r w:rsidR="008E3BB0">
              <w:rPr>
                <w:noProof/>
                <w:webHidden/>
              </w:rPr>
              <w:fldChar w:fldCharType="begin"/>
            </w:r>
            <w:r w:rsidR="008E3BB0">
              <w:rPr>
                <w:noProof/>
                <w:webHidden/>
              </w:rPr>
              <w:instrText xml:space="preserve"> PAGEREF _Toc101826531 \h </w:instrText>
            </w:r>
            <w:r w:rsidR="008E3BB0">
              <w:rPr>
                <w:noProof/>
                <w:webHidden/>
              </w:rPr>
            </w:r>
            <w:r w:rsidR="008E3BB0">
              <w:rPr>
                <w:noProof/>
                <w:webHidden/>
              </w:rPr>
              <w:fldChar w:fldCharType="separate"/>
            </w:r>
            <w:r w:rsidR="008E3BB0">
              <w:rPr>
                <w:noProof/>
                <w:webHidden/>
              </w:rPr>
              <w:t>3</w:t>
            </w:r>
            <w:r w:rsidR="008E3BB0">
              <w:rPr>
                <w:noProof/>
                <w:webHidden/>
              </w:rPr>
              <w:fldChar w:fldCharType="end"/>
            </w:r>
          </w:hyperlink>
        </w:p>
        <w:p w14:paraId="3BD39896" w14:textId="77777777" w:rsidR="008E3BB0" w:rsidRDefault="00382792">
          <w:pPr>
            <w:pStyle w:val="TOC1"/>
            <w:tabs>
              <w:tab w:val="right" w:leader="dot" w:pos="9350"/>
            </w:tabs>
            <w:rPr>
              <w:rFonts w:asciiTheme="minorHAnsi" w:eastAsiaTheme="minorEastAsia" w:hAnsiTheme="minorHAnsi" w:cstheme="minorBidi"/>
              <w:noProof/>
              <w:sz w:val="22"/>
              <w:szCs w:val="22"/>
              <w:lang w:val="en-US"/>
            </w:rPr>
          </w:pPr>
          <w:hyperlink w:anchor="_Toc101826532" w:history="1">
            <w:r w:rsidR="008E3BB0" w:rsidRPr="00D86081">
              <w:rPr>
                <w:rStyle w:val="Hyperlink"/>
                <w:noProof/>
              </w:rPr>
              <w:t>The Brief Idea of the Community Engagement Process</w:t>
            </w:r>
            <w:r w:rsidR="008E3BB0">
              <w:rPr>
                <w:noProof/>
                <w:webHidden/>
              </w:rPr>
              <w:tab/>
            </w:r>
            <w:r w:rsidR="008E3BB0">
              <w:rPr>
                <w:noProof/>
                <w:webHidden/>
              </w:rPr>
              <w:fldChar w:fldCharType="begin"/>
            </w:r>
            <w:r w:rsidR="008E3BB0">
              <w:rPr>
                <w:noProof/>
                <w:webHidden/>
              </w:rPr>
              <w:instrText xml:space="preserve"> PAGEREF _Toc101826532 \h </w:instrText>
            </w:r>
            <w:r w:rsidR="008E3BB0">
              <w:rPr>
                <w:noProof/>
                <w:webHidden/>
              </w:rPr>
            </w:r>
            <w:r w:rsidR="008E3BB0">
              <w:rPr>
                <w:noProof/>
                <w:webHidden/>
              </w:rPr>
              <w:fldChar w:fldCharType="separate"/>
            </w:r>
            <w:r w:rsidR="008E3BB0">
              <w:rPr>
                <w:noProof/>
                <w:webHidden/>
              </w:rPr>
              <w:t>3</w:t>
            </w:r>
            <w:r w:rsidR="008E3BB0">
              <w:rPr>
                <w:noProof/>
                <w:webHidden/>
              </w:rPr>
              <w:fldChar w:fldCharType="end"/>
            </w:r>
          </w:hyperlink>
        </w:p>
        <w:p w14:paraId="3F919313" w14:textId="77777777" w:rsidR="008E3BB0" w:rsidRDefault="00382792">
          <w:pPr>
            <w:pStyle w:val="TOC2"/>
            <w:tabs>
              <w:tab w:val="right" w:leader="dot" w:pos="9350"/>
            </w:tabs>
            <w:rPr>
              <w:rFonts w:asciiTheme="minorHAnsi" w:eastAsiaTheme="minorEastAsia" w:hAnsiTheme="minorHAnsi" w:cstheme="minorBidi"/>
              <w:noProof/>
              <w:sz w:val="22"/>
              <w:szCs w:val="22"/>
              <w:lang w:val="en-US"/>
            </w:rPr>
          </w:pPr>
          <w:hyperlink w:anchor="_Toc101826533" w:history="1">
            <w:r w:rsidR="008E3BB0" w:rsidRPr="00D86081">
              <w:rPr>
                <w:rStyle w:val="Hyperlink"/>
                <w:noProof/>
              </w:rPr>
              <w:t>Description of the Project</w:t>
            </w:r>
            <w:r w:rsidR="008E3BB0">
              <w:rPr>
                <w:noProof/>
                <w:webHidden/>
              </w:rPr>
              <w:tab/>
            </w:r>
            <w:r w:rsidR="008E3BB0">
              <w:rPr>
                <w:noProof/>
                <w:webHidden/>
              </w:rPr>
              <w:fldChar w:fldCharType="begin"/>
            </w:r>
            <w:r w:rsidR="008E3BB0">
              <w:rPr>
                <w:noProof/>
                <w:webHidden/>
              </w:rPr>
              <w:instrText xml:space="preserve"> PAGEREF _Toc101826533 \h </w:instrText>
            </w:r>
            <w:r w:rsidR="008E3BB0">
              <w:rPr>
                <w:noProof/>
                <w:webHidden/>
              </w:rPr>
            </w:r>
            <w:r w:rsidR="008E3BB0">
              <w:rPr>
                <w:noProof/>
                <w:webHidden/>
              </w:rPr>
              <w:fldChar w:fldCharType="separate"/>
            </w:r>
            <w:r w:rsidR="008E3BB0">
              <w:rPr>
                <w:noProof/>
                <w:webHidden/>
              </w:rPr>
              <w:t>3</w:t>
            </w:r>
            <w:r w:rsidR="008E3BB0">
              <w:rPr>
                <w:noProof/>
                <w:webHidden/>
              </w:rPr>
              <w:fldChar w:fldCharType="end"/>
            </w:r>
          </w:hyperlink>
        </w:p>
        <w:p w14:paraId="4EC41EE9" w14:textId="77777777" w:rsidR="008E3BB0" w:rsidRDefault="00382792">
          <w:pPr>
            <w:pStyle w:val="TOC2"/>
            <w:tabs>
              <w:tab w:val="right" w:leader="dot" w:pos="9350"/>
            </w:tabs>
            <w:rPr>
              <w:rFonts w:asciiTheme="minorHAnsi" w:eastAsiaTheme="minorEastAsia" w:hAnsiTheme="minorHAnsi" w:cstheme="minorBidi"/>
              <w:noProof/>
              <w:sz w:val="22"/>
              <w:szCs w:val="22"/>
              <w:lang w:val="en-US"/>
            </w:rPr>
          </w:pPr>
          <w:hyperlink w:anchor="_Toc101826534" w:history="1">
            <w:r w:rsidR="008E3BB0" w:rsidRPr="00D86081">
              <w:rPr>
                <w:rStyle w:val="Hyperlink"/>
                <w:noProof/>
              </w:rPr>
              <w:t>Analysis of practices</w:t>
            </w:r>
            <w:r w:rsidR="008E3BB0">
              <w:rPr>
                <w:noProof/>
                <w:webHidden/>
              </w:rPr>
              <w:tab/>
            </w:r>
            <w:r w:rsidR="008E3BB0">
              <w:rPr>
                <w:noProof/>
                <w:webHidden/>
              </w:rPr>
              <w:fldChar w:fldCharType="begin"/>
            </w:r>
            <w:r w:rsidR="008E3BB0">
              <w:rPr>
                <w:noProof/>
                <w:webHidden/>
              </w:rPr>
              <w:instrText xml:space="preserve"> PAGEREF _Toc101826534 \h </w:instrText>
            </w:r>
            <w:r w:rsidR="008E3BB0">
              <w:rPr>
                <w:noProof/>
                <w:webHidden/>
              </w:rPr>
            </w:r>
            <w:r w:rsidR="008E3BB0">
              <w:rPr>
                <w:noProof/>
                <w:webHidden/>
              </w:rPr>
              <w:fldChar w:fldCharType="separate"/>
            </w:r>
            <w:r w:rsidR="008E3BB0">
              <w:rPr>
                <w:noProof/>
                <w:webHidden/>
              </w:rPr>
              <w:t>4</w:t>
            </w:r>
            <w:r w:rsidR="008E3BB0">
              <w:rPr>
                <w:noProof/>
                <w:webHidden/>
              </w:rPr>
              <w:fldChar w:fldCharType="end"/>
            </w:r>
          </w:hyperlink>
        </w:p>
        <w:p w14:paraId="54E2B6C5" w14:textId="77777777" w:rsidR="008E3BB0" w:rsidRDefault="00382792">
          <w:pPr>
            <w:pStyle w:val="TOC2"/>
            <w:tabs>
              <w:tab w:val="right" w:leader="dot" w:pos="9350"/>
            </w:tabs>
            <w:rPr>
              <w:rFonts w:asciiTheme="minorHAnsi" w:eastAsiaTheme="minorEastAsia" w:hAnsiTheme="minorHAnsi" w:cstheme="minorBidi"/>
              <w:noProof/>
              <w:sz w:val="22"/>
              <w:szCs w:val="22"/>
              <w:lang w:val="en-US"/>
            </w:rPr>
          </w:pPr>
          <w:hyperlink w:anchor="_Toc101826535" w:history="1">
            <w:r w:rsidR="008E3BB0" w:rsidRPr="00D86081">
              <w:rPr>
                <w:rStyle w:val="Hyperlink"/>
                <w:noProof/>
              </w:rPr>
              <w:t>Principles of Community Engagement</w:t>
            </w:r>
            <w:r w:rsidR="008E3BB0">
              <w:rPr>
                <w:noProof/>
                <w:webHidden/>
              </w:rPr>
              <w:tab/>
            </w:r>
            <w:r w:rsidR="008E3BB0">
              <w:rPr>
                <w:noProof/>
                <w:webHidden/>
              </w:rPr>
              <w:fldChar w:fldCharType="begin"/>
            </w:r>
            <w:r w:rsidR="008E3BB0">
              <w:rPr>
                <w:noProof/>
                <w:webHidden/>
              </w:rPr>
              <w:instrText xml:space="preserve"> PAGEREF _Toc101826535 \h </w:instrText>
            </w:r>
            <w:r w:rsidR="008E3BB0">
              <w:rPr>
                <w:noProof/>
                <w:webHidden/>
              </w:rPr>
            </w:r>
            <w:r w:rsidR="008E3BB0">
              <w:rPr>
                <w:noProof/>
                <w:webHidden/>
              </w:rPr>
              <w:fldChar w:fldCharType="separate"/>
            </w:r>
            <w:r w:rsidR="008E3BB0">
              <w:rPr>
                <w:noProof/>
                <w:webHidden/>
              </w:rPr>
              <w:t>4</w:t>
            </w:r>
            <w:r w:rsidR="008E3BB0">
              <w:rPr>
                <w:noProof/>
                <w:webHidden/>
              </w:rPr>
              <w:fldChar w:fldCharType="end"/>
            </w:r>
          </w:hyperlink>
        </w:p>
        <w:p w14:paraId="188A9383" w14:textId="77777777" w:rsidR="008E3BB0" w:rsidRDefault="00382792">
          <w:pPr>
            <w:pStyle w:val="TOC2"/>
            <w:tabs>
              <w:tab w:val="right" w:leader="dot" w:pos="9350"/>
            </w:tabs>
            <w:rPr>
              <w:rFonts w:asciiTheme="minorHAnsi" w:eastAsiaTheme="minorEastAsia" w:hAnsiTheme="minorHAnsi" w:cstheme="minorBidi"/>
              <w:noProof/>
              <w:sz w:val="22"/>
              <w:szCs w:val="22"/>
              <w:lang w:val="en-US"/>
            </w:rPr>
          </w:pPr>
          <w:hyperlink w:anchor="_Toc101826536" w:history="1">
            <w:r w:rsidR="008E3BB0" w:rsidRPr="00D86081">
              <w:rPr>
                <w:rStyle w:val="Hyperlink"/>
                <w:noProof/>
              </w:rPr>
              <w:t>Standards and benefits of stakeholders</w:t>
            </w:r>
            <w:r w:rsidR="008E3BB0">
              <w:rPr>
                <w:noProof/>
                <w:webHidden/>
              </w:rPr>
              <w:tab/>
            </w:r>
            <w:r w:rsidR="008E3BB0">
              <w:rPr>
                <w:noProof/>
                <w:webHidden/>
              </w:rPr>
              <w:fldChar w:fldCharType="begin"/>
            </w:r>
            <w:r w:rsidR="008E3BB0">
              <w:rPr>
                <w:noProof/>
                <w:webHidden/>
              </w:rPr>
              <w:instrText xml:space="preserve"> PAGEREF _Toc101826536 \h </w:instrText>
            </w:r>
            <w:r w:rsidR="008E3BB0">
              <w:rPr>
                <w:noProof/>
                <w:webHidden/>
              </w:rPr>
            </w:r>
            <w:r w:rsidR="008E3BB0">
              <w:rPr>
                <w:noProof/>
                <w:webHidden/>
              </w:rPr>
              <w:fldChar w:fldCharType="separate"/>
            </w:r>
            <w:r w:rsidR="008E3BB0">
              <w:rPr>
                <w:noProof/>
                <w:webHidden/>
              </w:rPr>
              <w:t>5</w:t>
            </w:r>
            <w:r w:rsidR="008E3BB0">
              <w:rPr>
                <w:noProof/>
                <w:webHidden/>
              </w:rPr>
              <w:fldChar w:fldCharType="end"/>
            </w:r>
          </w:hyperlink>
        </w:p>
        <w:p w14:paraId="1749CA4E" w14:textId="77777777" w:rsidR="008E3BB0" w:rsidRDefault="00382792">
          <w:pPr>
            <w:pStyle w:val="TOC2"/>
            <w:tabs>
              <w:tab w:val="right" w:leader="dot" w:pos="9350"/>
            </w:tabs>
            <w:rPr>
              <w:rFonts w:asciiTheme="minorHAnsi" w:eastAsiaTheme="minorEastAsia" w:hAnsiTheme="minorHAnsi" w:cstheme="minorBidi"/>
              <w:noProof/>
              <w:sz w:val="22"/>
              <w:szCs w:val="22"/>
              <w:lang w:val="en-US"/>
            </w:rPr>
          </w:pPr>
          <w:hyperlink w:anchor="_Toc101826537" w:history="1">
            <w:r w:rsidR="008E3BB0" w:rsidRPr="00D86081">
              <w:rPr>
                <w:rStyle w:val="Hyperlink"/>
                <w:noProof/>
              </w:rPr>
              <w:t>Core community issue</w:t>
            </w:r>
            <w:r w:rsidR="008E3BB0">
              <w:rPr>
                <w:noProof/>
                <w:webHidden/>
              </w:rPr>
              <w:tab/>
            </w:r>
            <w:r w:rsidR="008E3BB0">
              <w:rPr>
                <w:noProof/>
                <w:webHidden/>
              </w:rPr>
              <w:fldChar w:fldCharType="begin"/>
            </w:r>
            <w:r w:rsidR="008E3BB0">
              <w:rPr>
                <w:noProof/>
                <w:webHidden/>
              </w:rPr>
              <w:instrText xml:space="preserve"> PAGEREF _Toc101826537 \h </w:instrText>
            </w:r>
            <w:r w:rsidR="008E3BB0">
              <w:rPr>
                <w:noProof/>
                <w:webHidden/>
              </w:rPr>
            </w:r>
            <w:r w:rsidR="008E3BB0">
              <w:rPr>
                <w:noProof/>
                <w:webHidden/>
              </w:rPr>
              <w:fldChar w:fldCharType="separate"/>
            </w:r>
            <w:r w:rsidR="008E3BB0">
              <w:rPr>
                <w:noProof/>
                <w:webHidden/>
              </w:rPr>
              <w:t>6</w:t>
            </w:r>
            <w:r w:rsidR="008E3BB0">
              <w:rPr>
                <w:noProof/>
                <w:webHidden/>
              </w:rPr>
              <w:fldChar w:fldCharType="end"/>
            </w:r>
          </w:hyperlink>
        </w:p>
        <w:p w14:paraId="04E2D148" w14:textId="77777777" w:rsidR="008E3BB0" w:rsidRDefault="00382792">
          <w:pPr>
            <w:pStyle w:val="TOC1"/>
            <w:tabs>
              <w:tab w:val="right" w:leader="dot" w:pos="9350"/>
            </w:tabs>
            <w:rPr>
              <w:rFonts w:asciiTheme="minorHAnsi" w:eastAsiaTheme="minorEastAsia" w:hAnsiTheme="minorHAnsi" w:cstheme="minorBidi"/>
              <w:noProof/>
              <w:sz w:val="22"/>
              <w:szCs w:val="22"/>
              <w:lang w:val="en-US"/>
            </w:rPr>
          </w:pPr>
          <w:hyperlink w:anchor="_Toc101826538" w:history="1">
            <w:r w:rsidR="008E3BB0" w:rsidRPr="00D86081">
              <w:rPr>
                <w:rStyle w:val="Hyperlink"/>
                <w:noProof/>
              </w:rPr>
              <w:t>Community engagement strategies</w:t>
            </w:r>
            <w:r w:rsidR="008E3BB0">
              <w:rPr>
                <w:noProof/>
                <w:webHidden/>
              </w:rPr>
              <w:tab/>
            </w:r>
            <w:r w:rsidR="008E3BB0">
              <w:rPr>
                <w:noProof/>
                <w:webHidden/>
              </w:rPr>
              <w:fldChar w:fldCharType="begin"/>
            </w:r>
            <w:r w:rsidR="008E3BB0">
              <w:rPr>
                <w:noProof/>
                <w:webHidden/>
              </w:rPr>
              <w:instrText xml:space="preserve"> PAGEREF _Toc101826538 \h </w:instrText>
            </w:r>
            <w:r w:rsidR="008E3BB0">
              <w:rPr>
                <w:noProof/>
                <w:webHidden/>
              </w:rPr>
            </w:r>
            <w:r w:rsidR="008E3BB0">
              <w:rPr>
                <w:noProof/>
                <w:webHidden/>
              </w:rPr>
              <w:fldChar w:fldCharType="separate"/>
            </w:r>
            <w:r w:rsidR="008E3BB0">
              <w:rPr>
                <w:noProof/>
                <w:webHidden/>
              </w:rPr>
              <w:t>7</w:t>
            </w:r>
            <w:r w:rsidR="008E3BB0">
              <w:rPr>
                <w:noProof/>
                <w:webHidden/>
              </w:rPr>
              <w:fldChar w:fldCharType="end"/>
            </w:r>
          </w:hyperlink>
        </w:p>
        <w:p w14:paraId="0C835A73" w14:textId="77777777" w:rsidR="008E3BB0" w:rsidRDefault="00382792">
          <w:pPr>
            <w:pStyle w:val="TOC2"/>
            <w:tabs>
              <w:tab w:val="right" w:leader="dot" w:pos="9350"/>
            </w:tabs>
            <w:rPr>
              <w:rFonts w:asciiTheme="minorHAnsi" w:eastAsiaTheme="minorEastAsia" w:hAnsiTheme="minorHAnsi" w:cstheme="minorBidi"/>
              <w:noProof/>
              <w:sz w:val="22"/>
              <w:szCs w:val="22"/>
              <w:lang w:val="en-US"/>
            </w:rPr>
          </w:pPr>
          <w:hyperlink w:anchor="_Toc101826539" w:history="1">
            <w:r w:rsidR="008E3BB0" w:rsidRPr="00D86081">
              <w:rPr>
                <w:rStyle w:val="Hyperlink"/>
                <w:noProof/>
              </w:rPr>
              <w:t>Relationship between stakeholders</w:t>
            </w:r>
            <w:r w:rsidR="008E3BB0">
              <w:rPr>
                <w:noProof/>
                <w:webHidden/>
              </w:rPr>
              <w:tab/>
            </w:r>
            <w:r w:rsidR="008E3BB0">
              <w:rPr>
                <w:noProof/>
                <w:webHidden/>
              </w:rPr>
              <w:fldChar w:fldCharType="begin"/>
            </w:r>
            <w:r w:rsidR="008E3BB0">
              <w:rPr>
                <w:noProof/>
                <w:webHidden/>
              </w:rPr>
              <w:instrText xml:space="preserve"> PAGEREF _Toc101826539 \h </w:instrText>
            </w:r>
            <w:r w:rsidR="008E3BB0">
              <w:rPr>
                <w:noProof/>
                <w:webHidden/>
              </w:rPr>
            </w:r>
            <w:r w:rsidR="008E3BB0">
              <w:rPr>
                <w:noProof/>
                <w:webHidden/>
              </w:rPr>
              <w:fldChar w:fldCharType="separate"/>
            </w:r>
            <w:r w:rsidR="008E3BB0">
              <w:rPr>
                <w:noProof/>
                <w:webHidden/>
              </w:rPr>
              <w:t>7</w:t>
            </w:r>
            <w:r w:rsidR="008E3BB0">
              <w:rPr>
                <w:noProof/>
                <w:webHidden/>
              </w:rPr>
              <w:fldChar w:fldCharType="end"/>
            </w:r>
          </w:hyperlink>
        </w:p>
        <w:p w14:paraId="2631B676" w14:textId="77777777" w:rsidR="008E3BB0" w:rsidRDefault="00382792">
          <w:pPr>
            <w:pStyle w:val="TOC2"/>
            <w:tabs>
              <w:tab w:val="right" w:leader="dot" w:pos="9350"/>
            </w:tabs>
            <w:rPr>
              <w:rFonts w:asciiTheme="minorHAnsi" w:eastAsiaTheme="minorEastAsia" w:hAnsiTheme="minorHAnsi" w:cstheme="minorBidi"/>
              <w:noProof/>
              <w:sz w:val="22"/>
              <w:szCs w:val="22"/>
              <w:lang w:val="en-US"/>
            </w:rPr>
          </w:pPr>
          <w:hyperlink w:anchor="_Toc101826540" w:history="1">
            <w:r w:rsidR="008E3BB0" w:rsidRPr="00D86081">
              <w:rPr>
                <w:rStyle w:val="Hyperlink"/>
                <w:noProof/>
              </w:rPr>
              <w:t>Strategies for engaging them</w:t>
            </w:r>
            <w:r w:rsidR="008E3BB0">
              <w:rPr>
                <w:noProof/>
                <w:webHidden/>
              </w:rPr>
              <w:tab/>
            </w:r>
            <w:r w:rsidR="008E3BB0">
              <w:rPr>
                <w:noProof/>
                <w:webHidden/>
              </w:rPr>
              <w:fldChar w:fldCharType="begin"/>
            </w:r>
            <w:r w:rsidR="008E3BB0">
              <w:rPr>
                <w:noProof/>
                <w:webHidden/>
              </w:rPr>
              <w:instrText xml:space="preserve"> PAGEREF _Toc101826540 \h </w:instrText>
            </w:r>
            <w:r w:rsidR="008E3BB0">
              <w:rPr>
                <w:noProof/>
                <w:webHidden/>
              </w:rPr>
            </w:r>
            <w:r w:rsidR="008E3BB0">
              <w:rPr>
                <w:noProof/>
                <w:webHidden/>
              </w:rPr>
              <w:fldChar w:fldCharType="separate"/>
            </w:r>
            <w:r w:rsidR="008E3BB0">
              <w:rPr>
                <w:noProof/>
                <w:webHidden/>
              </w:rPr>
              <w:t>7</w:t>
            </w:r>
            <w:r w:rsidR="008E3BB0">
              <w:rPr>
                <w:noProof/>
                <w:webHidden/>
              </w:rPr>
              <w:fldChar w:fldCharType="end"/>
            </w:r>
          </w:hyperlink>
        </w:p>
        <w:p w14:paraId="5C3187AF" w14:textId="77777777" w:rsidR="008E3BB0" w:rsidRDefault="00382792">
          <w:pPr>
            <w:pStyle w:val="TOC2"/>
            <w:tabs>
              <w:tab w:val="right" w:leader="dot" w:pos="9350"/>
            </w:tabs>
            <w:rPr>
              <w:rFonts w:asciiTheme="minorHAnsi" w:eastAsiaTheme="minorEastAsia" w:hAnsiTheme="minorHAnsi" w:cstheme="minorBidi"/>
              <w:noProof/>
              <w:sz w:val="22"/>
              <w:szCs w:val="22"/>
              <w:lang w:val="en-US"/>
            </w:rPr>
          </w:pPr>
          <w:hyperlink w:anchor="_Toc101826541" w:history="1">
            <w:r w:rsidR="008E3BB0" w:rsidRPr="00D86081">
              <w:rPr>
                <w:rStyle w:val="Hyperlink"/>
                <w:noProof/>
              </w:rPr>
              <w:t>Use of social media to support project</w:t>
            </w:r>
            <w:r w:rsidR="008E3BB0">
              <w:rPr>
                <w:noProof/>
                <w:webHidden/>
              </w:rPr>
              <w:tab/>
            </w:r>
            <w:r w:rsidR="008E3BB0">
              <w:rPr>
                <w:noProof/>
                <w:webHidden/>
              </w:rPr>
              <w:fldChar w:fldCharType="begin"/>
            </w:r>
            <w:r w:rsidR="008E3BB0">
              <w:rPr>
                <w:noProof/>
                <w:webHidden/>
              </w:rPr>
              <w:instrText xml:space="preserve"> PAGEREF _Toc101826541 \h </w:instrText>
            </w:r>
            <w:r w:rsidR="008E3BB0">
              <w:rPr>
                <w:noProof/>
                <w:webHidden/>
              </w:rPr>
            </w:r>
            <w:r w:rsidR="008E3BB0">
              <w:rPr>
                <w:noProof/>
                <w:webHidden/>
              </w:rPr>
              <w:fldChar w:fldCharType="separate"/>
            </w:r>
            <w:r w:rsidR="008E3BB0">
              <w:rPr>
                <w:noProof/>
                <w:webHidden/>
              </w:rPr>
              <w:t>8</w:t>
            </w:r>
            <w:r w:rsidR="008E3BB0">
              <w:rPr>
                <w:noProof/>
                <w:webHidden/>
              </w:rPr>
              <w:fldChar w:fldCharType="end"/>
            </w:r>
          </w:hyperlink>
        </w:p>
        <w:p w14:paraId="732F34F7" w14:textId="77777777" w:rsidR="008E3BB0" w:rsidRDefault="00382792">
          <w:pPr>
            <w:pStyle w:val="TOC1"/>
            <w:tabs>
              <w:tab w:val="right" w:leader="dot" w:pos="9350"/>
            </w:tabs>
            <w:rPr>
              <w:rFonts w:asciiTheme="minorHAnsi" w:eastAsiaTheme="minorEastAsia" w:hAnsiTheme="minorHAnsi" w:cstheme="minorBidi"/>
              <w:noProof/>
              <w:sz w:val="22"/>
              <w:szCs w:val="22"/>
              <w:lang w:val="en-US"/>
            </w:rPr>
          </w:pPr>
          <w:hyperlink w:anchor="_Toc101826542" w:history="1">
            <w:r w:rsidR="008E3BB0" w:rsidRPr="00D86081">
              <w:rPr>
                <w:rStyle w:val="Hyperlink"/>
                <w:noProof/>
              </w:rPr>
              <w:t>Avenues to promote community participation</w:t>
            </w:r>
            <w:r w:rsidR="008E3BB0">
              <w:rPr>
                <w:noProof/>
                <w:webHidden/>
              </w:rPr>
              <w:tab/>
            </w:r>
            <w:r w:rsidR="008E3BB0">
              <w:rPr>
                <w:noProof/>
                <w:webHidden/>
              </w:rPr>
              <w:fldChar w:fldCharType="begin"/>
            </w:r>
            <w:r w:rsidR="008E3BB0">
              <w:rPr>
                <w:noProof/>
                <w:webHidden/>
              </w:rPr>
              <w:instrText xml:space="preserve"> PAGEREF _Toc101826542 \h </w:instrText>
            </w:r>
            <w:r w:rsidR="008E3BB0">
              <w:rPr>
                <w:noProof/>
                <w:webHidden/>
              </w:rPr>
            </w:r>
            <w:r w:rsidR="008E3BB0">
              <w:rPr>
                <w:noProof/>
                <w:webHidden/>
              </w:rPr>
              <w:fldChar w:fldCharType="separate"/>
            </w:r>
            <w:r w:rsidR="008E3BB0">
              <w:rPr>
                <w:noProof/>
                <w:webHidden/>
              </w:rPr>
              <w:t>9</w:t>
            </w:r>
            <w:r w:rsidR="008E3BB0">
              <w:rPr>
                <w:noProof/>
                <w:webHidden/>
              </w:rPr>
              <w:fldChar w:fldCharType="end"/>
            </w:r>
          </w:hyperlink>
        </w:p>
        <w:p w14:paraId="750FD340" w14:textId="77777777" w:rsidR="008E3BB0" w:rsidRDefault="00382792">
          <w:pPr>
            <w:pStyle w:val="TOC1"/>
            <w:tabs>
              <w:tab w:val="right" w:leader="dot" w:pos="9350"/>
            </w:tabs>
            <w:rPr>
              <w:rFonts w:asciiTheme="minorHAnsi" w:eastAsiaTheme="minorEastAsia" w:hAnsiTheme="minorHAnsi" w:cstheme="minorBidi"/>
              <w:noProof/>
              <w:sz w:val="22"/>
              <w:szCs w:val="22"/>
              <w:lang w:val="en-US"/>
            </w:rPr>
          </w:pPr>
          <w:hyperlink w:anchor="_Toc101826543" w:history="1">
            <w:r w:rsidR="008E3BB0" w:rsidRPr="00D86081">
              <w:rPr>
                <w:rStyle w:val="Hyperlink"/>
                <w:noProof/>
              </w:rPr>
              <w:t>Importance of adopting forward-looking approach</w:t>
            </w:r>
            <w:r w:rsidR="008E3BB0">
              <w:rPr>
                <w:noProof/>
                <w:webHidden/>
              </w:rPr>
              <w:tab/>
            </w:r>
            <w:r w:rsidR="008E3BB0">
              <w:rPr>
                <w:noProof/>
                <w:webHidden/>
              </w:rPr>
              <w:fldChar w:fldCharType="begin"/>
            </w:r>
            <w:r w:rsidR="008E3BB0">
              <w:rPr>
                <w:noProof/>
                <w:webHidden/>
              </w:rPr>
              <w:instrText xml:space="preserve"> PAGEREF _Toc101826543 \h </w:instrText>
            </w:r>
            <w:r w:rsidR="008E3BB0">
              <w:rPr>
                <w:noProof/>
                <w:webHidden/>
              </w:rPr>
            </w:r>
            <w:r w:rsidR="008E3BB0">
              <w:rPr>
                <w:noProof/>
                <w:webHidden/>
              </w:rPr>
              <w:fldChar w:fldCharType="separate"/>
            </w:r>
            <w:r w:rsidR="008E3BB0">
              <w:rPr>
                <w:noProof/>
                <w:webHidden/>
              </w:rPr>
              <w:t>9</w:t>
            </w:r>
            <w:r w:rsidR="008E3BB0">
              <w:rPr>
                <w:noProof/>
                <w:webHidden/>
              </w:rPr>
              <w:fldChar w:fldCharType="end"/>
            </w:r>
          </w:hyperlink>
        </w:p>
        <w:p w14:paraId="7B283143" w14:textId="77777777" w:rsidR="008E3BB0" w:rsidRDefault="00382792">
          <w:pPr>
            <w:pStyle w:val="TOC1"/>
            <w:tabs>
              <w:tab w:val="right" w:leader="dot" w:pos="9350"/>
            </w:tabs>
            <w:rPr>
              <w:rFonts w:asciiTheme="minorHAnsi" w:eastAsiaTheme="minorEastAsia" w:hAnsiTheme="minorHAnsi" w:cstheme="minorBidi"/>
              <w:noProof/>
              <w:sz w:val="22"/>
              <w:szCs w:val="22"/>
              <w:lang w:val="en-US"/>
            </w:rPr>
          </w:pPr>
          <w:hyperlink w:anchor="_Toc101826544" w:history="1">
            <w:r w:rsidR="008E3BB0" w:rsidRPr="00D86081">
              <w:rPr>
                <w:rStyle w:val="Hyperlink"/>
                <w:noProof/>
              </w:rPr>
              <w:t>Conclusion</w:t>
            </w:r>
            <w:r w:rsidR="008E3BB0">
              <w:rPr>
                <w:noProof/>
                <w:webHidden/>
              </w:rPr>
              <w:tab/>
            </w:r>
            <w:r w:rsidR="008E3BB0">
              <w:rPr>
                <w:noProof/>
                <w:webHidden/>
              </w:rPr>
              <w:fldChar w:fldCharType="begin"/>
            </w:r>
            <w:r w:rsidR="008E3BB0">
              <w:rPr>
                <w:noProof/>
                <w:webHidden/>
              </w:rPr>
              <w:instrText xml:space="preserve"> PAGEREF _Toc101826544 \h </w:instrText>
            </w:r>
            <w:r w:rsidR="008E3BB0">
              <w:rPr>
                <w:noProof/>
                <w:webHidden/>
              </w:rPr>
            </w:r>
            <w:r w:rsidR="008E3BB0">
              <w:rPr>
                <w:noProof/>
                <w:webHidden/>
              </w:rPr>
              <w:fldChar w:fldCharType="separate"/>
            </w:r>
            <w:r w:rsidR="008E3BB0">
              <w:rPr>
                <w:noProof/>
                <w:webHidden/>
              </w:rPr>
              <w:t>10</w:t>
            </w:r>
            <w:r w:rsidR="008E3BB0">
              <w:rPr>
                <w:noProof/>
                <w:webHidden/>
              </w:rPr>
              <w:fldChar w:fldCharType="end"/>
            </w:r>
          </w:hyperlink>
        </w:p>
        <w:p w14:paraId="4FF6D0A6" w14:textId="77777777" w:rsidR="008E3BB0" w:rsidRDefault="00382792">
          <w:pPr>
            <w:pStyle w:val="TOC1"/>
            <w:tabs>
              <w:tab w:val="right" w:leader="dot" w:pos="9350"/>
            </w:tabs>
            <w:rPr>
              <w:rFonts w:asciiTheme="minorHAnsi" w:eastAsiaTheme="minorEastAsia" w:hAnsiTheme="minorHAnsi" w:cstheme="minorBidi"/>
              <w:noProof/>
              <w:sz w:val="22"/>
              <w:szCs w:val="22"/>
              <w:lang w:val="en-US"/>
            </w:rPr>
          </w:pPr>
          <w:hyperlink w:anchor="_Toc101826545" w:history="1">
            <w:r w:rsidR="008E3BB0" w:rsidRPr="00D86081">
              <w:rPr>
                <w:rStyle w:val="Hyperlink"/>
                <w:noProof/>
              </w:rPr>
              <w:t>References</w:t>
            </w:r>
            <w:r w:rsidR="008E3BB0">
              <w:rPr>
                <w:noProof/>
                <w:webHidden/>
              </w:rPr>
              <w:tab/>
            </w:r>
            <w:r w:rsidR="008E3BB0">
              <w:rPr>
                <w:noProof/>
                <w:webHidden/>
              </w:rPr>
              <w:fldChar w:fldCharType="begin"/>
            </w:r>
            <w:r w:rsidR="008E3BB0">
              <w:rPr>
                <w:noProof/>
                <w:webHidden/>
              </w:rPr>
              <w:instrText xml:space="preserve"> PAGEREF _Toc101826545 \h </w:instrText>
            </w:r>
            <w:r w:rsidR="008E3BB0">
              <w:rPr>
                <w:noProof/>
                <w:webHidden/>
              </w:rPr>
            </w:r>
            <w:r w:rsidR="008E3BB0">
              <w:rPr>
                <w:noProof/>
                <w:webHidden/>
              </w:rPr>
              <w:fldChar w:fldCharType="separate"/>
            </w:r>
            <w:r w:rsidR="008E3BB0">
              <w:rPr>
                <w:noProof/>
                <w:webHidden/>
              </w:rPr>
              <w:t>11</w:t>
            </w:r>
            <w:r w:rsidR="008E3BB0">
              <w:rPr>
                <w:noProof/>
                <w:webHidden/>
              </w:rPr>
              <w:fldChar w:fldCharType="end"/>
            </w:r>
          </w:hyperlink>
        </w:p>
        <w:p w14:paraId="4AAF4D24" w14:textId="77777777" w:rsidR="00D34D03" w:rsidRDefault="00D34D03">
          <w:r>
            <w:rPr>
              <w:b/>
              <w:bCs/>
              <w:noProof/>
            </w:rPr>
            <w:fldChar w:fldCharType="end"/>
          </w:r>
        </w:p>
      </w:sdtContent>
    </w:sdt>
    <w:p w14:paraId="422F39F1" w14:textId="77777777" w:rsidR="00D34D03" w:rsidRDefault="00D34D03">
      <w:pPr>
        <w:rPr>
          <w:b/>
          <w:sz w:val="36"/>
          <w:szCs w:val="36"/>
        </w:rPr>
      </w:pPr>
      <w:r>
        <w:rPr>
          <w:b/>
          <w:sz w:val="36"/>
          <w:szCs w:val="36"/>
        </w:rPr>
        <w:br w:type="page"/>
      </w:r>
    </w:p>
    <w:p w14:paraId="28CEA08E" w14:textId="77777777" w:rsidR="00FA0A60" w:rsidRDefault="000E5614">
      <w:pPr>
        <w:pStyle w:val="Heading1"/>
        <w:spacing w:line="360" w:lineRule="auto"/>
        <w:jc w:val="both"/>
      </w:pPr>
      <w:bookmarkStart w:id="1" w:name="_5gc00t2tb98y" w:colFirst="0" w:colLast="0"/>
      <w:bookmarkStart w:id="2" w:name="_Toc101826531"/>
      <w:bookmarkEnd w:id="1"/>
      <w:r>
        <w:lastRenderedPageBreak/>
        <w:t>Introduction</w:t>
      </w:r>
      <w:bookmarkEnd w:id="2"/>
    </w:p>
    <w:p w14:paraId="19F21E70" w14:textId="77777777" w:rsidR="00FA0A60" w:rsidRDefault="000E5614">
      <w:pPr>
        <w:spacing w:line="360" w:lineRule="auto"/>
        <w:jc w:val="both"/>
      </w:pPr>
      <w:r>
        <w:t xml:space="preserve">Community engagement is an intensive process, in which a community in a certain neighborhood engages with the local authority for the overall betterment of that area. It is a strategic framework based on the principles of respect for all communities and their members to be informed, consulted, involved, and then empowered. Engagement of community can be in various ways to reduce or remove issues like social, </w:t>
      </w:r>
      <w:proofErr w:type="spellStart"/>
      <w:r>
        <w:t>economical</w:t>
      </w:r>
      <w:proofErr w:type="spellEnd"/>
      <w:r>
        <w:t xml:space="preserve"> injustice, and even environmental issues. And for such development, community engagement is essential for the implementation of specific laws or facilities by the government or authority, Mahajan </w:t>
      </w:r>
      <w:r>
        <w:rPr>
          <w:i/>
        </w:rPr>
        <w:t>et al.</w:t>
      </w:r>
      <w:r>
        <w:t xml:space="preserve"> (2020). The community engagement practices of Guildford Borough Council are going to be discussed in that assessment.</w:t>
      </w:r>
    </w:p>
    <w:p w14:paraId="788660A9" w14:textId="77777777" w:rsidR="00FA0A60" w:rsidRDefault="000E5614">
      <w:pPr>
        <w:pStyle w:val="Heading1"/>
        <w:spacing w:line="360" w:lineRule="auto"/>
        <w:jc w:val="both"/>
      </w:pPr>
      <w:bookmarkStart w:id="3" w:name="_dcbp89byy7d" w:colFirst="0" w:colLast="0"/>
      <w:bookmarkStart w:id="4" w:name="_Toc101826532"/>
      <w:bookmarkEnd w:id="3"/>
      <w:r>
        <w:t>The Brief Idea of the Community Engagement Process</w:t>
      </w:r>
      <w:bookmarkEnd w:id="4"/>
    </w:p>
    <w:p w14:paraId="56373984" w14:textId="77777777" w:rsidR="00D2553D" w:rsidRDefault="00D2553D" w:rsidP="00D2553D">
      <w:pPr>
        <w:pStyle w:val="Heading2"/>
      </w:pPr>
      <w:bookmarkStart w:id="5" w:name="_Toc101826533"/>
      <w:r w:rsidRPr="00D2553D">
        <w:t>Description</w:t>
      </w:r>
      <w:r>
        <w:t xml:space="preserve"> of the Project</w:t>
      </w:r>
      <w:bookmarkEnd w:id="5"/>
    </w:p>
    <w:p w14:paraId="1FA65C30" w14:textId="77777777" w:rsidR="00FA0A60" w:rsidRDefault="000E5614" w:rsidP="00D2553D">
      <w:pPr>
        <w:spacing w:line="360" w:lineRule="auto"/>
        <w:jc w:val="both"/>
        <w:rPr>
          <w:b/>
        </w:rPr>
      </w:pPr>
      <w:r>
        <w:t xml:space="preserve">In the overall development of a locality, certain rules or facilities provided by the authority are universally accepted. But those can be executed with the help of the local community or </w:t>
      </w:r>
      <w:r w:rsidR="00D2553D">
        <w:t>residents are</w:t>
      </w:r>
      <w:r>
        <w:t xml:space="preserve"> the only way to achieve those goals in a sustainable manner. </w:t>
      </w:r>
      <w:r w:rsidR="00685129">
        <w:t>T</w:t>
      </w:r>
      <w:r>
        <w:t>he concept of plurality is very necessary in the case of community engagement</w:t>
      </w:r>
      <w:r w:rsidR="00840764">
        <w:t xml:space="preserve">. </w:t>
      </w:r>
      <w:r w:rsidR="00B35620">
        <w:t>Guildford aimed to produce a document to encourage local people and resolve the local issues</w:t>
      </w:r>
      <w:r w:rsidR="00840764">
        <w:t xml:space="preserve"> (</w:t>
      </w:r>
      <w:r w:rsidR="00840764">
        <w:rPr>
          <w:color w:val="222222"/>
        </w:rPr>
        <w:t>Guildford, 2022</w:t>
      </w:r>
      <w:r w:rsidR="00840764">
        <w:t>)</w:t>
      </w:r>
      <w:r>
        <w:t xml:space="preserve">. It is possible to easily achieve a goal through a team effort by removing narrow-mindedness or single interests. It is a practice that is perfectly blended with science and arts in social life. The concept of science comes from sociology, political science, cultural anthropology, psychology, and others. </w:t>
      </w:r>
      <w:r w:rsidR="00D2553D">
        <w:t>T</w:t>
      </w:r>
      <w:r>
        <w:t xml:space="preserve">he concept of arts </w:t>
      </w:r>
      <w:r w:rsidR="00D2553D">
        <w:t xml:space="preserve">comes </w:t>
      </w:r>
      <w:r>
        <w:t xml:space="preserve">from community engagement or participation, development, and others. The overall development of a Neighborhood is possible through the development of the community or the common people and the environment. In the community of Guildford, a city in the United Kingdom along with the Guildford Borough Council, the planning authority took several initiatives to remove various issues in their locality. The local community actively engaged with different government departments such as the county council, health services, and police authorities to overcome those unwanted issues, to re-establish the lost law and order, health facilities, and scarcity of basic needs of civic life. Community engagement is a complex </w:t>
      </w:r>
      <w:r>
        <w:lastRenderedPageBreak/>
        <w:t xml:space="preserve">and labor-intensive practice, it needs full dedication, </w:t>
      </w:r>
      <w:r w:rsidR="00D2553D">
        <w:t>and the</w:t>
      </w:r>
      <w:r>
        <w:t xml:space="preserve"> citizens of Guildford helped the authorities in comprehensive ways to achieve a sustainable place for living.</w:t>
      </w:r>
    </w:p>
    <w:p w14:paraId="4C2B721B" w14:textId="77777777" w:rsidR="00D2553D" w:rsidRDefault="00D2553D" w:rsidP="00225302">
      <w:pPr>
        <w:pStyle w:val="Heading2"/>
      </w:pPr>
      <w:bookmarkStart w:id="6" w:name="_Toc101826534"/>
      <w:r>
        <w:t>Analysis of practices</w:t>
      </w:r>
      <w:bookmarkEnd w:id="6"/>
    </w:p>
    <w:p w14:paraId="39C55964" w14:textId="77777777" w:rsidR="00FA0A60" w:rsidRDefault="000E5614" w:rsidP="00D2553D">
      <w:pPr>
        <w:spacing w:line="360" w:lineRule="auto"/>
        <w:jc w:val="both"/>
        <w:rPr>
          <w:b/>
        </w:rPr>
      </w:pPr>
      <w:r>
        <w:t xml:space="preserve">Community engagement can be done through several practices. Cameron and Fitzpatrick (2021) stated that Building a group of major stakeholders; identifying, understanding, and responding accordingly, and building trust by inviting all the members of the community are some of the major necessary steps regarding this practice. Proper planning is the key factor against any sort of work, active participation of community members with the authorities is very necessary. In this case, everyone should have equal importance in making the plan and as a result, everyone can contribute to the execution of that plan. The mentality of openness to learning something from others is another key </w:t>
      </w:r>
      <w:r w:rsidR="00D2553D">
        <w:t>practice;</w:t>
      </w:r>
      <w:r>
        <w:t xml:space="preserve"> this creates credibility among all and makes the work possible through collaboration. </w:t>
      </w:r>
    </w:p>
    <w:p w14:paraId="6303142A" w14:textId="77777777" w:rsidR="00D2553D" w:rsidRDefault="000E5614" w:rsidP="00225302">
      <w:pPr>
        <w:pStyle w:val="Heading2"/>
      </w:pPr>
      <w:bookmarkStart w:id="7" w:name="_Toc101826535"/>
      <w:r>
        <w:t>Pri</w:t>
      </w:r>
      <w:r w:rsidR="00D2553D">
        <w:t>nciples of Community Engagement</w:t>
      </w:r>
      <w:bookmarkEnd w:id="7"/>
    </w:p>
    <w:p w14:paraId="08296A00" w14:textId="77777777" w:rsidR="00FA0A60" w:rsidRDefault="000E5614" w:rsidP="00D2553D">
      <w:pPr>
        <w:spacing w:line="360" w:lineRule="auto"/>
        <w:jc w:val="both"/>
      </w:pPr>
      <w:r>
        <w:t xml:space="preserve">The term 'community' has a broad aspect to notify a group of people with some common things, whether it is geographical or ethnic, or any other. So the usefulness of community always broadens the scope, Firestone </w:t>
      </w:r>
      <w:r>
        <w:rPr>
          <w:i/>
        </w:rPr>
        <w:t>et al.</w:t>
      </w:r>
      <w:r>
        <w:t xml:space="preserve"> (2018). It shifts the idea of individuality to collectiveness. The dedication and collectiveness of community engagement always create a better result. Every well-meaning person has some duty towards society. Just as active participation in the welfare of society introduces moral values, so do his well-thought-out views and work efficiency plays a major role in the development of society. Some other principles in community engagement are respecting the value of everyone's thought, mutual trust, encouraging others, and supporting nature in collective work and others. </w:t>
      </w:r>
    </w:p>
    <w:p w14:paraId="37D43434" w14:textId="77777777" w:rsidR="00CD5175" w:rsidRDefault="00CD5175" w:rsidP="00CD5175">
      <w:pPr>
        <w:spacing w:line="360" w:lineRule="auto"/>
        <w:jc w:val="center"/>
      </w:pPr>
      <w:r>
        <w:rPr>
          <w:noProof/>
          <w:lang w:val="en-US"/>
        </w:rPr>
        <w:drawing>
          <wp:inline distT="0" distB="0" distL="0" distR="0" wp14:anchorId="370974C0" wp14:editId="00D0AC71">
            <wp:extent cx="3763926" cy="2329220"/>
            <wp:effectExtent l="0" t="0" r="0" b="0"/>
            <wp:docPr id="1" name="Picture 1" descr="Community Engagement | SCDH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ty Engagement | SCDHE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3926" cy="2329220"/>
                    </a:xfrm>
                    <a:prstGeom prst="rect">
                      <a:avLst/>
                    </a:prstGeom>
                    <a:noFill/>
                    <a:ln>
                      <a:noFill/>
                    </a:ln>
                  </pic:spPr>
                </pic:pic>
              </a:graphicData>
            </a:graphic>
          </wp:inline>
        </w:drawing>
      </w:r>
    </w:p>
    <w:p w14:paraId="62E37D30" w14:textId="77777777" w:rsidR="00CD5175" w:rsidRPr="00E96D40" w:rsidRDefault="00CD5175" w:rsidP="00CD5175">
      <w:pPr>
        <w:spacing w:line="360" w:lineRule="auto"/>
        <w:jc w:val="center"/>
        <w:rPr>
          <w:b/>
        </w:rPr>
      </w:pPr>
      <w:r w:rsidRPr="00E96D40">
        <w:rPr>
          <w:b/>
        </w:rPr>
        <w:lastRenderedPageBreak/>
        <w:t>Figure 1: Factors affecting community engagement</w:t>
      </w:r>
    </w:p>
    <w:p w14:paraId="4C469385" w14:textId="77777777" w:rsidR="00CD5175" w:rsidRDefault="00CD5175" w:rsidP="00CD5175">
      <w:pPr>
        <w:spacing w:line="360" w:lineRule="auto"/>
        <w:jc w:val="center"/>
      </w:pPr>
      <w:r>
        <w:t xml:space="preserve">(Source: Firestone </w:t>
      </w:r>
      <w:r>
        <w:rPr>
          <w:i/>
        </w:rPr>
        <w:t>et al.</w:t>
      </w:r>
      <w:r>
        <w:t xml:space="preserve"> 2018)</w:t>
      </w:r>
    </w:p>
    <w:p w14:paraId="4A964389" w14:textId="77777777" w:rsidR="00D2553D" w:rsidRDefault="000E5614" w:rsidP="00225302">
      <w:pPr>
        <w:pStyle w:val="Heading2"/>
      </w:pPr>
      <w:bookmarkStart w:id="8" w:name="_Toc101826536"/>
      <w:r>
        <w:t>Standar</w:t>
      </w:r>
      <w:r w:rsidR="00D2553D">
        <w:t>ds and benefits of stakeholders</w:t>
      </w:r>
      <w:bookmarkEnd w:id="8"/>
    </w:p>
    <w:p w14:paraId="01A9C008" w14:textId="77777777" w:rsidR="00FA0A60" w:rsidRDefault="000E5614" w:rsidP="00D2553D">
      <w:pPr>
        <w:spacing w:line="360" w:lineRule="auto"/>
        <w:jc w:val="both"/>
        <w:rPr>
          <w:b/>
          <w:sz w:val="26"/>
          <w:szCs w:val="26"/>
        </w:rPr>
      </w:pPr>
      <w:r>
        <w:t xml:space="preserve">Involvement of stakeholders in any collective work like community engagement is an amazing way to create awareness in society. It also helps in building relationships among the different classes of society. According to Giordano </w:t>
      </w:r>
      <w:r>
        <w:rPr>
          <w:i/>
        </w:rPr>
        <w:t>et al.</w:t>
      </w:r>
      <w:r>
        <w:t xml:space="preserve"> (2020), this process helps the members as well as all the stakeholders to share a journey by establishing long-term trust and it also helps to enhance personal as well as professional skills. Community Engagement results in social, financial, and environmental up-gradation of a certain locality. Increasing social standards by educating and empowering illiterate people, helping respective authorities to maintain proper law and order, health facilities, and participation of the Community alongside authority is crucial in ensuring the basic needs of the people. The community plays a major role in the development of the overall social standard of the area as well as in the economic development. The overall economic development of the area is achieved through discussions with the authorities through a positive approach as well as making people aware of the news of various government facilities. This has reduced the criminal activities in the area. Needless to say, the active participation of the Guildford area community with various local authorities in addressing various issues in the area has largely overcome these problems. Which has been beneficial to all who are directly or indirectly involved with this project. The names, types, and benefits of stakeholders are shown on the next page in tabular form.</w:t>
      </w:r>
    </w:p>
    <w:p w14:paraId="68389D8A" w14:textId="77777777" w:rsidR="00FA0A60" w:rsidRDefault="00FA0A60">
      <w:pPr>
        <w:spacing w:line="360" w:lineRule="auto"/>
        <w:ind w:left="720"/>
        <w:jc w:val="both"/>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0"/>
        <w:gridCol w:w="2700"/>
        <w:gridCol w:w="3690"/>
      </w:tblGrid>
      <w:tr w:rsidR="00FA0A60" w14:paraId="08B79670" w14:textId="77777777" w:rsidTr="00D2553D">
        <w:tc>
          <w:tcPr>
            <w:tcW w:w="2970" w:type="dxa"/>
            <w:shd w:val="clear" w:color="auto" w:fill="auto"/>
            <w:tcMar>
              <w:top w:w="100" w:type="dxa"/>
              <w:left w:w="100" w:type="dxa"/>
              <w:bottom w:w="100" w:type="dxa"/>
              <w:right w:w="100" w:type="dxa"/>
            </w:tcMar>
          </w:tcPr>
          <w:p w14:paraId="5F009E89" w14:textId="77777777" w:rsidR="00FA0A60" w:rsidRDefault="000E5614">
            <w:pPr>
              <w:widowControl w:val="0"/>
              <w:pBdr>
                <w:top w:val="nil"/>
                <w:left w:val="nil"/>
                <w:bottom w:val="nil"/>
                <w:right w:val="nil"/>
                <w:between w:val="nil"/>
              </w:pBdr>
              <w:spacing w:line="360" w:lineRule="auto"/>
              <w:jc w:val="center"/>
              <w:rPr>
                <w:b/>
              </w:rPr>
            </w:pPr>
            <w:r>
              <w:rPr>
                <w:b/>
              </w:rPr>
              <w:t>Name of Stakeholder</w:t>
            </w:r>
          </w:p>
        </w:tc>
        <w:tc>
          <w:tcPr>
            <w:tcW w:w="2700" w:type="dxa"/>
            <w:shd w:val="clear" w:color="auto" w:fill="auto"/>
            <w:tcMar>
              <w:top w:w="100" w:type="dxa"/>
              <w:left w:w="100" w:type="dxa"/>
              <w:bottom w:w="100" w:type="dxa"/>
              <w:right w:w="100" w:type="dxa"/>
            </w:tcMar>
          </w:tcPr>
          <w:p w14:paraId="35CEC630" w14:textId="77777777" w:rsidR="00FA0A60" w:rsidRDefault="000E5614">
            <w:pPr>
              <w:widowControl w:val="0"/>
              <w:pBdr>
                <w:top w:val="nil"/>
                <w:left w:val="nil"/>
                <w:bottom w:val="nil"/>
                <w:right w:val="nil"/>
                <w:between w:val="nil"/>
              </w:pBdr>
              <w:spacing w:line="360" w:lineRule="auto"/>
              <w:jc w:val="center"/>
              <w:rPr>
                <w:b/>
              </w:rPr>
            </w:pPr>
            <w:r>
              <w:rPr>
                <w:b/>
              </w:rPr>
              <w:t>Type of Stakeholder</w:t>
            </w:r>
          </w:p>
        </w:tc>
        <w:tc>
          <w:tcPr>
            <w:tcW w:w="3690" w:type="dxa"/>
            <w:shd w:val="clear" w:color="auto" w:fill="auto"/>
            <w:tcMar>
              <w:top w:w="100" w:type="dxa"/>
              <w:left w:w="100" w:type="dxa"/>
              <w:bottom w:w="100" w:type="dxa"/>
              <w:right w:w="100" w:type="dxa"/>
            </w:tcMar>
          </w:tcPr>
          <w:p w14:paraId="5895DFCD" w14:textId="77777777" w:rsidR="00FA0A60" w:rsidRDefault="000E5614">
            <w:pPr>
              <w:widowControl w:val="0"/>
              <w:pBdr>
                <w:top w:val="nil"/>
                <w:left w:val="nil"/>
                <w:bottom w:val="nil"/>
                <w:right w:val="nil"/>
                <w:between w:val="nil"/>
              </w:pBdr>
              <w:spacing w:line="360" w:lineRule="auto"/>
              <w:jc w:val="center"/>
              <w:rPr>
                <w:b/>
              </w:rPr>
            </w:pPr>
            <w:r>
              <w:rPr>
                <w:b/>
              </w:rPr>
              <w:t>Benefits</w:t>
            </w:r>
          </w:p>
        </w:tc>
      </w:tr>
      <w:tr w:rsidR="00FA0A60" w14:paraId="50B5038B" w14:textId="77777777" w:rsidTr="00D2553D">
        <w:tc>
          <w:tcPr>
            <w:tcW w:w="2970" w:type="dxa"/>
            <w:shd w:val="clear" w:color="auto" w:fill="auto"/>
            <w:tcMar>
              <w:top w:w="100" w:type="dxa"/>
              <w:left w:w="100" w:type="dxa"/>
              <w:bottom w:w="100" w:type="dxa"/>
              <w:right w:w="100" w:type="dxa"/>
            </w:tcMar>
          </w:tcPr>
          <w:p w14:paraId="06130DCC" w14:textId="77777777" w:rsidR="00FA0A60" w:rsidRDefault="00E96D40">
            <w:pPr>
              <w:widowControl w:val="0"/>
              <w:pBdr>
                <w:top w:val="nil"/>
                <w:left w:val="nil"/>
                <w:bottom w:val="nil"/>
                <w:right w:val="nil"/>
                <w:between w:val="nil"/>
              </w:pBdr>
              <w:spacing w:line="360" w:lineRule="auto"/>
              <w:jc w:val="center"/>
            </w:pPr>
            <w:r>
              <w:t>County council</w:t>
            </w:r>
          </w:p>
        </w:tc>
        <w:tc>
          <w:tcPr>
            <w:tcW w:w="2700" w:type="dxa"/>
            <w:shd w:val="clear" w:color="auto" w:fill="auto"/>
            <w:tcMar>
              <w:top w:w="100" w:type="dxa"/>
              <w:left w:w="100" w:type="dxa"/>
              <w:bottom w:w="100" w:type="dxa"/>
              <w:right w:w="100" w:type="dxa"/>
            </w:tcMar>
          </w:tcPr>
          <w:p w14:paraId="24050D0C" w14:textId="77777777" w:rsidR="00FA0A60" w:rsidRDefault="00E96D40">
            <w:pPr>
              <w:widowControl w:val="0"/>
              <w:pBdr>
                <w:top w:val="nil"/>
                <w:left w:val="nil"/>
                <w:bottom w:val="nil"/>
                <w:right w:val="nil"/>
                <w:between w:val="nil"/>
              </w:pBdr>
              <w:spacing w:line="360" w:lineRule="auto"/>
              <w:jc w:val="center"/>
            </w:pPr>
            <w:r>
              <w:t>External</w:t>
            </w:r>
          </w:p>
        </w:tc>
        <w:tc>
          <w:tcPr>
            <w:tcW w:w="3690" w:type="dxa"/>
            <w:shd w:val="clear" w:color="auto" w:fill="auto"/>
            <w:tcMar>
              <w:top w:w="100" w:type="dxa"/>
              <w:left w:w="100" w:type="dxa"/>
              <w:bottom w:w="100" w:type="dxa"/>
              <w:right w:w="100" w:type="dxa"/>
            </w:tcMar>
          </w:tcPr>
          <w:p w14:paraId="70D25934" w14:textId="77777777" w:rsidR="00FA0A60" w:rsidRDefault="000E5614">
            <w:pPr>
              <w:widowControl w:val="0"/>
              <w:pBdr>
                <w:top w:val="nil"/>
                <w:left w:val="nil"/>
                <w:bottom w:val="nil"/>
                <w:right w:val="nil"/>
                <w:between w:val="nil"/>
              </w:pBdr>
              <w:spacing w:line="360" w:lineRule="auto"/>
              <w:jc w:val="center"/>
            </w:pPr>
            <w:r>
              <w:t>Enhancement of skill by working at ground level</w:t>
            </w:r>
          </w:p>
        </w:tc>
      </w:tr>
      <w:tr w:rsidR="00FA0A60" w14:paraId="5C55431C" w14:textId="77777777" w:rsidTr="00D2553D">
        <w:tc>
          <w:tcPr>
            <w:tcW w:w="2970" w:type="dxa"/>
            <w:shd w:val="clear" w:color="auto" w:fill="auto"/>
            <w:tcMar>
              <w:top w:w="100" w:type="dxa"/>
              <w:left w:w="100" w:type="dxa"/>
              <w:bottom w:w="100" w:type="dxa"/>
              <w:right w:w="100" w:type="dxa"/>
            </w:tcMar>
          </w:tcPr>
          <w:p w14:paraId="4B55DBD0" w14:textId="77777777" w:rsidR="00FA0A60" w:rsidRDefault="000E5614">
            <w:pPr>
              <w:widowControl w:val="0"/>
              <w:pBdr>
                <w:top w:val="nil"/>
                <w:left w:val="nil"/>
                <w:bottom w:val="nil"/>
                <w:right w:val="nil"/>
                <w:between w:val="nil"/>
              </w:pBdr>
              <w:spacing w:line="360" w:lineRule="auto"/>
              <w:jc w:val="center"/>
            </w:pPr>
            <w:r>
              <w:t>Analysts</w:t>
            </w:r>
          </w:p>
        </w:tc>
        <w:tc>
          <w:tcPr>
            <w:tcW w:w="2700" w:type="dxa"/>
            <w:shd w:val="clear" w:color="auto" w:fill="auto"/>
            <w:tcMar>
              <w:top w:w="100" w:type="dxa"/>
              <w:left w:w="100" w:type="dxa"/>
              <w:bottom w:w="100" w:type="dxa"/>
              <w:right w:w="100" w:type="dxa"/>
            </w:tcMar>
          </w:tcPr>
          <w:p w14:paraId="37DE9F1E" w14:textId="77777777" w:rsidR="00FA0A60" w:rsidRDefault="000E5614">
            <w:pPr>
              <w:widowControl w:val="0"/>
              <w:pBdr>
                <w:top w:val="nil"/>
                <w:left w:val="nil"/>
                <w:bottom w:val="nil"/>
                <w:right w:val="nil"/>
                <w:between w:val="nil"/>
              </w:pBdr>
              <w:spacing w:line="360" w:lineRule="auto"/>
              <w:jc w:val="center"/>
            </w:pPr>
            <w:r>
              <w:t>Internal</w:t>
            </w:r>
          </w:p>
        </w:tc>
        <w:tc>
          <w:tcPr>
            <w:tcW w:w="3690" w:type="dxa"/>
            <w:shd w:val="clear" w:color="auto" w:fill="auto"/>
            <w:tcMar>
              <w:top w:w="100" w:type="dxa"/>
              <w:left w:w="100" w:type="dxa"/>
              <w:bottom w:w="100" w:type="dxa"/>
              <w:right w:w="100" w:type="dxa"/>
            </w:tcMar>
          </w:tcPr>
          <w:p w14:paraId="728B1298" w14:textId="77777777" w:rsidR="00FA0A60" w:rsidRDefault="000E5614">
            <w:pPr>
              <w:widowControl w:val="0"/>
              <w:pBdr>
                <w:top w:val="nil"/>
                <w:left w:val="nil"/>
                <w:bottom w:val="nil"/>
                <w:right w:val="nil"/>
                <w:between w:val="nil"/>
              </w:pBdr>
              <w:spacing w:line="360" w:lineRule="auto"/>
              <w:jc w:val="center"/>
            </w:pPr>
            <w:r>
              <w:t xml:space="preserve">Skill enhancement, experience gathering </w:t>
            </w:r>
          </w:p>
        </w:tc>
      </w:tr>
      <w:tr w:rsidR="00FA0A60" w14:paraId="673D8C64" w14:textId="77777777" w:rsidTr="00D2553D">
        <w:tc>
          <w:tcPr>
            <w:tcW w:w="2970" w:type="dxa"/>
            <w:shd w:val="clear" w:color="auto" w:fill="auto"/>
            <w:tcMar>
              <w:top w:w="100" w:type="dxa"/>
              <w:left w:w="100" w:type="dxa"/>
              <w:bottom w:w="100" w:type="dxa"/>
              <w:right w:w="100" w:type="dxa"/>
            </w:tcMar>
          </w:tcPr>
          <w:p w14:paraId="4DFC669B" w14:textId="77777777" w:rsidR="00FA0A60" w:rsidRDefault="000E5614">
            <w:pPr>
              <w:widowControl w:val="0"/>
              <w:pBdr>
                <w:top w:val="nil"/>
                <w:left w:val="nil"/>
                <w:bottom w:val="nil"/>
                <w:right w:val="nil"/>
                <w:between w:val="nil"/>
              </w:pBdr>
              <w:spacing w:line="360" w:lineRule="auto"/>
              <w:jc w:val="center"/>
            </w:pPr>
            <w:r>
              <w:t>Team Members</w:t>
            </w:r>
          </w:p>
        </w:tc>
        <w:tc>
          <w:tcPr>
            <w:tcW w:w="2700" w:type="dxa"/>
            <w:shd w:val="clear" w:color="auto" w:fill="auto"/>
            <w:tcMar>
              <w:top w:w="100" w:type="dxa"/>
              <w:left w:w="100" w:type="dxa"/>
              <w:bottom w:w="100" w:type="dxa"/>
              <w:right w:w="100" w:type="dxa"/>
            </w:tcMar>
          </w:tcPr>
          <w:p w14:paraId="66F9358D" w14:textId="77777777" w:rsidR="00FA0A60" w:rsidRDefault="000E5614">
            <w:pPr>
              <w:widowControl w:val="0"/>
              <w:pBdr>
                <w:top w:val="nil"/>
                <w:left w:val="nil"/>
                <w:bottom w:val="nil"/>
                <w:right w:val="nil"/>
                <w:between w:val="nil"/>
              </w:pBdr>
              <w:spacing w:line="360" w:lineRule="auto"/>
              <w:jc w:val="center"/>
            </w:pPr>
            <w:r>
              <w:t>Internal</w:t>
            </w:r>
          </w:p>
        </w:tc>
        <w:tc>
          <w:tcPr>
            <w:tcW w:w="3690" w:type="dxa"/>
            <w:shd w:val="clear" w:color="auto" w:fill="auto"/>
            <w:tcMar>
              <w:top w:w="100" w:type="dxa"/>
              <w:left w:w="100" w:type="dxa"/>
              <w:bottom w:w="100" w:type="dxa"/>
              <w:right w:w="100" w:type="dxa"/>
            </w:tcMar>
          </w:tcPr>
          <w:p w14:paraId="01885BFC" w14:textId="77777777" w:rsidR="00FA0A60" w:rsidRDefault="000E5614">
            <w:pPr>
              <w:widowControl w:val="0"/>
              <w:pBdr>
                <w:top w:val="nil"/>
                <w:left w:val="nil"/>
                <w:bottom w:val="nil"/>
                <w:right w:val="nil"/>
                <w:between w:val="nil"/>
              </w:pBdr>
              <w:spacing w:line="360" w:lineRule="auto"/>
              <w:jc w:val="center"/>
            </w:pPr>
            <w:r>
              <w:t>Increase workability, creation of trust, and long-term relationship</w:t>
            </w:r>
          </w:p>
        </w:tc>
      </w:tr>
      <w:tr w:rsidR="00FA0A60" w14:paraId="19B7EF3C" w14:textId="77777777" w:rsidTr="00D2553D">
        <w:tc>
          <w:tcPr>
            <w:tcW w:w="2970" w:type="dxa"/>
            <w:shd w:val="clear" w:color="auto" w:fill="auto"/>
            <w:tcMar>
              <w:top w:w="100" w:type="dxa"/>
              <w:left w:w="100" w:type="dxa"/>
              <w:bottom w:w="100" w:type="dxa"/>
              <w:right w:w="100" w:type="dxa"/>
            </w:tcMar>
          </w:tcPr>
          <w:p w14:paraId="3F3FBADC" w14:textId="77777777" w:rsidR="00FA0A60" w:rsidRDefault="000E5614">
            <w:pPr>
              <w:widowControl w:val="0"/>
              <w:spacing w:line="360" w:lineRule="auto"/>
              <w:jc w:val="center"/>
            </w:pPr>
            <w:r>
              <w:lastRenderedPageBreak/>
              <w:t>Government Authorities</w:t>
            </w:r>
          </w:p>
        </w:tc>
        <w:tc>
          <w:tcPr>
            <w:tcW w:w="2700" w:type="dxa"/>
            <w:shd w:val="clear" w:color="auto" w:fill="auto"/>
            <w:tcMar>
              <w:top w:w="100" w:type="dxa"/>
              <w:left w:w="100" w:type="dxa"/>
              <w:bottom w:w="100" w:type="dxa"/>
              <w:right w:w="100" w:type="dxa"/>
            </w:tcMar>
          </w:tcPr>
          <w:p w14:paraId="0AF069C2" w14:textId="77777777" w:rsidR="00FA0A60" w:rsidRDefault="000E5614">
            <w:pPr>
              <w:widowControl w:val="0"/>
              <w:spacing w:line="360" w:lineRule="auto"/>
              <w:jc w:val="center"/>
            </w:pPr>
            <w:r>
              <w:t>External</w:t>
            </w:r>
          </w:p>
        </w:tc>
        <w:tc>
          <w:tcPr>
            <w:tcW w:w="3690" w:type="dxa"/>
            <w:shd w:val="clear" w:color="auto" w:fill="auto"/>
            <w:tcMar>
              <w:top w:w="100" w:type="dxa"/>
              <w:left w:w="100" w:type="dxa"/>
              <w:bottom w:w="100" w:type="dxa"/>
              <w:right w:w="100" w:type="dxa"/>
            </w:tcMar>
          </w:tcPr>
          <w:p w14:paraId="4415F72A" w14:textId="77777777" w:rsidR="00FA0A60" w:rsidRDefault="000E5614">
            <w:pPr>
              <w:widowControl w:val="0"/>
              <w:pBdr>
                <w:top w:val="nil"/>
                <w:left w:val="nil"/>
                <w:bottom w:val="nil"/>
                <w:right w:val="nil"/>
                <w:between w:val="nil"/>
              </w:pBdr>
              <w:spacing w:line="360" w:lineRule="auto"/>
              <w:jc w:val="center"/>
            </w:pPr>
            <w:r>
              <w:t>Overall improvement of the area by providing all facilities and maintaining peace and prosperity</w:t>
            </w:r>
          </w:p>
        </w:tc>
      </w:tr>
      <w:tr w:rsidR="00FA0A60" w14:paraId="3D2642CC" w14:textId="77777777" w:rsidTr="00D2553D">
        <w:tc>
          <w:tcPr>
            <w:tcW w:w="2970" w:type="dxa"/>
            <w:shd w:val="clear" w:color="auto" w:fill="auto"/>
            <w:tcMar>
              <w:top w:w="100" w:type="dxa"/>
              <w:left w:w="100" w:type="dxa"/>
              <w:bottom w:w="100" w:type="dxa"/>
              <w:right w:w="100" w:type="dxa"/>
            </w:tcMar>
          </w:tcPr>
          <w:p w14:paraId="406196A1" w14:textId="77777777" w:rsidR="00FA0A60" w:rsidRDefault="000E5614">
            <w:pPr>
              <w:widowControl w:val="0"/>
              <w:spacing w:line="360" w:lineRule="auto"/>
              <w:jc w:val="center"/>
            </w:pPr>
            <w:r>
              <w:t>Engaged Community</w:t>
            </w:r>
          </w:p>
        </w:tc>
        <w:tc>
          <w:tcPr>
            <w:tcW w:w="2700" w:type="dxa"/>
            <w:shd w:val="clear" w:color="auto" w:fill="auto"/>
            <w:tcMar>
              <w:top w:w="100" w:type="dxa"/>
              <w:left w:w="100" w:type="dxa"/>
              <w:bottom w:w="100" w:type="dxa"/>
              <w:right w:w="100" w:type="dxa"/>
            </w:tcMar>
          </w:tcPr>
          <w:p w14:paraId="7ADC836A" w14:textId="77777777" w:rsidR="00FA0A60" w:rsidRDefault="000E5614">
            <w:pPr>
              <w:widowControl w:val="0"/>
              <w:spacing w:line="360" w:lineRule="auto"/>
              <w:jc w:val="center"/>
            </w:pPr>
            <w:r>
              <w:t>External</w:t>
            </w:r>
          </w:p>
        </w:tc>
        <w:tc>
          <w:tcPr>
            <w:tcW w:w="3690" w:type="dxa"/>
            <w:shd w:val="clear" w:color="auto" w:fill="auto"/>
            <w:tcMar>
              <w:top w:w="100" w:type="dxa"/>
              <w:left w:w="100" w:type="dxa"/>
              <w:bottom w:w="100" w:type="dxa"/>
              <w:right w:w="100" w:type="dxa"/>
            </w:tcMar>
          </w:tcPr>
          <w:p w14:paraId="78AA6D0B" w14:textId="77777777" w:rsidR="00FA0A60" w:rsidRDefault="000E5614">
            <w:pPr>
              <w:widowControl w:val="0"/>
              <w:pBdr>
                <w:top w:val="nil"/>
                <w:left w:val="nil"/>
                <w:bottom w:val="nil"/>
                <w:right w:val="nil"/>
                <w:between w:val="nil"/>
              </w:pBdr>
              <w:spacing w:line="360" w:lineRule="auto"/>
              <w:jc w:val="center"/>
            </w:pPr>
            <w:r>
              <w:t xml:space="preserve">Overall development of the society to achieve sustainability </w:t>
            </w:r>
          </w:p>
        </w:tc>
      </w:tr>
      <w:tr w:rsidR="00FA0A60" w14:paraId="7955DDFD" w14:textId="77777777" w:rsidTr="00D2553D">
        <w:tc>
          <w:tcPr>
            <w:tcW w:w="2970" w:type="dxa"/>
            <w:shd w:val="clear" w:color="auto" w:fill="auto"/>
            <w:tcMar>
              <w:top w:w="100" w:type="dxa"/>
              <w:left w:w="100" w:type="dxa"/>
              <w:bottom w:w="100" w:type="dxa"/>
              <w:right w:w="100" w:type="dxa"/>
            </w:tcMar>
          </w:tcPr>
          <w:p w14:paraId="7FDD5310" w14:textId="77777777" w:rsidR="00FA0A60" w:rsidRDefault="000E5614">
            <w:pPr>
              <w:widowControl w:val="0"/>
              <w:pBdr>
                <w:top w:val="nil"/>
                <w:left w:val="nil"/>
                <w:bottom w:val="nil"/>
                <w:right w:val="nil"/>
                <w:between w:val="nil"/>
              </w:pBdr>
              <w:spacing w:line="360" w:lineRule="auto"/>
              <w:jc w:val="center"/>
            </w:pPr>
            <w:r>
              <w:t>Beneficiary Community</w:t>
            </w:r>
          </w:p>
        </w:tc>
        <w:tc>
          <w:tcPr>
            <w:tcW w:w="2700" w:type="dxa"/>
            <w:shd w:val="clear" w:color="auto" w:fill="auto"/>
            <w:tcMar>
              <w:top w:w="100" w:type="dxa"/>
              <w:left w:w="100" w:type="dxa"/>
              <w:bottom w:w="100" w:type="dxa"/>
              <w:right w:w="100" w:type="dxa"/>
            </w:tcMar>
          </w:tcPr>
          <w:p w14:paraId="68C88D8A" w14:textId="77777777" w:rsidR="00FA0A60" w:rsidRDefault="000E5614">
            <w:pPr>
              <w:widowControl w:val="0"/>
              <w:pBdr>
                <w:top w:val="nil"/>
                <w:left w:val="nil"/>
                <w:bottom w:val="nil"/>
                <w:right w:val="nil"/>
                <w:between w:val="nil"/>
              </w:pBdr>
              <w:spacing w:line="360" w:lineRule="auto"/>
              <w:jc w:val="center"/>
            </w:pPr>
            <w:r>
              <w:t>External</w:t>
            </w:r>
          </w:p>
        </w:tc>
        <w:tc>
          <w:tcPr>
            <w:tcW w:w="3690" w:type="dxa"/>
            <w:shd w:val="clear" w:color="auto" w:fill="auto"/>
            <w:tcMar>
              <w:top w:w="100" w:type="dxa"/>
              <w:left w:w="100" w:type="dxa"/>
              <w:bottom w:w="100" w:type="dxa"/>
              <w:right w:w="100" w:type="dxa"/>
            </w:tcMar>
          </w:tcPr>
          <w:p w14:paraId="70EAC35E" w14:textId="77777777" w:rsidR="00FA0A60" w:rsidRDefault="000E5614">
            <w:pPr>
              <w:widowControl w:val="0"/>
              <w:pBdr>
                <w:top w:val="nil"/>
                <w:left w:val="nil"/>
                <w:bottom w:val="nil"/>
                <w:right w:val="nil"/>
                <w:between w:val="nil"/>
              </w:pBdr>
              <w:spacing w:line="360" w:lineRule="auto"/>
              <w:jc w:val="center"/>
            </w:pPr>
            <w:r>
              <w:t>Personal financial or social upliftment</w:t>
            </w:r>
          </w:p>
        </w:tc>
      </w:tr>
    </w:tbl>
    <w:p w14:paraId="6E322207" w14:textId="77777777" w:rsidR="00FA0A60" w:rsidRDefault="000E5614">
      <w:pPr>
        <w:spacing w:line="360" w:lineRule="auto"/>
        <w:ind w:left="720"/>
        <w:jc w:val="center"/>
        <w:rPr>
          <w:b/>
        </w:rPr>
      </w:pPr>
      <w:r>
        <w:rPr>
          <w:b/>
        </w:rPr>
        <w:t>Table 1: Stakeholders and their benefits</w:t>
      </w:r>
    </w:p>
    <w:p w14:paraId="14504EC5" w14:textId="77777777" w:rsidR="00D2553D" w:rsidRDefault="000E5614" w:rsidP="00D2553D">
      <w:pPr>
        <w:spacing w:line="360" w:lineRule="auto"/>
        <w:ind w:left="720"/>
        <w:jc w:val="center"/>
      </w:pPr>
      <w:r>
        <w:t>(</w:t>
      </w:r>
      <w:r w:rsidR="00D2553D">
        <w:t>Source: Self-created</w:t>
      </w:r>
      <w:r>
        <w:t>)</w:t>
      </w:r>
    </w:p>
    <w:p w14:paraId="67EAA884" w14:textId="77777777" w:rsidR="00D2553D" w:rsidRDefault="00D2553D" w:rsidP="00225302">
      <w:pPr>
        <w:pStyle w:val="Heading2"/>
      </w:pPr>
      <w:bookmarkStart w:id="9" w:name="_Toc101826537"/>
      <w:r>
        <w:t>Core community issue</w:t>
      </w:r>
      <w:bookmarkEnd w:id="9"/>
    </w:p>
    <w:p w14:paraId="304FBEB3" w14:textId="77777777" w:rsidR="00D2553D" w:rsidRDefault="00D2553D" w:rsidP="00D2553D">
      <w:pPr>
        <w:spacing w:line="360" w:lineRule="auto"/>
        <w:jc w:val="both"/>
      </w:pPr>
      <w:r>
        <w:t xml:space="preserve">The core of the community engagement is to promote sustainable decisions by communicating and recognizing the interests and needs of all of the participants and it includes the decision makers. Community issues are the concerns of the problems that the community like neighborhood, town and also other types of community groups believe that they can fix. Communities can develop their planning and seek the improvement of all of the aspects in the life of the community. It includes </w:t>
      </w:r>
      <w:r>
        <w:rPr>
          <w:b/>
          <w:i/>
        </w:rPr>
        <w:t>housing, family stability, business development, training and employment, crime prevention, education and health.</w:t>
      </w:r>
      <w:r>
        <w:t xml:space="preserve"> The core principles of community engagement is to focus on the initiatives of community actions like citizenship, solidarity and community engagement that are guided by </w:t>
      </w:r>
      <w:r>
        <w:rPr>
          <w:b/>
          <w:i/>
        </w:rPr>
        <w:t>the core values of participatory development, gender equality, advocacy, empowerment, social justice and human rights</w:t>
      </w:r>
      <w:r>
        <w:t xml:space="preserve"> and many more. There are several tips to enhance the </w:t>
      </w:r>
      <w:r>
        <w:rPr>
          <w:b/>
          <w:i/>
        </w:rPr>
        <w:t>community engagement such as build authentic connections, give the community a place for themselves, be responsive, encourage user generated content, create engaging content, build trust, welcome all the new members in the community</w:t>
      </w:r>
      <w:r>
        <w:t xml:space="preserve"> and many more (</w:t>
      </w:r>
      <w:r>
        <w:rPr>
          <w:color w:val="222222"/>
          <w:highlight w:val="white"/>
        </w:rPr>
        <w:t xml:space="preserve">Stocker, </w:t>
      </w:r>
      <w:r>
        <w:rPr>
          <w:i/>
          <w:color w:val="222222"/>
          <w:highlight w:val="white"/>
        </w:rPr>
        <w:t>et al.</w:t>
      </w:r>
      <w:r>
        <w:rPr>
          <w:color w:val="222222"/>
          <w:highlight w:val="white"/>
        </w:rPr>
        <w:t xml:space="preserve"> 2020</w:t>
      </w:r>
      <w:r>
        <w:t xml:space="preserve">). Projects provide the products as well as the services to the community, group of individuals as the whole. The examples of community engagement include creating the community mural, creating the social media tools for organizations, filling the volunteer shift at local organizations.         </w:t>
      </w:r>
    </w:p>
    <w:p w14:paraId="7E539E55" w14:textId="77777777" w:rsidR="007302E6" w:rsidRDefault="007302E6" w:rsidP="00D2553D">
      <w:pPr>
        <w:pStyle w:val="Heading1"/>
      </w:pPr>
      <w:bookmarkStart w:id="10" w:name="_xbf5mpyapppn" w:colFirst="0" w:colLast="0"/>
      <w:bookmarkStart w:id="11" w:name="_egeh0uu49ct9" w:colFirst="0" w:colLast="0"/>
      <w:bookmarkStart w:id="12" w:name="_Toc101826538"/>
      <w:bookmarkEnd w:id="10"/>
      <w:bookmarkEnd w:id="11"/>
      <w:r>
        <w:lastRenderedPageBreak/>
        <w:t>Community engagement strategies</w:t>
      </w:r>
      <w:bookmarkEnd w:id="12"/>
      <w:r>
        <w:t xml:space="preserve"> </w:t>
      </w:r>
    </w:p>
    <w:p w14:paraId="68EE23C1" w14:textId="77777777" w:rsidR="00D2553D" w:rsidRDefault="00D2553D" w:rsidP="007302E6">
      <w:pPr>
        <w:pStyle w:val="Heading2"/>
      </w:pPr>
      <w:bookmarkStart w:id="13" w:name="_Toc101826539"/>
      <w:r>
        <w:t>Relationship between stakeholders</w:t>
      </w:r>
      <w:bookmarkEnd w:id="13"/>
    </w:p>
    <w:p w14:paraId="12DE8D24" w14:textId="77777777" w:rsidR="00D2553D" w:rsidRDefault="00D2553D" w:rsidP="00D2553D">
      <w:pPr>
        <w:spacing w:line="360" w:lineRule="auto"/>
        <w:jc w:val="both"/>
      </w:pPr>
      <w:r>
        <w:t>Stakeholder consultation is really about the sustaining and initiating of constructive external relations over the time. It is the disclosure of the information that they should support the consultation. It is the process of two ways in dialogue between the stakeholder and the project company. They focus on groups, observations, individuals in the depth of the interviews are the most essential methods that they used (</w:t>
      </w:r>
      <w:proofErr w:type="spellStart"/>
      <w:r>
        <w:rPr>
          <w:color w:val="222222"/>
          <w:highlight w:val="white"/>
        </w:rPr>
        <w:t>Mokaya</w:t>
      </w:r>
      <w:proofErr w:type="spellEnd"/>
      <w:r>
        <w:rPr>
          <w:color w:val="222222"/>
          <w:highlight w:val="white"/>
        </w:rPr>
        <w:t xml:space="preserve">, </w:t>
      </w:r>
      <w:r>
        <w:rPr>
          <w:i/>
          <w:color w:val="222222"/>
          <w:highlight w:val="white"/>
        </w:rPr>
        <w:t>et al.</w:t>
      </w:r>
      <w:r>
        <w:rPr>
          <w:color w:val="222222"/>
          <w:highlight w:val="white"/>
        </w:rPr>
        <w:t xml:space="preserve"> 2022</w:t>
      </w:r>
      <w:r>
        <w:t>). The stakeholder engagement is the type of systematic implementation, planning, analysis, identification of the actions that are designed to influence the stakeholder in organizations or in the community. For stakeholders, the consultations process creates some opportunities to be informed and also informs the company to raise the concerns and the issues as well as helps to the outcomes of the projects and shape of the objectives.</w:t>
      </w:r>
      <w:r>
        <w:rPr>
          <w:b/>
          <w:i/>
        </w:rPr>
        <w:t xml:space="preserve"> Project managers, analysts, and team members </w:t>
      </w:r>
      <w:r>
        <w:t xml:space="preserve">help to build a good relationship with their employees and also with their clients. </w:t>
      </w:r>
      <w:r>
        <w:rPr>
          <w:b/>
          <w:i/>
        </w:rPr>
        <w:t>Government authorities, engaged communities and also beneficiary communities</w:t>
      </w:r>
      <w:r>
        <w:t xml:space="preserve"> are the types of external stakeholder that build relationships with customers, shareholders and many more. </w:t>
      </w:r>
    </w:p>
    <w:p w14:paraId="7ED95260" w14:textId="77777777" w:rsidR="00D2553D" w:rsidRDefault="00D2553D" w:rsidP="007302E6">
      <w:pPr>
        <w:pStyle w:val="Heading2"/>
      </w:pPr>
      <w:bookmarkStart w:id="14" w:name="_3cze5knmtac5" w:colFirst="0" w:colLast="0"/>
      <w:bookmarkStart w:id="15" w:name="_Toc101826540"/>
      <w:bookmarkEnd w:id="14"/>
      <w:r>
        <w:t>Strategies for engaging them</w:t>
      </w:r>
      <w:bookmarkEnd w:id="15"/>
    </w:p>
    <w:p w14:paraId="723A24D5" w14:textId="7B5147EE" w:rsidR="00D2553D" w:rsidRDefault="00D2553D" w:rsidP="00D2553D">
      <w:pPr>
        <w:spacing w:line="360" w:lineRule="auto"/>
        <w:jc w:val="both"/>
      </w:pPr>
      <w:r>
        <w:t>The consultation in effective management is the process of participation that underpins genuine community development (</w:t>
      </w:r>
      <w:r>
        <w:rPr>
          <w:color w:val="222222"/>
          <w:highlight w:val="white"/>
        </w:rPr>
        <w:t xml:space="preserve">Longo, </w:t>
      </w:r>
      <w:r>
        <w:rPr>
          <w:i/>
          <w:color w:val="222222"/>
          <w:highlight w:val="white"/>
        </w:rPr>
        <w:t xml:space="preserve">et al. </w:t>
      </w:r>
      <w:r>
        <w:rPr>
          <w:color w:val="222222"/>
          <w:highlight w:val="white"/>
        </w:rPr>
        <w:t>2022</w:t>
      </w:r>
      <w:r>
        <w:t xml:space="preserve">). The community engagement enables the </w:t>
      </w:r>
      <w:r w:rsidR="00406C72">
        <w:t>reticulate</w:t>
      </w:r>
      <w:r>
        <w:t xml:space="preserve"> of their own concerns as well as identifies the exact solutions and response to the problems that affects them properly. The</w:t>
      </w:r>
      <w:r>
        <w:rPr>
          <w:b/>
          <w:i/>
        </w:rPr>
        <w:t xml:space="preserve"> community engagement strategy</w:t>
      </w:r>
      <w:r>
        <w:t xml:space="preserve"> is the type of strategic process with the specific purpose of working with the identified group of people while they all are connected through affiliation to address and</w:t>
      </w:r>
      <w:r>
        <w:rPr>
          <w:b/>
          <w:i/>
        </w:rPr>
        <w:t xml:space="preserve"> identify the issues, special interest, geographic locations that all affect their </w:t>
      </w:r>
      <w:r w:rsidR="00406C72">
        <w:rPr>
          <w:b/>
          <w:i/>
        </w:rPr>
        <w:t>well-being</w:t>
      </w:r>
      <w:r>
        <w:t xml:space="preserve"> (</w:t>
      </w:r>
      <w:proofErr w:type="spellStart"/>
      <w:r>
        <w:rPr>
          <w:color w:val="222222"/>
          <w:highlight w:val="white"/>
        </w:rPr>
        <w:t>Muninger</w:t>
      </w:r>
      <w:proofErr w:type="spellEnd"/>
      <w:r>
        <w:rPr>
          <w:color w:val="222222"/>
          <w:highlight w:val="white"/>
        </w:rPr>
        <w:t xml:space="preserve">, </w:t>
      </w:r>
      <w:proofErr w:type="spellStart"/>
      <w:r>
        <w:rPr>
          <w:color w:val="222222"/>
          <w:highlight w:val="white"/>
        </w:rPr>
        <w:t>Hammedi</w:t>
      </w:r>
      <w:proofErr w:type="spellEnd"/>
      <w:r>
        <w:rPr>
          <w:color w:val="222222"/>
          <w:highlight w:val="white"/>
        </w:rPr>
        <w:t>, and Mahr, 2019</w:t>
      </w:r>
      <w:r>
        <w:t xml:space="preserve">). Some core principles of community engagement are </w:t>
      </w:r>
      <w:r>
        <w:rPr>
          <w:b/>
          <w:i/>
        </w:rPr>
        <w:t xml:space="preserve">actions and impacts, trust and transparency, participatory culture and sustained engagement, learning and openness, shared purpose </w:t>
      </w:r>
      <w:proofErr w:type="gramStart"/>
      <w:r>
        <w:rPr>
          <w:b/>
          <w:i/>
        </w:rPr>
        <w:t>and  collaboration</w:t>
      </w:r>
      <w:proofErr w:type="gramEnd"/>
      <w:r>
        <w:rPr>
          <w:b/>
          <w:i/>
        </w:rPr>
        <w:t xml:space="preserve">, demographic diversity and inclusion, preparation and careful planning </w:t>
      </w:r>
      <w:r>
        <w:t xml:space="preserve">and many more.   </w:t>
      </w:r>
    </w:p>
    <w:p w14:paraId="3BA3F83D" w14:textId="77777777" w:rsidR="00E96D40" w:rsidRDefault="00E96D40" w:rsidP="00E96D40">
      <w:pPr>
        <w:spacing w:line="360" w:lineRule="auto"/>
        <w:jc w:val="center"/>
      </w:pPr>
      <w:r>
        <w:rPr>
          <w:noProof/>
          <w:lang w:val="en-US"/>
        </w:rPr>
        <w:lastRenderedPageBreak/>
        <w:drawing>
          <wp:inline distT="0" distB="0" distL="0" distR="0" wp14:anchorId="6074117D" wp14:editId="5FCFC938">
            <wp:extent cx="4917002" cy="3474720"/>
            <wp:effectExtent l="0" t="0" r="0" b="0"/>
            <wp:docPr id="2" name="Picture 2" descr="9 Step Model Of Community Engagement | PowerPoint Slide Template |  Presentation Templates PPT Layout | Presentation D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 Step Model Of Community Engagement | PowerPoint Slide Template |  Presentation Templates PPT Layout | Presentation Deck"/>
                    <pic:cNvPicPr>
                      <a:picLocks noChangeAspect="1" noChangeArrowheads="1"/>
                    </pic:cNvPicPr>
                  </pic:nvPicPr>
                  <pic:blipFill rotWithShape="1">
                    <a:blip r:embed="rId9">
                      <a:extLst>
                        <a:ext uri="{28A0092B-C50C-407E-A947-70E740481C1C}">
                          <a14:useLocalDpi xmlns:a14="http://schemas.microsoft.com/office/drawing/2010/main" val="0"/>
                        </a:ext>
                      </a:extLst>
                    </a:blip>
                    <a:srcRect t="-768" b="6547"/>
                    <a:stretch/>
                  </pic:blipFill>
                  <pic:spPr bwMode="auto">
                    <a:xfrm>
                      <a:off x="0" y="0"/>
                      <a:ext cx="4925811" cy="3480945"/>
                    </a:xfrm>
                    <a:prstGeom prst="rect">
                      <a:avLst/>
                    </a:prstGeom>
                    <a:noFill/>
                    <a:ln>
                      <a:noFill/>
                    </a:ln>
                    <a:extLst>
                      <a:ext uri="{53640926-AAD7-44D8-BBD7-CCE9431645EC}">
                        <a14:shadowObscured xmlns:a14="http://schemas.microsoft.com/office/drawing/2010/main"/>
                      </a:ext>
                    </a:extLst>
                  </pic:spPr>
                </pic:pic>
              </a:graphicData>
            </a:graphic>
          </wp:inline>
        </w:drawing>
      </w:r>
    </w:p>
    <w:p w14:paraId="1C77158D" w14:textId="77777777" w:rsidR="00E96D40" w:rsidRPr="00E96D40" w:rsidRDefault="00E96D40" w:rsidP="00E96D40">
      <w:pPr>
        <w:spacing w:line="360" w:lineRule="auto"/>
        <w:jc w:val="center"/>
        <w:rPr>
          <w:b/>
        </w:rPr>
      </w:pPr>
      <w:r w:rsidRPr="00E96D40">
        <w:rPr>
          <w:b/>
        </w:rPr>
        <w:t>F</w:t>
      </w:r>
      <w:r>
        <w:rPr>
          <w:b/>
        </w:rPr>
        <w:t>igure 2</w:t>
      </w:r>
      <w:r w:rsidRPr="00E96D40">
        <w:rPr>
          <w:b/>
        </w:rPr>
        <w:t xml:space="preserve">: </w:t>
      </w:r>
      <w:r>
        <w:rPr>
          <w:b/>
        </w:rPr>
        <w:t>Strategies for community engagement</w:t>
      </w:r>
    </w:p>
    <w:p w14:paraId="1F829073" w14:textId="77777777" w:rsidR="00E96D40" w:rsidRDefault="00E96D40" w:rsidP="00E96D40">
      <w:pPr>
        <w:spacing w:line="360" w:lineRule="auto"/>
        <w:jc w:val="center"/>
      </w:pPr>
      <w:r>
        <w:t xml:space="preserve">(Source: </w:t>
      </w:r>
      <w:r>
        <w:rPr>
          <w:color w:val="222222"/>
          <w:highlight w:val="white"/>
        </w:rPr>
        <w:t xml:space="preserve">Longo, </w:t>
      </w:r>
      <w:r>
        <w:rPr>
          <w:i/>
          <w:color w:val="222222"/>
          <w:highlight w:val="white"/>
        </w:rPr>
        <w:t xml:space="preserve">et al. </w:t>
      </w:r>
      <w:r>
        <w:rPr>
          <w:color w:val="222222"/>
          <w:highlight w:val="white"/>
        </w:rPr>
        <w:t>2022</w:t>
      </w:r>
      <w:r>
        <w:t>)</w:t>
      </w:r>
    </w:p>
    <w:p w14:paraId="6EEC5787" w14:textId="77777777" w:rsidR="00D2553D" w:rsidRDefault="00D2553D" w:rsidP="007302E6">
      <w:pPr>
        <w:pStyle w:val="Heading2"/>
      </w:pPr>
      <w:bookmarkStart w:id="16" w:name="_kjiuhz3mjcpx" w:colFirst="0" w:colLast="0"/>
      <w:bookmarkStart w:id="17" w:name="_Toc101826541"/>
      <w:bookmarkEnd w:id="16"/>
      <w:r>
        <w:t>Use of social media to support project</w:t>
      </w:r>
      <w:bookmarkEnd w:id="17"/>
      <w:r>
        <w:t xml:space="preserve"> </w:t>
      </w:r>
    </w:p>
    <w:p w14:paraId="7BE6C861" w14:textId="77777777" w:rsidR="00D2553D" w:rsidRDefault="00D2553D" w:rsidP="00D2553D">
      <w:pPr>
        <w:spacing w:line="360" w:lineRule="auto"/>
        <w:jc w:val="both"/>
      </w:pPr>
      <w:r>
        <w:t>There are several popular community methods in engagement such as online engagement, surveys, focus on groups, community meetings and many more. These approaches depend on the stakeholder groups that are being intended and consultant to the outcomes of the initiatives (</w:t>
      </w:r>
      <w:r>
        <w:rPr>
          <w:color w:val="222222"/>
          <w:highlight w:val="white"/>
        </w:rPr>
        <w:t xml:space="preserve">Liberatore, </w:t>
      </w:r>
      <w:r>
        <w:rPr>
          <w:i/>
          <w:color w:val="222222"/>
          <w:highlight w:val="white"/>
        </w:rPr>
        <w:t>et al.</w:t>
      </w:r>
      <w:r>
        <w:rPr>
          <w:color w:val="222222"/>
          <w:highlight w:val="white"/>
        </w:rPr>
        <w:t xml:space="preserve"> 2018</w:t>
      </w:r>
      <w:r>
        <w:t>). There are several ways to enhance community engagement on social media such as ask audience to help, show every side of business on social media site, head for the emotions like make them laugh or smile, use share and like the features to answering all questions of people, share the success stories to their customers, use some images to tell the story and may more things. It is the measurement of how the people can interact with social media content and accounts. The strategy of stakeholder engagement identifies the needs of the key groups as well as sponsor plays the essential role to ensure the business needs</w:t>
      </w:r>
      <w:r w:rsidR="007302E6">
        <w:t xml:space="preserve"> </w:t>
      </w:r>
      <w:r>
        <w:t>(</w:t>
      </w:r>
      <w:r>
        <w:rPr>
          <w:color w:val="222222"/>
          <w:highlight w:val="white"/>
        </w:rPr>
        <w:t xml:space="preserve">Liberatore, </w:t>
      </w:r>
      <w:r>
        <w:rPr>
          <w:i/>
          <w:color w:val="222222"/>
          <w:highlight w:val="white"/>
        </w:rPr>
        <w:t>et al.</w:t>
      </w:r>
      <w:r>
        <w:rPr>
          <w:color w:val="222222"/>
          <w:highlight w:val="white"/>
        </w:rPr>
        <w:t xml:space="preserve"> 2018</w:t>
      </w:r>
      <w:r>
        <w:t xml:space="preserve">). Relationship between decision making and consultation involves the groups and it provides the advice and the information to more or one designated decision makers. </w:t>
      </w:r>
    </w:p>
    <w:p w14:paraId="5FA238A2" w14:textId="77777777" w:rsidR="007302E6" w:rsidRDefault="007302E6" w:rsidP="007302E6">
      <w:pPr>
        <w:pStyle w:val="Heading1"/>
      </w:pPr>
      <w:bookmarkStart w:id="18" w:name="_Toc101826542"/>
      <w:r>
        <w:lastRenderedPageBreak/>
        <w:t>Avenues to promote community participation</w:t>
      </w:r>
      <w:bookmarkEnd w:id="18"/>
    </w:p>
    <w:p w14:paraId="6D638161" w14:textId="77777777" w:rsidR="007302E6" w:rsidRDefault="007302E6" w:rsidP="00D2553D">
      <w:pPr>
        <w:spacing w:line="360" w:lineRule="auto"/>
        <w:jc w:val="both"/>
      </w:pPr>
      <w:r>
        <w:t xml:space="preserve">In order to engage community, great collaboration and proper maintenance of diversity in the community is important. Attractive and catchy advertisements can be beneficial for the project managers to make people aware of the </w:t>
      </w:r>
      <w:proofErr w:type="spellStart"/>
      <w:r>
        <w:t>programmes</w:t>
      </w:r>
      <w:proofErr w:type="spellEnd"/>
      <w:r>
        <w:t xml:space="preserve">. </w:t>
      </w:r>
      <w:r w:rsidR="00B16ABC">
        <w:t>In addition to that, p</w:t>
      </w:r>
      <w:r>
        <w:t xml:space="preserve">romoting </w:t>
      </w:r>
      <w:r w:rsidRPr="00B16ABC">
        <w:rPr>
          <w:b/>
          <w:i/>
        </w:rPr>
        <w:t>diversity</w:t>
      </w:r>
      <w:r>
        <w:t xml:space="preserve"> through acknowledging others opinions </w:t>
      </w:r>
      <w:r w:rsidR="00B16ABC">
        <w:t>and respecting</w:t>
      </w:r>
      <w:r>
        <w:t xml:space="preserve"> others cultural and social values </w:t>
      </w:r>
      <w:r w:rsidR="00B16ABC">
        <w:t xml:space="preserve">can disclose a new chapter of </w:t>
      </w:r>
      <w:r w:rsidR="00B16ABC" w:rsidRPr="00B16ABC">
        <w:rPr>
          <w:b/>
          <w:i/>
        </w:rPr>
        <w:t>socio-cultural integration</w:t>
      </w:r>
      <w:r w:rsidR="00B16ABC">
        <w:t xml:space="preserve"> within the community. </w:t>
      </w:r>
      <w:r w:rsidR="00E4714E">
        <w:t>Some of the guidelines that provide the stakeholder engagement are increasing the goals priority, connecting the interest of stakeholders to achieving their goals, massively clear about the needs and wants of each stakeholders, more focus on stakeholders, and identifying them properly (</w:t>
      </w:r>
      <w:proofErr w:type="spellStart"/>
      <w:r w:rsidR="00E4714E">
        <w:rPr>
          <w:color w:val="222222"/>
          <w:highlight w:val="white"/>
        </w:rPr>
        <w:t>Kabue</w:t>
      </w:r>
      <w:proofErr w:type="spellEnd"/>
      <w:r w:rsidR="00E4714E">
        <w:rPr>
          <w:color w:val="222222"/>
          <w:highlight w:val="white"/>
        </w:rPr>
        <w:t xml:space="preserve">, </w:t>
      </w:r>
      <w:r w:rsidR="00E4714E">
        <w:rPr>
          <w:i/>
          <w:color w:val="222222"/>
          <w:highlight w:val="white"/>
        </w:rPr>
        <w:t>et al.</w:t>
      </w:r>
      <w:r w:rsidR="00E4714E">
        <w:rPr>
          <w:color w:val="222222"/>
          <w:highlight w:val="white"/>
        </w:rPr>
        <w:t xml:space="preserve"> 2022</w:t>
      </w:r>
      <w:r w:rsidR="00E4714E">
        <w:t xml:space="preserve">). Also, there are some strategies for effective stakeholder management such as proactive migration, looking for the opportunities, identifying the triggers, influencing them properly, stakeholder mapping and many more.   </w:t>
      </w:r>
    </w:p>
    <w:p w14:paraId="1D6760F9" w14:textId="77777777" w:rsidR="00B16ABC" w:rsidRDefault="00B16ABC" w:rsidP="00B16ABC">
      <w:pPr>
        <w:pStyle w:val="Heading1"/>
      </w:pPr>
      <w:bookmarkStart w:id="19" w:name="_Toc101826543"/>
      <w:r>
        <w:t>Importance of adopting forward-looking approach</w:t>
      </w:r>
      <w:bookmarkEnd w:id="19"/>
    </w:p>
    <w:p w14:paraId="21FFF851" w14:textId="77777777" w:rsidR="00B16ABC" w:rsidRDefault="00B16ABC" w:rsidP="00D2553D">
      <w:pPr>
        <w:spacing w:line="360" w:lineRule="auto"/>
        <w:jc w:val="both"/>
      </w:pPr>
      <w:r>
        <w:t>Educating community members can significantly contribute to the stability and ethical growth within the community. Most importantly, adopting the forward-looking approach in educating community members can promote equality and this can develop a sense of self depend</w:t>
      </w:r>
      <w:r w:rsidR="00E4714E">
        <w:t xml:space="preserve">ence in the community members. </w:t>
      </w:r>
      <w:r w:rsidRPr="00E4714E">
        <w:rPr>
          <w:b/>
          <w:i/>
        </w:rPr>
        <w:t>Human elements</w:t>
      </w:r>
      <w:r>
        <w:t xml:space="preserve"> such as </w:t>
      </w:r>
      <w:r w:rsidRPr="00E4714E">
        <w:rPr>
          <w:b/>
          <w:i/>
        </w:rPr>
        <w:t>leadership attributes</w:t>
      </w:r>
      <w:r>
        <w:t xml:space="preserve"> and </w:t>
      </w:r>
      <w:r w:rsidRPr="00E4714E">
        <w:rPr>
          <w:b/>
          <w:i/>
        </w:rPr>
        <w:t>interpersonal skills</w:t>
      </w:r>
      <w:r>
        <w:t xml:space="preserve"> of the individuals as well as a group of members can boost the development process</w:t>
      </w:r>
      <w:r w:rsidR="00E4714E">
        <w:t xml:space="preserve"> (</w:t>
      </w:r>
      <w:r w:rsidR="00E4714E">
        <w:rPr>
          <w:color w:val="222222"/>
          <w:highlight w:val="white"/>
        </w:rPr>
        <w:t>FEDOR</w:t>
      </w:r>
      <w:r w:rsidR="00E4714E" w:rsidRPr="00E4714E">
        <w:rPr>
          <w:color w:val="222222"/>
          <w:highlight w:val="white"/>
        </w:rPr>
        <w:t>, 2019</w:t>
      </w:r>
      <w:r w:rsidR="00E4714E">
        <w:t>)</w:t>
      </w:r>
      <w:r>
        <w:t xml:space="preserve">. </w:t>
      </w:r>
      <w:r w:rsidR="00E4714E">
        <w:t xml:space="preserve">Trust and transparency are also very important in this regard as establishing credibility play a big role in collective work and in that case transparency is the best way to the establishment of trust. And finally, the need for a healthy participatory environment for a sustained volunteer working culture is immense. The community engagement facilitates and seeks out the involvement of those kinds of potentials that are interested in making decisions. The community engagement strategy has the purpose to create the meaning of the new </w:t>
      </w:r>
      <w:proofErr w:type="spellStart"/>
      <w:r w:rsidR="00E4714E">
        <w:t>bondings</w:t>
      </w:r>
      <w:proofErr w:type="spellEnd"/>
      <w:r w:rsidR="00E4714E">
        <w:t xml:space="preserve"> and to encourage participation driven by shared goals or values. While finding some of the examples of strategies in the engagement of an effective community (</w:t>
      </w:r>
      <w:proofErr w:type="spellStart"/>
      <w:r w:rsidR="00E4714E">
        <w:t>Communityplanningtoolkit</w:t>
      </w:r>
      <w:proofErr w:type="spellEnd"/>
      <w:r w:rsidR="00E4714E">
        <w:t xml:space="preserve">., 2022). </w:t>
      </w:r>
      <w:r>
        <w:t xml:space="preserve">On the other hand, </w:t>
      </w:r>
      <w:r w:rsidRPr="00E4714E">
        <w:rPr>
          <w:b/>
          <w:i/>
        </w:rPr>
        <w:t>social factors</w:t>
      </w:r>
      <w:r>
        <w:t xml:space="preserve"> such as </w:t>
      </w:r>
      <w:r w:rsidRPr="00E4714E">
        <w:rPr>
          <w:b/>
          <w:i/>
        </w:rPr>
        <w:t>political views, culture and religious beliefs</w:t>
      </w:r>
      <w:r>
        <w:t xml:space="preserve"> as well as </w:t>
      </w:r>
      <w:r w:rsidRPr="00E4714E">
        <w:rPr>
          <w:b/>
          <w:i/>
        </w:rPr>
        <w:t xml:space="preserve">environment and </w:t>
      </w:r>
      <w:r w:rsidR="00E4714E" w:rsidRPr="00E4714E">
        <w:rPr>
          <w:b/>
          <w:i/>
        </w:rPr>
        <w:t>geography</w:t>
      </w:r>
      <w:r w:rsidR="00E4714E">
        <w:t xml:space="preserve"> are the external factors that offer immense support to the community development process. </w:t>
      </w:r>
    </w:p>
    <w:p w14:paraId="73E5F651" w14:textId="77777777" w:rsidR="00D2553D" w:rsidRDefault="00D2553D" w:rsidP="00D2553D">
      <w:pPr>
        <w:pStyle w:val="Heading1"/>
      </w:pPr>
      <w:bookmarkStart w:id="20" w:name="_2p4r3jc7iof" w:colFirst="0" w:colLast="0"/>
      <w:bookmarkStart w:id="21" w:name="_Toc101826544"/>
      <w:bookmarkEnd w:id="20"/>
      <w:r>
        <w:lastRenderedPageBreak/>
        <w:t>Conclusion</w:t>
      </w:r>
      <w:bookmarkEnd w:id="21"/>
    </w:p>
    <w:p w14:paraId="582778C9" w14:textId="77777777" w:rsidR="00FA0A60" w:rsidRDefault="00D2553D" w:rsidP="00D2553D">
      <w:pPr>
        <w:spacing w:line="360" w:lineRule="auto"/>
      </w:pPr>
      <w:r>
        <w:t>The above study shows that community engagement requires the intentional interactions between the public decision makers and communities. Sometimes it emphasizes on the lived experiences of the members of the community that they take the front seat and also the local knowledge in their decision making process. Also, it takes the challenges in a top down approach in decision making publicly. Also, there are some benefits of community engagement matters such as create the local networks of the members of community, integrate and empower people from several backgrounds, skills in problem solving, improve the citizens of knowledge, create several types of effective solutions, increased the likelihoods in solutions or project that are accepted in a broad range.</w:t>
      </w:r>
      <w:r w:rsidR="000E5614">
        <w:br w:type="page"/>
      </w:r>
    </w:p>
    <w:p w14:paraId="7D519E7E" w14:textId="77777777" w:rsidR="00FA0A60" w:rsidRDefault="000E5614">
      <w:pPr>
        <w:pStyle w:val="Heading1"/>
        <w:spacing w:line="360" w:lineRule="auto"/>
        <w:jc w:val="both"/>
      </w:pPr>
      <w:bookmarkStart w:id="22" w:name="_erwozg9nz560" w:colFirst="0" w:colLast="0"/>
      <w:bookmarkStart w:id="23" w:name="_Toc101826545"/>
      <w:bookmarkEnd w:id="22"/>
      <w:r>
        <w:lastRenderedPageBreak/>
        <w:t>References</w:t>
      </w:r>
      <w:bookmarkEnd w:id="23"/>
    </w:p>
    <w:p w14:paraId="3F3A420F" w14:textId="77777777" w:rsidR="00CD5175" w:rsidRDefault="00CD5175">
      <w:pPr>
        <w:spacing w:line="360" w:lineRule="auto"/>
        <w:jc w:val="both"/>
        <w:rPr>
          <w:color w:val="222222"/>
          <w:highlight w:val="white"/>
        </w:rPr>
      </w:pPr>
      <w:r>
        <w:rPr>
          <w:color w:val="222222"/>
          <w:highlight w:val="white"/>
        </w:rPr>
        <w:t xml:space="preserve">Cameron, K. and </w:t>
      </w:r>
      <w:proofErr w:type="spellStart"/>
      <w:r>
        <w:rPr>
          <w:color w:val="222222"/>
          <w:highlight w:val="white"/>
        </w:rPr>
        <w:t>FitzPatrick</w:t>
      </w:r>
      <w:proofErr w:type="spellEnd"/>
      <w:r>
        <w:rPr>
          <w:color w:val="222222"/>
          <w:highlight w:val="white"/>
        </w:rPr>
        <w:t xml:space="preserve">, J., 2021. Designing Lived Space: Community Engagement Practices in Rooted AR. In </w:t>
      </w:r>
      <w:r>
        <w:rPr>
          <w:i/>
          <w:color w:val="222222"/>
          <w:highlight w:val="white"/>
        </w:rPr>
        <w:t>Augmented and Mixed Reality for Communities</w:t>
      </w:r>
      <w:r>
        <w:rPr>
          <w:color w:val="222222"/>
          <w:highlight w:val="white"/>
        </w:rPr>
        <w:t xml:space="preserve"> (pp. 83-102). CRC Press.</w:t>
      </w:r>
    </w:p>
    <w:p w14:paraId="3904FDB6" w14:textId="014ED7E4" w:rsidR="00CD5175" w:rsidRDefault="00CD5175" w:rsidP="00CD5175">
      <w:pPr>
        <w:spacing w:line="360" w:lineRule="auto"/>
        <w:jc w:val="both"/>
      </w:pPr>
      <w:proofErr w:type="spellStart"/>
      <w:r>
        <w:t>Communityplanningtoolkit</w:t>
      </w:r>
      <w:proofErr w:type="spellEnd"/>
      <w:r>
        <w:t xml:space="preserve">., (2022). Community Planning. Available at-, </w:t>
      </w:r>
      <w:hyperlink r:id="rId10">
        <w:r>
          <w:rPr>
            <w:color w:val="1155CC"/>
            <w:u w:val="single"/>
          </w:rPr>
          <w:t>https://www.communityplanningtoolkit.org/sites/default/files/Engagement.pdf</w:t>
        </w:r>
      </w:hyperlink>
      <w:r>
        <w:t xml:space="preserve"> (accessed on 12th </w:t>
      </w:r>
      <w:r w:rsidR="00406C72">
        <w:t>April</w:t>
      </w:r>
      <w:r>
        <w:t xml:space="preserve"> 2022)</w:t>
      </w:r>
    </w:p>
    <w:p w14:paraId="0F85F4CE" w14:textId="77777777" w:rsidR="00CD5175" w:rsidRDefault="00CD5175">
      <w:pPr>
        <w:spacing w:line="360" w:lineRule="auto"/>
        <w:jc w:val="both"/>
        <w:rPr>
          <w:color w:val="222222"/>
          <w:highlight w:val="white"/>
        </w:rPr>
      </w:pPr>
      <w:proofErr w:type="spellStart"/>
      <w:r>
        <w:rPr>
          <w:color w:val="222222"/>
          <w:highlight w:val="white"/>
        </w:rPr>
        <w:t>Ćulum</w:t>
      </w:r>
      <w:proofErr w:type="spellEnd"/>
      <w:r>
        <w:rPr>
          <w:color w:val="222222"/>
          <w:highlight w:val="white"/>
        </w:rPr>
        <w:t xml:space="preserve">, B., 2018. Literature review: dimensions and current practices of community engagement. </w:t>
      </w:r>
      <w:r>
        <w:rPr>
          <w:i/>
          <w:color w:val="222222"/>
          <w:highlight w:val="white"/>
        </w:rPr>
        <w:t>Mapping and Critical Synthesis of Current State-of-the-Art on</w:t>
      </w:r>
      <w:r>
        <w:rPr>
          <w:color w:val="222222"/>
          <w:highlight w:val="white"/>
        </w:rPr>
        <w:t>, p.47.</w:t>
      </w:r>
    </w:p>
    <w:p w14:paraId="210D3377" w14:textId="77777777" w:rsidR="00CD5175" w:rsidRDefault="00CD5175">
      <w:pPr>
        <w:spacing w:line="360" w:lineRule="auto"/>
        <w:jc w:val="both"/>
        <w:rPr>
          <w:color w:val="222222"/>
          <w:highlight w:val="white"/>
        </w:rPr>
      </w:pPr>
      <w:r w:rsidRPr="00E4714E">
        <w:rPr>
          <w:color w:val="222222"/>
          <w:highlight w:val="white"/>
        </w:rPr>
        <w:t>FEDOR, C.G., 2019. Social Capital and Community Development: Case Study. </w:t>
      </w:r>
      <w:r w:rsidRPr="00E4714E">
        <w:rPr>
          <w:i/>
          <w:iCs/>
          <w:color w:val="222222"/>
          <w:highlight w:val="white"/>
        </w:rPr>
        <w:t>Social Research Reports</w:t>
      </w:r>
      <w:r w:rsidRPr="00E4714E">
        <w:rPr>
          <w:color w:val="222222"/>
          <w:highlight w:val="white"/>
        </w:rPr>
        <w:t>, </w:t>
      </w:r>
      <w:r w:rsidRPr="00E4714E">
        <w:rPr>
          <w:i/>
          <w:iCs/>
          <w:color w:val="222222"/>
          <w:highlight w:val="white"/>
        </w:rPr>
        <w:t>11</w:t>
      </w:r>
      <w:r w:rsidRPr="00E4714E">
        <w:rPr>
          <w:color w:val="222222"/>
          <w:highlight w:val="white"/>
        </w:rPr>
        <w:t>(1), pp.65-77.</w:t>
      </w:r>
    </w:p>
    <w:p w14:paraId="127C31A7" w14:textId="77777777" w:rsidR="00CD5175" w:rsidRDefault="00CD5175">
      <w:pPr>
        <w:spacing w:line="360" w:lineRule="auto"/>
        <w:jc w:val="both"/>
        <w:rPr>
          <w:color w:val="222222"/>
          <w:highlight w:val="white"/>
        </w:rPr>
      </w:pPr>
      <w:r>
        <w:rPr>
          <w:color w:val="222222"/>
          <w:highlight w:val="white"/>
        </w:rPr>
        <w:t xml:space="preserve">Firestone, J., </w:t>
      </w:r>
      <w:proofErr w:type="spellStart"/>
      <w:r>
        <w:rPr>
          <w:color w:val="222222"/>
          <w:highlight w:val="white"/>
        </w:rPr>
        <w:t>Hoen</w:t>
      </w:r>
      <w:proofErr w:type="spellEnd"/>
      <w:r>
        <w:rPr>
          <w:color w:val="222222"/>
          <w:highlight w:val="white"/>
        </w:rPr>
        <w:t xml:space="preserve">, B., Rand, J., Elliott, D., </w:t>
      </w:r>
      <w:proofErr w:type="spellStart"/>
      <w:r>
        <w:rPr>
          <w:color w:val="222222"/>
          <w:highlight w:val="white"/>
        </w:rPr>
        <w:t>Hübner</w:t>
      </w:r>
      <w:proofErr w:type="spellEnd"/>
      <w:r>
        <w:rPr>
          <w:color w:val="222222"/>
          <w:highlight w:val="white"/>
        </w:rPr>
        <w:t xml:space="preserve">, G. and Pohl, J., 2018. Reconsidering barriers to wind power projects: community engagement, developer transparency and place. </w:t>
      </w:r>
      <w:r>
        <w:rPr>
          <w:i/>
          <w:color w:val="222222"/>
          <w:highlight w:val="white"/>
        </w:rPr>
        <w:t>Journal of environmental policy &amp; planning</w:t>
      </w:r>
      <w:r>
        <w:rPr>
          <w:color w:val="222222"/>
          <w:highlight w:val="white"/>
        </w:rPr>
        <w:t xml:space="preserve">, </w:t>
      </w:r>
      <w:r>
        <w:rPr>
          <w:i/>
          <w:color w:val="222222"/>
          <w:highlight w:val="white"/>
        </w:rPr>
        <w:t>20</w:t>
      </w:r>
      <w:r>
        <w:rPr>
          <w:color w:val="222222"/>
          <w:highlight w:val="white"/>
        </w:rPr>
        <w:t>(3), pp.370-386.</w:t>
      </w:r>
    </w:p>
    <w:p w14:paraId="418989D7" w14:textId="77777777" w:rsidR="00CD5175" w:rsidRDefault="00CD5175">
      <w:pPr>
        <w:spacing w:line="360" w:lineRule="auto"/>
        <w:jc w:val="both"/>
        <w:rPr>
          <w:color w:val="222222"/>
          <w:highlight w:val="white"/>
        </w:rPr>
      </w:pPr>
      <w:r>
        <w:rPr>
          <w:color w:val="222222"/>
          <w:highlight w:val="white"/>
        </w:rPr>
        <w:t xml:space="preserve">Giordano, R., </w:t>
      </w:r>
      <w:proofErr w:type="spellStart"/>
      <w:r>
        <w:rPr>
          <w:color w:val="222222"/>
          <w:highlight w:val="white"/>
        </w:rPr>
        <w:t>Pluchinotta</w:t>
      </w:r>
      <w:proofErr w:type="spellEnd"/>
      <w:r>
        <w:rPr>
          <w:color w:val="222222"/>
          <w:highlight w:val="white"/>
        </w:rPr>
        <w:t xml:space="preserve">, I., Pagano, A., </w:t>
      </w:r>
      <w:proofErr w:type="spellStart"/>
      <w:r>
        <w:rPr>
          <w:color w:val="222222"/>
          <w:highlight w:val="white"/>
        </w:rPr>
        <w:t>Scrieciu</w:t>
      </w:r>
      <w:proofErr w:type="spellEnd"/>
      <w:r>
        <w:rPr>
          <w:color w:val="222222"/>
          <w:highlight w:val="white"/>
        </w:rPr>
        <w:t xml:space="preserve">, A. and </w:t>
      </w:r>
      <w:proofErr w:type="spellStart"/>
      <w:r>
        <w:rPr>
          <w:color w:val="222222"/>
          <w:highlight w:val="white"/>
        </w:rPr>
        <w:t>Nanu</w:t>
      </w:r>
      <w:proofErr w:type="spellEnd"/>
      <w:r>
        <w:rPr>
          <w:color w:val="222222"/>
          <w:highlight w:val="white"/>
        </w:rPr>
        <w:t xml:space="preserve">, F., 2020. Enhancing nature-based solutions acceptance through stakeholders' engagement in co-benefits identification and trade-offs analysis. </w:t>
      </w:r>
      <w:r>
        <w:rPr>
          <w:i/>
          <w:color w:val="222222"/>
          <w:highlight w:val="white"/>
        </w:rPr>
        <w:t>Science of the Total Environment</w:t>
      </w:r>
      <w:r>
        <w:rPr>
          <w:color w:val="222222"/>
          <w:highlight w:val="white"/>
        </w:rPr>
        <w:t xml:space="preserve">, </w:t>
      </w:r>
      <w:r>
        <w:rPr>
          <w:i/>
          <w:color w:val="222222"/>
          <w:highlight w:val="white"/>
        </w:rPr>
        <w:t>713</w:t>
      </w:r>
      <w:r>
        <w:rPr>
          <w:color w:val="222222"/>
          <w:highlight w:val="white"/>
        </w:rPr>
        <w:t>, p.136552.</w:t>
      </w:r>
    </w:p>
    <w:p w14:paraId="5479E375" w14:textId="0334AC09" w:rsidR="00840764" w:rsidRDefault="00840764">
      <w:pPr>
        <w:spacing w:line="360" w:lineRule="auto"/>
        <w:jc w:val="both"/>
        <w:rPr>
          <w:color w:val="222222"/>
          <w:highlight w:val="white"/>
        </w:rPr>
      </w:pPr>
      <w:r>
        <w:rPr>
          <w:color w:val="222222"/>
        </w:rPr>
        <w:t xml:space="preserve">Guildford. (2022). </w:t>
      </w:r>
      <w:r w:rsidRPr="00840764">
        <w:rPr>
          <w:color w:val="222222"/>
        </w:rPr>
        <w:t>Community Engagement Strategy</w:t>
      </w:r>
      <w:r>
        <w:rPr>
          <w:color w:val="222222"/>
        </w:rPr>
        <w:t xml:space="preserve">. Available at </w:t>
      </w:r>
      <w:hyperlink r:id="rId11" w:history="1">
        <w:r w:rsidRPr="00180802">
          <w:rPr>
            <w:rStyle w:val="Hyperlink"/>
          </w:rPr>
          <w:t>https://www.guildford.gov.uk/ces</w:t>
        </w:r>
      </w:hyperlink>
      <w:r>
        <w:rPr>
          <w:color w:val="222222"/>
        </w:rPr>
        <w:t xml:space="preserve"> </w:t>
      </w:r>
      <w:r>
        <w:t xml:space="preserve">(accessed on 12th </w:t>
      </w:r>
      <w:r w:rsidR="00724BD3">
        <w:t>April</w:t>
      </w:r>
      <w:r>
        <w:t xml:space="preserve"> 2022)</w:t>
      </w:r>
    </w:p>
    <w:p w14:paraId="6317DDFD" w14:textId="77777777" w:rsidR="00CD5175" w:rsidRDefault="00CD5175" w:rsidP="00CD5175">
      <w:pPr>
        <w:spacing w:line="360" w:lineRule="auto"/>
        <w:jc w:val="both"/>
        <w:rPr>
          <w:color w:val="222222"/>
          <w:highlight w:val="white"/>
        </w:rPr>
      </w:pPr>
      <w:proofErr w:type="spellStart"/>
      <w:r>
        <w:rPr>
          <w:color w:val="222222"/>
          <w:highlight w:val="white"/>
        </w:rPr>
        <w:t>Kabue</w:t>
      </w:r>
      <w:proofErr w:type="spellEnd"/>
      <w:r>
        <w:rPr>
          <w:color w:val="222222"/>
          <w:highlight w:val="white"/>
        </w:rPr>
        <w:t xml:space="preserve">, M., Abubakar, A., </w:t>
      </w:r>
      <w:proofErr w:type="spellStart"/>
      <w:r>
        <w:rPr>
          <w:color w:val="222222"/>
          <w:highlight w:val="white"/>
        </w:rPr>
        <w:t>Ssewanyana</w:t>
      </w:r>
      <w:proofErr w:type="spellEnd"/>
      <w:r>
        <w:rPr>
          <w:color w:val="222222"/>
          <w:highlight w:val="white"/>
        </w:rPr>
        <w:t xml:space="preserve">, D., </w:t>
      </w:r>
      <w:proofErr w:type="spellStart"/>
      <w:r>
        <w:rPr>
          <w:color w:val="222222"/>
          <w:highlight w:val="white"/>
        </w:rPr>
        <w:t>Angwenyi</w:t>
      </w:r>
      <w:proofErr w:type="spellEnd"/>
      <w:r>
        <w:rPr>
          <w:color w:val="222222"/>
          <w:highlight w:val="white"/>
        </w:rPr>
        <w:t xml:space="preserve">, V., </w:t>
      </w:r>
      <w:proofErr w:type="spellStart"/>
      <w:r>
        <w:rPr>
          <w:color w:val="222222"/>
          <w:highlight w:val="white"/>
        </w:rPr>
        <w:t>Marangu</w:t>
      </w:r>
      <w:proofErr w:type="spellEnd"/>
      <w:r>
        <w:rPr>
          <w:color w:val="222222"/>
          <w:highlight w:val="white"/>
        </w:rPr>
        <w:t xml:space="preserve">, J., Njoroge, E., </w:t>
      </w:r>
      <w:proofErr w:type="spellStart"/>
      <w:r>
        <w:rPr>
          <w:color w:val="222222"/>
          <w:highlight w:val="white"/>
        </w:rPr>
        <w:t>Ombech</w:t>
      </w:r>
      <w:proofErr w:type="spellEnd"/>
      <w:r>
        <w:rPr>
          <w:color w:val="222222"/>
          <w:highlight w:val="white"/>
        </w:rPr>
        <w:t xml:space="preserve">, E., </w:t>
      </w:r>
      <w:proofErr w:type="spellStart"/>
      <w:r>
        <w:rPr>
          <w:color w:val="222222"/>
          <w:highlight w:val="white"/>
        </w:rPr>
        <w:t>Mokaya</w:t>
      </w:r>
      <w:proofErr w:type="spellEnd"/>
      <w:r>
        <w:rPr>
          <w:color w:val="222222"/>
          <w:highlight w:val="white"/>
        </w:rPr>
        <w:t xml:space="preserve">, M.M., </w:t>
      </w:r>
      <w:proofErr w:type="spellStart"/>
      <w:r>
        <w:rPr>
          <w:color w:val="222222"/>
          <w:highlight w:val="white"/>
        </w:rPr>
        <w:t>Obulemire</w:t>
      </w:r>
      <w:proofErr w:type="spellEnd"/>
      <w:r>
        <w:rPr>
          <w:color w:val="222222"/>
          <w:highlight w:val="white"/>
        </w:rPr>
        <w:t xml:space="preserve">, E.K., </w:t>
      </w:r>
      <w:proofErr w:type="spellStart"/>
      <w:r>
        <w:rPr>
          <w:color w:val="222222"/>
          <w:highlight w:val="white"/>
        </w:rPr>
        <w:t>Mugo</w:t>
      </w:r>
      <w:proofErr w:type="spellEnd"/>
      <w:r>
        <w:rPr>
          <w:color w:val="222222"/>
          <w:highlight w:val="white"/>
        </w:rPr>
        <w:t xml:space="preserve">, C. and </w:t>
      </w:r>
      <w:proofErr w:type="spellStart"/>
      <w:r>
        <w:rPr>
          <w:color w:val="222222"/>
          <w:highlight w:val="white"/>
        </w:rPr>
        <w:t>Malti</w:t>
      </w:r>
      <w:proofErr w:type="spellEnd"/>
      <w:r>
        <w:rPr>
          <w:color w:val="222222"/>
          <w:highlight w:val="white"/>
        </w:rPr>
        <w:t xml:space="preserve">, T., 2022. A community engagement approach for an integrated early childhood development intervention: a case study of an urban informal settlement with Kenyans and embedded refugees. </w:t>
      </w:r>
      <w:r>
        <w:rPr>
          <w:i/>
          <w:color w:val="222222"/>
          <w:highlight w:val="white"/>
        </w:rPr>
        <w:t>BMC Public Health</w:t>
      </w:r>
      <w:r>
        <w:rPr>
          <w:color w:val="222222"/>
          <w:highlight w:val="white"/>
        </w:rPr>
        <w:t xml:space="preserve">, </w:t>
      </w:r>
      <w:r>
        <w:rPr>
          <w:i/>
          <w:color w:val="222222"/>
          <w:highlight w:val="white"/>
        </w:rPr>
        <w:t>22</w:t>
      </w:r>
      <w:r>
        <w:rPr>
          <w:color w:val="222222"/>
          <w:highlight w:val="white"/>
        </w:rPr>
        <w:t>(1), pp.1-12.</w:t>
      </w:r>
    </w:p>
    <w:p w14:paraId="25AC0EA0" w14:textId="77777777" w:rsidR="00CD5175" w:rsidRDefault="00CD5175" w:rsidP="00CD5175">
      <w:pPr>
        <w:spacing w:line="360" w:lineRule="auto"/>
        <w:jc w:val="both"/>
        <w:rPr>
          <w:color w:val="222222"/>
          <w:highlight w:val="white"/>
        </w:rPr>
      </w:pPr>
      <w:r>
        <w:rPr>
          <w:color w:val="222222"/>
          <w:highlight w:val="white"/>
        </w:rPr>
        <w:t xml:space="preserve">Liberatore, A., </w:t>
      </w:r>
      <w:proofErr w:type="spellStart"/>
      <w:r>
        <w:rPr>
          <w:color w:val="222222"/>
          <w:highlight w:val="white"/>
        </w:rPr>
        <w:t>Bowkett</w:t>
      </w:r>
      <w:proofErr w:type="spellEnd"/>
      <w:r>
        <w:rPr>
          <w:color w:val="222222"/>
          <w:highlight w:val="white"/>
        </w:rPr>
        <w:t xml:space="preserve">, E., MacLeod, C.J., </w:t>
      </w:r>
      <w:proofErr w:type="spellStart"/>
      <w:r>
        <w:rPr>
          <w:color w:val="222222"/>
          <w:highlight w:val="white"/>
        </w:rPr>
        <w:t>Spurr</w:t>
      </w:r>
      <w:proofErr w:type="spellEnd"/>
      <w:r>
        <w:rPr>
          <w:color w:val="222222"/>
          <w:highlight w:val="white"/>
        </w:rPr>
        <w:t xml:space="preserve">, E. and </w:t>
      </w:r>
      <w:proofErr w:type="spellStart"/>
      <w:r>
        <w:rPr>
          <w:color w:val="222222"/>
          <w:highlight w:val="white"/>
        </w:rPr>
        <w:t>Longnecker</w:t>
      </w:r>
      <w:proofErr w:type="spellEnd"/>
      <w:r>
        <w:rPr>
          <w:color w:val="222222"/>
          <w:highlight w:val="white"/>
        </w:rPr>
        <w:t xml:space="preserve">, N., 2018. Social media as a platform for a citizen science community of practice. </w:t>
      </w:r>
      <w:r>
        <w:rPr>
          <w:i/>
          <w:color w:val="222222"/>
          <w:highlight w:val="white"/>
        </w:rPr>
        <w:t>Citizen Science: Theory and Practice</w:t>
      </w:r>
      <w:r>
        <w:rPr>
          <w:color w:val="222222"/>
          <w:highlight w:val="white"/>
        </w:rPr>
        <w:t xml:space="preserve">, </w:t>
      </w:r>
      <w:r>
        <w:rPr>
          <w:i/>
          <w:color w:val="222222"/>
          <w:highlight w:val="white"/>
        </w:rPr>
        <w:t>3</w:t>
      </w:r>
      <w:r>
        <w:rPr>
          <w:color w:val="222222"/>
          <w:highlight w:val="white"/>
        </w:rPr>
        <w:t>(1).</w:t>
      </w:r>
    </w:p>
    <w:p w14:paraId="54B9D030" w14:textId="77777777" w:rsidR="00CD5175" w:rsidRDefault="00CD5175" w:rsidP="00CD5175">
      <w:pPr>
        <w:spacing w:line="360" w:lineRule="auto"/>
        <w:jc w:val="both"/>
        <w:rPr>
          <w:color w:val="222222"/>
          <w:highlight w:val="white"/>
        </w:rPr>
      </w:pPr>
      <w:r>
        <w:rPr>
          <w:color w:val="222222"/>
          <w:highlight w:val="white"/>
        </w:rPr>
        <w:t xml:space="preserve">Longo, F., </w:t>
      </w:r>
      <w:proofErr w:type="spellStart"/>
      <w:r>
        <w:rPr>
          <w:color w:val="222222"/>
          <w:highlight w:val="white"/>
        </w:rPr>
        <w:t>Barsanti</w:t>
      </w:r>
      <w:proofErr w:type="spellEnd"/>
      <w:r>
        <w:rPr>
          <w:color w:val="222222"/>
          <w:highlight w:val="white"/>
        </w:rPr>
        <w:t xml:space="preserve">, S., </w:t>
      </w:r>
      <w:proofErr w:type="spellStart"/>
      <w:r>
        <w:rPr>
          <w:color w:val="222222"/>
          <w:highlight w:val="white"/>
        </w:rPr>
        <w:t>Bonciani</w:t>
      </w:r>
      <w:proofErr w:type="spellEnd"/>
      <w:r>
        <w:rPr>
          <w:color w:val="222222"/>
          <w:highlight w:val="white"/>
        </w:rPr>
        <w:t xml:space="preserve">, M., </w:t>
      </w:r>
      <w:proofErr w:type="spellStart"/>
      <w:r>
        <w:rPr>
          <w:color w:val="222222"/>
          <w:highlight w:val="white"/>
        </w:rPr>
        <w:t>Bunea</w:t>
      </w:r>
      <w:proofErr w:type="spellEnd"/>
      <w:r>
        <w:rPr>
          <w:color w:val="222222"/>
          <w:highlight w:val="white"/>
        </w:rPr>
        <w:t xml:space="preserve">, A. and </w:t>
      </w:r>
      <w:proofErr w:type="spellStart"/>
      <w:r>
        <w:rPr>
          <w:color w:val="222222"/>
          <w:highlight w:val="white"/>
        </w:rPr>
        <w:t>Zazzera</w:t>
      </w:r>
      <w:proofErr w:type="spellEnd"/>
      <w:r>
        <w:rPr>
          <w:color w:val="222222"/>
          <w:highlight w:val="white"/>
        </w:rPr>
        <w:t xml:space="preserve">, A., 2022. Managing community engagement initiatives in health and social care: lessons learned from Italy and the United Kingdom. </w:t>
      </w:r>
      <w:r>
        <w:rPr>
          <w:i/>
          <w:color w:val="222222"/>
          <w:highlight w:val="white"/>
        </w:rPr>
        <w:t>Health Care Management Review</w:t>
      </w:r>
      <w:r>
        <w:rPr>
          <w:color w:val="222222"/>
          <w:highlight w:val="white"/>
        </w:rPr>
        <w:t>, pp.10-1097.</w:t>
      </w:r>
    </w:p>
    <w:p w14:paraId="7774A6E3" w14:textId="77777777" w:rsidR="00CD5175" w:rsidRDefault="00CD5175">
      <w:pPr>
        <w:spacing w:line="360" w:lineRule="auto"/>
        <w:jc w:val="both"/>
        <w:rPr>
          <w:color w:val="222222"/>
          <w:highlight w:val="white"/>
        </w:rPr>
      </w:pPr>
      <w:r>
        <w:rPr>
          <w:color w:val="222222"/>
          <w:highlight w:val="white"/>
        </w:rPr>
        <w:lastRenderedPageBreak/>
        <w:t xml:space="preserve">Mahajan, S., Kumar, P., Pinto, J.A., </w:t>
      </w:r>
      <w:proofErr w:type="spellStart"/>
      <w:r>
        <w:rPr>
          <w:color w:val="222222"/>
          <w:highlight w:val="white"/>
        </w:rPr>
        <w:t>Riccetti</w:t>
      </w:r>
      <w:proofErr w:type="spellEnd"/>
      <w:r>
        <w:rPr>
          <w:color w:val="222222"/>
          <w:highlight w:val="white"/>
        </w:rPr>
        <w:t xml:space="preserve">, A., Schaaf, K., </w:t>
      </w:r>
      <w:proofErr w:type="spellStart"/>
      <w:r>
        <w:rPr>
          <w:color w:val="222222"/>
          <w:highlight w:val="white"/>
        </w:rPr>
        <w:t>Camprodon</w:t>
      </w:r>
      <w:proofErr w:type="spellEnd"/>
      <w:r>
        <w:rPr>
          <w:color w:val="222222"/>
          <w:highlight w:val="white"/>
        </w:rPr>
        <w:t xml:space="preserve">, G., </w:t>
      </w:r>
      <w:proofErr w:type="spellStart"/>
      <w:r>
        <w:rPr>
          <w:color w:val="222222"/>
          <w:highlight w:val="white"/>
        </w:rPr>
        <w:t>Smari</w:t>
      </w:r>
      <w:proofErr w:type="spellEnd"/>
      <w:r>
        <w:rPr>
          <w:color w:val="222222"/>
          <w:highlight w:val="white"/>
        </w:rPr>
        <w:t xml:space="preserve">, V., </w:t>
      </w:r>
      <w:proofErr w:type="spellStart"/>
      <w:r>
        <w:rPr>
          <w:color w:val="222222"/>
          <w:highlight w:val="white"/>
        </w:rPr>
        <w:t>Passani</w:t>
      </w:r>
      <w:proofErr w:type="spellEnd"/>
      <w:r>
        <w:rPr>
          <w:color w:val="222222"/>
          <w:highlight w:val="white"/>
        </w:rPr>
        <w:t xml:space="preserve">, A. and </w:t>
      </w:r>
      <w:proofErr w:type="spellStart"/>
      <w:r>
        <w:rPr>
          <w:color w:val="222222"/>
          <w:highlight w:val="white"/>
        </w:rPr>
        <w:t>Forino</w:t>
      </w:r>
      <w:proofErr w:type="spellEnd"/>
      <w:r>
        <w:rPr>
          <w:color w:val="222222"/>
          <w:highlight w:val="white"/>
        </w:rPr>
        <w:t xml:space="preserve">, G., 2020. A citizen science approach for enhancing public understanding of air pollution. </w:t>
      </w:r>
      <w:r>
        <w:rPr>
          <w:i/>
          <w:color w:val="222222"/>
          <w:highlight w:val="white"/>
        </w:rPr>
        <w:t>Sustainable Cities and Society</w:t>
      </w:r>
      <w:r>
        <w:rPr>
          <w:color w:val="222222"/>
          <w:highlight w:val="white"/>
        </w:rPr>
        <w:t xml:space="preserve">, </w:t>
      </w:r>
      <w:r>
        <w:rPr>
          <w:i/>
          <w:color w:val="222222"/>
          <w:highlight w:val="white"/>
        </w:rPr>
        <w:t>52</w:t>
      </w:r>
      <w:r>
        <w:rPr>
          <w:color w:val="222222"/>
          <w:highlight w:val="white"/>
        </w:rPr>
        <w:t>, p.101800.</w:t>
      </w:r>
    </w:p>
    <w:p w14:paraId="5133506B" w14:textId="77777777" w:rsidR="00CD5175" w:rsidRDefault="00CD5175" w:rsidP="00CD5175">
      <w:pPr>
        <w:spacing w:line="360" w:lineRule="auto"/>
        <w:jc w:val="both"/>
        <w:rPr>
          <w:color w:val="222222"/>
          <w:highlight w:val="white"/>
        </w:rPr>
      </w:pPr>
      <w:proofErr w:type="spellStart"/>
      <w:r>
        <w:rPr>
          <w:color w:val="222222"/>
          <w:highlight w:val="white"/>
        </w:rPr>
        <w:t>Muninger</w:t>
      </w:r>
      <w:proofErr w:type="spellEnd"/>
      <w:r>
        <w:rPr>
          <w:color w:val="222222"/>
          <w:highlight w:val="white"/>
        </w:rPr>
        <w:t xml:space="preserve">, M.I., </w:t>
      </w:r>
      <w:proofErr w:type="spellStart"/>
      <w:r>
        <w:rPr>
          <w:color w:val="222222"/>
          <w:highlight w:val="white"/>
        </w:rPr>
        <w:t>Hammedi</w:t>
      </w:r>
      <w:proofErr w:type="spellEnd"/>
      <w:r>
        <w:rPr>
          <w:color w:val="222222"/>
          <w:highlight w:val="white"/>
        </w:rPr>
        <w:t xml:space="preserve">, W. and Mahr, D., 2019. The value of social media for innovation: A capability perspective. </w:t>
      </w:r>
      <w:r>
        <w:rPr>
          <w:i/>
          <w:color w:val="222222"/>
          <w:highlight w:val="white"/>
        </w:rPr>
        <w:t>Journal of Business Research</w:t>
      </w:r>
      <w:r>
        <w:rPr>
          <w:color w:val="222222"/>
          <w:highlight w:val="white"/>
        </w:rPr>
        <w:t xml:space="preserve">, </w:t>
      </w:r>
      <w:r>
        <w:rPr>
          <w:i/>
          <w:color w:val="222222"/>
          <w:highlight w:val="white"/>
        </w:rPr>
        <w:t>95</w:t>
      </w:r>
      <w:r>
        <w:rPr>
          <w:color w:val="222222"/>
          <w:highlight w:val="white"/>
        </w:rPr>
        <w:t>, pp.116-127.</w:t>
      </w:r>
    </w:p>
    <w:p w14:paraId="38A0FFC0" w14:textId="77777777" w:rsidR="00CD5175" w:rsidRDefault="00CD5175" w:rsidP="00CD5175">
      <w:pPr>
        <w:spacing w:line="360" w:lineRule="auto"/>
        <w:jc w:val="both"/>
        <w:rPr>
          <w:color w:val="222222"/>
          <w:highlight w:val="white"/>
        </w:rPr>
      </w:pPr>
      <w:r>
        <w:rPr>
          <w:color w:val="222222"/>
          <w:highlight w:val="white"/>
        </w:rPr>
        <w:t xml:space="preserve">Stocker, F., de Arruda, M.P., de </w:t>
      </w:r>
      <w:proofErr w:type="spellStart"/>
      <w:r>
        <w:rPr>
          <w:color w:val="222222"/>
          <w:highlight w:val="white"/>
        </w:rPr>
        <w:t>Mascena</w:t>
      </w:r>
      <w:proofErr w:type="spellEnd"/>
      <w:r>
        <w:rPr>
          <w:color w:val="222222"/>
          <w:highlight w:val="white"/>
        </w:rPr>
        <w:t xml:space="preserve">, K.M. and </w:t>
      </w:r>
      <w:proofErr w:type="spellStart"/>
      <w:r>
        <w:rPr>
          <w:color w:val="222222"/>
          <w:highlight w:val="white"/>
        </w:rPr>
        <w:t>Boaventura</w:t>
      </w:r>
      <w:proofErr w:type="spellEnd"/>
      <w:r>
        <w:rPr>
          <w:color w:val="222222"/>
          <w:highlight w:val="white"/>
        </w:rPr>
        <w:t xml:space="preserve">, J.M., 2020. Stakeholder engagement in sustainability reporting: a classification model. </w:t>
      </w:r>
      <w:r>
        <w:rPr>
          <w:i/>
          <w:color w:val="222222"/>
          <w:highlight w:val="white"/>
        </w:rPr>
        <w:t>Corporate Social Responsibility and Environmental Management</w:t>
      </w:r>
      <w:r>
        <w:rPr>
          <w:color w:val="222222"/>
          <w:highlight w:val="white"/>
        </w:rPr>
        <w:t xml:space="preserve">, </w:t>
      </w:r>
      <w:r>
        <w:rPr>
          <w:i/>
          <w:color w:val="222222"/>
          <w:highlight w:val="white"/>
        </w:rPr>
        <w:t>27</w:t>
      </w:r>
      <w:r>
        <w:rPr>
          <w:color w:val="222222"/>
          <w:highlight w:val="white"/>
        </w:rPr>
        <w:t>(5), pp.2071-2080.</w:t>
      </w:r>
    </w:p>
    <w:p w14:paraId="13802B4A" w14:textId="77777777" w:rsidR="00CD5175" w:rsidRDefault="00CD5175">
      <w:pPr>
        <w:spacing w:line="360" w:lineRule="auto"/>
        <w:jc w:val="both"/>
        <w:rPr>
          <w:color w:val="222222"/>
          <w:highlight w:val="white"/>
        </w:rPr>
      </w:pPr>
    </w:p>
    <w:sectPr w:rsidR="00CD5175" w:rsidSect="00D34D03">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88D2A" w14:textId="77777777" w:rsidR="00382792" w:rsidRDefault="00382792" w:rsidP="00D34D03">
      <w:pPr>
        <w:spacing w:line="240" w:lineRule="auto"/>
      </w:pPr>
      <w:r>
        <w:separator/>
      </w:r>
    </w:p>
  </w:endnote>
  <w:endnote w:type="continuationSeparator" w:id="0">
    <w:p w14:paraId="74875860" w14:textId="77777777" w:rsidR="00382792" w:rsidRDefault="00382792" w:rsidP="00D34D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21181"/>
      <w:docPartObj>
        <w:docPartGallery w:val="Page Numbers (Bottom of Page)"/>
        <w:docPartUnique/>
      </w:docPartObj>
    </w:sdtPr>
    <w:sdtEndPr>
      <w:rPr>
        <w:noProof/>
        <w:sz w:val="20"/>
        <w:szCs w:val="20"/>
      </w:rPr>
    </w:sdtEndPr>
    <w:sdtContent>
      <w:p w14:paraId="3104CD35" w14:textId="77777777" w:rsidR="00D34D03" w:rsidRPr="00D34D03" w:rsidRDefault="00D34D03">
        <w:pPr>
          <w:pStyle w:val="Footer"/>
          <w:jc w:val="right"/>
          <w:rPr>
            <w:sz w:val="20"/>
            <w:szCs w:val="20"/>
          </w:rPr>
        </w:pPr>
        <w:r w:rsidRPr="00D34D03">
          <w:rPr>
            <w:sz w:val="20"/>
            <w:szCs w:val="20"/>
          </w:rPr>
          <w:fldChar w:fldCharType="begin"/>
        </w:r>
        <w:r w:rsidRPr="00D34D03">
          <w:rPr>
            <w:sz w:val="20"/>
            <w:szCs w:val="20"/>
          </w:rPr>
          <w:instrText xml:space="preserve"> PAGE   \* MERGEFORMAT </w:instrText>
        </w:r>
        <w:r w:rsidRPr="00D34D03">
          <w:rPr>
            <w:sz w:val="20"/>
            <w:szCs w:val="20"/>
          </w:rPr>
          <w:fldChar w:fldCharType="separate"/>
        </w:r>
        <w:r w:rsidR="008E3BB0">
          <w:rPr>
            <w:noProof/>
            <w:sz w:val="20"/>
            <w:szCs w:val="20"/>
          </w:rPr>
          <w:t>2</w:t>
        </w:r>
        <w:r w:rsidRPr="00D34D03">
          <w:rPr>
            <w:noProof/>
            <w:sz w:val="20"/>
            <w:szCs w:val="20"/>
          </w:rPr>
          <w:fldChar w:fldCharType="end"/>
        </w:r>
      </w:p>
    </w:sdtContent>
  </w:sdt>
  <w:p w14:paraId="20414166" w14:textId="77777777" w:rsidR="00D34D03" w:rsidRDefault="00D34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29F62" w14:textId="77777777" w:rsidR="00382792" w:rsidRDefault="00382792" w:rsidP="00D34D03">
      <w:pPr>
        <w:spacing w:line="240" w:lineRule="auto"/>
      </w:pPr>
      <w:r>
        <w:separator/>
      </w:r>
    </w:p>
  </w:footnote>
  <w:footnote w:type="continuationSeparator" w:id="0">
    <w:p w14:paraId="2AA7557B" w14:textId="77777777" w:rsidR="00382792" w:rsidRDefault="00382792" w:rsidP="00D34D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51BCC"/>
    <w:multiLevelType w:val="hybridMultilevel"/>
    <w:tmpl w:val="00000000"/>
    <w:lvl w:ilvl="0" w:tplc="2DEE5C0A">
      <w:start w:val="1"/>
      <w:numFmt w:val="bullet"/>
      <w:lvlText w:val="●"/>
      <w:lvlJc w:val="left"/>
      <w:pPr>
        <w:ind w:left="720" w:hanging="360"/>
      </w:pPr>
      <w:rPr>
        <w:u w:val="none"/>
      </w:rPr>
    </w:lvl>
    <w:lvl w:ilvl="1" w:tplc="4C129EF6">
      <w:start w:val="1"/>
      <w:numFmt w:val="bullet"/>
      <w:lvlText w:val="○"/>
      <w:lvlJc w:val="left"/>
      <w:pPr>
        <w:ind w:left="1440" w:hanging="360"/>
      </w:pPr>
      <w:rPr>
        <w:u w:val="none"/>
      </w:rPr>
    </w:lvl>
    <w:lvl w:ilvl="2" w:tplc="C46CFCF2">
      <w:start w:val="1"/>
      <w:numFmt w:val="bullet"/>
      <w:lvlText w:val="■"/>
      <w:lvlJc w:val="left"/>
      <w:pPr>
        <w:ind w:left="2160" w:hanging="360"/>
      </w:pPr>
      <w:rPr>
        <w:u w:val="none"/>
      </w:rPr>
    </w:lvl>
    <w:lvl w:ilvl="3" w:tplc="566A7286">
      <w:start w:val="1"/>
      <w:numFmt w:val="bullet"/>
      <w:lvlText w:val="●"/>
      <w:lvlJc w:val="left"/>
      <w:pPr>
        <w:ind w:left="2880" w:hanging="360"/>
      </w:pPr>
      <w:rPr>
        <w:u w:val="none"/>
      </w:rPr>
    </w:lvl>
    <w:lvl w:ilvl="4" w:tplc="1F9E5E5E">
      <w:start w:val="1"/>
      <w:numFmt w:val="bullet"/>
      <w:lvlText w:val="○"/>
      <w:lvlJc w:val="left"/>
      <w:pPr>
        <w:ind w:left="3600" w:hanging="360"/>
      </w:pPr>
      <w:rPr>
        <w:u w:val="none"/>
      </w:rPr>
    </w:lvl>
    <w:lvl w:ilvl="5" w:tplc="983A8BCC">
      <w:start w:val="1"/>
      <w:numFmt w:val="bullet"/>
      <w:lvlText w:val="■"/>
      <w:lvlJc w:val="left"/>
      <w:pPr>
        <w:ind w:left="4320" w:hanging="360"/>
      </w:pPr>
      <w:rPr>
        <w:u w:val="none"/>
      </w:rPr>
    </w:lvl>
    <w:lvl w:ilvl="6" w:tplc="92786FF0">
      <w:start w:val="1"/>
      <w:numFmt w:val="bullet"/>
      <w:lvlText w:val="●"/>
      <w:lvlJc w:val="left"/>
      <w:pPr>
        <w:ind w:left="5040" w:hanging="360"/>
      </w:pPr>
      <w:rPr>
        <w:u w:val="none"/>
      </w:rPr>
    </w:lvl>
    <w:lvl w:ilvl="7" w:tplc="AA76DB66">
      <w:start w:val="1"/>
      <w:numFmt w:val="bullet"/>
      <w:lvlText w:val="○"/>
      <w:lvlJc w:val="left"/>
      <w:pPr>
        <w:ind w:left="5760" w:hanging="360"/>
      </w:pPr>
      <w:rPr>
        <w:u w:val="none"/>
      </w:rPr>
    </w:lvl>
    <w:lvl w:ilvl="8" w:tplc="521A0684">
      <w:start w:val="1"/>
      <w:numFmt w:val="bullet"/>
      <w:lvlText w:val="■"/>
      <w:lvlJc w:val="left"/>
      <w:pPr>
        <w:ind w:left="6480" w:hanging="360"/>
      </w:pPr>
      <w:rPr>
        <w:u w:val="none"/>
      </w:rPr>
    </w:lvl>
  </w:abstractNum>
  <w:num w:numId="1" w16cid:durableId="55203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0A60"/>
    <w:rsid w:val="000E5614"/>
    <w:rsid w:val="00160605"/>
    <w:rsid w:val="00225302"/>
    <w:rsid w:val="00382792"/>
    <w:rsid w:val="00406C72"/>
    <w:rsid w:val="005E45D9"/>
    <w:rsid w:val="00685129"/>
    <w:rsid w:val="00724BD3"/>
    <w:rsid w:val="007302E6"/>
    <w:rsid w:val="00840764"/>
    <w:rsid w:val="008E3BB0"/>
    <w:rsid w:val="00B16ABC"/>
    <w:rsid w:val="00B35620"/>
    <w:rsid w:val="00CD5175"/>
    <w:rsid w:val="00D2553D"/>
    <w:rsid w:val="00D34D03"/>
    <w:rsid w:val="00E4714E"/>
    <w:rsid w:val="00E96D40"/>
    <w:rsid w:val="00FA0A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45C03"/>
  <w15:docId w15:val="{D1C635E8-6446-4152-8568-84A4F1ABC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rsid w:val="00D2553D"/>
    <w:pPr>
      <w:spacing w:line="360" w:lineRule="auto"/>
      <w:jc w:val="both"/>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34D03"/>
    <w:pPr>
      <w:tabs>
        <w:tab w:val="center" w:pos="4513"/>
        <w:tab w:val="right" w:pos="9026"/>
      </w:tabs>
      <w:spacing w:line="240" w:lineRule="auto"/>
    </w:pPr>
  </w:style>
  <w:style w:type="character" w:customStyle="1" w:styleId="HeaderChar">
    <w:name w:val="Header Char"/>
    <w:basedOn w:val="DefaultParagraphFont"/>
    <w:link w:val="Header"/>
    <w:uiPriority w:val="99"/>
    <w:rsid w:val="00D34D03"/>
  </w:style>
  <w:style w:type="paragraph" w:styleId="Footer">
    <w:name w:val="footer"/>
    <w:basedOn w:val="Normal"/>
    <w:link w:val="FooterChar"/>
    <w:uiPriority w:val="99"/>
    <w:unhideWhenUsed/>
    <w:rsid w:val="00D34D03"/>
    <w:pPr>
      <w:tabs>
        <w:tab w:val="center" w:pos="4513"/>
        <w:tab w:val="right" w:pos="9026"/>
      </w:tabs>
      <w:spacing w:line="240" w:lineRule="auto"/>
    </w:pPr>
  </w:style>
  <w:style w:type="character" w:customStyle="1" w:styleId="FooterChar">
    <w:name w:val="Footer Char"/>
    <w:basedOn w:val="DefaultParagraphFont"/>
    <w:link w:val="Footer"/>
    <w:uiPriority w:val="99"/>
    <w:rsid w:val="00D34D03"/>
  </w:style>
  <w:style w:type="paragraph" w:styleId="TOCHeading">
    <w:name w:val="TOC Heading"/>
    <w:basedOn w:val="Heading1"/>
    <w:next w:val="Normal"/>
    <w:uiPriority w:val="39"/>
    <w:unhideWhenUsed/>
    <w:qFormat/>
    <w:rsid w:val="00D34D0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34D03"/>
    <w:pPr>
      <w:spacing w:after="100"/>
    </w:pPr>
  </w:style>
  <w:style w:type="character" w:styleId="Hyperlink">
    <w:name w:val="Hyperlink"/>
    <w:basedOn w:val="DefaultParagraphFont"/>
    <w:uiPriority w:val="99"/>
    <w:unhideWhenUsed/>
    <w:rsid w:val="00D34D03"/>
    <w:rPr>
      <w:color w:val="0000FF" w:themeColor="hyperlink"/>
      <w:u w:val="single"/>
    </w:rPr>
  </w:style>
  <w:style w:type="paragraph" w:styleId="BalloonText">
    <w:name w:val="Balloon Text"/>
    <w:basedOn w:val="Normal"/>
    <w:link w:val="BalloonTextChar"/>
    <w:uiPriority w:val="99"/>
    <w:semiHidden/>
    <w:unhideWhenUsed/>
    <w:rsid w:val="00D255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53D"/>
    <w:rPr>
      <w:rFonts w:ascii="Tahoma" w:hAnsi="Tahoma" w:cs="Tahoma"/>
      <w:sz w:val="16"/>
      <w:szCs w:val="16"/>
    </w:rPr>
  </w:style>
  <w:style w:type="paragraph" w:styleId="TOC2">
    <w:name w:val="toc 2"/>
    <w:basedOn w:val="Normal"/>
    <w:next w:val="Normal"/>
    <w:autoRedefine/>
    <w:uiPriority w:val="39"/>
    <w:unhideWhenUsed/>
    <w:rsid w:val="0022530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068344">
      <w:bodyDiv w:val="1"/>
      <w:marLeft w:val="0"/>
      <w:marRight w:val="0"/>
      <w:marTop w:val="0"/>
      <w:marBottom w:val="0"/>
      <w:divBdr>
        <w:top w:val="none" w:sz="0" w:space="0" w:color="auto"/>
        <w:left w:val="none" w:sz="0" w:space="0" w:color="auto"/>
        <w:bottom w:val="none" w:sz="0" w:space="0" w:color="auto"/>
        <w:right w:val="none" w:sz="0" w:space="0" w:color="auto"/>
      </w:divBdr>
      <w:divsChild>
        <w:div w:id="155072886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uildford.gov.uk/ces" TargetMode="External"/><Relationship Id="rId5" Type="http://schemas.openxmlformats.org/officeDocument/2006/relationships/webSettings" Target="webSettings.xml"/><Relationship Id="rId10" Type="http://schemas.openxmlformats.org/officeDocument/2006/relationships/hyperlink" Target="https://www.communityplanningtoolkit.org/sites/default/files/Engagement.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A7B2AD-E3F9-4DC7-906F-8E20C8B5E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Pages>
  <Words>2867</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cp:lastModifiedBy>
  <cp:revision>13</cp:revision>
  <dcterms:created xsi:type="dcterms:W3CDTF">2022-04-25T14:37:00Z</dcterms:created>
  <dcterms:modified xsi:type="dcterms:W3CDTF">2022-05-05T09:21:00Z</dcterms:modified>
</cp:coreProperties>
</file>