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3C380" w14:textId="7FA8EF65" w:rsidR="00E07C02" w:rsidRDefault="09C90699" w:rsidP="2DCCA076">
      <w:pPr>
        <w:spacing w:before="120" w:after="120"/>
        <w:jc w:val="center"/>
        <w:rPr>
          <w:rFonts w:ascii="Arial" w:eastAsia="Arial" w:hAnsi="Arial" w:cs="Arial"/>
          <w:sz w:val="36"/>
          <w:szCs w:val="36"/>
        </w:rPr>
      </w:pPr>
      <w:r w:rsidRPr="2DCCA076">
        <w:rPr>
          <w:rFonts w:ascii="Arial" w:eastAsia="Arial" w:hAnsi="Arial" w:cs="Arial"/>
          <w:b/>
          <w:bCs/>
          <w:sz w:val="36"/>
          <w:szCs w:val="36"/>
        </w:rPr>
        <w:t xml:space="preserve">Title: </w:t>
      </w:r>
    </w:p>
    <w:p w14:paraId="597158F7" w14:textId="3FADA772" w:rsidR="00E07C02" w:rsidRDefault="249A1077" w:rsidP="2DCCA076">
      <w:pPr>
        <w:spacing w:before="120" w:after="120"/>
        <w:jc w:val="center"/>
        <w:rPr>
          <w:rFonts w:ascii="Arial" w:eastAsia="Arial" w:hAnsi="Arial" w:cs="Arial"/>
          <w:color w:val="000000" w:themeColor="text1"/>
          <w:sz w:val="32"/>
          <w:szCs w:val="32"/>
        </w:rPr>
      </w:pPr>
      <w:r w:rsidRPr="2DCCA076">
        <w:rPr>
          <w:rFonts w:ascii="Arial" w:eastAsia="Arial" w:hAnsi="Arial" w:cs="Arial"/>
          <w:color w:val="222222"/>
          <w:sz w:val="32"/>
          <w:szCs w:val="32"/>
        </w:rPr>
        <w:t>To explore the barriers and challenges affecting ethnic minorities’ access to mental health services in the UK, with a focus on social, cultural, and systemic influences.</w:t>
      </w:r>
    </w:p>
    <w:p w14:paraId="3793CA41" w14:textId="0F439E48" w:rsidR="00E07C02" w:rsidRDefault="199D4B20" w:rsidP="6B0ACE94">
      <w:pPr>
        <w:spacing w:before="240" w:after="240"/>
        <w:jc w:val="center"/>
        <w:rPr>
          <w:rFonts w:ascii="Arial" w:eastAsia="Arial" w:hAnsi="Arial" w:cs="Arial"/>
          <w:b/>
          <w:bCs/>
          <w:color w:val="000000" w:themeColor="text1"/>
          <w:sz w:val="40"/>
          <w:szCs w:val="40"/>
        </w:rPr>
      </w:pPr>
      <w:r w:rsidRPr="6B0ACE94">
        <w:rPr>
          <w:rFonts w:ascii="Arial" w:eastAsia="Arial" w:hAnsi="Arial" w:cs="Arial"/>
          <w:b/>
          <w:bCs/>
          <w:color w:val="000000" w:themeColor="text1"/>
          <w:sz w:val="40"/>
          <w:szCs w:val="40"/>
        </w:rPr>
        <w:t>Dilara Begum: 2017884</w:t>
      </w:r>
    </w:p>
    <w:p w14:paraId="25335274" w14:textId="350A715F" w:rsidR="00E07C02" w:rsidRDefault="0AE8BF29" w:rsidP="6B0ACE94">
      <w:pPr>
        <w:spacing w:before="240" w:after="240"/>
        <w:jc w:val="center"/>
        <w:rPr>
          <w:rFonts w:ascii="Arial" w:eastAsia="Arial" w:hAnsi="Arial" w:cs="Arial"/>
          <w:color w:val="000000" w:themeColor="text1"/>
        </w:rPr>
      </w:pPr>
      <w:r w:rsidRPr="6B0ACE94">
        <w:rPr>
          <w:rFonts w:ascii="Arial" w:eastAsia="Arial" w:hAnsi="Arial" w:cs="Arial"/>
          <w:color w:val="000000" w:themeColor="text1"/>
          <w:sz w:val="40"/>
          <w:szCs w:val="40"/>
        </w:rPr>
        <w:t>Dissertation submitted as part of the requirements for the award BSc (Hons) Health and Social Care</w:t>
      </w:r>
      <w:r w:rsidRPr="6B0ACE94">
        <w:rPr>
          <w:rFonts w:ascii="Arial" w:eastAsia="Arial" w:hAnsi="Arial" w:cs="Arial"/>
          <w:color w:val="000000" w:themeColor="text1"/>
        </w:rPr>
        <w:t xml:space="preserve"> </w:t>
      </w:r>
    </w:p>
    <w:p w14:paraId="57DDDEB0" w14:textId="265396C6" w:rsidR="00E07C02" w:rsidRDefault="0AE8BF29" w:rsidP="6B0ACE94">
      <w:pPr>
        <w:spacing w:before="240" w:after="240"/>
        <w:rPr>
          <w:rFonts w:ascii="Arial" w:eastAsia="Arial" w:hAnsi="Arial" w:cs="Arial"/>
          <w:color w:val="000000" w:themeColor="text1"/>
        </w:rPr>
      </w:pPr>
      <w:r w:rsidRPr="6B0ACE94">
        <w:rPr>
          <w:rFonts w:ascii="Arial" w:eastAsia="Arial" w:hAnsi="Arial" w:cs="Arial"/>
          <w:b/>
          <w:bCs/>
          <w:color w:val="000000" w:themeColor="text1"/>
          <w:sz w:val="28"/>
          <w:szCs w:val="28"/>
        </w:rPr>
        <w:t>ACKNOWLEDGEMENTS</w:t>
      </w:r>
      <w:r w:rsidRPr="6B0ACE94">
        <w:rPr>
          <w:rFonts w:ascii="Arial" w:eastAsia="Arial" w:hAnsi="Arial" w:cs="Arial"/>
          <w:b/>
          <w:bCs/>
          <w:color w:val="000000" w:themeColor="text1"/>
        </w:rPr>
        <w:t xml:space="preserve"> </w:t>
      </w:r>
    </w:p>
    <w:p w14:paraId="0EA84B0A" w14:textId="2FD97C6D" w:rsidR="00E07C02" w:rsidRDefault="0AE8BF29" w:rsidP="6B0ACE94">
      <w:pPr>
        <w:shd w:val="clear" w:color="auto" w:fill="FFFFFF" w:themeFill="background1"/>
        <w:spacing w:before="240" w:after="240"/>
        <w:jc w:val="both"/>
        <w:rPr>
          <w:rFonts w:ascii="Arial" w:eastAsia="Arial" w:hAnsi="Arial" w:cs="Arial"/>
          <w:color w:val="333333"/>
          <w:sz w:val="22"/>
          <w:szCs w:val="22"/>
        </w:rPr>
      </w:pPr>
      <w:r w:rsidRPr="6B0ACE94">
        <w:rPr>
          <w:rFonts w:ascii="Arial" w:eastAsia="Arial" w:hAnsi="Arial" w:cs="Arial"/>
          <w:color w:val="333333"/>
          <w:sz w:val="22"/>
          <w:szCs w:val="22"/>
        </w:rPr>
        <w:t xml:space="preserve">The acknowledgements section is a thank you paragraph which to everyone who has helped you whilst you have been researching and writing your dissertation. </w:t>
      </w:r>
    </w:p>
    <w:p w14:paraId="6D7D1519" w14:textId="29D850D3" w:rsidR="00E07C02" w:rsidRDefault="0AE8BF29" w:rsidP="6B0ACE94">
      <w:pPr>
        <w:shd w:val="clear" w:color="auto" w:fill="FFFFFF" w:themeFill="background1"/>
        <w:spacing w:before="240" w:after="240"/>
        <w:jc w:val="both"/>
        <w:rPr>
          <w:rFonts w:ascii="Arial" w:eastAsia="Arial" w:hAnsi="Arial" w:cs="Arial"/>
          <w:color w:val="333333"/>
          <w:sz w:val="22"/>
          <w:szCs w:val="22"/>
        </w:rPr>
      </w:pPr>
      <w:r w:rsidRPr="6B0ACE94">
        <w:rPr>
          <w:rFonts w:ascii="Arial" w:eastAsia="Arial" w:hAnsi="Arial" w:cs="Arial"/>
          <w:color w:val="333333"/>
          <w:sz w:val="22"/>
          <w:szCs w:val="22"/>
        </w:rPr>
        <w:t xml:space="preserve">This may be your supervisor or any other academic staff who have provided guidance and support; other students or colleagues that you have collaborated with; for </w:t>
      </w:r>
      <w:proofErr w:type="gramStart"/>
      <w:r w:rsidRPr="6B0ACE94">
        <w:rPr>
          <w:rFonts w:ascii="Arial" w:eastAsia="Arial" w:hAnsi="Arial" w:cs="Arial"/>
          <w:color w:val="333333"/>
          <w:sz w:val="22"/>
          <w:szCs w:val="22"/>
        </w:rPr>
        <w:t>example</w:t>
      </w:r>
      <w:proofErr w:type="gramEnd"/>
      <w:r w:rsidRPr="6B0ACE94">
        <w:rPr>
          <w:rFonts w:ascii="Arial" w:eastAsia="Arial" w:hAnsi="Arial" w:cs="Arial"/>
          <w:color w:val="333333"/>
          <w:sz w:val="22"/>
          <w:szCs w:val="22"/>
        </w:rPr>
        <w:t xml:space="preserve"> librarians; external bodies who have given </w:t>
      </w:r>
      <w:proofErr w:type="spellStart"/>
      <w:r w:rsidRPr="6B0ACE94">
        <w:rPr>
          <w:rFonts w:ascii="Arial" w:eastAsia="Arial" w:hAnsi="Arial" w:cs="Arial"/>
          <w:color w:val="333333"/>
          <w:sz w:val="22"/>
          <w:szCs w:val="22"/>
        </w:rPr>
        <w:t>you</w:t>
      </w:r>
      <w:proofErr w:type="spellEnd"/>
      <w:r w:rsidRPr="6B0ACE94">
        <w:rPr>
          <w:rFonts w:ascii="Arial" w:eastAsia="Arial" w:hAnsi="Arial" w:cs="Arial"/>
          <w:color w:val="333333"/>
          <w:sz w:val="22"/>
          <w:szCs w:val="22"/>
        </w:rPr>
        <w:t xml:space="preserve"> assistance.</w:t>
      </w:r>
    </w:p>
    <w:p w14:paraId="153AE3C6" w14:textId="29D52771" w:rsidR="00E07C02" w:rsidRDefault="00E07C02" w:rsidP="6B0ACE94">
      <w:pPr>
        <w:shd w:val="clear" w:color="auto" w:fill="FFFFFF" w:themeFill="background1"/>
        <w:spacing w:before="240" w:after="240"/>
        <w:jc w:val="both"/>
        <w:rPr>
          <w:rFonts w:ascii="Arial" w:eastAsia="Arial" w:hAnsi="Arial" w:cs="Arial"/>
          <w:color w:val="333333"/>
          <w:sz w:val="22"/>
          <w:szCs w:val="22"/>
        </w:rPr>
      </w:pPr>
    </w:p>
    <w:p w14:paraId="79B1DEBA" w14:textId="31AF966C" w:rsidR="00E07C02" w:rsidRDefault="0AE8BF29" w:rsidP="6B0ACE94">
      <w:pPr>
        <w:spacing w:before="240" w:after="240"/>
        <w:rPr>
          <w:rFonts w:ascii="Arial" w:eastAsia="Arial" w:hAnsi="Arial" w:cs="Arial"/>
          <w:color w:val="000000" w:themeColor="text1"/>
        </w:rPr>
      </w:pPr>
      <w:r w:rsidRPr="6B0ACE94">
        <w:rPr>
          <w:rFonts w:ascii="Arial" w:eastAsia="Arial" w:hAnsi="Arial" w:cs="Arial"/>
          <w:b/>
          <w:bCs/>
          <w:color w:val="000000" w:themeColor="text1"/>
          <w:sz w:val="28"/>
          <w:szCs w:val="28"/>
        </w:rPr>
        <w:t>DECLARATION</w:t>
      </w:r>
      <w:r w:rsidRPr="6B0ACE94">
        <w:rPr>
          <w:rFonts w:ascii="Arial" w:eastAsia="Arial" w:hAnsi="Arial" w:cs="Arial"/>
          <w:color w:val="000000" w:themeColor="text1"/>
        </w:rPr>
        <w:t xml:space="preserve"> </w:t>
      </w:r>
    </w:p>
    <w:p w14:paraId="229C7D2A" w14:textId="1C906F59" w:rsidR="00E07C02" w:rsidRDefault="0AE8BF29" w:rsidP="6B0ACE94">
      <w:pPr>
        <w:spacing w:before="240" w:after="240"/>
        <w:rPr>
          <w:rFonts w:ascii="Arial" w:eastAsia="Arial" w:hAnsi="Arial" w:cs="Arial"/>
          <w:color w:val="000000" w:themeColor="text1"/>
        </w:rPr>
      </w:pPr>
      <w:r w:rsidRPr="6B0ACE94">
        <w:rPr>
          <w:rFonts w:ascii="Arial" w:eastAsia="Arial" w:hAnsi="Arial" w:cs="Arial"/>
          <w:color w:val="000000" w:themeColor="text1"/>
        </w:rPr>
        <w:t>This work has not previously been accepted in substance for any degree and is not being concurrently submitted in candidature for any degree Signed…………………………………………… Date………………………………………………</w:t>
      </w:r>
    </w:p>
    <w:p w14:paraId="5E5787A5" w14:textId="3FF19A55" w:rsidR="00E07C02" w:rsidRDefault="00E07C02" w:rsidP="6B0ACE94">
      <w:pPr>
        <w:rPr>
          <w:rFonts w:ascii="Arial" w:eastAsia="Arial" w:hAnsi="Arial" w:cs="Arial"/>
          <w:sz w:val="22"/>
          <w:szCs w:val="22"/>
        </w:rPr>
      </w:pPr>
    </w:p>
    <w:p w14:paraId="187C81AC" w14:textId="17742412" w:rsidR="6B0ACE94" w:rsidRDefault="6B0ACE94">
      <w:r>
        <w:br w:type="page"/>
      </w:r>
    </w:p>
    <w:p w14:paraId="2991846C" w14:textId="6CBDF753" w:rsidR="34B80399" w:rsidRDefault="34B80399" w:rsidP="6B0ACE94">
      <w:pPr>
        <w:rPr>
          <w:rFonts w:ascii="Arial" w:eastAsia="Arial" w:hAnsi="Arial" w:cs="Arial"/>
          <w:b/>
          <w:bCs/>
          <w:sz w:val="22"/>
          <w:szCs w:val="22"/>
        </w:rPr>
      </w:pPr>
      <w:r w:rsidRPr="6B0ACE94">
        <w:rPr>
          <w:rFonts w:ascii="Arial" w:eastAsia="Arial" w:hAnsi="Arial" w:cs="Arial"/>
          <w:b/>
          <w:bCs/>
          <w:sz w:val="22"/>
          <w:szCs w:val="22"/>
        </w:rPr>
        <w:lastRenderedPageBreak/>
        <w:t xml:space="preserve">Abstract </w:t>
      </w:r>
    </w:p>
    <w:p w14:paraId="5901EC2E" w14:textId="48C80DA1" w:rsidR="6B0ACE94" w:rsidRDefault="6B0ACE94">
      <w:r>
        <w:br w:type="page"/>
      </w:r>
    </w:p>
    <w:p w14:paraId="45D25888" w14:textId="3B3165B1" w:rsidR="30649BE0" w:rsidRDefault="30649BE0" w:rsidP="6B0ACE94">
      <w:pPr>
        <w:rPr>
          <w:rFonts w:ascii="Arial" w:eastAsia="Arial" w:hAnsi="Arial" w:cs="Arial"/>
          <w:b/>
          <w:bCs/>
          <w:sz w:val="22"/>
          <w:szCs w:val="22"/>
        </w:rPr>
      </w:pPr>
      <w:r w:rsidRPr="6B0ACE94">
        <w:rPr>
          <w:rFonts w:ascii="Arial" w:eastAsia="Arial" w:hAnsi="Arial" w:cs="Arial"/>
          <w:b/>
          <w:bCs/>
          <w:sz w:val="22"/>
          <w:szCs w:val="22"/>
        </w:rPr>
        <w:lastRenderedPageBreak/>
        <w:t xml:space="preserve">Table of Contents </w:t>
      </w:r>
    </w:p>
    <w:p w14:paraId="3354D656" w14:textId="55448546" w:rsidR="6B0ACE94" w:rsidRDefault="6B0ACE94">
      <w:r>
        <w:br w:type="page"/>
      </w:r>
    </w:p>
    <w:p w14:paraId="55C76939" w14:textId="2AC61216" w:rsidR="1AB74A04" w:rsidRPr="00E66F26" w:rsidRDefault="1AB74A04" w:rsidP="00E66F26">
      <w:pPr>
        <w:spacing w:before="240" w:after="240" w:line="360" w:lineRule="auto"/>
        <w:jc w:val="center"/>
        <w:rPr>
          <w:rFonts w:ascii="Arial" w:eastAsia="Arial" w:hAnsi="Arial" w:cs="Arial"/>
          <w:b/>
          <w:bCs/>
          <w:color w:val="000000" w:themeColor="text1"/>
          <w:sz w:val="22"/>
          <w:szCs w:val="22"/>
        </w:rPr>
      </w:pPr>
      <w:r w:rsidRPr="00E66F26">
        <w:rPr>
          <w:rFonts w:ascii="Arial" w:eastAsia="Arial" w:hAnsi="Arial" w:cs="Arial"/>
          <w:b/>
          <w:bCs/>
          <w:sz w:val="22"/>
          <w:szCs w:val="22"/>
        </w:rPr>
        <w:lastRenderedPageBreak/>
        <w:t xml:space="preserve">Title: </w:t>
      </w:r>
      <w:r w:rsidR="1369B6F1" w:rsidRPr="00E66F26">
        <w:rPr>
          <w:rFonts w:ascii="Arial" w:eastAsia="Arial" w:hAnsi="Arial" w:cs="Arial"/>
          <w:b/>
          <w:bCs/>
          <w:color w:val="222222"/>
          <w:sz w:val="22"/>
          <w:szCs w:val="22"/>
        </w:rPr>
        <w:t>To explore the barriers and challenges affecting ethnic minorities’ access to mental health services in the UK, with a focus on social, cultural, and systemic influences.</w:t>
      </w:r>
    </w:p>
    <w:p w14:paraId="129C4EA3" w14:textId="4B8BC51F" w:rsidR="6B0ACE94" w:rsidRDefault="6B0ACE94" w:rsidP="2DCCA076">
      <w:pPr>
        <w:spacing w:before="240" w:after="240" w:line="276" w:lineRule="auto"/>
        <w:jc w:val="center"/>
        <w:rPr>
          <w:rFonts w:ascii="Arial" w:eastAsia="Arial" w:hAnsi="Arial" w:cs="Arial"/>
          <w:b/>
          <w:bCs/>
          <w:color w:val="000000" w:themeColor="text1"/>
          <w:sz w:val="22"/>
          <w:szCs w:val="22"/>
        </w:rPr>
      </w:pPr>
    </w:p>
    <w:p w14:paraId="345B3780" w14:textId="5C0475D2" w:rsidR="1AB74A04" w:rsidRDefault="0B3FFCAD" w:rsidP="00E66F26">
      <w:pPr>
        <w:pStyle w:val="Heading3"/>
        <w:spacing w:before="281" w:after="281" w:line="360" w:lineRule="auto"/>
        <w:rPr>
          <w:rFonts w:ascii="Arial" w:eastAsia="Arial" w:hAnsi="Arial" w:cs="Arial"/>
          <w:b/>
          <w:bCs/>
          <w:color w:val="auto"/>
          <w:sz w:val="22"/>
          <w:szCs w:val="22"/>
        </w:rPr>
      </w:pPr>
      <w:r w:rsidRPr="2DCCA076">
        <w:rPr>
          <w:rFonts w:ascii="Arial" w:eastAsia="Arial" w:hAnsi="Arial" w:cs="Arial"/>
          <w:b/>
          <w:bCs/>
          <w:color w:val="auto"/>
          <w:sz w:val="22"/>
          <w:szCs w:val="22"/>
        </w:rPr>
        <w:t>1.1 Introduction</w:t>
      </w:r>
    </w:p>
    <w:p w14:paraId="681C508C" w14:textId="586E247E" w:rsidR="65B8AAFC" w:rsidRDefault="0495A1F1"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Mental health has become a pressing public health concern in the United Kingdom, affecting people from all walks of life. For example, statistics show that about one in four adults in England experiences a mental health problem each year, which highlights just how common these issues are (Mental Health Foundation, 2023). Despite ongoing national efforts to make healthcare more inclusive, significant inequalities persist in how different ethnic groups access and experience mental health support (</w:t>
      </w:r>
      <w:proofErr w:type="spellStart"/>
      <w:r w:rsidRPr="2DCCA076">
        <w:rPr>
          <w:rFonts w:ascii="Arial" w:eastAsia="Arial" w:hAnsi="Arial" w:cs="Arial"/>
          <w:sz w:val="22"/>
          <w:szCs w:val="22"/>
        </w:rPr>
        <w:t>Nazroo</w:t>
      </w:r>
      <w:proofErr w:type="spellEnd"/>
      <w:r w:rsidRPr="2DCCA076">
        <w:rPr>
          <w:rFonts w:ascii="Arial" w:eastAsia="Arial" w:hAnsi="Arial" w:cs="Arial"/>
          <w:sz w:val="22"/>
          <w:szCs w:val="22"/>
        </w:rPr>
        <w:t xml:space="preserve"> and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2021). Many individuals from minority backgrounds are less likely to seek help, may delay treatment, and often receive lower-quality care compared to their White British peers (NHS England, 2022; Williams, Lawrence, and Davis, 2022). </w:t>
      </w:r>
    </w:p>
    <w:p w14:paraId="79295A8E" w14:textId="554C6018" w:rsidR="65B8AAFC" w:rsidRDefault="0495A1F1"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 xml:space="preserve">The differences in outcomes are particularly striking. For example, Black Caribbean individuals are four times more likely to be detained under the Mental Health Act. Asian and Black adults are only half as likely to access psychological therapies compared to White British adults (Care Quality Commission, 2022; NHS Digital, 2023). Furthermore, satisfaction levels are also lower, with only 59% of ethnic minority service users reporting positive experiences, compared to 75% of White British users (NHS England, 2022). </w:t>
      </w:r>
    </w:p>
    <w:p w14:paraId="64E337A5" w14:textId="380E6A95" w:rsidR="65B8AAFC" w:rsidRDefault="0495A1F1"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There are many reasons behind these inequalities, including social, cultural, and systemic factors. Stigma, discrimination, language barriers, and insufficient culturally sensitive services all play a role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et al., 2018; Mind, 2023). In this dissertation, I’ll examine the specific challenges that ethnic minorities face when seeking mental health support and suggest ways to make policy and practice fairer and more responsive to everyone in the UK.</w:t>
      </w:r>
    </w:p>
    <w:p w14:paraId="7248ABD5" w14:textId="1863E157" w:rsidR="2DCCA076" w:rsidRDefault="2DCCA076" w:rsidP="2DCCA076">
      <w:pPr>
        <w:spacing w:before="120" w:after="120" w:line="276" w:lineRule="auto"/>
        <w:rPr>
          <w:rFonts w:ascii="Arial" w:eastAsia="Arial" w:hAnsi="Arial" w:cs="Arial"/>
          <w:sz w:val="22"/>
          <w:szCs w:val="22"/>
        </w:rPr>
      </w:pPr>
    </w:p>
    <w:p w14:paraId="0B4A8369" w14:textId="77777777" w:rsidR="00E66F26" w:rsidRDefault="00E66F26" w:rsidP="2DCCA076">
      <w:pPr>
        <w:spacing w:before="120" w:after="120" w:line="276" w:lineRule="auto"/>
        <w:rPr>
          <w:rFonts w:ascii="Arial" w:eastAsia="Arial" w:hAnsi="Arial" w:cs="Arial"/>
          <w:sz w:val="22"/>
          <w:szCs w:val="22"/>
        </w:rPr>
      </w:pPr>
    </w:p>
    <w:p w14:paraId="4D1ED16C" w14:textId="77777777" w:rsidR="00E66F26" w:rsidRDefault="00E66F26" w:rsidP="2DCCA076">
      <w:pPr>
        <w:spacing w:before="120" w:after="120" w:line="276" w:lineRule="auto"/>
        <w:rPr>
          <w:rFonts w:ascii="Arial" w:eastAsia="Arial" w:hAnsi="Arial" w:cs="Arial"/>
          <w:sz w:val="22"/>
          <w:szCs w:val="22"/>
        </w:rPr>
      </w:pPr>
    </w:p>
    <w:p w14:paraId="7EECFA08" w14:textId="77777777" w:rsidR="00E66F26" w:rsidRDefault="00E66F26" w:rsidP="2DCCA076">
      <w:pPr>
        <w:spacing w:before="120" w:after="120" w:line="276" w:lineRule="auto"/>
        <w:rPr>
          <w:rFonts w:ascii="Arial" w:eastAsia="Arial" w:hAnsi="Arial" w:cs="Arial"/>
          <w:sz w:val="22"/>
          <w:szCs w:val="22"/>
        </w:rPr>
      </w:pPr>
    </w:p>
    <w:p w14:paraId="2A7F96C0" w14:textId="77777777" w:rsidR="00E66F26" w:rsidRDefault="00E66F26" w:rsidP="2DCCA076">
      <w:pPr>
        <w:spacing w:before="120" w:after="120" w:line="276" w:lineRule="auto"/>
        <w:rPr>
          <w:rFonts w:ascii="Arial" w:eastAsia="Arial" w:hAnsi="Arial" w:cs="Arial"/>
          <w:sz w:val="22"/>
          <w:szCs w:val="22"/>
        </w:rPr>
      </w:pPr>
    </w:p>
    <w:p w14:paraId="1D434402" w14:textId="77777777" w:rsidR="00E66F26" w:rsidRDefault="00E66F26" w:rsidP="2DCCA076">
      <w:pPr>
        <w:spacing w:before="120" w:after="120" w:line="276" w:lineRule="auto"/>
        <w:rPr>
          <w:rFonts w:ascii="Arial" w:eastAsia="Arial" w:hAnsi="Arial" w:cs="Arial"/>
          <w:sz w:val="22"/>
          <w:szCs w:val="22"/>
        </w:rPr>
      </w:pPr>
    </w:p>
    <w:p w14:paraId="3F5897F4" w14:textId="77777777" w:rsidR="00E66F26" w:rsidRDefault="00E66F26" w:rsidP="2DCCA076">
      <w:pPr>
        <w:spacing w:before="120" w:after="120" w:line="276" w:lineRule="auto"/>
        <w:rPr>
          <w:rFonts w:ascii="Arial" w:eastAsia="Arial" w:hAnsi="Arial" w:cs="Arial"/>
          <w:sz w:val="22"/>
          <w:szCs w:val="22"/>
        </w:rPr>
      </w:pPr>
    </w:p>
    <w:p w14:paraId="60F91B99" w14:textId="77777777" w:rsidR="00E66F26" w:rsidRDefault="00E66F26" w:rsidP="2DCCA076">
      <w:pPr>
        <w:spacing w:before="120" w:after="120" w:line="276" w:lineRule="auto"/>
        <w:rPr>
          <w:rFonts w:ascii="Arial" w:eastAsia="Arial" w:hAnsi="Arial" w:cs="Arial"/>
          <w:sz w:val="22"/>
          <w:szCs w:val="22"/>
        </w:rPr>
      </w:pPr>
    </w:p>
    <w:p w14:paraId="7CD4693C" w14:textId="77777777" w:rsidR="00E66F26" w:rsidRDefault="00E66F26" w:rsidP="2DCCA076">
      <w:pPr>
        <w:spacing w:before="120" w:after="120" w:line="276" w:lineRule="auto"/>
        <w:rPr>
          <w:rFonts w:ascii="Arial" w:eastAsia="Arial" w:hAnsi="Arial" w:cs="Arial"/>
          <w:sz w:val="22"/>
          <w:szCs w:val="22"/>
        </w:rPr>
      </w:pPr>
    </w:p>
    <w:p w14:paraId="74DFA57D" w14:textId="40E89F4D" w:rsidR="7C22E7A1" w:rsidRDefault="4B6C861F" w:rsidP="00E66F26">
      <w:pPr>
        <w:pStyle w:val="Heading3"/>
        <w:spacing w:before="281" w:after="281" w:line="360" w:lineRule="auto"/>
        <w:rPr>
          <w:rFonts w:ascii="Arial" w:eastAsia="Arial" w:hAnsi="Arial" w:cs="Arial"/>
          <w:color w:val="auto"/>
          <w:sz w:val="22"/>
          <w:szCs w:val="22"/>
        </w:rPr>
      </w:pPr>
      <w:r w:rsidRPr="2DCCA076">
        <w:rPr>
          <w:rFonts w:ascii="Arial" w:eastAsia="Arial" w:hAnsi="Arial" w:cs="Arial"/>
          <w:b/>
          <w:bCs/>
          <w:color w:val="auto"/>
          <w:sz w:val="22"/>
          <w:szCs w:val="22"/>
        </w:rPr>
        <w:t>1.2 Definitions and Terminology</w:t>
      </w:r>
    </w:p>
    <w:p w14:paraId="71B51EC6" w14:textId="6F289A37" w:rsidR="708C0E15" w:rsidRDefault="708C0E15"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To clarify, this section outlines key terms and concepts that will be introduced throughout this dissertation. Understanding these definitions is important for making sense of the challenges ethnic minorities face in the United Kingdom when trying to access mental health services.</w:t>
      </w:r>
    </w:p>
    <w:p w14:paraId="376513CD" w14:textId="72531F03" w:rsidR="22D74888" w:rsidRDefault="22D74888"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Mental Health</w:t>
      </w:r>
      <w:r w:rsidRPr="2DCCA076">
        <w:rPr>
          <w:rFonts w:ascii="Arial" w:eastAsia="Arial" w:hAnsi="Arial" w:cs="Arial"/>
          <w:sz w:val="22"/>
          <w:szCs w:val="22"/>
        </w:rPr>
        <w:t xml:space="preserve"> </w:t>
      </w:r>
      <w:r w:rsidR="3DE87BE7" w:rsidRPr="2DCCA076">
        <w:rPr>
          <w:rFonts w:ascii="Arial" w:eastAsia="Arial" w:hAnsi="Arial" w:cs="Arial"/>
          <w:sz w:val="22"/>
          <w:szCs w:val="22"/>
        </w:rPr>
        <w:t>refers to a person’s emotional, psychological, and social well-being, influencing how they think, feel, and behave (World Health Organisation, 2022). It encompasses the ability to cope with stress, maintain healthy relationships, and make meaningful contributions to society.</w:t>
      </w:r>
    </w:p>
    <w:p w14:paraId="3DCB3298" w14:textId="7442D478" w:rsidR="3DE87BE7" w:rsidRDefault="3DE87BE7"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The term Access to Mental Health</w:t>
      </w:r>
      <w:r w:rsidRPr="2DCCA076">
        <w:rPr>
          <w:rFonts w:ascii="Arial" w:eastAsia="Arial" w:hAnsi="Arial" w:cs="Arial"/>
          <w:sz w:val="22"/>
          <w:szCs w:val="22"/>
        </w:rPr>
        <w:t xml:space="preserve"> Services refers to an individual's ability to receive appropriate and timely mental health assistance, such as counselling, therapy, or psychiatric treatment, without encountering systemic or cultural barriers (NHS England, 2022).</w:t>
      </w:r>
    </w:p>
    <w:p w14:paraId="5F0698FF" w14:textId="7C887186" w:rsidR="6CA764CF" w:rsidRDefault="6CA764CF"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 xml:space="preserve">Health inequalities </w:t>
      </w:r>
      <w:r w:rsidRPr="2DCCA076">
        <w:rPr>
          <w:rFonts w:ascii="Arial" w:eastAsia="Arial" w:hAnsi="Arial" w:cs="Arial"/>
          <w:sz w:val="22"/>
          <w:szCs w:val="22"/>
        </w:rPr>
        <w:t xml:space="preserve">refer to the unjust and preventable disparities in health outcomes among different groups of people, resulting from social, economic, and environmental factors (Marmot, 2020). </w:t>
      </w:r>
    </w:p>
    <w:p w14:paraId="0CD13C16" w14:textId="0F19F259" w:rsidR="2DCCA076" w:rsidRDefault="060139C0"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Cultural competence</w:t>
      </w:r>
      <w:r w:rsidRPr="2DCCA076">
        <w:rPr>
          <w:rFonts w:ascii="Arial" w:eastAsia="Arial" w:hAnsi="Arial" w:cs="Arial"/>
          <w:sz w:val="22"/>
          <w:szCs w:val="22"/>
        </w:rPr>
        <w:t xml:space="preserve"> refers to the ability of healthcare professionals to understand, interact with, and effectively deliver services that meet the diverse cultural, linguistic, and social needs of the populations they serve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et al., 2018).</w:t>
      </w:r>
    </w:p>
    <w:p w14:paraId="64C48070" w14:textId="47A32383" w:rsidR="060139C0" w:rsidRDefault="060139C0"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Acronyms and Abbreviations:</w:t>
      </w:r>
      <w:r w:rsidRPr="2DCCA076">
        <w:rPr>
          <w:rFonts w:ascii="Arial" w:eastAsia="Arial" w:hAnsi="Arial" w:cs="Arial"/>
          <w:sz w:val="22"/>
          <w:szCs w:val="22"/>
        </w:rPr>
        <w:t xml:space="preserve">  </w:t>
      </w:r>
    </w:p>
    <w:p w14:paraId="7425B1AE" w14:textId="4CDA0FF6" w:rsidR="060139C0" w:rsidRDefault="060139C0" w:rsidP="00E66F26">
      <w:pPr>
        <w:pStyle w:val="ListParagraph"/>
        <w:numPr>
          <w:ilvl w:val="0"/>
          <w:numId w:val="1"/>
        </w:numPr>
        <w:spacing w:after="0" w:line="360" w:lineRule="auto"/>
        <w:rPr>
          <w:rFonts w:ascii="Arial" w:eastAsia="Arial" w:hAnsi="Arial" w:cs="Arial"/>
          <w:sz w:val="22"/>
          <w:szCs w:val="22"/>
        </w:rPr>
      </w:pPr>
      <w:r w:rsidRPr="2DCCA076">
        <w:rPr>
          <w:rFonts w:ascii="Arial" w:eastAsia="Arial" w:hAnsi="Arial" w:cs="Arial"/>
          <w:b/>
          <w:bCs/>
          <w:sz w:val="22"/>
          <w:szCs w:val="22"/>
        </w:rPr>
        <w:t>BAME</w:t>
      </w:r>
      <w:r w:rsidRPr="2DCCA076">
        <w:rPr>
          <w:rFonts w:ascii="Arial" w:eastAsia="Arial" w:hAnsi="Arial" w:cs="Arial"/>
          <w:sz w:val="22"/>
          <w:szCs w:val="22"/>
        </w:rPr>
        <w:t xml:space="preserve"> – Black, Asian, and Minority Ethnic  </w:t>
      </w:r>
    </w:p>
    <w:p w14:paraId="2000779C" w14:textId="3DBCAACC" w:rsidR="060139C0" w:rsidRDefault="060139C0" w:rsidP="00E66F26">
      <w:pPr>
        <w:pStyle w:val="ListParagraph"/>
        <w:numPr>
          <w:ilvl w:val="0"/>
          <w:numId w:val="1"/>
        </w:numPr>
        <w:spacing w:after="0" w:line="360" w:lineRule="auto"/>
        <w:rPr>
          <w:rFonts w:ascii="Arial" w:eastAsia="Arial" w:hAnsi="Arial" w:cs="Arial"/>
          <w:sz w:val="22"/>
          <w:szCs w:val="22"/>
        </w:rPr>
      </w:pPr>
      <w:r w:rsidRPr="2DCCA076">
        <w:rPr>
          <w:rFonts w:ascii="Arial" w:eastAsia="Arial" w:hAnsi="Arial" w:cs="Arial"/>
          <w:b/>
          <w:bCs/>
          <w:sz w:val="22"/>
          <w:szCs w:val="22"/>
        </w:rPr>
        <w:t>NHS</w:t>
      </w:r>
      <w:r w:rsidRPr="2DCCA076">
        <w:rPr>
          <w:rFonts w:ascii="Arial" w:eastAsia="Arial" w:hAnsi="Arial" w:cs="Arial"/>
          <w:sz w:val="22"/>
          <w:szCs w:val="22"/>
        </w:rPr>
        <w:t xml:space="preserve"> – National Health Service  </w:t>
      </w:r>
    </w:p>
    <w:p w14:paraId="32277F1F" w14:textId="75916923" w:rsidR="060139C0" w:rsidRDefault="060139C0" w:rsidP="00E66F26">
      <w:pPr>
        <w:pStyle w:val="ListParagraph"/>
        <w:numPr>
          <w:ilvl w:val="0"/>
          <w:numId w:val="1"/>
        </w:numPr>
        <w:spacing w:after="0" w:line="360" w:lineRule="auto"/>
        <w:rPr>
          <w:rFonts w:ascii="Arial" w:eastAsia="Arial" w:hAnsi="Arial" w:cs="Arial"/>
          <w:sz w:val="22"/>
          <w:szCs w:val="22"/>
        </w:rPr>
      </w:pPr>
      <w:r w:rsidRPr="2DCCA076">
        <w:rPr>
          <w:rFonts w:ascii="Arial" w:eastAsia="Arial" w:hAnsi="Arial" w:cs="Arial"/>
          <w:b/>
          <w:bCs/>
          <w:sz w:val="22"/>
          <w:szCs w:val="22"/>
        </w:rPr>
        <w:t>ONS</w:t>
      </w:r>
      <w:r w:rsidRPr="2DCCA076">
        <w:rPr>
          <w:rFonts w:ascii="Arial" w:eastAsia="Arial" w:hAnsi="Arial" w:cs="Arial"/>
          <w:sz w:val="22"/>
          <w:szCs w:val="22"/>
        </w:rPr>
        <w:t xml:space="preserve"> – Office for National Statistics  </w:t>
      </w:r>
    </w:p>
    <w:p w14:paraId="77F6B613" w14:textId="3AB576D7" w:rsidR="060139C0" w:rsidRDefault="060139C0" w:rsidP="00E66F26">
      <w:pPr>
        <w:pStyle w:val="ListParagraph"/>
        <w:numPr>
          <w:ilvl w:val="0"/>
          <w:numId w:val="1"/>
        </w:numPr>
        <w:spacing w:after="0" w:line="360" w:lineRule="auto"/>
        <w:rPr>
          <w:rFonts w:ascii="Arial" w:eastAsia="Arial" w:hAnsi="Arial" w:cs="Arial"/>
          <w:sz w:val="22"/>
          <w:szCs w:val="22"/>
        </w:rPr>
      </w:pPr>
      <w:r w:rsidRPr="2DCCA076">
        <w:rPr>
          <w:rFonts w:ascii="Arial" w:eastAsia="Arial" w:hAnsi="Arial" w:cs="Arial"/>
          <w:b/>
          <w:bCs/>
          <w:sz w:val="22"/>
          <w:szCs w:val="22"/>
        </w:rPr>
        <w:t>WHO</w:t>
      </w:r>
      <w:r w:rsidRPr="2DCCA076">
        <w:rPr>
          <w:rFonts w:ascii="Arial" w:eastAsia="Arial" w:hAnsi="Arial" w:cs="Arial"/>
          <w:sz w:val="22"/>
          <w:szCs w:val="22"/>
        </w:rPr>
        <w:t xml:space="preserve"> – World Health Organisation</w:t>
      </w:r>
    </w:p>
    <w:p w14:paraId="1018081F" w14:textId="43850931" w:rsidR="2DCCA076" w:rsidRDefault="2DCCA076" w:rsidP="2DCCA076">
      <w:pPr>
        <w:spacing w:after="0" w:line="276" w:lineRule="auto"/>
        <w:rPr>
          <w:rFonts w:ascii="Arial" w:eastAsia="Arial" w:hAnsi="Arial" w:cs="Arial"/>
          <w:sz w:val="22"/>
          <w:szCs w:val="22"/>
        </w:rPr>
      </w:pPr>
    </w:p>
    <w:p w14:paraId="3183B7C7" w14:textId="2EC40BE2" w:rsidR="65B8AAFC" w:rsidRDefault="65B8AAFC" w:rsidP="2DCCA076">
      <w:pPr>
        <w:spacing w:after="0" w:line="276" w:lineRule="auto"/>
        <w:rPr>
          <w:rFonts w:ascii="Arial" w:eastAsia="Arial" w:hAnsi="Arial" w:cs="Arial"/>
          <w:sz w:val="22"/>
          <w:szCs w:val="22"/>
        </w:rPr>
      </w:pPr>
    </w:p>
    <w:p w14:paraId="14FC7E9A" w14:textId="0663E9CB" w:rsidR="65B8AAFC" w:rsidRDefault="65B8AAFC" w:rsidP="2DCCA076">
      <w:pPr>
        <w:spacing w:after="0" w:line="276" w:lineRule="auto"/>
        <w:rPr>
          <w:rFonts w:ascii="Arial" w:eastAsia="Arial" w:hAnsi="Arial" w:cs="Arial"/>
          <w:sz w:val="22"/>
          <w:szCs w:val="22"/>
        </w:rPr>
      </w:pPr>
    </w:p>
    <w:p w14:paraId="6642F22E" w14:textId="5F31473B" w:rsidR="65B8AAFC" w:rsidRDefault="65B8AAFC" w:rsidP="65B8AAFC">
      <w:pPr>
        <w:spacing w:after="0" w:line="360" w:lineRule="auto"/>
        <w:rPr>
          <w:rFonts w:ascii="Arial" w:eastAsia="Arial" w:hAnsi="Arial" w:cs="Arial"/>
        </w:rPr>
      </w:pPr>
    </w:p>
    <w:p w14:paraId="4B75179B" w14:textId="27436EA0" w:rsidR="2DCCA076" w:rsidRDefault="2DCCA076" w:rsidP="00E66F26">
      <w:pPr>
        <w:spacing w:before="240" w:after="240" w:line="360" w:lineRule="auto"/>
        <w:rPr>
          <w:rFonts w:ascii="Arial" w:eastAsia="Arial" w:hAnsi="Arial" w:cs="Arial"/>
          <w:color w:val="000000" w:themeColor="text1"/>
          <w:sz w:val="22"/>
          <w:szCs w:val="22"/>
        </w:rPr>
      </w:pPr>
    </w:p>
    <w:p w14:paraId="162AB391" w14:textId="77777777" w:rsidR="00E66F26" w:rsidRPr="00E66F26" w:rsidRDefault="00E66F26" w:rsidP="00E66F26">
      <w:pPr>
        <w:spacing w:before="240" w:after="240" w:line="360" w:lineRule="auto"/>
        <w:rPr>
          <w:rFonts w:ascii="Arial" w:eastAsia="Arial" w:hAnsi="Arial" w:cs="Arial"/>
          <w:color w:val="000000" w:themeColor="text1"/>
          <w:sz w:val="22"/>
          <w:szCs w:val="22"/>
        </w:rPr>
      </w:pPr>
    </w:p>
    <w:p w14:paraId="6E67B673" w14:textId="287BD7DB" w:rsidR="449DD6B0" w:rsidRDefault="59EC5AFE" w:rsidP="00E66F26">
      <w:pPr>
        <w:pStyle w:val="Heading3"/>
        <w:spacing w:before="281" w:after="281" w:line="360" w:lineRule="auto"/>
        <w:rPr>
          <w:rFonts w:ascii="Arial" w:eastAsia="Arial" w:hAnsi="Arial" w:cs="Arial"/>
          <w:color w:val="auto"/>
          <w:sz w:val="22"/>
          <w:szCs w:val="22"/>
        </w:rPr>
      </w:pPr>
      <w:r w:rsidRPr="2DCCA076">
        <w:rPr>
          <w:rFonts w:ascii="Arial" w:eastAsia="Arial" w:hAnsi="Arial" w:cs="Arial"/>
          <w:b/>
          <w:bCs/>
          <w:color w:val="auto"/>
          <w:sz w:val="22"/>
          <w:szCs w:val="22"/>
        </w:rPr>
        <w:lastRenderedPageBreak/>
        <w:t>1.3 Rationale for Research</w:t>
      </w:r>
    </w:p>
    <w:p w14:paraId="1D277B34" w14:textId="5F8967B0" w:rsidR="4D1DBC19" w:rsidRDefault="4D1DBC19" w:rsidP="00E66F26">
      <w:pPr>
        <w:spacing w:before="120" w:after="120" w:line="360" w:lineRule="auto"/>
      </w:pPr>
      <w:r w:rsidRPr="2DCCA076">
        <w:rPr>
          <w:rFonts w:ascii="Arial" w:eastAsia="Arial" w:hAnsi="Arial" w:cs="Arial"/>
          <w:sz w:val="22"/>
          <w:szCs w:val="22"/>
        </w:rPr>
        <w:t>My decision to explore the obstacles faced by ethnic minorities in accessing mental health services in the United Kingdom comes from a growing awareness of ongoing inequalities in care. Even though there have been important national initiatives aimed at making things fairer, research shows that people from ethnic minority backgrounds still have less access, are less satisfied with services, and often have poorer outcomes than their White British peers (</w:t>
      </w:r>
      <w:proofErr w:type="spellStart"/>
      <w:r w:rsidRPr="2DCCA076">
        <w:rPr>
          <w:rFonts w:ascii="Arial" w:eastAsia="Arial" w:hAnsi="Arial" w:cs="Arial"/>
          <w:sz w:val="22"/>
          <w:szCs w:val="22"/>
        </w:rPr>
        <w:t>Nazroo</w:t>
      </w:r>
      <w:proofErr w:type="spellEnd"/>
      <w:r w:rsidRPr="2DCCA076">
        <w:rPr>
          <w:rFonts w:ascii="Arial" w:eastAsia="Arial" w:hAnsi="Arial" w:cs="Arial"/>
          <w:sz w:val="22"/>
          <w:szCs w:val="22"/>
        </w:rPr>
        <w:t xml:space="preserve"> and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2021; NHS England, 2022). This issue feels even more urgent as the UK becomes more culturally diverse and healthcare systems must adapt to meet the needs of all communities. </w:t>
      </w:r>
    </w:p>
    <w:p w14:paraId="5101A2FD" w14:textId="09A57922" w:rsidR="4D1DBC19" w:rsidRDefault="4D1DBC19" w:rsidP="00E66F26">
      <w:pPr>
        <w:spacing w:before="120" w:after="120" w:line="360" w:lineRule="auto"/>
      </w:pPr>
      <w:r w:rsidRPr="2DCCA076">
        <w:rPr>
          <w:rFonts w:ascii="Arial" w:eastAsia="Arial" w:hAnsi="Arial" w:cs="Arial"/>
          <w:sz w:val="22"/>
          <w:szCs w:val="22"/>
        </w:rPr>
        <w:t>Previous research has highlighted numerous factors contributing to these inequalities, including cultural stigma, language barriers, and institutional bias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et al., 2018; Mind, 2023). However, we still don’t fully understand how these barriers affect different communities, or how policies can be effectively tailored to address them. Much of the existing research has focused on clinical outcomes, rather than the real-life experiences of individuals navigating the mental health system (Williams, Lawrence, and Davis, 2022). </w:t>
      </w:r>
    </w:p>
    <w:p w14:paraId="5E7D467A" w14:textId="06EB451C" w:rsidR="4D1DBC19" w:rsidRDefault="4D1DBC19" w:rsidP="00E66F26">
      <w:pPr>
        <w:spacing w:before="120" w:after="120" w:line="360" w:lineRule="auto"/>
      </w:pPr>
      <w:r w:rsidRPr="2DCCA076">
        <w:rPr>
          <w:rFonts w:ascii="Arial" w:eastAsia="Arial" w:hAnsi="Arial" w:cs="Arial"/>
          <w:sz w:val="22"/>
          <w:szCs w:val="22"/>
        </w:rPr>
        <w:t>I aim to fill these research gaps by closely examining current evidence to improve understanding of the structural and cultural barriers preventing equitable access to mental health services. Through this approach, the intention is to guide the development of mental health care in the UK to be more inclusive and culturally sensitive.</w:t>
      </w:r>
    </w:p>
    <w:p w14:paraId="1865BFAB" w14:textId="435DCB6D" w:rsidR="0EAA3C05" w:rsidRDefault="25F23A87" w:rsidP="00E66F26">
      <w:pPr>
        <w:pStyle w:val="Heading3"/>
        <w:spacing w:before="281" w:after="281" w:line="360" w:lineRule="auto"/>
        <w:rPr>
          <w:rFonts w:ascii="Arial" w:eastAsia="Arial" w:hAnsi="Arial" w:cs="Arial"/>
          <w:b/>
          <w:bCs/>
          <w:color w:val="auto"/>
          <w:sz w:val="22"/>
          <w:szCs w:val="22"/>
        </w:rPr>
      </w:pPr>
      <w:r w:rsidRPr="2DCCA076">
        <w:rPr>
          <w:rFonts w:ascii="Arial" w:eastAsia="Arial" w:hAnsi="Arial" w:cs="Arial"/>
          <w:b/>
          <w:bCs/>
          <w:color w:val="auto"/>
          <w:sz w:val="22"/>
          <w:szCs w:val="22"/>
        </w:rPr>
        <w:t>1.4 Aim and Objectives</w:t>
      </w:r>
    </w:p>
    <w:p w14:paraId="5C791B98" w14:textId="2C226596" w:rsidR="31670159" w:rsidRDefault="31670159" w:rsidP="00E66F26">
      <w:pPr>
        <w:spacing w:before="120" w:after="120" w:line="360" w:lineRule="auto"/>
      </w:pPr>
      <w:r w:rsidRPr="2DCCA076">
        <w:rPr>
          <w:rFonts w:ascii="Arial" w:eastAsia="Arial" w:hAnsi="Arial" w:cs="Arial"/>
          <w:sz w:val="22"/>
          <w:szCs w:val="22"/>
        </w:rPr>
        <w:t>The aim of this dissertation is to explore the barriers and challenges affecting ethnic minorities’ access to mental health services in the UK, with attention to social, cultural, and systemic influences. This phrasing reduces repetition and sharpens the research focus. The study will inform the development of mental health services that are more inclusive, equitable, and culturally sensitive (</w:t>
      </w:r>
      <w:proofErr w:type="spellStart"/>
      <w:r w:rsidRPr="2DCCA076">
        <w:rPr>
          <w:rFonts w:ascii="Arial" w:eastAsia="Arial" w:hAnsi="Arial" w:cs="Arial"/>
          <w:sz w:val="22"/>
          <w:szCs w:val="22"/>
        </w:rPr>
        <w:t>Nazroo</w:t>
      </w:r>
      <w:proofErr w:type="spellEnd"/>
      <w:r w:rsidRPr="2DCCA076">
        <w:rPr>
          <w:rFonts w:ascii="Arial" w:eastAsia="Arial" w:hAnsi="Arial" w:cs="Arial"/>
          <w:sz w:val="22"/>
          <w:szCs w:val="22"/>
        </w:rPr>
        <w:t xml:space="preserve"> and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2021).</w:t>
      </w:r>
    </w:p>
    <w:p w14:paraId="7B4BEFAC" w14:textId="672331C8" w:rsidR="2DCCA076" w:rsidRDefault="2DCCA076" w:rsidP="00E66F26">
      <w:pPr>
        <w:spacing w:before="120" w:after="120" w:line="360" w:lineRule="auto"/>
        <w:rPr>
          <w:rFonts w:ascii="Arial" w:eastAsia="Arial" w:hAnsi="Arial" w:cs="Arial"/>
          <w:sz w:val="22"/>
          <w:szCs w:val="22"/>
        </w:rPr>
      </w:pPr>
    </w:p>
    <w:p w14:paraId="14F66283" w14:textId="7ED2E248" w:rsidR="2DCCA076" w:rsidRDefault="2DCCA076" w:rsidP="2DCCA076">
      <w:pPr>
        <w:spacing w:before="120" w:after="120" w:line="360" w:lineRule="auto"/>
        <w:rPr>
          <w:rFonts w:ascii="Arial" w:eastAsia="Arial" w:hAnsi="Arial" w:cs="Arial"/>
          <w:sz w:val="22"/>
          <w:szCs w:val="22"/>
        </w:rPr>
      </w:pPr>
    </w:p>
    <w:p w14:paraId="082C4336" w14:textId="43585D9B" w:rsidR="2DCCA076" w:rsidRDefault="2DCCA076" w:rsidP="2DCCA076">
      <w:pPr>
        <w:spacing w:before="120" w:after="120" w:line="360" w:lineRule="auto"/>
        <w:rPr>
          <w:rFonts w:ascii="Arial" w:eastAsia="Arial" w:hAnsi="Arial" w:cs="Arial"/>
          <w:sz w:val="22"/>
          <w:szCs w:val="22"/>
        </w:rPr>
      </w:pPr>
    </w:p>
    <w:p w14:paraId="2DBD8F68" w14:textId="399A56B8" w:rsidR="2DCCA076" w:rsidRDefault="2DCCA076" w:rsidP="2DCCA076">
      <w:pPr>
        <w:spacing w:before="120" w:after="120" w:line="360" w:lineRule="auto"/>
        <w:rPr>
          <w:rFonts w:ascii="Arial" w:eastAsia="Arial" w:hAnsi="Arial" w:cs="Arial"/>
          <w:sz w:val="22"/>
          <w:szCs w:val="22"/>
        </w:rPr>
      </w:pPr>
    </w:p>
    <w:p w14:paraId="0ED53C7D" w14:textId="77777777" w:rsidR="00E66F26" w:rsidRDefault="00E66F26" w:rsidP="2DCCA076">
      <w:pPr>
        <w:spacing w:before="120" w:after="120" w:line="360" w:lineRule="auto"/>
        <w:rPr>
          <w:rFonts w:ascii="Arial" w:eastAsia="Arial" w:hAnsi="Arial" w:cs="Arial"/>
          <w:sz w:val="22"/>
          <w:szCs w:val="22"/>
        </w:rPr>
      </w:pPr>
    </w:p>
    <w:p w14:paraId="1AC73310" w14:textId="6684ED60" w:rsidR="2DCCA076" w:rsidRDefault="2DCCA076" w:rsidP="2DCCA076">
      <w:pPr>
        <w:spacing w:before="120" w:after="120" w:line="360" w:lineRule="auto"/>
        <w:rPr>
          <w:rFonts w:ascii="Arial" w:eastAsia="Arial" w:hAnsi="Arial" w:cs="Arial"/>
          <w:sz w:val="22"/>
          <w:szCs w:val="22"/>
        </w:rPr>
      </w:pPr>
    </w:p>
    <w:p w14:paraId="1B0DF96D" w14:textId="1F54C412" w:rsidR="65B8AAFC" w:rsidRDefault="65B8AAFC" w:rsidP="65B8AAFC">
      <w:pPr>
        <w:spacing w:before="120" w:after="120" w:line="360" w:lineRule="auto"/>
        <w:rPr>
          <w:rFonts w:ascii="Arial" w:eastAsia="Arial" w:hAnsi="Arial" w:cs="Arial"/>
          <w:b/>
          <w:bCs/>
          <w:sz w:val="22"/>
          <w:szCs w:val="22"/>
        </w:rPr>
      </w:pPr>
    </w:p>
    <w:p w14:paraId="4EAFB2E3" w14:textId="5FD46A3B" w:rsidR="7A9D638D" w:rsidRDefault="0360C978" w:rsidP="00E66F26">
      <w:pPr>
        <w:spacing w:before="120" w:after="120" w:line="360" w:lineRule="auto"/>
        <w:rPr>
          <w:rFonts w:ascii="Arial" w:eastAsia="Arial" w:hAnsi="Arial" w:cs="Arial"/>
          <w:sz w:val="22"/>
          <w:szCs w:val="22"/>
        </w:rPr>
      </w:pPr>
      <w:r w:rsidRPr="65B8AAFC">
        <w:rPr>
          <w:rFonts w:ascii="Arial" w:eastAsia="Arial" w:hAnsi="Arial" w:cs="Arial"/>
          <w:b/>
          <w:bCs/>
          <w:sz w:val="22"/>
          <w:szCs w:val="22"/>
        </w:rPr>
        <w:lastRenderedPageBreak/>
        <w:t>Research Objectives:</w:t>
      </w:r>
      <w:r w:rsidRPr="65B8AAFC">
        <w:rPr>
          <w:rFonts w:ascii="Arial" w:eastAsia="Arial" w:hAnsi="Arial" w:cs="Arial"/>
          <w:sz w:val="22"/>
          <w:szCs w:val="22"/>
        </w:rPr>
        <w:t xml:space="preserve"> </w:t>
      </w:r>
    </w:p>
    <w:p w14:paraId="3B637EF9" w14:textId="5EFAFD66" w:rsidR="6B0ACE94" w:rsidRDefault="5F0B4EE6" w:rsidP="00E66F26">
      <w:pPr>
        <w:keepNext/>
        <w:keepLines/>
        <w:spacing w:after="0" w:line="360" w:lineRule="auto"/>
        <w:rPr>
          <w:rFonts w:ascii="Arial" w:eastAsia="Arial" w:hAnsi="Arial" w:cs="Arial"/>
          <w:sz w:val="22"/>
          <w:szCs w:val="22"/>
        </w:rPr>
      </w:pPr>
      <w:r w:rsidRPr="65B8AAFC">
        <w:rPr>
          <w:rFonts w:ascii="Arial" w:eastAsia="Arial" w:hAnsi="Arial" w:cs="Arial"/>
          <w:sz w:val="22"/>
          <w:szCs w:val="22"/>
        </w:rPr>
        <w:t xml:space="preserve">To achieve this aim, the following objectives have been established: </w:t>
      </w:r>
    </w:p>
    <w:p w14:paraId="027E417D" w14:textId="7BAA4CDE" w:rsidR="6B0ACE94" w:rsidRDefault="6B0ACE94" w:rsidP="00E66F26">
      <w:pPr>
        <w:keepNext/>
        <w:keepLines/>
        <w:spacing w:after="0" w:line="360" w:lineRule="auto"/>
        <w:rPr>
          <w:rFonts w:ascii="Arial" w:eastAsia="Arial" w:hAnsi="Arial" w:cs="Arial"/>
          <w:sz w:val="22"/>
          <w:szCs w:val="22"/>
        </w:rPr>
      </w:pPr>
    </w:p>
    <w:p w14:paraId="68E1497B" w14:textId="54CFCC3B" w:rsidR="6B0ACE94" w:rsidRDefault="1A9E8275" w:rsidP="00E66F26">
      <w:pPr>
        <w:pStyle w:val="ListParagraph"/>
        <w:keepNext/>
        <w:keepLines/>
        <w:numPr>
          <w:ilvl w:val="0"/>
          <w:numId w:val="5"/>
        </w:numPr>
        <w:spacing w:after="0" w:line="360" w:lineRule="auto"/>
        <w:rPr>
          <w:rFonts w:ascii="Arial" w:eastAsia="Arial" w:hAnsi="Arial" w:cs="Arial"/>
          <w:sz w:val="22"/>
          <w:szCs w:val="22"/>
        </w:rPr>
      </w:pPr>
      <w:r w:rsidRPr="2DCCA076">
        <w:rPr>
          <w:rFonts w:ascii="Arial" w:eastAsia="Arial" w:hAnsi="Arial" w:cs="Arial"/>
          <w:b/>
          <w:bCs/>
          <w:sz w:val="22"/>
          <w:szCs w:val="22"/>
        </w:rPr>
        <w:t xml:space="preserve">Objective 1: </w:t>
      </w:r>
      <w:r w:rsidRPr="2DCCA076">
        <w:rPr>
          <w:rFonts w:ascii="Arial" w:eastAsia="Arial" w:hAnsi="Arial" w:cs="Arial"/>
          <w:sz w:val="22"/>
          <w:szCs w:val="22"/>
        </w:rPr>
        <w:t xml:space="preserve">Identify and analyse the primary obstacles and traits affecting the availability of mental health services for ethnic minority populations in the United Kingdom, utilising current national data and academic research. </w:t>
      </w:r>
    </w:p>
    <w:p w14:paraId="71F2D68A" w14:textId="3CFAF0B4" w:rsidR="2DCCA076" w:rsidRDefault="2DCCA076" w:rsidP="00E66F26">
      <w:pPr>
        <w:pStyle w:val="ListParagraph"/>
        <w:keepNext/>
        <w:keepLines/>
        <w:spacing w:after="0" w:line="360" w:lineRule="auto"/>
        <w:rPr>
          <w:rFonts w:ascii="Arial" w:eastAsia="Arial" w:hAnsi="Arial" w:cs="Arial"/>
          <w:sz w:val="22"/>
          <w:szCs w:val="22"/>
        </w:rPr>
      </w:pPr>
    </w:p>
    <w:p w14:paraId="7B55BDCF" w14:textId="071DFF4C" w:rsidR="6B0ACE94" w:rsidRDefault="1A9E8275" w:rsidP="00E66F26">
      <w:pPr>
        <w:pStyle w:val="ListParagraph"/>
        <w:keepNext/>
        <w:keepLines/>
        <w:numPr>
          <w:ilvl w:val="0"/>
          <w:numId w:val="5"/>
        </w:numPr>
        <w:spacing w:after="0" w:line="360" w:lineRule="auto"/>
        <w:rPr>
          <w:rFonts w:ascii="Arial" w:eastAsia="Arial" w:hAnsi="Arial" w:cs="Arial"/>
          <w:sz w:val="22"/>
          <w:szCs w:val="22"/>
        </w:rPr>
      </w:pPr>
      <w:r w:rsidRPr="2DCCA076">
        <w:rPr>
          <w:rFonts w:ascii="Arial" w:eastAsia="Arial" w:hAnsi="Arial" w:cs="Arial"/>
          <w:b/>
          <w:bCs/>
          <w:sz w:val="22"/>
          <w:szCs w:val="22"/>
        </w:rPr>
        <w:t xml:space="preserve">Objective 2: </w:t>
      </w:r>
      <w:r w:rsidRPr="2DCCA076">
        <w:rPr>
          <w:rFonts w:ascii="Arial" w:eastAsia="Arial" w:hAnsi="Arial" w:cs="Arial"/>
          <w:sz w:val="22"/>
          <w:szCs w:val="22"/>
        </w:rPr>
        <w:t>Explore the social, cultural, and systemic factors that make access to and delivery of mental health services different for ethnic minority groups.</w:t>
      </w:r>
    </w:p>
    <w:p w14:paraId="34DBC0A6" w14:textId="407E549D" w:rsidR="2DCCA076" w:rsidRDefault="2DCCA076" w:rsidP="00E66F26">
      <w:pPr>
        <w:pStyle w:val="ListParagraph"/>
        <w:keepNext/>
        <w:keepLines/>
        <w:spacing w:after="0" w:line="360" w:lineRule="auto"/>
        <w:rPr>
          <w:rFonts w:ascii="Arial" w:eastAsia="Arial" w:hAnsi="Arial" w:cs="Arial"/>
          <w:sz w:val="22"/>
          <w:szCs w:val="22"/>
        </w:rPr>
      </w:pPr>
    </w:p>
    <w:p w14:paraId="22E3CCEA" w14:textId="1DB76FFE" w:rsidR="6B0ACE94" w:rsidRDefault="1A9E8275" w:rsidP="00E66F26">
      <w:pPr>
        <w:pStyle w:val="ListParagraph"/>
        <w:keepNext/>
        <w:keepLines/>
        <w:numPr>
          <w:ilvl w:val="0"/>
          <w:numId w:val="5"/>
        </w:numPr>
        <w:spacing w:after="0" w:line="360" w:lineRule="auto"/>
        <w:rPr>
          <w:rFonts w:ascii="Arial" w:eastAsia="Arial" w:hAnsi="Arial" w:cs="Arial"/>
          <w:sz w:val="22"/>
          <w:szCs w:val="22"/>
        </w:rPr>
      </w:pPr>
      <w:r w:rsidRPr="2DCCA076">
        <w:rPr>
          <w:rFonts w:ascii="Arial" w:eastAsia="Arial" w:hAnsi="Arial" w:cs="Arial"/>
          <w:b/>
          <w:bCs/>
          <w:sz w:val="22"/>
          <w:szCs w:val="22"/>
        </w:rPr>
        <w:t>Objective 3: Assess how accessible, responsive, and effective</w:t>
      </w:r>
      <w:r w:rsidRPr="2DCCA076">
        <w:rPr>
          <w:rFonts w:ascii="Arial" w:eastAsia="Arial" w:hAnsi="Arial" w:cs="Arial"/>
          <w:sz w:val="22"/>
          <w:szCs w:val="22"/>
        </w:rPr>
        <w:t xml:space="preserve"> current mental health policies and interventions are at improving engagement and outcomes for ethnic minority groups.</w:t>
      </w:r>
    </w:p>
    <w:p w14:paraId="05F7A50C" w14:textId="00B888FD" w:rsidR="2DCCA076" w:rsidRDefault="2DCCA076" w:rsidP="00E66F26">
      <w:pPr>
        <w:pStyle w:val="ListParagraph"/>
        <w:keepNext/>
        <w:keepLines/>
        <w:spacing w:after="0" w:line="360" w:lineRule="auto"/>
        <w:rPr>
          <w:rFonts w:ascii="Arial" w:eastAsia="Arial" w:hAnsi="Arial" w:cs="Arial"/>
          <w:sz w:val="22"/>
          <w:szCs w:val="22"/>
        </w:rPr>
      </w:pPr>
    </w:p>
    <w:p w14:paraId="07EA9B40" w14:textId="3B077FF3" w:rsidR="6B0ACE94" w:rsidRDefault="5F0B4EE6" w:rsidP="00E66F26">
      <w:pPr>
        <w:pStyle w:val="ListParagraph"/>
        <w:keepNext/>
        <w:keepLines/>
        <w:numPr>
          <w:ilvl w:val="0"/>
          <w:numId w:val="5"/>
        </w:numPr>
        <w:spacing w:after="0" w:line="360" w:lineRule="auto"/>
        <w:rPr>
          <w:rFonts w:ascii="Arial" w:eastAsia="Arial" w:hAnsi="Arial" w:cs="Arial"/>
          <w:sz w:val="22"/>
          <w:szCs w:val="22"/>
        </w:rPr>
      </w:pPr>
      <w:r w:rsidRPr="65B8AAFC">
        <w:rPr>
          <w:rFonts w:ascii="Arial" w:eastAsia="Arial" w:hAnsi="Arial" w:cs="Arial"/>
          <w:b/>
          <w:bCs/>
          <w:sz w:val="22"/>
          <w:szCs w:val="22"/>
        </w:rPr>
        <w:t>Objective 4: Suggest ways to raise</w:t>
      </w:r>
      <w:r w:rsidRPr="65B8AAFC">
        <w:rPr>
          <w:rFonts w:ascii="Arial" w:eastAsia="Arial" w:hAnsi="Arial" w:cs="Arial"/>
          <w:sz w:val="22"/>
          <w:szCs w:val="22"/>
        </w:rPr>
        <w:t xml:space="preserve"> awareness, promote fairness, and improve inclusivity in mental health services so that access and well-being are improved for ethnic minority groups in the UK (</w:t>
      </w:r>
      <w:proofErr w:type="spellStart"/>
      <w:r w:rsidRPr="65B8AAFC">
        <w:rPr>
          <w:rFonts w:ascii="Arial" w:eastAsia="Arial" w:hAnsi="Arial" w:cs="Arial"/>
          <w:sz w:val="22"/>
          <w:szCs w:val="22"/>
        </w:rPr>
        <w:t>Bhui</w:t>
      </w:r>
      <w:proofErr w:type="spellEnd"/>
      <w:r w:rsidRPr="65B8AAFC">
        <w:rPr>
          <w:rFonts w:ascii="Arial" w:eastAsia="Arial" w:hAnsi="Arial" w:cs="Arial"/>
          <w:sz w:val="22"/>
          <w:szCs w:val="22"/>
        </w:rPr>
        <w:t xml:space="preserve"> et al., 2018).</w:t>
      </w:r>
    </w:p>
    <w:p w14:paraId="08FEAF1A" w14:textId="3294D62D" w:rsidR="7177ED11" w:rsidRDefault="0D60C7FB" w:rsidP="00E66F26">
      <w:pPr>
        <w:pStyle w:val="Heading3"/>
        <w:spacing w:before="281" w:after="281" w:line="360" w:lineRule="auto"/>
        <w:rPr>
          <w:rFonts w:ascii="Arial" w:eastAsia="Arial" w:hAnsi="Arial" w:cs="Arial"/>
          <w:b/>
          <w:bCs/>
          <w:color w:val="auto"/>
          <w:sz w:val="22"/>
          <w:szCs w:val="22"/>
        </w:rPr>
      </w:pPr>
      <w:r w:rsidRPr="2DCCA076">
        <w:rPr>
          <w:rFonts w:ascii="Arial" w:eastAsia="Arial" w:hAnsi="Arial" w:cs="Arial"/>
          <w:b/>
          <w:bCs/>
          <w:color w:val="auto"/>
          <w:sz w:val="22"/>
          <w:szCs w:val="22"/>
        </w:rPr>
        <w:t>1.5 Conclusion</w:t>
      </w:r>
    </w:p>
    <w:p w14:paraId="5C085368" w14:textId="1349A4F2" w:rsidR="3FB526E8" w:rsidRDefault="3FB526E8" w:rsidP="00E66F26">
      <w:pPr>
        <w:spacing w:before="120" w:after="120" w:line="360" w:lineRule="auto"/>
      </w:pPr>
      <w:r w:rsidRPr="2DCCA076">
        <w:rPr>
          <w:rFonts w:ascii="Arial" w:eastAsia="Arial" w:hAnsi="Arial" w:cs="Arial"/>
          <w:sz w:val="22"/>
          <w:szCs w:val="22"/>
        </w:rPr>
        <w:t xml:space="preserve">This chapter outlines the focus of this dissertation: examining the obstacles and challenges faced by ethnic minorities when seeking access to mental health services in the United Kingdom. It explains why this topic matters, especially considering ongoing disparities in mental health care and has defined some of the key terms. The chapter also highlighted the importance of understanding the cultural, social, and systemic factors that shape access to services, and outlined the aims and objectives that will guide the research. </w:t>
      </w:r>
    </w:p>
    <w:p w14:paraId="01742057" w14:textId="50599507" w:rsidR="3FB526E8" w:rsidRDefault="3FB526E8" w:rsidP="00E66F26">
      <w:pPr>
        <w:spacing w:before="120" w:after="120" w:line="360" w:lineRule="auto"/>
      </w:pPr>
      <w:r w:rsidRPr="2DCCA076">
        <w:rPr>
          <w:rFonts w:ascii="Arial" w:eastAsia="Arial" w:hAnsi="Arial" w:cs="Arial"/>
          <w:sz w:val="22"/>
          <w:szCs w:val="22"/>
        </w:rPr>
        <w:t>The subsequent chapter, Chapter 2 – Literature Review, will critically evaluate existing studies and theoretical perspectives on mental health disparities, cultural barriers, and access to care among ethnic minority populations. This review will lay the academic groundwork for the analysis and discussions in subsequent chapters.</w:t>
      </w:r>
    </w:p>
    <w:p w14:paraId="311866B1" w14:textId="77A4F7CB" w:rsidR="2DCCA076" w:rsidRDefault="2DCCA076" w:rsidP="00E66F26">
      <w:pPr>
        <w:spacing w:before="120" w:after="120" w:line="360" w:lineRule="auto"/>
        <w:rPr>
          <w:rFonts w:ascii="Arial" w:eastAsia="Arial" w:hAnsi="Arial" w:cs="Arial"/>
          <w:sz w:val="22"/>
          <w:szCs w:val="22"/>
        </w:rPr>
      </w:pPr>
    </w:p>
    <w:p w14:paraId="0D2CCF05" w14:textId="55D55A45" w:rsidR="6B0ACE94" w:rsidRDefault="6B0ACE94" w:rsidP="6B0ACE94">
      <w:pPr>
        <w:keepNext/>
        <w:keepLines/>
        <w:spacing w:line="360" w:lineRule="auto"/>
        <w:rPr>
          <w:rFonts w:ascii="Arial" w:eastAsia="Arial" w:hAnsi="Arial" w:cs="Arial"/>
          <w:sz w:val="22"/>
          <w:szCs w:val="22"/>
        </w:rPr>
      </w:pPr>
    </w:p>
    <w:p w14:paraId="2D598418" w14:textId="70284FDD" w:rsidR="6B0ACE94" w:rsidRDefault="6B0ACE94">
      <w:r>
        <w:br w:type="page"/>
      </w:r>
    </w:p>
    <w:p w14:paraId="430A87A2" w14:textId="1BC8D74E" w:rsidR="011242FB" w:rsidRDefault="011242FB" w:rsidP="00E66F26">
      <w:pPr>
        <w:keepNext/>
        <w:keepLines/>
        <w:spacing w:line="360" w:lineRule="auto"/>
      </w:pPr>
      <w:r w:rsidRPr="6B0ACE94">
        <w:rPr>
          <w:rFonts w:ascii="Arial" w:eastAsia="Arial" w:hAnsi="Arial" w:cs="Arial"/>
          <w:b/>
          <w:bCs/>
          <w:color w:val="000000" w:themeColor="text1"/>
          <w:sz w:val="22"/>
          <w:szCs w:val="22"/>
        </w:rPr>
        <w:lastRenderedPageBreak/>
        <w:t>CHAPTER 2 – Background Information and Analysis</w:t>
      </w:r>
    </w:p>
    <w:p w14:paraId="04638225" w14:textId="7502C128" w:rsidR="011242FB" w:rsidRDefault="6ADA1942" w:rsidP="00E66F26">
      <w:pPr>
        <w:pStyle w:val="Heading3"/>
        <w:spacing w:before="281" w:after="281" w:line="360" w:lineRule="auto"/>
        <w:rPr>
          <w:rFonts w:ascii="Arial" w:eastAsia="Arial" w:hAnsi="Arial" w:cs="Arial"/>
          <w:b/>
          <w:bCs/>
          <w:color w:val="auto"/>
          <w:sz w:val="22"/>
          <w:szCs w:val="22"/>
        </w:rPr>
      </w:pPr>
      <w:r w:rsidRPr="2DCCA076">
        <w:rPr>
          <w:rFonts w:ascii="Arial" w:eastAsia="Arial" w:hAnsi="Arial" w:cs="Arial"/>
          <w:b/>
          <w:bCs/>
          <w:color w:val="auto"/>
          <w:sz w:val="22"/>
          <w:szCs w:val="22"/>
        </w:rPr>
        <w:t>2.1 Introduction</w:t>
      </w:r>
    </w:p>
    <w:p w14:paraId="45FBA298" w14:textId="20346373" w:rsidR="47F2CB29" w:rsidRDefault="47F2CB29"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The aim of this chapter is to provide a critical review of the existing literature on the obstacles and challenges faced by ethnic minorities when accessing mental health services in the United Kingdom. This chapter lays the groundwork for the research by placing the topic within its broader historical, theoretical, and policy frameworks. It examines the evolution of mental health inequalities over time and analyses key frameworks that illuminate disparities in access and outcomes across ethnic groups (</w:t>
      </w:r>
      <w:proofErr w:type="spellStart"/>
      <w:r w:rsidRPr="2DCCA076">
        <w:rPr>
          <w:rFonts w:ascii="Arial" w:eastAsia="Arial" w:hAnsi="Arial" w:cs="Arial"/>
          <w:sz w:val="22"/>
          <w:szCs w:val="22"/>
        </w:rPr>
        <w:t>Nazroo</w:t>
      </w:r>
      <w:proofErr w:type="spellEnd"/>
      <w:r w:rsidRPr="2DCCA076">
        <w:rPr>
          <w:rFonts w:ascii="Arial" w:eastAsia="Arial" w:hAnsi="Arial" w:cs="Arial"/>
          <w:sz w:val="22"/>
          <w:szCs w:val="22"/>
        </w:rPr>
        <w:t xml:space="preserve"> and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2021).  </w:t>
      </w:r>
    </w:p>
    <w:p w14:paraId="43D941A5" w14:textId="34F12136" w:rsidR="47F2CB29" w:rsidRDefault="47F2CB29" w:rsidP="00E66F26">
      <w:pPr>
        <w:spacing w:before="120" w:after="120" w:line="360" w:lineRule="auto"/>
      </w:pPr>
      <w:r w:rsidRPr="2DCCA076">
        <w:rPr>
          <w:rFonts w:ascii="Arial" w:eastAsia="Arial" w:hAnsi="Arial" w:cs="Arial"/>
          <w:sz w:val="22"/>
          <w:szCs w:val="22"/>
        </w:rPr>
        <w:t>Through reviewing academic research, government documents, and theoretical viewpoints, this chapter aims to highlight the importance of the issue and identify key contextual factors that influence access to mental health care. Thus, the literature review will provide the essential background necessary to facilitate the analysis and interpretation of the findings presented in subsequent chapters, particularly concerning social, cultural, and systemic factors that contribute to inequality (NHS England, 2022).</w:t>
      </w:r>
    </w:p>
    <w:p w14:paraId="2D60005A" w14:textId="7CE57BF8" w:rsidR="2DCCA076" w:rsidRDefault="2DCCA076" w:rsidP="00E66F26">
      <w:pPr>
        <w:spacing w:before="120" w:after="120" w:line="360" w:lineRule="auto"/>
        <w:rPr>
          <w:rFonts w:ascii="Arial" w:eastAsia="Arial" w:hAnsi="Arial" w:cs="Arial"/>
          <w:sz w:val="22"/>
          <w:szCs w:val="22"/>
        </w:rPr>
      </w:pPr>
    </w:p>
    <w:p w14:paraId="5EEC1A36" w14:textId="1D11CC69" w:rsidR="011242FB" w:rsidRDefault="6ADA1942" w:rsidP="00E66F26">
      <w:pPr>
        <w:pStyle w:val="Heading3"/>
        <w:spacing w:before="281" w:after="281" w:line="360" w:lineRule="auto"/>
        <w:rPr>
          <w:rFonts w:ascii="Arial" w:eastAsia="Arial" w:hAnsi="Arial" w:cs="Arial"/>
          <w:color w:val="auto"/>
          <w:sz w:val="22"/>
          <w:szCs w:val="22"/>
        </w:rPr>
      </w:pPr>
      <w:r w:rsidRPr="2DCCA076">
        <w:rPr>
          <w:rFonts w:ascii="Arial" w:eastAsia="Arial" w:hAnsi="Arial" w:cs="Arial"/>
          <w:b/>
          <w:bCs/>
          <w:color w:val="auto"/>
          <w:sz w:val="22"/>
          <w:szCs w:val="22"/>
        </w:rPr>
        <w:t>2.2 Historical Background</w:t>
      </w:r>
    </w:p>
    <w:p w14:paraId="76F2663D" w14:textId="7D34AB34" w:rsidR="040188D9" w:rsidRDefault="1CEAE32C"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 xml:space="preserve">The historical development of mental health services in the United Kingdom has been influenced by shifting societal perceptions, policy changes, and advancing insights into mental illness. In earlier times, particularly in the nineteenth and early twentieth centuries, mental health care was predominantly provided within asylums, reflecting a heavy institutional focus (Porter, 2002). During this era, there was minimal consideration for cultural or ethnic diversity, as the UK's ethnic composition was less varied than today. Following the establishment of the National Health Service (NHS) in 1948, a gradual transition toward community-oriented mental health support occurred; however, access to these services remained inconsistent across various social groups (Pilgrim and Rogers, 2019).  </w:t>
      </w:r>
    </w:p>
    <w:p w14:paraId="44A9911A" w14:textId="586F0B31" w:rsidR="040188D9" w:rsidRDefault="1CEAE32C" w:rsidP="00E66F26">
      <w:pPr>
        <w:spacing w:before="120" w:after="120" w:line="360" w:lineRule="auto"/>
      </w:pPr>
      <w:r w:rsidRPr="2DCCA076">
        <w:rPr>
          <w:rFonts w:ascii="Arial" w:eastAsia="Arial" w:hAnsi="Arial" w:cs="Arial"/>
          <w:sz w:val="22"/>
          <w:szCs w:val="22"/>
        </w:rPr>
        <w:t xml:space="preserve">The post-war influx of migrants from Commonwealth nations brought considerable diversity to the UK's population, introducing a range of cultural viewpoints and health requirements. Nevertheless, these communities frequently faced obstacles in accessing mental health services, including language barriers, discrimination, and a shortage of culturally sensitive treatment (Fernando, 2010). Initial research conducted in the 1970s and 1980s, such as that by Littlewood and </w:t>
      </w:r>
      <w:proofErr w:type="spellStart"/>
      <w:r w:rsidRPr="2DCCA076">
        <w:rPr>
          <w:rFonts w:ascii="Arial" w:eastAsia="Arial" w:hAnsi="Arial" w:cs="Arial"/>
          <w:sz w:val="22"/>
          <w:szCs w:val="22"/>
        </w:rPr>
        <w:t>Lipsedge</w:t>
      </w:r>
      <w:proofErr w:type="spellEnd"/>
      <w:r w:rsidRPr="2DCCA076">
        <w:rPr>
          <w:rFonts w:ascii="Arial" w:eastAsia="Arial" w:hAnsi="Arial" w:cs="Arial"/>
          <w:sz w:val="22"/>
          <w:szCs w:val="22"/>
        </w:rPr>
        <w:t xml:space="preserve"> (1989), indicated that Black Caribbean men experienced disproportionately high rates of involuntary psychiatric hospitalisations, biases present within </w:t>
      </w:r>
      <w:r w:rsidRPr="2DCCA076">
        <w:rPr>
          <w:rFonts w:ascii="Arial" w:eastAsia="Arial" w:hAnsi="Arial" w:cs="Arial"/>
          <w:sz w:val="22"/>
          <w:szCs w:val="22"/>
        </w:rPr>
        <w:lastRenderedPageBreak/>
        <w:t xml:space="preserve">mental health systems. This recognition was one of the earliest acknowledgements of racial and ethnic inequalities in mental health care in Britain. </w:t>
      </w:r>
    </w:p>
    <w:p w14:paraId="6EE2071E" w14:textId="5B336268" w:rsidR="040188D9" w:rsidRDefault="1CEAE32C"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 xml:space="preserve">Emerging policy responses appeared in the early 2000s, particularly with the introduction of the Delivering Race Equality (DRE) programme by the Department of Health in 2005. The DRE aimed to address disparities in access, improve patient experiences, and promote cultural competence among healthcare professionals. While it marked a step forward, subsequent evaluations indicated that the limited long-term effects were due to inconsistent implementation and a lack of community engagement (Keating, Robertson, and Kotecha, 2012).  </w:t>
      </w:r>
    </w:p>
    <w:p w14:paraId="12B53734" w14:textId="581D9B5B" w:rsidR="040188D9" w:rsidRDefault="1CEAE32C" w:rsidP="00E66F26">
      <w:pPr>
        <w:spacing w:before="120" w:after="120" w:line="360" w:lineRule="auto"/>
        <w:rPr>
          <w:rFonts w:ascii="Arial" w:eastAsia="Arial" w:hAnsi="Arial" w:cs="Arial"/>
          <w:sz w:val="22"/>
          <w:szCs w:val="22"/>
        </w:rPr>
      </w:pPr>
      <w:r w:rsidRPr="2DCCA076">
        <w:rPr>
          <w:rFonts w:ascii="Arial" w:eastAsia="Arial" w:hAnsi="Arial" w:cs="Arial"/>
          <w:sz w:val="22"/>
          <w:szCs w:val="22"/>
        </w:rPr>
        <w:t xml:space="preserve">In recent years, the UK government and the NHS have maintained a focus on reducing ethnic disparities in health outcomes through initiatives such as the NHS Long Term Plan (2019) and Core20PLUS5 (NHS England, 2022), which specifically address health inequalities within minority communities. Organisations such as Mind and the Race Equality Foundation have been instrumental in raising awareness and advocating for changes in mental health policies and practices (Mind, 2023).  </w:t>
      </w:r>
    </w:p>
    <w:p w14:paraId="72594A9C" w14:textId="7707A3BD" w:rsidR="040188D9" w:rsidRDefault="1CEAE32C" w:rsidP="00E66F26">
      <w:pPr>
        <w:spacing w:before="120" w:after="120" w:line="360" w:lineRule="auto"/>
      </w:pPr>
      <w:r w:rsidRPr="2DCCA076">
        <w:rPr>
          <w:rFonts w:ascii="Arial" w:eastAsia="Arial" w:hAnsi="Arial" w:cs="Arial"/>
          <w:sz w:val="22"/>
          <w:szCs w:val="22"/>
        </w:rPr>
        <w:t>The historical development of mental health care in the UK reveals a steady yet continuous acknowledgement of the significance of cultural diversity and fairness. Even with improvements in policy, ethnic minority groups still encounter challenges that highlight underlying structural and social disparities concerns that are pivotal to the emphasis of this dissertation.</w:t>
      </w:r>
    </w:p>
    <w:p w14:paraId="76FB3899" w14:textId="4FD0476A" w:rsidR="1C6AFAD3" w:rsidRDefault="44B42BEF" w:rsidP="00E66F26">
      <w:pPr>
        <w:pStyle w:val="Heading3"/>
        <w:spacing w:before="281" w:after="281" w:line="360" w:lineRule="auto"/>
        <w:rPr>
          <w:rFonts w:ascii="Arial" w:eastAsia="Arial" w:hAnsi="Arial" w:cs="Arial"/>
          <w:color w:val="auto"/>
          <w:sz w:val="22"/>
          <w:szCs w:val="22"/>
        </w:rPr>
      </w:pPr>
      <w:r w:rsidRPr="2DCCA076">
        <w:rPr>
          <w:rFonts w:ascii="Arial" w:eastAsia="Arial" w:hAnsi="Arial" w:cs="Arial"/>
          <w:b/>
          <w:bCs/>
          <w:color w:val="auto"/>
          <w:sz w:val="22"/>
          <w:szCs w:val="22"/>
        </w:rPr>
        <w:t>2.3 Theoretical Background</w:t>
      </w:r>
    </w:p>
    <w:p w14:paraId="5DE9D888" w14:textId="7B217062" w:rsidR="2DCCA076" w:rsidRPr="00E66F26" w:rsidRDefault="1500D781" w:rsidP="00E66F26">
      <w:pPr>
        <w:spacing w:before="120" w:after="120" w:line="360" w:lineRule="auto"/>
      </w:pPr>
      <w:r w:rsidRPr="2DCCA076">
        <w:rPr>
          <w:rFonts w:ascii="Arial" w:eastAsia="Arial" w:hAnsi="Arial" w:cs="Arial"/>
          <w:sz w:val="22"/>
          <w:szCs w:val="22"/>
        </w:rPr>
        <w:t>Grasping the challenges that ethnic minorities encounter when trying to access mental health services in the United Kingdom necessitates the use of multiple interconnected theoretical frameworks. These consist of the Social Determinants of Health (SDH) theory, Cultural Competence Theory, and Critical Race Theory (CRT). Collectively, these frameworks help in understanding how structural, cultural, and systemic factors impact mental health outcomes and the availability of services for diverse populations.</w:t>
      </w:r>
    </w:p>
    <w:p w14:paraId="623F7C14" w14:textId="77777777" w:rsidR="00D41346" w:rsidRDefault="00D41346" w:rsidP="00E66F26">
      <w:pPr>
        <w:spacing w:before="120" w:after="120" w:line="360" w:lineRule="auto"/>
        <w:rPr>
          <w:rFonts w:ascii="Arial" w:eastAsia="Arial" w:hAnsi="Arial" w:cs="Arial"/>
          <w:b/>
          <w:bCs/>
          <w:sz w:val="22"/>
          <w:szCs w:val="22"/>
        </w:rPr>
      </w:pPr>
    </w:p>
    <w:p w14:paraId="54EADAC0" w14:textId="77777777" w:rsidR="00D41346" w:rsidRDefault="00D41346" w:rsidP="00E66F26">
      <w:pPr>
        <w:spacing w:before="120" w:after="120" w:line="360" w:lineRule="auto"/>
        <w:rPr>
          <w:rFonts w:ascii="Arial" w:eastAsia="Arial" w:hAnsi="Arial" w:cs="Arial"/>
          <w:b/>
          <w:bCs/>
          <w:sz w:val="22"/>
          <w:szCs w:val="22"/>
        </w:rPr>
      </w:pPr>
    </w:p>
    <w:p w14:paraId="5C501E3C" w14:textId="77777777" w:rsidR="00D41346" w:rsidRDefault="00D41346" w:rsidP="00E66F26">
      <w:pPr>
        <w:spacing w:before="120" w:after="120" w:line="360" w:lineRule="auto"/>
        <w:rPr>
          <w:rFonts w:ascii="Arial" w:eastAsia="Arial" w:hAnsi="Arial" w:cs="Arial"/>
          <w:b/>
          <w:bCs/>
          <w:sz w:val="22"/>
          <w:szCs w:val="22"/>
        </w:rPr>
      </w:pPr>
    </w:p>
    <w:p w14:paraId="328D6D94" w14:textId="77777777" w:rsidR="00D41346" w:rsidRDefault="00D41346" w:rsidP="00E66F26">
      <w:pPr>
        <w:spacing w:before="120" w:after="120" w:line="360" w:lineRule="auto"/>
        <w:rPr>
          <w:rFonts w:ascii="Arial" w:eastAsia="Arial" w:hAnsi="Arial" w:cs="Arial"/>
          <w:b/>
          <w:bCs/>
          <w:sz w:val="22"/>
          <w:szCs w:val="22"/>
        </w:rPr>
      </w:pPr>
    </w:p>
    <w:p w14:paraId="15C77EDD" w14:textId="77777777" w:rsidR="00D41346" w:rsidRDefault="00D41346" w:rsidP="00E66F26">
      <w:pPr>
        <w:spacing w:before="120" w:after="120" w:line="360" w:lineRule="auto"/>
        <w:rPr>
          <w:rFonts w:ascii="Arial" w:eastAsia="Arial" w:hAnsi="Arial" w:cs="Arial"/>
          <w:b/>
          <w:bCs/>
          <w:sz w:val="22"/>
          <w:szCs w:val="22"/>
        </w:rPr>
      </w:pPr>
    </w:p>
    <w:p w14:paraId="70B58DC7" w14:textId="76B195A9" w:rsidR="6B0ACE94" w:rsidRPr="00E66F26" w:rsidRDefault="0D4061A4" w:rsidP="00E66F26">
      <w:pPr>
        <w:spacing w:before="120" w:after="120" w:line="360" w:lineRule="auto"/>
      </w:pPr>
      <w:r w:rsidRPr="2DCCA076">
        <w:rPr>
          <w:rFonts w:ascii="Arial" w:eastAsia="Arial" w:hAnsi="Arial" w:cs="Arial"/>
          <w:b/>
          <w:bCs/>
          <w:sz w:val="22"/>
          <w:szCs w:val="22"/>
        </w:rPr>
        <w:lastRenderedPageBreak/>
        <w:t>The Social Determinants of Health</w:t>
      </w:r>
      <w:r w:rsidRPr="2DCCA076">
        <w:rPr>
          <w:rFonts w:ascii="Arial" w:eastAsia="Arial" w:hAnsi="Arial" w:cs="Arial"/>
          <w:sz w:val="22"/>
          <w:szCs w:val="22"/>
        </w:rPr>
        <w:t xml:space="preserve"> </w:t>
      </w:r>
      <w:r w:rsidR="6290A17E" w:rsidRPr="2DCCA076">
        <w:rPr>
          <w:rFonts w:ascii="Arial" w:eastAsia="Arial" w:hAnsi="Arial" w:cs="Arial"/>
          <w:sz w:val="22"/>
          <w:szCs w:val="22"/>
        </w:rPr>
        <w:t>(SDH) framework, originally defined by Marmot in 2005, suggests that health outcomes are significantly influenced by social and economic factors, including income, education, housing, and employment. In the field of mental health research, the SDH model has been employed to illustrate how social inequalities and marginalisation lead to disparities in mental health and access to services (World Health Organisation, 2022). Research indicates that ethnic minorities frequently encounter greater socio-economic challenges, which is directly linked to an increased risk of mental health issues and lower rates of service utilisation (</w:t>
      </w:r>
      <w:proofErr w:type="spellStart"/>
      <w:r w:rsidR="6290A17E" w:rsidRPr="2DCCA076">
        <w:rPr>
          <w:rFonts w:ascii="Arial" w:eastAsia="Arial" w:hAnsi="Arial" w:cs="Arial"/>
          <w:sz w:val="22"/>
          <w:szCs w:val="22"/>
        </w:rPr>
        <w:t>Nazroo</w:t>
      </w:r>
      <w:proofErr w:type="spellEnd"/>
      <w:r w:rsidR="6290A17E" w:rsidRPr="2DCCA076">
        <w:rPr>
          <w:rFonts w:ascii="Arial" w:eastAsia="Arial" w:hAnsi="Arial" w:cs="Arial"/>
          <w:sz w:val="22"/>
          <w:szCs w:val="22"/>
        </w:rPr>
        <w:t xml:space="preserve"> and </w:t>
      </w:r>
      <w:proofErr w:type="spellStart"/>
      <w:r w:rsidR="6290A17E" w:rsidRPr="2DCCA076">
        <w:rPr>
          <w:rFonts w:ascii="Arial" w:eastAsia="Arial" w:hAnsi="Arial" w:cs="Arial"/>
          <w:sz w:val="22"/>
          <w:szCs w:val="22"/>
        </w:rPr>
        <w:t>Bhui</w:t>
      </w:r>
      <w:proofErr w:type="spellEnd"/>
      <w:r w:rsidR="6290A17E" w:rsidRPr="2DCCA076">
        <w:rPr>
          <w:rFonts w:ascii="Arial" w:eastAsia="Arial" w:hAnsi="Arial" w:cs="Arial"/>
          <w:sz w:val="22"/>
          <w:szCs w:val="22"/>
        </w:rPr>
        <w:t>, 2021).</w:t>
      </w:r>
    </w:p>
    <w:p w14:paraId="5DC9607E" w14:textId="58077B6F" w:rsidR="6B0ACE94" w:rsidRDefault="42018A1B" w:rsidP="00E66F26">
      <w:pPr>
        <w:spacing w:before="120" w:after="120" w:line="360" w:lineRule="auto"/>
      </w:pPr>
      <w:r w:rsidRPr="2DCCA076">
        <w:rPr>
          <w:rFonts w:ascii="Arial" w:eastAsia="Arial" w:hAnsi="Arial" w:cs="Arial"/>
          <w:b/>
          <w:bCs/>
          <w:sz w:val="22"/>
          <w:szCs w:val="22"/>
        </w:rPr>
        <w:t xml:space="preserve">Cultural Competence Theory, </w:t>
      </w:r>
      <w:r w:rsidR="2C5250EA" w:rsidRPr="2DCCA076">
        <w:rPr>
          <w:rFonts w:ascii="Arial" w:eastAsia="Arial" w:hAnsi="Arial" w:cs="Arial"/>
          <w:sz w:val="22"/>
          <w:szCs w:val="22"/>
        </w:rPr>
        <w:t xml:space="preserve">which originated in the field of multicultural healthcare, emphasises the importance of understanding and addressing patients' cultural and linguistic needs (Sue et al., 2009). It posits that healthcare professionals need to cultivate awareness, knowledge, and skills to provide equitable, culturally sensitive services. In the sphere of mental health, practising cultural competence means acknowledging how cultural beliefs shape perceptions of mental health and influence treatment-seeking behaviour (Fernando, 2010). Research by </w:t>
      </w:r>
      <w:proofErr w:type="spellStart"/>
      <w:r w:rsidR="2C5250EA" w:rsidRPr="2DCCA076">
        <w:rPr>
          <w:rFonts w:ascii="Arial" w:eastAsia="Arial" w:hAnsi="Arial" w:cs="Arial"/>
          <w:sz w:val="22"/>
          <w:szCs w:val="22"/>
        </w:rPr>
        <w:t>Bhui</w:t>
      </w:r>
      <w:proofErr w:type="spellEnd"/>
      <w:r w:rsidR="2C5250EA" w:rsidRPr="2DCCA076">
        <w:rPr>
          <w:rFonts w:ascii="Arial" w:eastAsia="Arial" w:hAnsi="Arial" w:cs="Arial"/>
          <w:sz w:val="22"/>
          <w:szCs w:val="22"/>
        </w:rPr>
        <w:t xml:space="preserve"> et al. (2018) suggests that insufficient cultural competence among providers often leads to poor communication, breaches of trust, and withdrawal from services among ethnic minority clients.</w:t>
      </w:r>
    </w:p>
    <w:p w14:paraId="6CAC385B" w14:textId="36CC026E" w:rsidR="42018A1B" w:rsidRDefault="42018A1B" w:rsidP="00E66F26">
      <w:pPr>
        <w:spacing w:before="120" w:after="120" w:line="360" w:lineRule="auto"/>
        <w:rPr>
          <w:rFonts w:ascii="Arial" w:eastAsia="Arial" w:hAnsi="Arial" w:cs="Arial"/>
          <w:sz w:val="22"/>
          <w:szCs w:val="22"/>
        </w:rPr>
      </w:pPr>
      <w:r w:rsidRPr="2DCCA076">
        <w:rPr>
          <w:rFonts w:ascii="Arial" w:eastAsia="Arial" w:hAnsi="Arial" w:cs="Arial"/>
          <w:b/>
          <w:bCs/>
          <w:sz w:val="22"/>
          <w:szCs w:val="22"/>
        </w:rPr>
        <w:t xml:space="preserve">Critical Race Theory (CRT) </w:t>
      </w:r>
    </w:p>
    <w:p w14:paraId="106B751A" w14:textId="38E8BE99" w:rsidR="5A4214CA" w:rsidRDefault="5A4214CA" w:rsidP="00E66F26">
      <w:pPr>
        <w:spacing w:before="120" w:after="120" w:line="360" w:lineRule="auto"/>
      </w:pPr>
      <w:r w:rsidRPr="2DCCA076">
        <w:rPr>
          <w:rFonts w:ascii="Arial" w:eastAsia="Arial" w:hAnsi="Arial" w:cs="Arial"/>
          <w:sz w:val="22"/>
          <w:szCs w:val="22"/>
        </w:rPr>
        <w:t xml:space="preserve">provides a more structural perspective by examining how institutional racism and systemic disparities influence access to services (Delgado and Stefancic, 2017). CRT posits that racism is ingrained in social systems, such as healthcare, leading to unequal treatment and discriminatory practices. This theory has been utilised in research conducted in the UK to investigate how racialised stereotypes and implicit biases within the mental health system contribute to elevated rates of compulsory detention and misdiagnosis among Black and Asian individuals (Keating, Robertson, and Kotecha, 2012; Williams, Lawrence, and Davis, 2022).  </w:t>
      </w:r>
    </w:p>
    <w:p w14:paraId="47D3043A" w14:textId="5E56F39F" w:rsidR="5A4214CA" w:rsidRDefault="5A4214CA" w:rsidP="00E66F26">
      <w:pPr>
        <w:spacing w:before="120" w:after="120" w:line="360" w:lineRule="auto"/>
      </w:pPr>
      <w:r w:rsidRPr="2DCCA076">
        <w:rPr>
          <w:rFonts w:ascii="Arial" w:eastAsia="Arial" w:hAnsi="Arial" w:cs="Arial"/>
          <w:sz w:val="22"/>
          <w:szCs w:val="22"/>
        </w:rPr>
        <w:t xml:space="preserve">Each of these theories offers a unique perspective. The SDH framework emphasises the socio-economic backdrop of health disparities, while Cultural Competence Theory focuses on personal interactions and service-level relations, and CRT reveals deeper systemic injustices.  </w:t>
      </w:r>
    </w:p>
    <w:p w14:paraId="16D16709" w14:textId="35E3FB7B" w:rsidR="5A4214CA" w:rsidRDefault="5A4214CA" w:rsidP="00E66F26">
      <w:pPr>
        <w:spacing w:before="120" w:after="120" w:line="360" w:lineRule="auto"/>
      </w:pPr>
      <w:r w:rsidRPr="2DCCA076">
        <w:rPr>
          <w:rFonts w:ascii="Arial" w:eastAsia="Arial" w:hAnsi="Arial" w:cs="Arial"/>
          <w:sz w:val="22"/>
          <w:szCs w:val="22"/>
        </w:rPr>
        <w:t xml:space="preserve">However, each has its drawbacks. The SDH model might downplay the significance of cultural identity, whereas Cultural Competence Theory could potentially reduce varied experiences to simplistic categories. While CRT is effective in analysing structural racism, it has faced criticism for its narrow emphasis on tangible solutions (Gillborn, 2018).  </w:t>
      </w:r>
    </w:p>
    <w:p w14:paraId="05D4EC42" w14:textId="72FB1708" w:rsidR="5A4214CA" w:rsidRDefault="5A4214CA" w:rsidP="00E66F26">
      <w:pPr>
        <w:spacing w:before="120" w:after="120" w:line="360" w:lineRule="auto"/>
      </w:pPr>
      <w:r w:rsidRPr="2DCCA076">
        <w:rPr>
          <w:rFonts w:ascii="Arial" w:eastAsia="Arial" w:hAnsi="Arial" w:cs="Arial"/>
          <w:sz w:val="22"/>
          <w:szCs w:val="22"/>
        </w:rPr>
        <w:lastRenderedPageBreak/>
        <w:t>Overall, combining these theoretical viewpoints offers a deeper insight into the various obstacles that ethnic minorities encounter in obtaining mental health services. This multifaceted perspective enables the dissertation to analyse disparities through both personal and systemic viewpoints, establishing a solid conceptual base for the following analysis.</w:t>
      </w:r>
    </w:p>
    <w:p w14:paraId="1B311A1A" w14:textId="324F3514" w:rsidR="2DCCA076" w:rsidRDefault="2DCCA076" w:rsidP="00E66F26">
      <w:pPr>
        <w:spacing w:before="120" w:after="120" w:line="360" w:lineRule="auto"/>
        <w:rPr>
          <w:rFonts w:ascii="Arial" w:eastAsia="Arial" w:hAnsi="Arial" w:cs="Arial"/>
          <w:sz w:val="22"/>
          <w:szCs w:val="22"/>
        </w:rPr>
      </w:pPr>
    </w:p>
    <w:p w14:paraId="03610C48" w14:textId="3C1A7F8D" w:rsidR="09B799BF" w:rsidRDefault="09B799BF" w:rsidP="00E66F26">
      <w:pPr>
        <w:pStyle w:val="Heading3"/>
        <w:spacing w:before="281" w:after="281" w:line="360" w:lineRule="auto"/>
        <w:rPr>
          <w:rFonts w:ascii="Arial" w:eastAsia="Arial" w:hAnsi="Arial" w:cs="Arial"/>
          <w:color w:val="auto"/>
          <w:sz w:val="22"/>
          <w:szCs w:val="22"/>
        </w:rPr>
      </w:pPr>
      <w:r w:rsidRPr="2DCCA076">
        <w:rPr>
          <w:rFonts w:ascii="Arial" w:eastAsia="Arial" w:hAnsi="Arial" w:cs="Arial"/>
          <w:b/>
          <w:bCs/>
          <w:color w:val="auto"/>
          <w:sz w:val="22"/>
          <w:szCs w:val="22"/>
        </w:rPr>
        <w:t xml:space="preserve">2.4 </w:t>
      </w:r>
      <w:r w:rsidR="6F8D534D" w:rsidRPr="2DCCA076">
        <w:rPr>
          <w:rFonts w:ascii="Arial" w:eastAsia="Arial" w:hAnsi="Arial" w:cs="Arial"/>
          <w:b/>
          <w:bCs/>
          <w:color w:val="auto"/>
          <w:sz w:val="22"/>
          <w:szCs w:val="22"/>
        </w:rPr>
        <w:t>International</w:t>
      </w:r>
      <w:r w:rsidRPr="2DCCA076">
        <w:rPr>
          <w:rFonts w:ascii="Arial" w:eastAsia="Arial" w:hAnsi="Arial" w:cs="Arial"/>
          <w:b/>
          <w:bCs/>
          <w:color w:val="auto"/>
          <w:sz w:val="22"/>
          <w:szCs w:val="22"/>
        </w:rPr>
        <w:t xml:space="preserve"> Context</w:t>
      </w:r>
    </w:p>
    <w:p w14:paraId="46E7064F" w14:textId="27AEB019" w:rsidR="72BB6982" w:rsidRDefault="72BB6982" w:rsidP="00E66F26">
      <w:pPr>
        <w:spacing w:before="120" w:after="120" w:line="360" w:lineRule="auto"/>
      </w:pPr>
      <w:r w:rsidRPr="2DCCA076">
        <w:rPr>
          <w:rFonts w:ascii="Arial" w:eastAsia="Arial" w:hAnsi="Arial" w:cs="Arial"/>
          <w:sz w:val="22"/>
          <w:szCs w:val="22"/>
        </w:rPr>
        <w:t xml:space="preserve">The challenge of unequal access to mental health resources among ethnic and cultural minority groups is not only a concern in the United Kingdom but is also acknowledged worldwide as a significant public health issue. In many countries, there are ongoing disparities in the ways minority populations obtain, engage with, and gain benefits from mental health care, often resulting from overlapping social, cultural, and systemic obstacles (World Health Organisation, 2022). On an international scale, the World Health Organisation (WHO) has urged the establishment of culturally sensitive and equitable mental health systems as part of its Comprehensive Mental Health Action Plan 2013–2030, highlighting the importance of human rights, accessibility, and community-oriented care (WHO, 2022).  </w:t>
      </w:r>
    </w:p>
    <w:p w14:paraId="40A1145C" w14:textId="16EC2E14" w:rsidR="72BB6982" w:rsidRDefault="72BB6982" w:rsidP="00E66F26">
      <w:pPr>
        <w:spacing w:before="120" w:after="120" w:line="360" w:lineRule="auto"/>
      </w:pPr>
      <w:r w:rsidRPr="2DCCA076">
        <w:rPr>
          <w:rFonts w:ascii="Arial" w:eastAsia="Arial" w:hAnsi="Arial" w:cs="Arial"/>
          <w:sz w:val="22"/>
          <w:szCs w:val="22"/>
        </w:rPr>
        <w:t xml:space="preserve">In the United States, extensive research has examined racial and ethnic disparities in access to mental health services. African American, Hispanic, and Asian American populations are often underrepresented in treatment statistics, with studies pointing to stigma, socioeconomic disparities, and institutional discrimination as significant contributors (Williams and Mohammed, 2013). The U.S. has launched initiatives such as the National CLAS Standards (Culturally and Linguistically Appropriate Services) to enhance cultural competence among healthcare providers and support equitable access (Office of Minority Health, 2018). However, despite advancements in policy, service usage among minority groups continues to </w:t>
      </w:r>
      <w:proofErr w:type="gramStart"/>
      <w:r w:rsidRPr="2DCCA076">
        <w:rPr>
          <w:rFonts w:ascii="Arial" w:eastAsia="Arial" w:hAnsi="Arial" w:cs="Arial"/>
          <w:sz w:val="22"/>
          <w:szCs w:val="22"/>
        </w:rPr>
        <w:t>lag behind</w:t>
      </w:r>
      <w:proofErr w:type="gramEnd"/>
      <w:r w:rsidRPr="2DCCA076">
        <w:rPr>
          <w:rFonts w:ascii="Arial" w:eastAsia="Arial" w:hAnsi="Arial" w:cs="Arial"/>
          <w:sz w:val="22"/>
          <w:szCs w:val="22"/>
        </w:rPr>
        <w:t xml:space="preserve"> that of White Americans.  </w:t>
      </w:r>
    </w:p>
    <w:p w14:paraId="182DE011" w14:textId="71433163" w:rsidR="72BB6982" w:rsidRDefault="72BB6982" w:rsidP="00E66F26">
      <w:pPr>
        <w:spacing w:before="120" w:after="120" w:line="360" w:lineRule="auto"/>
      </w:pPr>
      <w:r w:rsidRPr="2DCCA076">
        <w:rPr>
          <w:rFonts w:ascii="Arial" w:eastAsia="Arial" w:hAnsi="Arial" w:cs="Arial"/>
          <w:sz w:val="22"/>
          <w:szCs w:val="22"/>
        </w:rPr>
        <w:t>In Canada, the Mental Health Strategy for Canada (Mental Health Commission of Canada, 2012) acknowledges the significance of cultural safety and community involvement. There have been initiatives to align mental health services with multicultural community organisations, especially to assist Indigenous and immigrant groups. However, difficulties persist due to inadequate funding and a lack of representation among minority practitioners (</w:t>
      </w:r>
      <w:proofErr w:type="spellStart"/>
      <w:r w:rsidRPr="2DCCA076">
        <w:rPr>
          <w:rFonts w:ascii="Arial" w:eastAsia="Arial" w:hAnsi="Arial" w:cs="Arial"/>
          <w:sz w:val="22"/>
          <w:szCs w:val="22"/>
        </w:rPr>
        <w:t>Kirmayer</w:t>
      </w:r>
      <w:proofErr w:type="spellEnd"/>
      <w:r w:rsidRPr="2DCCA076">
        <w:rPr>
          <w:rFonts w:ascii="Arial" w:eastAsia="Arial" w:hAnsi="Arial" w:cs="Arial"/>
          <w:sz w:val="22"/>
          <w:szCs w:val="22"/>
        </w:rPr>
        <w:t xml:space="preserve"> et al., 2018).  </w:t>
      </w:r>
    </w:p>
    <w:p w14:paraId="1BDF051D" w14:textId="090E336F" w:rsidR="72BB6982" w:rsidRDefault="72BB6982" w:rsidP="00E66F26">
      <w:pPr>
        <w:spacing w:before="120" w:after="120" w:line="360" w:lineRule="auto"/>
      </w:pPr>
      <w:r w:rsidRPr="2DCCA076">
        <w:rPr>
          <w:rFonts w:ascii="Arial" w:eastAsia="Arial" w:hAnsi="Arial" w:cs="Arial"/>
          <w:sz w:val="22"/>
          <w:szCs w:val="22"/>
        </w:rPr>
        <w:t xml:space="preserve">In Australia, there has been a strong emphasis on enhancing mental health assistance for Aboriginal and Torres Strait Islander populations, who face significantly elevated rates of mental health issues and suicide. The National Aboriginal and Torres Strait Islander Suicide </w:t>
      </w:r>
      <w:r w:rsidRPr="2DCCA076">
        <w:rPr>
          <w:rFonts w:ascii="Arial" w:eastAsia="Arial" w:hAnsi="Arial" w:cs="Arial"/>
          <w:sz w:val="22"/>
          <w:szCs w:val="22"/>
        </w:rPr>
        <w:lastRenderedPageBreak/>
        <w:t xml:space="preserve">Prevention Strategy endorses approaches that are rooted in culture and driven by the community (Australian Government, 2013). Although these efforts have shown promise, they face obstacles linked to systemic inequality and the effects of historical trauma.  </w:t>
      </w:r>
    </w:p>
    <w:p w14:paraId="1FF63628" w14:textId="7D533183" w:rsidR="2DCCA076" w:rsidRPr="00E66F26" w:rsidRDefault="72BB6982" w:rsidP="00E66F26">
      <w:pPr>
        <w:spacing w:before="120" w:after="120" w:line="360" w:lineRule="auto"/>
      </w:pPr>
      <w:r w:rsidRPr="2DCCA076">
        <w:rPr>
          <w:rFonts w:ascii="Arial" w:eastAsia="Arial" w:hAnsi="Arial" w:cs="Arial"/>
          <w:sz w:val="22"/>
          <w:szCs w:val="22"/>
        </w:rPr>
        <w:t xml:space="preserve">The UK faces numerous similar challenges, especially in areas like cultural competence, institutional bias, and social marginalisation. However, worldwide initiatives indicate that achieving significant advancements requires ongoing funding, inclusive policy development, and cooperation with affected communities. Therefore, drawing on global examples could offer important insights for enhancing equity within the UK's mental health care system.  </w:t>
      </w:r>
    </w:p>
    <w:p w14:paraId="5A3D6CCC" w14:textId="1F9996E8" w:rsidR="34EFD930" w:rsidRPr="00E66F26" w:rsidRDefault="48F47E45" w:rsidP="00E66F26">
      <w:pPr>
        <w:pStyle w:val="Heading3"/>
        <w:spacing w:before="281" w:after="281" w:line="360" w:lineRule="auto"/>
        <w:rPr>
          <w:rFonts w:ascii="Arial" w:eastAsia="Arial" w:hAnsi="Arial" w:cs="Arial"/>
          <w:b/>
          <w:bCs/>
          <w:color w:val="auto"/>
          <w:sz w:val="22"/>
          <w:szCs w:val="22"/>
        </w:rPr>
      </w:pPr>
      <w:r w:rsidRPr="65B8AAFC">
        <w:rPr>
          <w:rFonts w:ascii="Arial" w:eastAsia="Arial" w:hAnsi="Arial" w:cs="Arial"/>
          <w:b/>
          <w:bCs/>
          <w:color w:val="auto"/>
          <w:sz w:val="22"/>
          <w:szCs w:val="22"/>
        </w:rPr>
        <w:t>2.5 National/Local UK Context</w:t>
      </w:r>
    </w:p>
    <w:p w14:paraId="541CEECF" w14:textId="4560A1DC" w:rsidR="55FCF3B2" w:rsidRDefault="55FCF3B2" w:rsidP="00E66F26">
      <w:pPr>
        <w:spacing w:before="120" w:after="120" w:line="360" w:lineRule="auto"/>
      </w:pPr>
      <w:r w:rsidRPr="2DCCA076">
        <w:rPr>
          <w:rFonts w:ascii="Arial" w:eastAsia="Arial" w:hAnsi="Arial" w:cs="Arial"/>
          <w:sz w:val="22"/>
          <w:szCs w:val="22"/>
        </w:rPr>
        <w:t>In the UK, the challenge of unequal access to mental health services for ethnic minority communities is widely acknowledged as a critical public health and social justice issue. Although there has been ongoing investment in mental health care, studies continue to reveal that individuals from Black, Asian, and other minority ethnic (BAME) backgrounds encounter significant obstacles when trying to obtain support, such as cultural stigma, language barriers, and a lack of trust in statutory services (</w:t>
      </w:r>
      <w:proofErr w:type="spellStart"/>
      <w:r w:rsidRPr="2DCCA076">
        <w:rPr>
          <w:rFonts w:ascii="Arial" w:eastAsia="Arial" w:hAnsi="Arial" w:cs="Arial"/>
          <w:sz w:val="22"/>
          <w:szCs w:val="22"/>
        </w:rPr>
        <w:t>Nazroo</w:t>
      </w:r>
      <w:proofErr w:type="spellEnd"/>
      <w:r w:rsidRPr="2DCCA076">
        <w:rPr>
          <w:rFonts w:ascii="Arial" w:eastAsia="Arial" w:hAnsi="Arial" w:cs="Arial"/>
          <w:sz w:val="22"/>
          <w:szCs w:val="22"/>
        </w:rPr>
        <w:t xml:space="preserve"> and </w:t>
      </w:r>
      <w:proofErr w:type="spellStart"/>
      <w:r w:rsidRPr="2DCCA076">
        <w:rPr>
          <w:rFonts w:ascii="Arial" w:eastAsia="Arial" w:hAnsi="Arial" w:cs="Arial"/>
          <w:sz w:val="22"/>
          <w:szCs w:val="22"/>
        </w:rPr>
        <w:t>Bhui</w:t>
      </w:r>
      <w:proofErr w:type="spellEnd"/>
      <w:r w:rsidRPr="2DCCA076">
        <w:rPr>
          <w:rFonts w:ascii="Arial" w:eastAsia="Arial" w:hAnsi="Arial" w:cs="Arial"/>
          <w:sz w:val="22"/>
          <w:szCs w:val="22"/>
        </w:rPr>
        <w:t xml:space="preserve">, 2021; Mind, 2023). National surveys have pointed out ongoing inequalities, indicating that those from minority backgrounds are more likely to experience mental distress but are less likely to pursue early intervention or talking therapies (NHS England, 2022).  </w:t>
      </w:r>
    </w:p>
    <w:p w14:paraId="13B6FB3B" w14:textId="295D9FD3" w:rsidR="55FCF3B2" w:rsidRDefault="55FCF3B2" w:rsidP="00E66F26">
      <w:pPr>
        <w:spacing w:before="120" w:after="120" w:line="360" w:lineRule="auto"/>
      </w:pPr>
      <w:r w:rsidRPr="2DCCA076">
        <w:rPr>
          <w:rFonts w:ascii="Arial" w:eastAsia="Arial" w:hAnsi="Arial" w:cs="Arial"/>
          <w:sz w:val="22"/>
          <w:szCs w:val="22"/>
        </w:rPr>
        <w:t xml:space="preserve">At the national level, various government strategies and NHS initiatives have been implemented to tackle these inequalities. The Delivering Race Equality (DRE) programme (Department of Health, 2005) was among the earliest national policies to address racial disparities in mental health services, encouraging community involvement and offering cultural competence training for healthcare providers. Although the DRE initiative drew attention to the issue, subsequent evaluations highlighted irregular implementation and a lack of significant structural changes (Keating, Robertson, and Kotecha, 2012). More recently, the NHS Long Term Plan (2019) and the Core20PLUS5 framework (NHS England, 2022) have aimed to reduce health inequalities through targeted strategies, enhanced data monitoring, and the incorporation of ethnic health disparity indicators into service planning.  </w:t>
      </w:r>
    </w:p>
    <w:p w14:paraId="20793415" w14:textId="05F3F1E6" w:rsidR="55FCF3B2" w:rsidRDefault="55FCF3B2" w:rsidP="00E66F26">
      <w:pPr>
        <w:spacing w:before="120" w:after="120" w:line="360" w:lineRule="auto"/>
      </w:pPr>
      <w:r w:rsidRPr="2DCCA076">
        <w:rPr>
          <w:rFonts w:ascii="Arial" w:eastAsia="Arial" w:hAnsi="Arial" w:cs="Arial"/>
          <w:sz w:val="22"/>
          <w:szCs w:val="22"/>
        </w:rPr>
        <w:t xml:space="preserve">Legislative measures, such as the Equality Act 2010 and the Mental Health Act 1983 (revised in 2007), support these initiatives by providing legal safeguards against discrimination and promoting equitable access to healthcare. However, there is ongoing apprehension that these regulations are not uniformly implemented in practice. For example, individuals from ethnic minority backgrounds remain disproportionately represented in </w:t>
      </w:r>
      <w:r w:rsidRPr="2DCCA076">
        <w:rPr>
          <w:rFonts w:ascii="Arial" w:eastAsia="Arial" w:hAnsi="Arial" w:cs="Arial"/>
          <w:sz w:val="22"/>
          <w:szCs w:val="22"/>
        </w:rPr>
        <w:lastRenderedPageBreak/>
        <w:t xml:space="preserve">compulsory detentions under the Mental Health Act, reflecting ongoing systemic bias (Pilgrim and Rogers, 2019).  </w:t>
      </w:r>
    </w:p>
    <w:p w14:paraId="053CF2FA" w14:textId="243B773D" w:rsidR="55FCF3B2" w:rsidRDefault="55FCF3B2" w:rsidP="00E66F26">
      <w:pPr>
        <w:spacing w:before="120" w:after="120" w:line="360" w:lineRule="auto"/>
      </w:pPr>
      <w:r w:rsidRPr="2DCCA076">
        <w:rPr>
          <w:rFonts w:ascii="Arial" w:eastAsia="Arial" w:hAnsi="Arial" w:cs="Arial"/>
          <w:sz w:val="22"/>
          <w:szCs w:val="22"/>
        </w:rPr>
        <w:t xml:space="preserve">At the community level, regional health authorities and NHS trusts have launched various programs to address inequality. In London, the Black Thrive Partnership collaborates across Lambeth to enhance mental health outcomes for Black communities by focusing on community empowerment and data-informed reforms (Black Thrive, 2021). In Greater Manchester, the Reducing Health Inequalities Strategy brings together local government, the NHS, and the voluntary sector to create culturally sensitive outreach initiatives (GMCA, 2021). Likewise, in Birmingham, local mental health organisations and the NHS have collaborated to provide language-specific counselling and community liaison roles, aiming to improve accessibility.  </w:t>
      </w:r>
    </w:p>
    <w:p w14:paraId="4981A32C" w14:textId="623EFCCC" w:rsidR="2DCCA076" w:rsidRPr="00E66F26" w:rsidRDefault="55FCF3B2" w:rsidP="2DCCA076">
      <w:pPr>
        <w:spacing w:before="120" w:after="120" w:line="360" w:lineRule="auto"/>
      </w:pPr>
      <w:r w:rsidRPr="2DCCA076">
        <w:rPr>
          <w:rFonts w:ascii="Arial" w:eastAsia="Arial" w:hAnsi="Arial" w:cs="Arial"/>
          <w:sz w:val="22"/>
          <w:szCs w:val="22"/>
        </w:rPr>
        <w:t>In summary, while advancements have been made, ethnic disparities in accessing mental health services continue to exist throughout the UK. Evidence suggests that national policies should be strengthened through consistent local implementation, culturally sensitive practices, and ongoing engagement with minority communities to facilitate lasting change.</w:t>
      </w:r>
    </w:p>
    <w:p w14:paraId="3A7A74E9" w14:textId="65D72445" w:rsidR="7DE54D67" w:rsidRDefault="291F6F02" w:rsidP="00E66F26">
      <w:pPr>
        <w:pStyle w:val="Heading3"/>
        <w:spacing w:before="281" w:after="281" w:line="360" w:lineRule="auto"/>
        <w:rPr>
          <w:rFonts w:ascii="Arial" w:eastAsia="Arial" w:hAnsi="Arial" w:cs="Arial"/>
          <w:b/>
          <w:bCs/>
          <w:color w:val="auto"/>
          <w:sz w:val="22"/>
          <w:szCs w:val="22"/>
        </w:rPr>
      </w:pPr>
      <w:r w:rsidRPr="2DCCA076">
        <w:rPr>
          <w:rFonts w:ascii="Arial" w:eastAsia="Arial" w:hAnsi="Arial" w:cs="Arial"/>
          <w:b/>
          <w:bCs/>
          <w:color w:val="auto"/>
          <w:sz w:val="22"/>
          <w:szCs w:val="22"/>
        </w:rPr>
        <w:t>2.6 Conclusion</w:t>
      </w:r>
    </w:p>
    <w:p w14:paraId="594710E4" w14:textId="7F613C5D" w:rsidR="7E917B3C" w:rsidRDefault="7E917B3C" w:rsidP="00E66F26">
      <w:pPr>
        <w:spacing w:before="120" w:after="120" w:line="360" w:lineRule="auto"/>
      </w:pPr>
      <w:r w:rsidRPr="2DCCA076">
        <w:rPr>
          <w:rFonts w:ascii="Arial" w:eastAsia="Arial" w:hAnsi="Arial" w:cs="Arial"/>
          <w:sz w:val="22"/>
          <w:szCs w:val="22"/>
        </w:rPr>
        <w:t xml:space="preserve">This chapter provides a comprehensive overview of the research on ethnic disparities in mental health services in the UK. It has examined how mental health care has evolved over time, explored key theories such as the Social Determinants of Health, Cultural Competence Theory, and Critical Race Theory, and analysed both global and UK policy approaches. The analysis showed that, although there have been many efforts to tackle inequalities, ongoing systemic and cultural obstacles still get in the way of fair access to mental health support for ethnic minority groups. </w:t>
      </w:r>
    </w:p>
    <w:p w14:paraId="33B1BCA3" w14:textId="5C255E0B" w:rsidR="7E917B3C" w:rsidRDefault="7E917B3C" w:rsidP="00E66F26">
      <w:pPr>
        <w:spacing w:before="120" w:after="120" w:line="360" w:lineRule="auto"/>
      </w:pPr>
      <w:r w:rsidRPr="2DCCA076">
        <w:rPr>
          <w:rFonts w:ascii="Arial" w:eastAsia="Arial" w:hAnsi="Arial" w:cs="Arial"/>
          <w:sz w:val="22"/>
          <w:szCs w:val="22"/>
        </w:rPr>
        <w:t>By integrating historical, theoretical, and policy viewpoints, this chapter has laid a solid foundation for understanding the intricacies of the matter. The subsequent chapter, Chapter 3 – Methodology, will detail the research design, data collection techniques, and analytical strategy used to further explore these barriers and challenges, ensuring coherence with the dissertation's overall aims and objectives.</w:t>
      </w:r>
    </w:p>
    <w:p w14:paraId="7279ABBF" w14:textId="7DF9F097" w:rsidR="2DCCA076" w:rsidRDefault="2DCCA076" w:rsidP="2DCCA076">
      <w:pPr>
        <w:spacing w:before="120" w:after="120" w:line="360" w:lineRule="auto"/>
        <w:rPr>
          <w:rFonts w:ascii="Arial" w:eastAsia="Arial" w:hAnsi="Arial" w:cs="Arial"/>
          <w:sz w:val="22"/>
          <w:szCs w:val="22"/>
        </w:rPr>
      </w:pPr>
    </w:p>
    <w:p w14:paraId="4E9C4622" w14:textId="0A732979" w:rsidR="2DCCA076" w:rsidRDefault="2DCCA076" w:rsidP="2DCCA076">
      <w:pPr>
        <w:spacing w:before="120" w:after="120" w:line="360" w:lineRule="auto"/>
        <w:rPr>
          <w:rFonts w:ascii="Arial" w:eastAsia="Arial" w:hAnsi="Arial" w:cs="Arial"/>
          <w:sz w:val="22"/>
          <w:szCs w:val="22"/>
        </w:rPr>
      </w:pPr>
    </w:p>
    <w:p w14:paraId="22E1EAEF" w14:textId="51CC3DC0" w:rsidR="2DCCA076" w:rsidRDefault="2DCCA076" w:rsidP="2DCCA076">
      <w:pPr>
        <w:spacing w:before="120" w:after="120" w:line="360" w:lineRule="auto"/>
        <w:rPr>
          <w:rFonts w:ascii="Arial" w:eastAsia="Arial" w:hAnsi="Arial" w:cs="Arial"/>
          <w:sz w:val="22"/>
          <w:szCs w:val="22"/>
        </w:rPr>
      </w:pPr>
    </w:p>
    <w:p w14:paraId="3362D74D" w14:textId="245954DF" w:rsidR="2DCCA076" w:rsidRDefault="2DCCA076" w:rsidP="2DCCA076">
      <w:pPr>
        <w:spacing w:before="120" w:after="120" w:line="360" w:lineRule="auto"/>
        <w:rPr>
          <w:rFonts w:ascii="Arial" w:eastAsia="Arial" w:hAnsi="Arial" w:cs="Arial"/>
          <w:sz w:val="22"/>
          <w:szCs w:val="22"/>
        </w:rPr>
      </w:pPr>
    </w:p>
    <w:p w14:paraId="209752E6" w14:textId="61A94188" w:rsidR="2DCCA076" w:rsidRDefault="2DCCA076" w:rsidP="2DCCA076">
      <w:pPr>
        <w:spacing w:before="120" w:after="120" w:line="360" w:lineRule="auto"/>
        <w:rPr>
          <w:rFonts w:ascii="Arial" w:eastAsia="Arial" w:hAnsi="Arial" w:cs="Arial"/>
          <w:sz w:val="22"/>
          <w:szCs w:val="22"/>
        </w:rPr>
      </w:pPr>
    </w:p>
    <w:p w14:paraId="4E05AA8D" w14:textId="6BC2B4A4" w:rsidR="65B8AAFC" w:rsidRDefault="65B8AAFC" w:rsidP="65B8AAFC">
      <w:pPr>
        <w:spacing w:before="120" w:after="120" w:line="360" w:lineRule="auto"/>
        <w:rPr>
          <w:rFonts w:ascii="Arial" w:eastAsia="Arial" w:hAnsi="Arial" w:cs="Arial"/>
          <w:sz w:val="22"/>
          <w:szCs w:val="22"/>
        </w:rPr>
      </w:pPr>
    </w:p>
    <w:p w14:paraId="44295211" w14:textId="1F95D82C" w:rsidR="7FE5FF7B" w:rsidRDefault="7FE5FF7B" w:rsidP="6B0ACE94">
      <w:pPr>
        <w:spacing w:before="120" w:after="120"/>
        <w:rPr>
          <w:rFonts w:ascii="Arial" w:eastAsia="Arial" w:hAnsi="Arial" w:cs="Arial"/>
          <w:b/>
          <w:bCs/>
          <w:sz w:val="22"/>
          <w:szCs w:val="22"/>
        </w:rPr>
      </w:pPr>
      <w:r w:rsidRPr="6B0ACE94">
        <w:rPr>
          <w:rFonts w:ascii="Arial" w:eastAsia="Arial" w:hAnsi="Arial" w:cs="Arial"/>
          <w:b/>
          <w:bCs/>
          <w:sz w:val="22"/>
          <w:szCs w:val="22"/>
        </w:rPr>
        <w:t>CHAPTER 3 – Methods and Search Strategy</w:t>
      </w:r>
    </w:p>
    <w:p w14:paraId="212AB5BF" w14:textId="18203669" w:rsidR="6B0ACE94" w:rsidRDefault="6B0ACE94" w:rsidP="6B0ACE94">
      <w:pPr>
        <w:keepNext/>
        <w:keepLines/>
        <w:spacing w:line="360" w:lineRule="auto"/>
        <w:rPr>
          <w:rFonts w:ascii="Arial" w:eastAsia="Arial" w:hAnsi="Arial" w:cs="Arial"/>
          <w:sz w:val="22"/>
          <w:szCs w:val="22"/>
        </w:rPr>
      </w:pPr>
    </w:p>
    <w:p w14:paraId="735D9883" w14:textId="7578B751" w:rsidR="6B0ACE94" w:rsidRDefault="6B0ACE94" w:rsidP="6B0ACE94">
      <w:pPr>
        <w:keepNext/>
        <w:keepLines/>
        <w:spacing w:line="360" w:lineRule="auto"/>
        <w:rPr>
          <w:rFonts w:ascii="Arial" w:eastAsia="Arial" w:hAnsi="Arial" w:cs="Arial"/>
          <w:sz w:val="22"/>
          <w:szCs w:val="22"/>
        </w:rPr>
      </w:pPr>
    </w:p>
    <w:p w14:paraId="09EE0DFE" w14:textId="61C696C6" w:rsidR="6B0ACE94" w:rsidRDefault="6B0ACE94" w:rsidP="6B0ACE94">
      <w:pPr>
        <w:keepNext/>
        <w:keepLines/>
        <w:spacing w:line="360" w:lineRule="auto"/>
        <w:rPr>
          <w:rFonts w:ascii="Arial" w:eastAsia="Arial" w:hAnsi="Arial" w:cs="Arial"/>
          <w:sz w:val="22"/>
          <w:szCs w:val="22"/>
        </w:rPr>
      </w:pPr>
    </w:p>
    <w:p w14:paraId="244903FE" w14:textId="371CE4F1" w:rsidR="6B0ACE94" w:rsidRDefault="6B0ACE94" w:rsidP="6B0ACE94">
      <w:pPr>
        <w:keepNext/>
        <w:keepLines/>
        <w:spacing w:line="360" w:lineRule="auto"/>
        <w:rPr>
          <w:rFonts w:ascii="Arial" w:eastAsia="Arial" w:hAnsi="Arial" w:cs="Arial"/>
          <w:sz w:val="22"/>
          <w:szCs w:val="22"/>
        </w:rPr>
      </w:pPr>
    </w:p>
    <w:p w14:paraId="30CD69A1" w14:textId="3DCF8D87" w:rsidR="6B0ACE94" w:rsidRDefault="6B0ACE94" w:rsidP="6B0ACE94">
      <w:pPr>
        <w:keepNext/>
        <w:keepLines/>
        <w:spacing w:line="360" w:lineRule="auto"/>
        <w:rPr>
          <w:rFonts w:ascii="Arial" w:eastAsia="Arial" w:hAnsi="Arial" w:cs="Arial"/>
          <w:color w:val="000000" w:themeColor="text1"/>
          <w:sz w:val="22"/>
          <w:szCs w:val="22"/>
        </w:rPr>
      </w:pPr>
    </w:p>
    <w:p w14:paraId="70B88D45" w14:textId="730E0023" w:rsidR="6B0ACE94" w:rsidRDefault="6B0ACE94" w:rsidP="6B0ACE94">
      <w:pPr>
        <w:keepNext/>
        <w:keepLines/>
        <w:spacing w:line="360" w:lineRule="auto"/>
        <w:rPr>
          <w:rFonts w:ascii="Arial" w:eastAsia="Arial" w:hAnsi="Arial" w:cs="Arial"/>
          <w:sz w:val="22"/>
          <w:szCs w:val="22"/>
        </w:rPr>
      </w:pPr>
    </w:p>
    <w:p w14:paraId="57C3F9FE" w14:textId="366731F3" w:rsidR="6B0ACE94" w:rsidRDefault="6B0ACE94" w:rsidP="6B0ACE94">
      <w:pPr>
        <w:pStyle w:val="ListParagraph"/>
        <w:keepNext/>
        <w:keepLines/>
        <w:spacing w:line="360" w:lineRule="auto"/>
        <w:rPr>
          <w:rFonts w:ascii="Arial" w:eastAsia="Arial" w:hAnsi="Arial" w:cs="Arial"/>
          <w:sz w:val="22"/>
          <w:szCs w:val="22"/>
        </w:rPr>
      </w:pPr>
    </w:p>
    <w:p w14:paraId="46C9D27F" w14:textId="18F8E4DF" w:rsidR="6B0ACE94" w:rsidRDefault="6B0ACE94" w:rsidP="6B0ACE94">
      <w:pPr>
        <w:pStyle w:val="ListParagraph"/>
        <w:keepNext/>
        <w:keepLines/>
        <w:spacing w:line="360" w:lineRule="auto"/>
        <w:rPr>
          <w:rFonts w:ascii="Arial" w:eastAsia="Arial" w:hAnsi="Arial" w:cs="Arial"/>
          <w:sz w:val="22"/>
          <w:szCs w:val="22"/>
        </w:rPr>
      </w:pPr>
    </w:p>
    <w:p w14:paraId="177AD4EF" w14:textId="7EFD7141" w:rsidR="6B0ACE94" w:rsidRDefault="6B0ACE94" w:rsidP="6B0ACE94">
      <w:pPr>
        <w:keepNext/>
        <w:keepLines/>
        <w:spacing w:line="360" w:lineRule="auto"/>
        <w:rPr>
          <w:rFonts w:ascii="Arial" w:eastAsia="Arial" w:hAnsi="Arial" w:cs="Arial"/>
          <w:sz w:val="22"/>
          <w:szCs w:val="22"/>
        </w:rPr>
      </w:pPr>
    </w:p>
    <w:p w14:paraId="3C7E0D49" w14:textId="29D30414" w:rsidR="6B0ACE94" w:rsidRDefault="6B0ACE94" w:rsidP="6B0ACE94">
      <w:pPr>
        <w:spacing w:before="240" w:after="240" w:line="360" w:lineRule="auto"/>
        <w:rPr>
          <w:rFonts w:ascii="Arial" w:eastAsia="Arial" w:hAnsi="Arial" w:cs="Arial"/>
          <w:color w:val="000000" w:themeColor="text1"/>
        </w:rPr>
      </w:pPr>
    </w:p>
    <w:p w14:paraId="2F3849A2" w14:textId="08E11811" w:rsidR="6B0ACE94" w:rsidRDefault="6B0ACE94" w:rsidP="6B0ACE94">
      <w:pPr>
        <w:keepNext/>
        <w:keepLines/>
        <w:spacing w:line="360" w:lineRule="auto"/>
        <w:rPr>
          <w:rFonts w:ascii="Arial" w:eastAsia="Arial" w:hAnsi="Arial" w:cs="Arial"/>
          <w:sz w:val="22"/>
          <w:szCs w:val="22"/>
        </w:rPr>
      </w:pPr>
    </w:p>
    <w:p w14:paraId="7EC488B3" w14:textId="53094E86" w:rsidR="6B0ACE94" w:rsidRDefault="6B0ACE94" w:rsidP="6B0ACE94">
      <w:pPr>
        <w:keepNext/>
        <w:keepLines/>
        <w:spacing w:line="360" w:lineRule="auto"/>
        <w:rPr>
          <w:rFonts w:ascii="Arial" w:eastAsia="Arial" w:hAnsi="Arial" w:cs="Arial"/>
          <w:sz w:val="22"/>
          <w:szCs w:val="22"/>
        </w:rPr>
      </w:pPr>
    </w:p>
    <w:p w14:paraId="14FC04CC" w14:textId="2C7FBE7E" w:rsidR="6B0ACE94" w:rsidRDefault="6B0ACE94" w:rsidP="6B0ACE94">
      <w:pPr>
        <w:keepNext/>
        <w:keepLines/>
        <w:spacing w:line="360" w:lineRule="auto"/>
        <w:rPr>
          <w:rFonts w:ascii="Arial" w:eastAsia="Arial" w:hAnsi="Arial" w:cs="Arial"/>
          <w:sz w:val="22"/>
          <w:szCs w:val="22"/>
        </w:rPr>
      </w:pPr>
    </w:p>
    <w:p w14:paraId="796898F4" w14:textId="2709ABFB" w:rsidR="6B0ACE94" w:rsidRDefault="6B0ACE94" w:rsidP="6B0ACE94">
      <w:pPr>
        <w:keepNext/>
        <w:keepLines/>
        <w:spacing w:line="360" w:lineRule="auto"/>
        <w:rPr>
          <w:rFonts w:ascii="Arial" w:eastAsia="Arial" w:hAnsi="Arial" w:cs="Arial"/>
          <w:sz w:val="22"/>
          <w:szCs w:val="22"/>
        </w:rPr>
      </w:pPr>
    </w:p>
    <w:p w14:paraId="3F88F59A" w14:textId="6712D59A" w:rsidR="6B0ACE94" w:rsidRDefault="6B0ACE94" w:rsidP="6B0ACE94">
      <w:pPr>
        <w:spacing w:line="360" w:lineRule="auto"/>
        <w:rPr>
          <w:rFonts w:ascii="Arial" w:eastAsia="Arial" w:hAnsi="Arial" w:cs="Arial"/>
          <w:b/>
          <w:bCs/>
          <w:sz w:val="22"/>
          <w:szCs w:val="22"/>
        </w:rPr>
      </w:pPr>
    </w:p>
    <w:sectPr w:rsidR="6B0ACE94">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DB1C4" w14:textId="77777777" w:rsidR="009D6957" w:rsidRDefault="009D6957" w:rsidP="00D41346">
      <w:pPr>
        <w:spacing w:after="0" w:line="240" w:lineRule="auto"/>
      </w:pPr>
      <w:r>
        <w:separator/>
      </w:r>
    </w:p>
  </w:endnote>
  <w:endnote w:type="continuationSeparator" w:id="0">
    <w:p w14:paraId="2464BD1E" w14:textId="77777777" w:rsidR="009D6957" w:rsidRDefault="009D6957" w:rsidP="00D41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269167"/>
      <w:docPartObj>
        <w:docPartGallery w:val="Page Numbers (Bottom of Page)"/>
        <w:docPartUnique/>
      </w:docPartObj>
    </w:sdtPr>
    <w:sdtEndPr>
      <w:rPr>
        <w:noProof/>
      </w:rPr>
    </w:sdtEndPr>
    <w:sdtContent>
      <w:p w14:paraId="25E3E925" w14:textId="341AC9FB" w:rsidR="00D41346" w:rsidRDefault="00D41346">
        <w:pPr>
          <w:pStyle w:val="Footer"/>
        </w:pPr>
        <w:r>
          <w:fldChar w:fldCharType="begin"/>
        </w:r>
        <w:r>
          <w:instrText xml:space="preserve"> PAGE   \* MERGEFORMAT </w:instrText>
        </w:r>
        <w:r>
          <w:fldChar w:fldCharType="separate"/>
        </w:r>
        <w:r>
          <w:rPr>
            <w:noProof/>
          </w:rPr>
          <w:t>2</w:t>
        </w:r>
        <w:r>
          <w:rPr>
            <w:noProof/>
          </w:rPr>
          <w:fldChar w:fldCharType="end"/>
        </w:r>
      </w:p>
    </w:sdtContent>
  </w:sdt>
  <w:p w14:paraId="707E8FF6" w14:textId="77777777" w:rsidR="00D41346" w:rsidRDefault="00D41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12C8C" w14:textId="77777777" w:rsidR="009D6957" w:rsidRDefault="009D6957" w:rsidP="00D41346">
      <w:pPr>
        <w:spacing w:after="0" w:line="240" w:lineRule="auto"/>
      </w:pPr>
      <w:r>
        <w:separator/>
      </w:r>
    </w:p>
  </w:footnote>
  <w:footnote w:type="continuationSeparator" w:id="0">
    <w:p w14:paraId="566C4675" w14:textId="77777777" w:rsidR="009D6957" w:rsidRDefault="009D6957" w:rsidP="00D4134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FE1C"/>
    <w:multiLevelType w:val="hybridMultilevel"/>
    <w:tmpl w:val="6B086CFA"/>
    <w:lvl w:ilvl="0" w:tplc="3ED00608">
      <w:start w:val="1"/>
      <w:numFmt w:val="bullet"/>
      <w:lvlText w:val=""/>
      <w:lvlJc w:val="left"/>
      <w:pPr>
        <w:ind w:left="720" w:hanging="360"/>
      </w:pPr>
      <w:rPr>
        <w:rFonts w:ascii="Symbol" w:hAnsi="Symbol" w:hint="default"/>
      </w:rPr>
    </w:lvl>
    <w:lvl w:ilvl="1" w:tplc="C40CABE4">
      <w:start w:val="1"/>
      <w:numFmt w:val="bullet"/>
      <w:lvlText w:val="o"/>
      <w:lvlJc w:val="left"/>
      <w:pPr>
        <w:ind w:left="1440" w:hanging="360"/>
      </w:pPr>
      <w:rPr>
        <w:rFonts w:ascii="Courier New" w:hAnsi="Courier New" w:hint="default"/>
      </w:rPr>
    </w:lvl>
    <w:lvl w:ilvl="2" w:tplc="FB4C1E64">
      <w:start w:val="1"/>
      <w:numFmt w:val="bullet"/>
      <w:lvlText w:val=""/>
      <w:lvlJc w:val="left"/>
      <w:pPr>
        <w:ind w:left="2160" w:hanging="360"/>
      </w:pPr>
      <w:rPr>
        <w:rFonts w:ascii="Wingdings" w:hAnsi="Wingdings" w:hint="default"/>
      </w:rPr>
    </w:lvl>
    <w:lvl w:ilvl="3" w:tplc="5B0C4152">
      <w:start w:val="1"/>
      <w:numFmt w:val="bullet"/>
      <w:lvlText w:val=""/>
      <w:lvlJc w:val="left"/>
      <w:pPr>
        <w:ind w:left="2880" w:hanging="360"/>
      </w:pPr>
      <w:rPr>
        <w:rFonts w:ascii="Symbol" w:hAnsi="Symbol" w:hint="default"/>
      </w:rPr>
    </w:lvl>
    <w:lvl w:ilvl="4" w:tplc="679EA39C">
      <w:start w:val="1"/>
      <w:numFmt w:val="bullet"/>
      <w:lvlText w:val="o"/>
      <w:lvlJc w:val="left"/>
      <w:pPr>
        <w:ind w:left="3600" w:hanging="360"/>
      </w:pPr>
      <w:rPr>
        <w:rFonts w:ascii="Courier New" w:hAnsi="Courier New" w:hint="default"/>
      </w:rPr>
    </w:lvl>
    <w:lvl w:ilvl="5" w:tplc="31BC68A4">
      <w:start w:val="1"/>
      <w:numFmt w:val="bullet"/>
      <w:lvlText w:val=""/>
      <w:lvlJc w:val="left"/>
      <w:pPr>
        <w:ind w:left="4320" w:hanging="360"/>
      </w:pPr>
      <w:rPr>
        <w:rFonts w:ascii="Wingdings" w:hAnsi="Wingdings" w:hint="default"/>
      </w:rPr>
    </w:lvl>
    <w:lvl w:ilvl="6" w:tplc="C88896AC">
      <w:start w:val="1"/>
      <w:numFmt w:val="bullet"/>
      <w:lvlText w:val=""/>
      <w:lvlJc w:val="left"/>
      <w:pPr>
        <w:ind w:left="5040" w:hanging="360"/>
      </w:pPr>
      <w:rPr>
        <w:rFonts w:ascii="Symbol" w:hAnsi="Symbol" w:hint="default"/>
      </w:rPr>
    </w:lvl>
    <w:lvl w:ilvl="7" w:tplc="AF6EAE1A">
      <w:start w:val="1"/>
      <w:numFmt w:val="bullet"/>
      <w:lvlText w:val="o"/>
      <w:lvlJc w:val="left"/>
      <w:pPr>
        <w:ind w:left="5760" w:hanging="360"/>
      </w:pPr>
      <w:rPr>
        <w:rFonts w:ascii="Courier New" w:hAnsi="Courier New" w:hint="default"/>
      </w:rPr>
    </w:lvl>
    <w:lvl w:ilvl="8" w:tplc="CDA26460">
      <w:start w:val="1"/>
      <w:numFmt w:val="bullet"/>
      <w:lvlText w:val=""/>
      <w:lvlJc w:val="left"/>
      <w:pPr>
        <w:ind w:left="6480" w:hanging="360"/>
      </w:pPr>
      <w:rPr>
        <w:rFonts w:ascii="Wingdings" w:hAnsi="Wingdings" w:hint="default"/>
      </w:rPr>
    </w:lvl>
  </w:abstractNum>
  <w:abstractNum w:abstractNumId="1" w15:restartNumberingAfterBreak="0">
    <w:nsid w:val="16E0D447"/>
    <w:multiLevelType w:val="hybridMultilevel"/>
    <w:tmpl w:val="B96C10E8"/>
    <w:lvl w:ilvl="0" w:tplc="06869B9C">
      <w:start w:val="1"/>
      <w:numFmt w:val="bullet"/>
      <w:lvlText w:val=""/>
      <w:lvlJc w:val="left"/>
      <w:pPr>
        <w:ind w:left="720" w:hanging="360"/>
      </w:pPr>
      <w:rPr>
        <w:rFonts w:ascii="Symbol" w:hAnsi="Symbol" w:hint="default"/>
      </w:rPr>
    </w:lvl>
    <w:lvl w:ilvl="1" w:tplc="2850082E">
      <w:start w:val="1"/>
      <w:numFmt w:val="bullet"/>
      <w:lvlText w:val="o"/>
      <w:lvlJc w:val="left"/>
      <w:pPr>
        <w:ind w:left="1440" w:hanging="360"/>
      </w:pPr>
      <w:rPr>
        <w:rFonts w:ascii="Courier New" w:hAnsi="Courier New" w:hint="default"/>
      </w:rPr>
    </w:lvl>
    <w:lvl w:ilvl="2" w:tplc="0FB6FF64">
      <w:start w:val="1"/>
      <w:numFmt w:val="bullet"/>
      <w:lvlText w:val=""/>
      <w:lvlJc w:val="left"/>
      <w:pPr>
        <w:ind w:left="2160" w:hanging="360"/>
      </w:pPr>
      <w:rPr>
        <w:rFonts w:ascii="Wingdings" w:hAnsi="Wingdings" w:hint="default"/>
      </w:rPr>
    </w:lvl>
    <w:lvl w:ilvl="3" w:tplc="22963614">
      <w:start w:val="1"/>
      <w:numFmt w:val="bullet"/>
      <w:lvlText w:val=""/>
      <w:lvlJc w:val="left"/>
      <w:pPr>
        <w:ind w:left="2880" w:hanging="360"/>
      </w:pPr>
      <w:rPr>
        <w:rFonts w:ascii="Symbol" w:hAnsi="Symbol" w:hint="default"/>
      </w:rPr>
    </w:lvl>
    <w:lvl w:ilvl="4" w:tplc="13143298">
      <w:start w:val="1"/>
      <w:numFmt w:val="bullet"/>
      <w:lvlText w:val="o"/>
      <w:lvlJc w:val="left"/>
      <w:pPr>
        <w:ind w:left="3600" w:hanging="360"/>
      </w:pPr>
      <w:rPr>
        <w:rFonts w:ascii="Courier New" w:hAnsi="Courier New" w:hint="default"/>
      </w:rPr>
    </w:lvl>
    <w:lvl w:ilvl="5" w:tplc="3A32EB34">
      <w:start w:val="1"/>
      <w:numFmt w:val="bullet"/>
      <w:lvlText w:val=""/>
      <w:lvlJc w:val="left"/>
      <w:pPr>
        <w:ind w:left="4320" w:hanging="360"/>
      </w:pPr>
      <w:rPr>
        <w:rFonts w:ascii="Wingdings" w:hAnsi="Wingdings" w:hint="default"/>
      </w:rPr>
    </w:lvl>
    <w:lvl w:ilvl="6" w:tplc="B860ED26">
      <w:start w:val="1"/>
      <w:numFmt w:val="bullet"/>
      <w:lvlText w:val=""/>
      <w:lvlJc w:val="left"/>
      <w:pPr>
        <w:ind w:left="5040" w:hanging="360"/>
      </w:pPr>
      <w:rPr>
        <w:rFonts w:ascii="Symbol" w:hAnsi="Symbol" w:hint="default"/>
      </w:rPr>
    </w:lvl>
    <w:lvl w:ilvl="7" w:tplc="87EE1A0A">
      <w:start w:val="1"/>
      <w:numFmt w:val="bullet"/>
      <w:lvlText w:val="o"/>
      <w:lvlJc w:val="left"/>
      <w:pPr>
        <w:ind w:left="5760" w:hanging="360"/>
      </w:pPr>
      <w:rPr>
        <w:rFonts w:ascii="Courier New" w:hAnsi="Courier New" w:hint="default"/>
      </w:rPr>
    </w:lvl>
    <w:lvl w:ilvl="8" w:tplc="6652C818">
      <w:start w:val="1"/>
      <w:numFmt w:val="bullet"/>
      <w:lvlText w:val=""/>
      <w:lvlJc w:val="left"/>
      <w:pPr>
        <w:ind w:left="6480" w:hanging="360"/>
      </w:pPr>
      <w:rPr>
        <w:rFonts w:ascii="Wingdings" w:hAnsi="Wingdings" w:hint="default"/>
      </w:rPr>
    </w:lvl>
  </w:abstractNum>
  <w:abstractNum w:abstractNumId="2" w15:restartNumberingAfterBreak="0">
    <w:nsid w:val="5A8F3616"/>
    <w:multiLevelType w:val="hybridMultilevel"/>
    <w:tmpl w:val="8254776C"/>
    <w:lvl w:ilvl="0" w:tplc="F60CE00E">
      <w:start w:val="1"/>
      <w:numFmt w:val="bullet"/>
      <w:lvlText w:val=""/>
      <w:lvlJc w:val="left"/>
      <w:pPr>
        <w:ind w:left="720" w:hanging="360"/>
      </w:pPr>
      <w:rPr>
        <w:rFonts w:ascii="Symbol" w:hAnsi="Symbol" w:hint="default"/>
      </w:rPr>
    </w:lvl>
    <w:lvl w:ilvl="1" w:tplc="29C6DC1A">
      <w:start w:val="1"/>
      <w:numFmt w:val="bullet"/>
      <w:lvlText w:val="o"/>
      <w:lvlJc w:val="left"/>
      <w:pPr>
        <w:ind w:left="1440" w:hanging="360"/>
      </w:pPr>
      <w:rPr>
        <w:rFonts w:ascii="Courier New" w:hAnsi="Courier New" w:hint="default"/>
      </w:rPr>
    </w:lvl>
    <w:lvl w:ilvl="2" w:tplc="57D62002">
      <w:start w:val="1"/>
      <w:numFmt w:val="bullet"/>
      <w:lvlText w:val=""/>
      <w:lvlJc w:val="left"/>
      <w:pPr>
        <w:ind w:left="2160" w:hanging="360"/>
      </w:pPr>
      <w:rPr>
        <w:rFonts w:ascii="Wingdings" w:hAnsi="Wingdings" w:hint="default"/>
      </w:rPr>
    </w:lvl>
    <w:lvl w:ilvl="3" w:tplc="60DC5312">
      <w:start w:val="1"/>
      <w:numFmt w:val="bullet"/>
      <w:lvlText w:val=""/>
      <w:lvlJc w:val="left"/>
      <w:pPr>
        <w:ind w:left="2880" w:hanging="360"/>
      </w:pPr>
      <w:rPr>
        <w:rFonts w:ascii="Symbol" w:hAnsi="Symbol" w:hint="default"/>
      </w:rPr>
    </w:lvl>
    <w:lvl w:ilvl="4" w:tplc="4B9C2F50">
      <w:start w:val="1"/>
      <w:numFmt w:val="bullet"/>
      <w:lvlText w:val="o"/>
      <w:lvlJc w:val="left"/>
      <w:pPr>
        <w:ind w:left="3600" w:hanging="360"/>
      </w:pPr>
      <w:rPr>
        <w:rFonts w:ascii="Courier New" w:hAnsi="Courier New" w:hint="default"/>
      </w:rPr>
    </w:lvl>
    <w:lvl w:ilvl="5" w:tplc="7E70FB9A">
      <w:start w:val="1"/>
      <w:numFmt w:val="bullet"/>
      <w:lvlText w:val=""/>
      <w:lvlJc w:val="left"/>
      <w:pPr>
        <w:ind w:left="4320" w:hanging="360"/>
      </w:pPr>
      <w:rPr>
        <w:rFonts w:ascii="Wingdings" w:hAnsi="Wingdings" w:hint="default"/>
      </w:rPr>
    </w:lvl>
    <w:lvl w:ilvl="6" w:tplc="F86C1030">
      <w:start w:val="1"/>
      <w:numFmt w:val="bullet"/>
      <w:lvlText w:val=""/>
      <w:lvlJc w:val="left"/>
      <w:pPr>
        <w:ind w:left="5040" w:hanging="360"/>
      </w:pPr>
      <w:rPr>
        <w:rFonts w:ascii="Symbol" w:hAnsi="Symbol" w:hint="default"/>
      </w:rPr>
    </w:lvl>
    <w:lvl w:ilvl="7" w:tplc="889AEC02">
      <w:start w:val="1"/>
      <w:numFmt w:val="bullet"/>
      <w:lvlText w:val="o"/>
      <w:lvlJc w:val="left"/>
      <w:pPr>
        <w:ind w:left="5760" w:hanging="360"/>
      </w:pPr>
      <w:rPr>
        <w:rFonts w:ascii="Courier New" w:hAnsi="Courier New" w:hint="default"/>
      </w:rPr>
    </w:lvl>
    <w:lvl w:ilvl="8" w:tplc="A8D09EEE">
      <w:start w:val="1"/>
      <w:numFmt w:val="bullet"/>
      <w:lvlText w:val=""/>
      <w:lvlJc w:val="left"/>
      <w:pPr>
        <w:ind w:left="6480" w:hanging="360"/>
      </w:pPr>
      <w:rPr>
        <w:rFonts w:ascii="Wingdings" w:hAnsi="Wingdings" w:hint="default"/>
      </w:rPr>
    </w:lvl>
  </w:abstractNum>
  <w:abstractNum w:abstractNumId="3" w15:restartNumberingAfterBreak="0">
    <w:nsid w:val="646945A9"/>
    <w:multiLevelType w:val="hybridMultilevel"/>
    <w:tmpl w:val="427CE5D2"/>
    <w:lvl w:ilvl="0" w:tplc="4A645EB8">
      <w:start w:val="1"/>
      <w:numFmt w:val="bullet"/>
      <w:lvlText w:val=""/>
      <w:lvlJc w:val="left"/>
      <w:pPr>
        <w:ind w:left="720" w:hanging="360"/>
      </w:pPr>
      <w:rPr>
        <w:rFonts w:ascii="Symbol" w:hAnsi="Symbol" w:hint="default"/>
      </w:rPr>
    </w:lvl>
    <w:lvl w:ilvl="1" w:tplc="256CF4DA">
      <w:start w:val="1"/>
      <w:numFmt w:val="bullet"/>
      <w:lvlText w:val="o"/>
      <w:lvlJc w:val="left"/>
      <w:pPr>
        <w:ind w:left="1440" w:hanging="360"/>
      </w:pPr>
      <w:rPr>
        <w:rFonts w:ascii="Courier New" w:hAnsi="Courier New" w:hint="default"/>
      </w:rPr>
    </w:lvl>
    <w:lvl w:ilvl="2" w:tplc="06A40836">
      <w:start w:val="1"/>
      <w:numFmt w:val="bullet"/>
      <w:lvlText w:val=""/>
      <w:lvlJc w:val="left"/>
      <w:pPr>
        <w:ind w:left="2160" w:hanging="360"/>
      </w:pPr>
      <w:rPr>
        <w:rFonts w:ascii="Wingdings" w:hAnsi="Wingdings" w:hint="default"/>
      </w:rPr>
    </w:lvl>
    <w:lvl w:ilvl="3" w:tplc="5EF41180">
      <w:start w:val="1"/>
      <w:numFmt w:val="bullet"/>
      <w:lvlText w:val=""/>
      <w:lvlJc w:val="left"/>
      <w:pPr>
        <w:ind w:left="2880" w:hanging="360"/>
      </w:pPr>
      <w:rPr>
        <w:rFonts w:ascii="Symbol" w:hAnsi="Symbol" w:hint="default"/>
      </w:rPr>
    </w:lvl>
    <w:lvl w:ilvl="4" w:tplc="C71AE296">
      <w:start w:val="1"/>
      <w:numFmt w:val="bullet"/>
      <w:lvlText w:val="o"/>
      <w:lvlJc w:val="left"/>
      <w:pPr>
        <w:ind w:left="3600" w:hanging="360"/>
      </w:pPr>
      <w:rPr>
        <w:rFonts w:ascii="Courier New" w:hAnsi="Courier New" w:hint="default"/>
      </w:rPr>
    </w:lvl>
    <w:lvl w:ilvl="5" w:tplc="48B81448">
      <w:start w:val="1"/>
      <w:numFmt w:val="bullet"/>
      <w:lvlText w:val=""/>
      <w:lvlJc w:val="left"/>
      <w:pPr>
        <w:ind w:left="4320" w:hanging="360"/>
      </w:pPr>
      <w:rPr>
        <w:rFonts w:ascii="Wingdings" w:hAnsi="Wingdings" w:hint="default"/>
      </w:rPr>
    </w:lvl>
    <w:lvl w:ilvl="6" w:tplc="68B44D1E">
      <w:start w:val="1"/>
      <w:numFmt w:val="bullet"/>
      <w:lvlText w:val=""/>
      <w:lvlJc w:val="left"/>
      <w:pPr>
        <w:ind w:left="5040" w:hanging="360"/>
      </w:pPr>
      <w:rPr>
        <w:rFonts w:ascii="Symbol" w:hAnsi="Symbol" w:hint="default"/>
      </w:rPr>
    </w:lvl>
    <w:lvl w:ilvl="7" w:tplc="D7B0255E">
      <w:start w:val="1"/>
      <w:numFmt w:val="bullet"/>
      <w:lvlText w:val="o"/>
      <w:lvlJc w:val="left"/>
      <w:pPr>
        <w:ind w:left="5760" w:hanging="360"/>
      </w:pPr>
      <w:rPr>
        <w:rFonts w:ascii="Courier New" w:hAnsi="Courier New" w:hint="default"/>
      </w:rPr>
    </w:lvl>
    <w:lvl w:ilvl="8" w:tplc="E0885756">
      <w:start w:val="1"/>
      <w:numFmt w:val="bullet"/>
      <w:lvlText w:val=""/>
      <w:lvlJc w:val="left"/>
      <w:pPr>
        <w:ind w:left="6480" w:hanging="360"/>
      </w:pPr>
      <w:rPr>
        <w:rFonts w:ascii="Wingdings" w:hAnsi="Wingdings" w:hint="default"/>
      </w:rPr>
    </w:lvl>
  </w:abstractNum>
  <w:abstractNum w:abstractNumId="4" w15:restartNumberingAfterBreak="0">
    <w:nsid w:val="7084B965"/>
    <w:multiLevelType w:val="hybridMultilevel"/>
    <w:tmpl w:val="7C2C39D0"/>
    <w:lvl w:ilvl="0" w:tplc="50ECFE7A">
      <w:start w:val="1"/>
      <w:numFmt w:val="bullet"/>
      <w:lvlText w:val=""/>
      <w:lvlJc w:val="left"/>
      <w:pPr>
        <w:ind w:left="720" w:hanging="360"/>
      </w:pPr>
      <w:rPr>
        <w:rFonts w:ascii="Symbol" w:hAnsi="Symbol" w:hint="default"/>
      </w:rPr>
    </w:lvl>
    <w:lvl w:ilvl="1" w:tplc="5A26C008">
      <w:start w:val="1"/>
      <w:numFmt w:val="bullet"/>
      <w:lvlText w:val="o"/>
      <w:lvlJc w:val="left"/>
      <w:pPr>
        <w:ind w:left="1440" w:hanging="360"/>
      </w:pPr>
      <w:rPr>
        <w:rFonts w:ascii="Courier New" w:hAnsi="Courier New" w:hint="default"/>
      </w:rPr>
    </w:lvl>
    <w:lvl w:ilvl="2" w:tplc="70586E5C">
      <w:start w:val="1"/>
      <w:numFmt w:val="bullet"/>
      <w:lvlText w:val=""/>
      <w:lvlJc w:val="left"/>
      <w:pPr>
        <w:ind w:left="2160" w:hanging="360"/>
      </w:pPr>
      <w:rPr>
        <w:rFonts w:ascii="Wingdings" w:hAnsi="Wingdings" w:hint="default"/>
      </w:rPr>
    </w:lvl>
    <w:lvl w:ilvl="3" w:tplc="50B2331C">
      <w:start w:val="1"/>
      <w:numFmt w:val="bullet"/>
      <w:lvlText w:val=""/>
      <w:lvlJc w:val="left"/>
      <w:pPr>
        <w:ind w:left="2880" w:hanging="360"/>
      </w:pPr>
      <w:rPr>
        <w:rFonts w:ascii="Symbol" w:hAnsi="Symbol" w:hint="default"/>
      </w:rPr>
    </w:lvl>
    <w:lvl w:ilvl="4" w:tplc="496ADA06">
      <w:start w:val="1"/>
      <w:numFmt w:val="bullet"/>
      <w:lvlText w:val="o"/>
      <w:lvlJc w:val="left"/>
      <w:pPr>
        <w:ind w:left="3600" w:hanging="360"/>
      </w:pPr>
      <w:rPr>
        <w:rFonts w:ascii="Courier New" w:hAnsi="Courier New" w:hint="default"/>
      </w:rPr>
    </w:lvl>
    <w:lvl w:ilvl="5" w:tplc="DBCCCEB2">
      <w:start w:val="1"/>
      <w:numFmt w:val="bullet"/>
      <w:lvlText w:val=""/>
      <w:lvlJc w:val="left"/>
      <w:pPr>
        <w:ind w:left="4320" w:hanging="360"/>
      </w:pPr>
      <w:rPr>
        <w:rFonts w:ascii="Wingdings" w:hAnsi="Wingdings" w:hint="default"/>
      </w:rPr>
    </w:lvl>
    <w:lvl w:ilvl="6" w:tplc="0EC0295E">
      <w:start w:val="1"/>
      <w:numFmt w:val="bullet"/>
      <w:lvlText w:val=""/>
      <w:lvlJc w:val="left"/>
      <w:pPr>
        <w:ind w:left="5040" w:hanging="360"/>
      </w:pPr>
      <w:rPr>
        <w:rFonts w:ascii="Symbol" w:hAnsi="Symbol" w:hint="default"/>
      </w:rPr>
    </w:lvl>
    <w:lvl w:ilvl="7" w:tplc="46AE04C8">
      <w:start w:val="1"/>
      <w:numFmt w:val="bullet"/>
      <w:lvlText w:val="o"/>
      <w:lvlJc w:val="left"/>
      <w:pPr>
        <w:ind w:left="5760" w:hanging="360"/>
      </w:pPr>
      <w:rPr>
        <w:rFonts w:ascii="Courier New" w:hAnsi="Courier New" w:hint="default"/>
      </w:rPr>
    </w:lvl>
    <w:lvl w:ilvl="8" w:tplc="D99A8196">
      <w:start w:val="1"/>
      <w:numFmt w:val="bullet"/>
      <w:lvlText w:val=""/>
      <w:lvlJc w:val="left"/>
      <w:pPr>
        <w:ind w:left="6480" w:hanging="360"/>
      </w:pPr>
      <w:rPr>
        <w:rFonts w:ascii="Wingdings" w:hAnsi="Wingdings" w:hint="default"/>
      </w:rPr>
    </w:lvl>
  </w:abstractNum>
  <w:abstractNum w:abstractNumId="5" w15:restartNumberingAfterBreak="0">
    <w:nsid w:val="7E0291B2"/>
    <w:multiLevelType w:val="hybridMultilevel"/>
    <w:tmpl w:val="73C6DEAA"/>
    <w:lvl w:ilvl="0" w:tplc="E3E091BA">
      <w:start w:val="1"/>
      <w:numFmt w:val="bullet"/>
      <w:lvlText w:val=""/>
      <w:lvlJc w:val="left"/>
      <w:pPr>
        <w:ind w:left="720" w:hanging="360"/>
      </w:pPr>
      <w:rPr>
        <w:rFonts w:ascii="Symbol" w:hAnsi="Symbol" w:hint="default"/>
      </w:rPr>
    </w:lvl>
    <w:lvl w:ilvl="1" w:tplc="2A0C5DE6">
      <w:start w:val="1"/>
      <w:numFmt w:val="bullet"/>
      <w:lvlText w:val="o"/>
      <w:lvlJc w:val="left"/>
      <w:pPr>
        <w:ind w:left="1440" w:hanging="360"/>
      </w:pPr>
      <w:rPr>
        <w:rFonts w:ascii="Courier New" w:hAnsi="Courier New" w:hint="default"/>
      </w:rPr>
    </w:lvl>
    <w:lvl w:ilvl="2" w:tplc="96EA3226">
      <w:start w:val="1"/>
      <w:numFmt w:val="bullet"/>
      <w:lvlText w:val=""/>
      <w:lvlJc w:val="left"/>
      <w:pPr>
        <w:ind w:left="2160" w:hanging="360"/>
      </w:pPr>
      <w:rPr>
        <w:rFonts w:ascii="Wingdings" w:hAnsi="Wingdings" w:hint="default"/>
      </w:rPr>
    </w:lvl>
    <w:lvl w:ilvl="3" w:tplc="608EBDBA">
      <w:start w:val="1"/>
      <w:numFmt w:val="bullet"/>
      <w:lvlText w:val=""/>
      <w:lvlJc w:val="left"/>
      <w:pPr>
        <w:ind w:left="2880" w:hanging="360"/>
      </w:pPr>
      <w:rPr>
        <w:rFonts w:ascii="Symbol" w:hAnsi="Symbol" w:hint="default"/>
      </w:rPr>
    </w:lvl>
    <w:lvl w:ilvl="4" w:tplc="13A2AA3C">
      <w:start w:val="1"/>
      <w:numFmt w:val="bullet"/>
      <w:lvlText w:val="o"/>
      <w:lvlJc w:val="left"/>
      <w:pPr>
        <w:ind w:left="3600" w:hanging="360"/>
      </w:pPr>
      <w:rPr>
        <w:rFonts w:ascii="Courier New" w:hAnsi="Courier New" w:hint="default"/>
      </w:rPr>
    </w:lvl>
    <w:lvl w:ilvl="5" w:tplc="35C8A90C">
      <w:start w:val="1"/>
      <w:numFmt w:val="bullet"/>
      <w:lvlText w:val=""/>
      <w:lvlJc w:val="left"/>
      <w:pPr>
        <w:ind w:left="4320" w:hanging="360"/>
      </w:pPr>
      <w:rPr>
        <w:rFonts w:ascii="Wingdings" w:hAnsi="Wingdings" w:hint="default"/>
      </w:rPr>
    </w:lvl>
    <w:lvl w:ilvl="6" w:tplc="E2FED250">
      <w:start w:val="1"/>
      <w:numFmt w:val="bullet"/>
      <w:lvlText w:val=""/>
      <w:lvlJc w:val="left"/>
      <w:pPr>
        <w:ind w:left="5040" w:hanging="360"/>
      </w:pPr>
      <w:rPr>
        <w:rFonts w:ascii="Symbol" w:hAnsi="Symbol" w:hint="default"/>
      </w:rPr>
    </w:lvl>
    <w:lvl w:ilvl="7" w:tplc="D274279A">
      <w:start w:val="1"/>
      <w:numFmt w:val="bullet"/>
      <w:lvlText w:val="o"/>
      <w:lvlJc w:val="left"/>
      <w:pPr>
        <w:ind w:left="5760" w:hanging="360"/>
      </w:pPr>
      <w:rPr>
        <w:rFonts w:ascii="Courier New" w:hAnsi="Courier New" w:hint="default"/>
      </w:rPr>
    </w:lvl>
    <w:lvl w:ilvl="8" w:tplc="90CA29A4">
      <w:start w:val="1"/>
      <w:numFmt w:val="bullet"/>
      <w:lvlText w:val=""/>
      <w:lvlJc w:val="left"/>
      <w:pPr>
        <w:ind w:left="6480" w:hanging="360"/>
      </w:pPr>
      <w:rPr>
        <w:rFonts w:ascii="Wingdings" w:hAnsi="Wingdings" w:hint="default"/>
      </w:rPr>
    </w:lvl>
  </w:abstractNum>
  <w:num w:numId="1" w16cid:durableId="1920943383">
    <w:abstractNumId w:val="1"/>
  </w:num>
  <w:num w:numId="2" w16cid:durableId="921183351">
    <w:abstractNumId w:val="0"/>
  </w:num>
  <w:num w:numId="3" w16cid:durableId="1167791690">
    <w:abstractNumId w:val="3"/>
  </w:num>
  <w:num w:numId="4" w16cid:durableId="775907549">
    <w:abstractNumId w:val="2"/>
  </w:num>
  <w:num w:numId="5" w16cid:durableId="68046566">
    <w:abstractNumId w:val="4"/>
  </w:num>
  <w:num w:numId="6" w16cid:durableId="4648608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6B0197"/>
    <w:rsid w:val="0041BCEF"/>
    <w:rsid w:val="0053F806"/>
    <w:rsid w:val="00897B14"/>
    <w:rsid w:val="009D6957"/>
    <w:rsid w:val="00C36C51"/>
    <w:rsid w:val="00D41346"/>
    <w:rsid w:val="00E07C02"/>
    <w:rsid w:val="00E66F26"/>
    <w:rsid w:val="011242FB"/>
    <w:rsid w:val="0128B98D"/>
    <w:rsid w:val="01945223"/>
    <w:rsid w:val="0360C978"/>
    <w:rsid w:val="03AE6561"/>
    <w:rsid w:val="040188D9"/>
    <w:rsid w:val="0495A1F1"/>
    <w:rsid w:val="060139C0"/>
    <w:rsid w:val="0981AEA1"/>
    <w:rsid w:val="09B799BF"/>
    <w:rsid w:val="09C90699"/>
    <w:rsid w:val="0AE8BF29"/>
    <w:rsid w:val="0B3FFCAD"/>
    <w:rsid w:val="0B9A0C96"/>
    <w:rsid w:val="0C17E48C"/>
    <w:rsid w:val="0C4AA0E6"/>
    <w:rsid w:val="0D4061A4"/>
    <w:rsid w:val="0D40F8AC"/>
    <w:rsid w:val="0D60C7FB"/>
    <w:rsid w:val="0EAA1882"/>
    <w:rsid w:val="0EAA3C05"/>
    <w:rsid w:val="0F8993B8"/>
    <w:rsid w:val="1006D921"/>
    <w:rsid w:val="10A6DFCD"/>
    <w:rsid w:val="10DFDF25"/>
    <w:rsid w:val="10F1217A"/>
    <w:rsid w:val="110FA538"/>
    <w:rsid w:val="112F6542"/>
    <w:rsid w:val="130ADEE3"/>
    <w:rsid w:val="1369B6F1"/>
    <w:rsid w:val="13A92C08"/>
    <w:rsid w:val="1500D781"/>
    <w:rsid w:val="15A88A99"/>
    <w:rsid w:val="16592C57"/>
    <w:rsid w:val="169E6213"/>
    <w:rsid w:val="170FD04E"/>
    <w:rsid w:val="1732AD21"/>
    <w:rsid w:val="18049625"/>
    <w:rsid w:val="181A91CB"/>
    <w:rsid w:val="193B674E"/>
    <w:rsid w:val="199D4B20"/>
    <w:rsid w:val="19F1DE17"/>
    <w:rsid w:val="1A219AFE"/>
    <w:rsid w:val="1A8EB656"/>
    <w:rsid w:val="1A9E8275"/>
    <w:rsid w:val="1AB74A04"/>
    <w:rsid w:val="1BB01E1B"/>
    <w:rsid w:val="1C5A34F5"/>
    <w:rsid w:val="1C6AFAD3"/>
    <w:rsid w:val="1CEAE32C"/>
    <w:rsid w:val="1D768A69"/>
    <w:rsid w:val="1E82FC98"/>
    <w:rsid w:val="1F2A18B4"/>
    <w:rsid w:val="1F6D7D35"/>
    <w:rsid w:val="1FA8B827"/>
    <w:rsid w:val="207A47E7"/>
    <w:rsid w:val="20E00D79"/>
    <w:rsid w:val="218ADE1F"/>
    <w:rsid w:val="21A8D738"/>
    <w:rsid w:val="22D74888"/>
    <w:rsid w:val="22E1DDE3"/>
    <w:rsid w:val="230FAFC2"/>
    <w:rsid w:val="23B106A4"/>
    <w:rsid w:val="2439CBCA"/>
    <w:rsid w:val="249A1077"/>
    <w:rsid w:val="255300A0"/>
    <w:rsid w:val="25F23A87"/>
    <w:rsid w:val="2667AE7E"/>
    <w:rsid w:val="26B27BEC"/>
    <w:rsid w:val="27693E9B"/>
    <w:rsid w:val="287F6D77"/>
    <w:rsid w:val="28ADBA4D"/>
    <w:rsid w:val="291F6F02"/>
    <w:rsid w:val="29CFA187"/>
    <w:rsid w:val="2B486D2F"/>
    <w:rsid w:val="2B8D8D75"/>
    <w:rsid w:val="2B90302B"/>
    <w:rsid w:val="2B9EC52D"/>
    <w:rsid w:val="2BB4FC22"/>
    <w:rsid w:val="2BDCE669"/>
    <w:rsid w:val="2BE00591"/>
    <w:rsid w:val="2BE113BE"/>
    <w:rsid w:val="2C5250EA"/>
    <w:rsid w:val="2CF3C2C8"/>
    <w:rsid w:val="2D796418"/>
    <w:rsid w:val="2DCCA076"/>
    <w:rsid w:val="2E413076"/>
    <w:rsid w:val="2E864412"/>
    <w:rsid w:val="2FEF2E0C"/>
    <w:rsid w:val="30649BE0"/>
    <w:rsid w:val="31670159"/>
    <w:rsid w:val="320D7E2E"/>
    <w:rsid w:val="32BDCBB7"/>
    <w:rsid w:val="34B80399"/>
    <w:rsid w:val="34D57AAA"/>
    <w:rsid w:val="34EFD930"/>
    <w:rsid w:val="353CE67D"/>
    <w:rsid w:val="3546C995"/>
    <w:rsid w:val="35CE3A85"/>
    <w:rsid w:val="35EAF238"/>
    <w:rsid w:val="36B64FD7"/>
    <w:rsid w:val="37AF1DF7"/>
    <w:rsid w:val="381EC8FB"/>
    <w:rsid w:val="38567A17"/>
    <w:rsid w:val="3A8ED8E6"/>
    <w:rsid w:val="3C5B859D"/>
    <w:rsid w:val="3DE87BE7"/>
    <w:rsid w:val="3F269B53"/>
    <w:rsid w:val="3F32ED4A"/>
    <w:rsid w:val="3F58F383"/>
    <w:rsid w:val="3FAE5573"/>
    <w:rsid w:val="3FB526E8"/>
    <w:rsid w:val="409FCCED"/>
    <w:rsid w:val="4135EB18"/>
    <w:rsid w:val="41554A2F"/>
    <w:rsid w:val="42018A1B"/>
    <w:rsid w:val="4214450D"/>
    <w:rsid w:val="423F7E7C"/>
    <w:rsid w:val="43A7EF8F"/>
    <w:rsid w:val="43B19201"/>
    <w:rsid w:val="44612DE3"/>
    <w:rsid w:val="449DD6B0"/>
    <w:rsid w:val="44B42BEF"/>
    <w:rsid w:val="4545A447"/>
    <w:rsid w:val="45DED53B"/>
    <w:rsid w:val="4669F9A7"/>
    <w:rsid w:val="46996EA7"/>
    <w:rsid w:val="47F2CB29"/>
    <w:rsid w:val="48093E9A"/>
    <w:rsid w:val="4887ED9E"/>
    <w:rsid w:val="48F47E45"/>
    <w:rsid w:val="4946035D"/>
    <w:rsid w:val="49DE4A9C"/>
    <w:rsid w:val="4AF5D96B"/>
    <w:rsid w:val="4B2AAD1E"/>
    <w:rsid w:val="4B6C861F"/>
    <w:rsid w:val="4BADE035"/>
    <w:rsid w:val="4BD792B4"/>
    <w:rsid w:val="4CDE36C2"/>
    <w:rsid w:val="4D1DBC19"/>
    <w:rsid w:val="4F75DCE8"/>
    <w:rsid w:val="4F777DD2"/>
    <w:rsid w:val="4F8A9101"/>
    <w:rsid w:val="50ACFF73"/>
    <w:rsid w:val="524B5063"/>
    <w:rsid w:val="53575FA0"/>
    <w:rsid w:val="53F159DC"/>
    <w:rsid w:val="5484C760"/>
    <w:rsid w:val="54C3D778"/>
    <w:rsid w:val="554A8FF0"/>
    <w:rsid w:val="5582D64B"/>
    <w:rsid w:val="55FCF3B2"/>
    <w:rsid w:val="5687E2AF"/>
    <w:rsid w:val="568E03E8"/>
    <w:rsid w:val="56FD81A9"/>
    <w:rsid w:val="571DC3C4"/>
    <w:rsid w:val="5754E3FC"/>
    <w:rsid w:val="576B0197"/>
    <w:rsid w:val="57C705D3"/>
    <w:rsid w:val="5899F565"/>
    <w:rsid w:val="58B5DEB3"/>
    <w:rsid w:val="59EC5AFE"/>
    <w:rsid w:val="5A25286D"/>
    <w:rsid w:val="5A4214CA"/>
    <w:rsid w:val="5A6D3864"/>
    <w:rsid w:val="5A9B11EC"/>
    <w:rsid w:val="5AEF50FA"/>
    <w:rsid w:val="5B9F3EEA"/>
    <w:rsid w:val="5BCB10B6"/>
    <w:rsid w:val="5BE088E8"/>
    <w:rsid w:val="5DA16A56"/>
    <w:rsid w:val="5F0B4EE6"/>
    <w:rsid w:val="60EDBB87"/>
    <w:rsid w:val="610A67D1"/>
    <w:rsid w:val="61204C34"/>
    <w:rsid w:val="6161CC01"/>
    <w:rsid w:val="6263F567"/>
    <w:rsid w:val="626677BF"/>
    <w:rsid w:val="6290A17E"/>
    <w:rsid w:val="6352A687"/>
    <w:rsid w:val="636539BC"/>
    <w:rsid w:val="64175CF3"/>
    <w:rsid w:val="65B8AAFC"/>
    <w:rsid w:val="65DCBF2F"/>
    <w:rsid w:val="65E77CED"/>
    <w:rsid w:val="66DBC7DC"/>
    <w:rsid w:val="67F24330"/>
    <w:rsid w:val="67FB3CF0"/>
    <w:rsid w:val="68D87FF7"/>
    <w:rsid w:val="68FB9E60"/>
    <w:rsid w:val="695D328E"/>
    <w:rsid w:val="6A257348"/>
    <w:rsid w:val="6ADA1942"/>
    <w:rsid w:val="6B0ACE94"/>
    <w:rsid w:val="6B9CAD75"/>
    <w:rsid w:val="6BEECC1C"/>
    <w:rsid w:val="6C2D70A5"/>
    <w:rsid w:val="6CA764CF"/>
    <w:rsid w:val="6CB17B42"/>
    <w:rsid w:val="6CD27A13"/>
    <w:rsid w:val="6D3384A1"/>
    <w:rsid w:val="6D4B627E"/>
    <w:rsid w:val="6DA18EF1"/>
    <w:rsid w:val="6E7F58F2"/>
    <w:rsid w:val="6F0BAE60"/>
    <w:rsid w:val="6F8D534D"/>
    <w:rsid w:val="708C0E15"/>
    <w:rsid w:val="70C52A34"/>
    <w:rsid w:val="70CD5531"/>
    <w:rsid w:val="70DB1DBA"/>
    <w:rsid w:val="711F91F2"/>
    <w:rsid w:val="7177ED11"/>
    <w:rsid w:val="71939586"/>
    <w:rsid w:val="72BB6982"/>
    <w:rsid w:val="73A28054"/>
    <w:rsid w:val="740D08B4"/>
    <w:rsid w:val="760C334E"/>
    <w:rsid w:val="764BA3C4"/>
    <w:rsid w:val="77002377"/>
    <w:rsid w:val="7760BAD8"/>
    <w:rsid w:val="77DF6EEA"/>
    <w:rsid w:val="78C49218"/>
    <w:rsid w:val="78EC70CC"/>
    <w:rsid w:val="794DD201"/>
    <w:rsid w:val="7989C3DF"/>
    <w:rsid w:val="7A01DB46"/>
    <w:rsid w:val="7A3C5CB0"/>
    <w:rsid w:val="7A82D4DA"/>
    <w:rsid w:val="7A9D638D"/>
    <w:rsid w:val="7B2AAC48"/>
    <w:rsid w:val="7BADDB75"/>
    <w:rsid w:val="7C22E7A1"/>
    <w:rsid w:val="7C3C2F95"/>
    <w:rsid w:val="7DE54D67"/>
    <w:rsid w:val="7E4633E7"/>
    <w:rsid w:val="7E917B3C"/>
    <w:rsid w:val="7F8941C7"/>
    <w:rsid w:val="7FE5F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0197"/>
  <w15:chartTrackingRefBased/>
  <w15:docId w15:val="{9C86F516-02B1-458C-968E-8F431EAC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6B0ACE9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B0ACE94"/>
    <w:pPr>
      <w:ind w:left="720"/>
      <w:contextualSpacing/>
    </w:pPr>
  </w:style>
  <w:style w:type="paragraph" w:styleId="Header">
    <w:name w:val="header"/>
    <w:basedOn w:val="Normal"/>
    <w:link w:val="HeaderChar"/>
    <w:uiPriority w:val="99"/>
    <w:unhideWhenUsed/>
    <w:rsid w:val="00D41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346"/>
  </w:style>
  <w:style w:type="paragraph" w:styleId="Footer">
    <w:name w:val="footer"/>
    <w:basedOn w:val="Normal"/>
    <w:link w:val="FooterChar"/>
    <w:uiPriority w:val="99"/>
    <w:unhideWhenUsed/>
    <w:rsid w:val="00D41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346"/>
  </w:style>
  <w:style w:type="paragraph" w:styleId="Revision">
    <w:name w:val="Revision"/>
    <w:hidden/>
    <w:uiPriority w:val="99"/>
    <w:semiHidden/>
    <w:rsid w:val="00D413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3472</Words>
  <Characters>19794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Begum (2017884)</dc:creator>
  <cp:keywords/>
  <dc:description/>
  <cp:lastModifiedBy>Dilara Begum (2017884)</cp:lastModifiedBy>
  <cp:revision>2</cp:revision>
  <dcterms:created xsi:type="dcterms:W3CDTF">2025-11-26T14:12:00Z</dcterms:created>
  <dcterms:modified xsi:type="dcterms:W3CDTF">2025-11-26T14:12:00Z</dcterms:modified>
</cp:coreProperties>
</file>