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C42546" w14:textId="3B95A82A" w:rsidR="0010197F" w:rsidRPr="0080536E" w:rsidRDefault="00E502A4" w:rsidP="05F312C3">
      <w:pPr>
        <w:jc w:val="center"/>
        <w:rPr>
          <w:b/>
          <w:bCs/>
          <w:sz w:val="40"/>
          <w:szCs w:val="22"/>
          <w:u w:val="single"/>
        </w:rPr>
      </w:pPr>
      <w:r>
        <w:rPr>
          <w:b/>
          <w:bCs/>
          <w:sz w:val="40"/>
          <w:szCs w:val="22"/>
          <w:u w:val="single"/>
        </w:rPr>
        <w:t xml:space="preserve">1500008 - </w:t>
      </w:r>
      <w:r w:rsidR="05F312C3" w:rsidRPr="0080536E">
        <w:rPr>
          <w:b/>
          <w:bCs/>
          <w:sz w:val="40"/>
          <w:szCs w:val="22"/>
          <w:u w:val="single"/>
        </w:rPr>
        <w:t>ECAD6004</w:t>
      </w:r>
    </w:p>
    <w:p w14:paraId="672A6659" w14:textId="77777777" w:rsidR="00E86E06" w:rsidRPr="0080536E" w:rsidRDefault="00E86E06" w:rsidP="00F71797">
      <w:pPr>
        <w:jc w:val="center"/>
        <w:rPr>
          <w:b/>
          <w:sz w:val="22"/>
          <w:szCs w:val="22"/>
          <w:u w:val="single"/>
        </w:rPr>
      </w:pPr>
    </w:p>
    <w:p w14:paraId="41A6B492" w14:textId="77777777" w:rsidR="00E86E06" w:rsidRPr="0080536E" w:rsidRDefault="00C708D9" w:rsidP="00F71797">
      <w:pPr>
        <w:jc w:val="center"/>
        <w:rPr>
          <w:sz w:val="44"/>
          <w:szCs w:val="22"/>
        </w:rPr>
      </w:pPr>
      <w:hyperlink r:id="rId5" w:history="1">
        <w:r w:rsidR="00FD76C5" w:rsidRPr="0080536E">
          <w:rPr>
            <w:rStyle w:val="Hyperlink"/>
            <w:sz w:val="44"/>
            <w:szCs w:val="22"/>
          </w:rPr>
          <w:t>https://youtu.be/9PLZY7wTyTM</w:t>
        </w:r>
      </w:hyperlink>
      <w:r w:rsidR="00FD76C5" w:rsidRPr="0080536E">
        <w:rPr>
          <w:sz w:val="44"/>
          <w:szCs w:val="22"/>
        </w:rPr>
        <w:t xml:space="preserve"> </w:t>
      </w:r>
    </w:p>
    <w:p w14:paraId="0A37501D" w14:textId="77777777" w:rsidR="00E86E06" w:rsidRPr="0080536E" w:rsidRDefault="00E86E06" w:rsidP="00F71797">
      <w:pPr>
        <w:jc w:val="center"/>
        <w:rPr>
          <w:sz w:val="22"/>
          <w:szCs w:val="22"/>
        </w:rPr>
      </w:pPr>
    </w:p>
    <w:p w14:paraId="43C9F14B" w14:textId="77777777" w:rsidR="00C708D9" w:rsidRPr="00C708D9" w:rsidRDefault="00C708D9" w:rsidP="00C708D9">
      <w:pPr>
        <w:spacing w:line="360" w:lineRule="auto"/>
        <w:rPr>
          <w:rFonts w:ascii="Arial" w:hAnsi="Arial" w:cs="Arial"/>
          <w:b/>
          <w:color w:val="000000" w:themeColor="text1"/>
          <w:sz w:val="22"/>
          <w:szCs w:val="22"/>
        </w:rPr>
      </w:pPr>
      <w:r w:rsidRPr="00C708D9">
        <w:rPr>
          <w:rFonts w:ascii="Arial" w:hAnsi="Arial" w:cs="Arial"/>
          <w:b/>
          <w:color w:val="000000" w:themeColor="text1"/>
          <w:sz w:val="22"/>
          <w:szCs w:val="22"/>
        </w:rPr>
        <w:t>Introductions</w:t>
      </w:r>
    </w:p>
    <w:p w14:paraId="353A94F3" w14:textId="77777777" w:rsidR="00C708D9" w:rsidRPr="00C708D9" w:rsidRDefault="00C708D9" w:rsidP="00C708D9">
      <w:pPr>
        <w:spacing w:line="360" w:lineRule="auto"/>
        <w:rPr>
          <w:rFonts w:ascii="Arial" w:hAnsi="Arial" w:cs="Arial"/>
          <w:color w:val="000000" w:themeColor="text1"/>
          <w:sz w:val="22"/>
          <w:szCs w:val="22"/>
        </w:rPr>
      </w:pPr>
      <w:r w:rsidRPr="00C708D9">
        <w:rPr>
          <w:rFonts w:ascii="Arial" w:hAnsi="Arial" w:cs="Arial"/>
          <w:color w:val="000000" w:themeColor="text1"/>
          <w:sz w:val="22"/>
          <w:szCs w:val="22"/>
        </w:rPr>
        <w:t xml:space="preserve">Koestler’s (1964, cited in Willison, 2010:176p) definition of creativity is the ‘ability to make connections between previously unconnected ideas’. This definition focuses on a person’s ability to draw on past experiences and knowledge and be able to apply it to different situation. According to the NACCCE (1999: 30) creativity can be defined as an ‘Imaginative activity fashioned to produce outcomes that are both original and of value’. If the NACCCE definition is what a child’s idea needs to be creative, then this definition is the process behind the idea. Dust (1999 cited in Willison, 2010:176p) suggests that there are four phases of creativity. </w:t>
      </w:r>
    </w:p>
    <w:p w14:paraId="23710BCA" w14:textId="77777777" w:rsidR="00C708D9" w:rsidRPr="00C708D9" w:rsidRDefault="00C708D9" w:rsidP="00C708D9">
      <w:pPr>
        <w:spacing w:line="360" w:lineRule="auto"/>
        <w:rPr>
          <w:rFonts w:ascii="Arial" w:hAnsi="Arial" w:cs="Arial"/>
          <w:b/>
          <w:color w:val="000000" w:themeColor="text1"/>
          <w:sz w:val="22"/>
          <w:szCs w:val="22"/>
        </w:rPr>
      </w:pPr>
    </w:p>
    <w:p w14:paraId="42DE123C" w14:textId="77777777" w:rsidR="00C708D9" w:rsidRPr="00C708D9" w:rsidRDefault="00C708D9" w:rsidP="00C708D9">
      <w:pPr>
        <w:spacing w:line="360" w:lineRule="auto"/>
        <w:rPr>
          <w:rFonts w:ascii="Arial" w:hAnsi="Arial" w:cs="Arial"/>
          <w:color w:val="000000" w:themeColor="text1"/>
          <w:sz w:val="22"/>
          <w:szCs w:val="22"/>
        </w:rPr>
      </w:pPr>
      <w:r w:rsidRPr="00C708D9">
        <w:rPr>
          <w:rFonts w:ascii="Arial" w:hAnsi="Arial" w:cs="Arial"/>
          <w:color w:val="000000" w:themeColor="text1"/>
          <w:sz w:val="22"/>
          <w:szCs w:val="22"/>
        </w:rPr>
        <w:t>For me to create a successful mental attitude I would use Costa’s (2008) ‘16 Habits of Mind’ which are linked to people with successful m</w:t>
      </w:r>
      <w:bookmarkStart w:id="0" w:name="_GoBack"/>
      <w:bookmarkEnd w:id="0"/>
      <w:r w:rsidRPr="00C708D9">
        <w:rPr>
          <w:rFonts w:ascii="Arial" w:hAnsi="Arial" w:cs="Arial"/>
          <w:color w:val="000000" w:themeColor="text1"/>
          <w:sz w:val="22"/>
          <w:szCs w:val="22"/>
        </w:rPr>
        <w:t xml:space="preserve">ind sets. These dispositions would be at the heart of my lesson and I would ensure that pupils develop one or more disposition in each lesson or activity.  </w:t>
      </w:r>
    </w:p>
    <w:p w14:paraId="5C6E5712" w14:textId="77777777" w:rsidR="00C708D9" w:rsidRPr="00C708D9" w:rsidRDefault="00C708D9" w:rsidP="00C708D9">
      <w:pPr>
        <w:spacing w:line="360" w:lineRule="auto"/>
        <w:rPr>
          <w:rFonts w:ascii="Arial" w:hAnsi="Arial" w:cs="Arial"/>
          <w:color w:val="000000" w:themeColor="text1"/>
          <w:sz w:val="22"/>
          <w:szCs w:val="22"/>
        </w:rPr>
      </w:pPr>
    </w:p>
    <w:p w14:paraId="100F2E20" w14:textId="77777777" w:rsidR="00C708D9" w:rsidRPr="00C708D9" w:rsidRDefault="00C708D9" w:rsidP="00C708D9">
      <w:pPr>
        <w:spacing w:line="360" w:lineRule="auto"/>
        <w:rPr>
          <w:rFonts w:ascii="Arial" w:hAnsi="Arial" w:cs="Arial"/>
          <w:color w:val="000000" w:themeColor="text1"/>
          <w:sz w:val="22"/>
          <w:szCs w:val="22"/>
        </w:rPr>
      </w:pPr>
      <w:r w:rsidRPr="00C708D9">
        <w:rPr>
          <w:rFonts w:ascii="Arial" w:hAnsi="Arial" w:cs="Arial"/>
          <w:color w:val="000000" w:themeColor="text1"/>
          <w:sz w:val="22"/>
          <w:szCs w:val="22"/>
        </w:rPr>
        <w:t xml:space="preserve">I want to create an environment where pupils are able to see a problem and not immediately give up, but to show resilience by first not immediately knowing the solution but responding positively to the challenge by seeking out the solution. This is what Costa wants to develop through his Habits of Mind. However, Costa and Kallick (2008) suggest that these dispositions have to be developed over a long period of time. Furthermore, if these dispositions are employed at home, they become internalised and reinforced. </w:t>
      </w:r>
    </w:p>
    <w:p w14:paraId="31693A46" w14:textId="77777777" w:rsidR="00C708D9" w:rsidRPr="00C708D9" w:rsidRDefault="00C708D9" w:rsidP="00C708D9">
      <w:pPr>
        <w:spacing w:line="360" w:lineRule="auto"/>
        <w:rPr>
          <w:rFonts w:ascii="Arial" w:hAnsi="Arial" w:cs="Arial"/>
          <w:color w:val="000000" w:themeColor="text1"/>
          <w:sz w:val="22"/>
          <w:szCs w:val="22"/>
        </w:rPr>
      </w:pPr>
    </w:p>
    <w:p w14:paraId="2CED4F32" w14:textId="77777777" w:rsidR="00C708D9" w:rsidRPr="00C708D9" w:rsidRDefault="00C708D9" w:rsidP="00C708D9">
      <w:pPr>
        <w:spacing w:line="360" w:lineRule="auto"/>
        <w:rPr>
          <w:rFonts w:ascii="Arial" w:hAnsi="Arial" w:cs="Arial"/>
          <w:color w:val="000000" w:themeColor="text1"/>
          <w:sz w:val="22"/>
          <w:szCs w:val="22"/>
        </w:rPr>
      </w:pPr>
      <w:r w:rsidRPr="00C708D9">
        <w:rPr>
          <w:rFonts w:ascii="Arial" w:hAnsi="Arial" w:cs="Arial"/>
          <w:color w:val="000000" w:themeColor="text1"/>
          <w:sz w:val="22"/>
          <w:szCs w:val="22"/>
        </w:rPr>
        <w:t>The benefits of creating the ‘Habits of Mind’ learning environment is that pupils become problem solvers, thoughtful decision makers, creative thinkers and develop the skills they need to overcome challenges in day to day life. However, Throne (2007) suggests that creating the correct environment can be a challenge, as other teachers might not fully understand the process of innovation and creativity. Therefore, I recommend that we should train teachers in how the 16 dispositions can create the right learning environment and to instil in teachers a self-proclaimed prophecy where all children can be creative in their own way.</w:t>
      </w:r>
    </w:p>
    <w:p w14:paraId="2703FABF" w14:textId="77777777" w:rsidR="00C708D9" w:rsidRPr="00C708D9" w:rsidRDefault="00C708D9" w:rsidP="00C708D9">
      <w:pPr>
        <w:spacing w:line="360" w:lineRule="auto"/>
        <w:rPr>
          <w:rFonts w:ascii="Arial" w:hAnsi="Arial" w:cs="Arial"/>
          <w:color w:val="000000" w:themeColor="text1"/>
          <w:sz w:val="22"/>
          <w:szCs w:val="22"/>
        </w:rPr>
      </w:pPr>
    </w:p>
    <w:p w14:paraId="5EB73319" w14:textId="77777777" w:rsidR="00C708D9" w:rsidRPr="00C708D9" w:rsidRDefault="00C708D9" w:rsidP="00C708D9">
      <w:pPr>
        <w:spacing w:line="360" w:lineRule="auto"/>
        <w:rPr>
          <w:rFonts w:ascii="Arial" w:hAnsi="Arial" w:cs="Arial"/>
          <w:color w:val="000000" w:themeColor="text1"/>
          <w:sz w:val="22"/>
          <w:szCs w:val="22"/>
          <w:lang w:eastAsia="en-GB"/>
        </w:rPr>
      </w:pPr>
      <w:r w:rsidRPr="00C708D9">
        <w:rPr>
          <w:rFonts w:ascii="Arial" w:hAnsi="Arial" w:cs="Arial"/>
          <w:color w:val="000000" w:themeColor="text1"/>
          <w:sz w:val="22"/>
          <w:szCs w:val="22"/>
        </w:rPr>
        <w:t xml:space="preserve">The forest environment is where I want to immerse the pupils by letting them use their own creativity to accomplish challenges and to take risks. </w:t>
      </w:r>
      <w:r w:rsidRPr="00C708D9">
        <w:rPr>
          <w:rFonts w:ascii="Arial" w:hAnsi="Arial" w:cs="Arial"/>
          <w:color w:val="000000" w:themeColor="text1"/>
          <w:sz w:val="22"/>
          <w:szCs w:val="22"/>
          <w:lang w:eastAsia="en-GB"/>
        </w:rPr>
        <w:t xml:space="preserve">Sandseter (2009) has carried out research into the benefits and need to provide children with the opportunity to play in risky environments outdoors. </w:t>
      </w:r>
      <w:r w:rsidRPr="00C708D9">
        <w:rPr>
          <w:rFonts w:ascii="Arial" w:hAnsi="Arial" w:cs="Arial"/>
          <w:color w:val="000000" w:themeColor="text1"/>
          <w:sz w:val="22"/>
          <w:szCs w:val="22"/>
        </w:rPr>
        <w:t xml:space="preserve">This is why I wanted them first to have the 16 habits of mind internalised, so they have the freedom to be creative and the tools they will need to be successful.  </w:t>
      </w:r>
    </w:p>
    <w:p w14:paraId="35302B63" w14:textId="77777777" w:rsidR="00C708D9" w:rsidRPr="00C708D9" w:rsidRDefault="00C708D9" w:rsidP="00C708D9">
      <w:pPr>
        <w:spacing w:line="360" w:lineRule="auto"/>
        <w:rPr>
          <w:rFonts w:ascii="Arial" w:hAnsi="Arial" w:cs="Arial"/>
          <w:color w:val="000000" w:themeColor="text1"/>
          <w:sz w:val="22"/>
          <w:szCs w:val="22"/>
        </w:rPr>
      </w:pPr>
    </w:p>
    <w:p w14:paraId="13FD3E9F" w14:textId="77777777" w:rsidR="00C708D9" w:rsidRPr="00C708D9" w:rsidRDefault="00C708D9" w:rsidP="00C708D9">
      <w:pPr>
        <w:spacing w:line="360" w:lineRule="auto"/>
        <w:rPr>
          <w:rFonts w:ascii="Arial" w:hAnsi="Arial" w:cs="Arial"/>
          <w:color w:val="000000" w:themeColor="text1"/>
          <w:sz w:val="22"/>
          <w:szCs w:val="22"/>
        </w:rPr>
      </w:pPr>
      <w:r w:rsidRPr="00C708D9">
        <w:rPr>
          <w:rFonts w:ascii="Arial" w:hAnsi="Arial" w:cs="Arial"/>
          <w:color w:val="000000" w:themeColor="text1"/>
          <w:sz w:val="22"/>
          <w:szCs w:val="22"/>
        </w:rPr>
        <w:t xml:space="preserve">I wanted to create a day with different activities to show the different areas of creativity such as: collaboration, imagination, inquisitive, persistence and discipline. These areas are taken from the work of Lucas Et al (2013) who created a tool that can be used to assess pupil’s creativity. I would put a ‘Bear </w:t>
      </w:r>
      <w:r w:rsidRPr="00C708D9">
        <w:rPr>
          <w:rFonts w:ascii="Arial" w:hAnsi="Arial" w:cs="Arial"/>
          <w:color w:val="000000" w:themeColor="text1"/>
          <w:sz w:val="22"/>
          <w:szCs w:val="22"/>
        </w:rPr>
        <w:lastRenderedPageBreak/>
        <w:t>Grylls Survival Day’ on where the pupils would need to use the 16 habits of mind to get through the challenges. There will be a number of tasks for them to complete. During the past term, I would have given the key pieces of knowledge they would need to overcome the tasks set, so they can apply the knowledge they have obtained in a different context.</w:t>
      </w:r>
    </w:p>
    <w:p w14:paraId="75582270" w14:textId="77777777" w:rsidR="00C708D9" w:rsidRPr="00C708D9" w:rsidRDefault="00C708D9" w:rsidP="00C708D9">
      <w:pPr>
        <w:spacing w:line="360" w:lineRule="auto"/>
        <w:rPr>
          <w:rFonts w:ascii="Arial" w:hAnsi="Arial" w:cs="Arial"/>
          <w:color w:val="000000" w:themeColor="text1"/>
          <w:sz w:val="22"/>
          <w:szCs w:val="22"/>
          <w:lang w:eastAsia="en-GB"/>
        </w:rPr>
      </w:pPr>
    </w:p>
    <w:p w14:paraId="512E2A3B" w14:textId="77777777" w:rsidR="00C708D9" w:rsidRPr="00C708D9" w:rsidRDefault="00C708D9" w:rsidP="00C708D9">
      <w:pPr>
        <w:spacing w:line="360" w:lineRule="auto"/>
        <w:rPr>
          <w:rFonts w:ascii="Arial" w:hAnsi="Arial" w:cs="Arial"/>
          <w:color w:val="000000" w:themeColor="text1"/>
          <w:sz w:val="22"/>
          <w:szCs w:val="22"/>
          <w:lang w:eastAsia="en-GB"/>
        </w:rPr>
      </w:pPr>
      <w:r w:rsidRPr="00C708D9">
        <w:rPr>
          <w:rFonts w:ascii="Arial" w:hAnsi="Arial" w:cs="Arial"/>
          <w:color w:val="000000" w:themeColor="text1"/>
          <w:sz w:val="22"/>
          <w:szCs w:val="22"/>
          <w:lang w:eastAsia="en-GB"/>
        </w:rPr>
        <w:t xml:space="preserve">Humberstone and Stan (2011) carried out research into schools in Scandinavian countries which utilise outdoor learning. They have long seen the importance the environment has on the physical, emotional and intellectual development of a child. Also, Waite, Davis, and Brown (2006) suggest that increasing the availability and accessibility a child has to outdoor experiences would provide them with greater creativity and encourage life-long learning. </w:t>
      </w:r>
    </w:p>
    <w:p w14:paraId="731709E6" w14:textId="77777777" w:rsidR="00C708D9" w:rsidRPr="00C708D9" w:rsidRDefault="00C708D9" w:rsidP="00C708D9">
      <w:pPr>
        <w:spacing w:line="360" w:lineRule="auto"/>
        <w:rPr>
          <w:rFonts w:ascii="Arial" w:hAnsi="Arial" w:cs="Arial"/>
          <w:color w:val="000000" w:themeColor="text1"/>
          <w:sz w:val="22"/>
          <w:szCs w:val="22"/>
        </w:rPr>
      </w:pPr>
    </w:p>
    <w:p w14:paraId="55E3AF0B" w14:textId="77777777" w:rsidR="00C708D9" w:rsidRPr="00C708D9" w:rsidRDefault="00C708D9" w:rsidP="00C708D9">
      <w:pPr>
        <w:spacing w:line="360" w:lineRule="auto"/>
        <w:rPr>
          <w:rFonts w:ascii="Arial" w:hAnsi="Arial" w:cs="Arial"/>
          <w:color w:val="000000" w:themeColor="text1"/>
          <w:sz w:val="22"/>
          <w:szCs w:val="22"/>
        </w:rPr>
      </w:pPr>
      <w:r w:rsidRPr="00C708D9">
        <w:rPr>
          <w:rFonts w:ascii="Arial" w:hAnsi="Arial" w:cs="Arial"/>
          <w:color w:val="000000" w:themeColor="text1"/>
          <w:sz w:val="22"/>
          <w:szCs w:val="22"/>
        </w:rPr>
        <w:t xml:space="preserve">Following Dust’s (1999) four phases of creativity, I will hopefully see the pupils process of thinking and applying this theory to practice. Firstly, when they come to the challenge they would start to investigate it and start to create ideas. I would give the team a couple of minutes to investigate the challenge this would be the Preparation phase of the creative process. Next, I would ask them to go for a little walk to generate ideas, this is called Divergent thinking (Guildford, 1967). This is the period of incubation, as pupils subconsciously start thinking about the problem when separated from it. Research by Oppezzo and Schwartz (2014) found that walking can boost creative thinking and idea generating, it’s the act of walking and not just the environment that they walk in that provide the creative boost. However, Oppezzo (2014) suggested that this strategy only applies to the divergent thinking of creating multiple ideas but not to the convergent thinking of the focusing of the ideas. Therefore, I suggest using this approach for pupils to generate ideas, but not as a strategy to focus the ideas. At the end of the incubation phase they will hopefully have revelations in possible solutions to the problem. This leads on to the last phase Verification, where pupils communicate possible solutions and as a team use trial and error to find the correct solution. This is supported by Malaguzzi (1993) who argues that a pupil’s creative experience can become more effective when they exchange with their peers, compare ideas and resolve conflict. </w:t>
      </w:r>
    </w:p>
    <w:p w14:paraId="1ABF27D1" w14:textId="77777777" w:rsidR="00C708D9" w:rsidRPr="00C708D9" w:rsidRDefault="00C708D9" w:rsidP="00C708D9">
      <w:pPr>
        <w:spacing w:line="360" w:lineRule="auto"/>
        <w:rPr>
          <w:rFonts w:ascii="Arial" w:hAnsi="Arial" w:cs="Arial"/>
          <w:b/>
          <w:color w:val="000000" w:themeColor="text1"/>
          <w:sz w:val="22"/>
          <w:szCs w:val="22"/>
        </w:rPr>
      </w:pPr>
    </w:p>
    <w:p w14:paraId="32674934" w14:textId="77777777" w:rsidR="00C708D9" w:rsidRPr="00C708D9" w:rsidRDefault="00C708D9" w:rsidP="00C708D9">
      <w:pPr>
        <w:spacing w:line="360" w:lineRule="auto"/>
        <w:rPr>
          <w:rFonts w:ascii="Arial" w:eastAsia="Calibri" w:hAnsi="Arial" w:cs="Arial"/>
          <w:color w:val="000000" w:themeColor="text1"/>
          <w:sz w:val="22"/>
          <w:szCs w:val="22"/>
          <w:lang w:eastAsia="en-GB"/>
        </w:rPr>
      </w:pPr>
      <w:r w:rsidRPr="00C708D9">
        <w:rPr>
          <w:rFonts w:ascii="Arial" w:eastAsia="Calibri" w:hAnsi="Arial" w:cs="Arial"/>
          <w:color w:val="000000" w:themeColor="text1"/>
          <w:sz w:val="22"/>
          <w:szCs w:val="22"/>
          <w:lang w:eastAsia="en-GB"/>
        </w:rPr>
        <w:t xml:space="preserve">My role during the ‘Bear Grylls Survival day’ is as a coach, a facilitator of learning and a supporter of the pupil’s creativity. This is supported by Throne (2007) who agrees that teachers should help coach pupils when facing challenges and provide some support when needed. However, I will have to ensure that I am careful with my interaction with the pupils because Malaguzzi (1993) suggests that adults can potentially interfere with pupil’s creativity by giving their own opinion </w:t>
      </w:r>
      <w:r w:rsidRPr="00C708D9">
        <w:rPr>
          <w:rFonts w:ascii="Arial" w:hAnsi="Arial" w:cs="Arial"/>
          <w:color w:val="000000" w:themeColor="text1"/>
          <w:sz w:val="22"/>
          <w:szCs w:val="22"/>
        </w:rPr>
        <w:t>and thereby not giving pupils the opportunity</w:t>
      </w:r>
      <w:r w:rsidRPr="00C708D9">
        <w:rPr>
          <w:rFonts w:ascii="Arial" w:eastAsia="Calibri" w:hAnsi="Arial" w:cs="Arial"/>
          <w:color w:val="000000" w:themeColor="text1"/>
          <w:sz w:val="22"/>
          <w:szCs w:val="22"/>
          <w:lang w:eastAsia="en-GB"/>
        </w:rPr>
        <w:t xml:space="preserve"> to seek a possible solution themselves. Therefore, I will make sure that I limit my interactions with the pupils and choose carefully what I say.</w:t>
      </w:r>
    </w:p>
    <w:p w14:paraId="3F702649" w14:textId="77777777" w:rsidR="00C708D9" w:rsidRPr="00C708D9" w:rsidRDefault="00C708D9" w:rsidP="00C708D9">
      <w:pPr>
        <w:spacing w:line="360" w:lineRule="auto"/>
        <w:rPr>
          <w:rFonts w:ascii="Arial" w:hAnsi="Arial" w:cs="Arial"/>
          <w:color w:val="000000" w:themeColor="text1"/>
          <w:sz w:val="22"/>
          <w:szCs w:val="22"/>
        </w:rPr>
      </w:pPr>
    </w:p>
    <w:p w14:paraId="4C79828E" w14:textId="77777777" w:rsidR="00C708D9" w:rsidRPr="00C708D9" w:rsidRDefault="00C708D9" w:rsidP="00C708D9">
      <w:pPr>
        <w:spacing w:line="360" w:lineRule="auto"/>
        <w:rPr>
          <w:rFonts w:ascii="Arial" w:hAnsi="Arial" w:cs="Arial"/>
          <w:color w:val="000000" w:themeColor="text1"/>
          <w:sz w:val="22"/>
          <w:szCs w:val="22"/>
          <w:u w:color="000000"/>
        </w:rPr>
      </w:pPr>
      <w:r w:rsidRPr="00C708D9">
        <w:rPr>
          <w:rFonts w:ascii="Arial" w:hAnsi="Arial" w:cs="Arial"/>
          <w:color w:val="000000" w:themeColor="text1"/>
          <w:sz w:val="22"/>
          <w:szCs w:val="22"/>
        </w:rPr>
        <w:t xml:space="preserve">To conclude, these are just a handful of strategies and approaches I can use in my practice to cultivate creativity in the pupils within the classroom and beyond. </w:t>
      </w:r>
    </w:p>
    <w:p w14:paraId="157ABDE5" w14:textId="6C9258BA" w:rsidR="0080536E" w:rsidRPr="00C708D9" w:rsidRDefault="0080536E" w:rsidP="00C708D9">
      <w:pPr>
        <w:spacing w:line="360" w:lineRule="auto"/>
        <w:rPr>
          <w:rFonts w:ascii="Arial" w:hAnsi="Arial" w:cs="Arial"/>
          <w:sz w:val="22"/>
          <w:szCs w:val="22"/>
          <w:u w:val="single"/>
        </w:rPr>
      </w:pPr>
    </w:p>
    <w:p w14:paraId="4562BAED" w14:textId="77777777" w:rsidR="00C708D9" w:rsidRPr="00C708D9" w:rsidRDefault="00C708D9" w:rsidP="00C708D9">
      <w:pPr>
        <w:spacing w:line="360" w:lineRule="auto"/>
        <w:rPr>
          <w:rFonts w:ascii="Arial" w:hAnsi="Arial" w:cs="Arial"/>
          <w:sz w:val="22"/>
          <w:szCs w:val="22"/>
          <w:u w:val="single"/>
        </w:rPr>
      </w:pPr>
    </w:p>
    <w:p w14:paraId="7643ED90" w14:textId="77777777" w:rsidR="0080536E" w:rsidRPr="00C708D9" w:rsidRDefault="0080536E" w:rsidP="00C708D9">
      <w:pPr>
        <w:spacing w:line="360" w:lineRule="auto"/>
        <w:rPr>
          <w:rFonts w:ascii="Arial" w:hAnsi="Arial" w:cs="Arial"/>
          <w:sz w:val="22"/>
          <w:szCs w:val="22"/>
          <w:u w:val="single"/>
        </w:rPr>
      </w:pPr>
    </w:p>
    <w:p w14:paraId="3B67569F" w14:textId="20D3BE9A" w:rsidR="00E86E06" w:rsidRPr="00C708D9" w:rsidRDefault="05F312C3" w:rsidP="00C708D9">
      <w:pPr>
        <w:spacing w:line="360" w:lineRule="auto"/>
        <w:rPr>
          <w:rFonts w:ascii="Arial" w:hAnsi="Arial" w:cs="Arial"/>
          <w:color w:val="000000" w:themeColor="text1"/>
          <w:sz w:val="22"/>
          <w:szCs w:val="22"/>
        </w:rPr>
      </w:pPr>
      <w:r w:rsidRPr="00C708D9">
        <w:rPr>
          <w:rFonts w:ascii="Arial" w:hAnsi="Arial" w:cs="Arial"/>
          <w:sz w:val="22"/>
          <w:szCs w:val="22"/>
          <w:u w:val="single"/>
        </w:rPr>
        <w:lastRenderedPageBreak/>
        <w:t>Reference list</w:t>
      </w:r>
    </w:p>
    <w:p w14:paraId="44EAFD9C" w14:textId="77777777" w:rsidR="00E86E06" w:rsidRPr="00C708D9" w:rsidRDefault="00E86E06" w:rsidP="00C708D9">
      <w:pPr>
        <w:spacing w:line="360" w:lineRule="auto"/>
        <w:rPr>
          <w:rFonts w:ascii="Arial" w:hAnsi="Arial" w:cs="Arial"/>
          <w:sz w:val="22"/>
          <w:szCs w:val="22"/>
        </w:rPr>
      </w:pPr>
    </w:p>
    <w:p w14:paraId="1E3AEB5E" w14:textId="77777777" w:rsidR="00E86E06" w:rsidRPr="00C708D9" w:rsidRDefault="05F312C3" w:rsidP="00C708D9">
      <w:pPr>
        <w:spacing w:line="360" w:lineRule="auto"/>
        <w:rPr>
          <w:rFonts w:ascii="Arial" w:hAnsi="Arial" w:cs="Arial"/>
          <w:sz w:val="22"/>
          <w:szCs w:val="22"/>
        </w:rPr>
      </w:pPr>
      <w:r w:rsidRPr="00C708D9">
        <w:rPr>
          <w:rFonts w:ascii="Arial" w:hAnsi="Arial" w:cs="Arial"/>
          <w:sz w:val="22"/>
          <w:szCs w:val="22"/>
        </w:rPr>
        <w:t xml:space="preserve">Costa, A. Kallick, B. (2008) </w:t>
      </w:r>
      <w:r w:rsidRPr="00C708D9">
        <w:rPr>
          <w:rFonts w:ascii="Arial" w:hAnsi="Arial" w:cs="Arial"/>
          <w:i/>
          <w:iCs/>
          <w:sz w:val="22"/>
          <w:szCs w:val="22"/>
        </w:rPr>
        <w:t>Learning and Leading with Habits of Mind,</w:t>
      </w:r>
      <w:r w:rsidRPr="00C708D9">
        <w:rPr>
          <w:rFonts w:ascii="Arial" w:hAnsi="Arial" w:cs="Arial"/>
          <w:sz w:val="22"/>
          <w:szCs w:val="22"/>
        </w:rPr>
        <w:t xml:space="preserve"> Virginia: ASCD.</w:t>
      </w:r>
    </w:p>
    <w:p w14:paraId="4B94D5A5" w14:textId="77777777" w:rsidR="00E86E06" w:rsidRPr="00C708D9" w:rsidRDefault="00E86E06" w:rsidP="00C708D9">
      <w:pPr>
        <w:spacing w:line="360" w:lineRule="auto"/>
        <w:rPr>
          <w:rFonts w:ascii="Arial" w:hAnsi="Arial" w:cs="Arial"/>
          <w:sz w:val="22"/>
          <w:szCs w:val="22"/>
          <w:u w:val="single"/>
        </w:rPr>
      </w:pPr>
    </w:p>
    <w:p w14:paraId="3B24BA6A" w14:textId="42ABD4D5" w:rsidR="00E86E06" w:rsidRPr="00C708D9" w:rsidRDefault="05F312C3" w:rsidP="00C708D9">
      <w:pPr>
        <w:widowControl w:val="0"/>
        <w:autoSpaceDE w:val="0"/>
        <w:autoSpaceDN w:val="0"/>
        <w:adjustRightInd w:val="0"/>
        <w:spacing w:line="360" w:lineRule="auto"/>
        <w:rPr>
          <w:rFonts w:ascii="Arial" w:hAnsi="Arial" w:cs="Arial"/>
          <w:color w:val="000000" w:themeColor="text1"/>
          <w:sz w:val="22"/>
          <w:szCs w:val="22"/>
        </w:rPr>
      </w:pPr>
      <w:r w:rsidRPr="00C708D9">
        <w:rPr>
          <w:rFonts w:ascii="Arial" w:hAnsi="Arial" w:cs="Arial"/>
          <w:color w:val="000000" w:themeColor="text1"/>
          <w:sz w:val="22"/>
          <w:szCs w:val="22"/>
        </w:rPr>
        <w:t xml:space="preserve">Donaldson, G. (2015) </w:t>
      </w:r>
      <w:r w:rsidRPr="00C708D9">
        <w:rPr>
          <w:rFonts w:ascii="Arial" w:hAnsi="Arial" w:cs="Arial"/>
          <w:i/>
          <w:iCs/>
          <w:color w:val="000000" w:themeColor="text1"/>
          <w:sz w:val="22"/>
          <w:szCs w:val="22"/>
        </w:rPr>
        <w:t>Successful Futures Independent Review of Curriculum and Assessment Arrangements in Wales</w:t>
      </w:r>
      <w:r w:rsidRPr="00C708D9">
        <w:rPr>
          <w:rFonts w:ascii="Arial" w:hAnsi="Arial" w:cs="Arial"/>
          <w:color w:val="000000" w:themeColor="text1"/>
          <w:sz w:val="22"/>
          <w:szCs w:val="22"/>
        </w:rPr>
        <w:t xml:space="preserve">. </w:t>
      </w:r>
    </w:p>
    <w:p w14:paraId="0099316D" w14:textId="77777777" w:rsidR="00E86E06" w:rsidRPr="00C708D9" w:rsidRDefault="05F312C3" w:rsidP="00C708D9">
      <w:pPr>
        <w:spacing w:line="360" w:lineRule="auto"/>
        <w:rPr>
          <w:rFonts w:ascii="Arial" w:hAnsi="Arial" w:cs="Arial"/>
          <w:color w:val="000000" w:themeColor="text1"/>
          <w:sz w:val="22"/>
          <w:szCs w:val="22"/>
          <w:lang w:eastAsia="en-GB"/>
        </w:rPr>
      </w:pPr>
      <w:r w:rsidRPr="00C708D9">
        <w:rPr>
          <w:rFonts w:ascii="Arial" w:hAnsi="Arial" w:cs="Arial"/>
          <w:color w:val="000000" w:themeColor="text1"/>
          <w:sz w:val="22"/>
          <w:szCs w:val="22"/>
        </w:rPr>
        <w:t xml:space="preserve">Available at: </w:t>
      </w:r>
      <w:hyperlink r:id="rId6">
        <w:r w:rsidRPr="00C708D9">
          <w:rPr>
            <w:rStyle w:val="Hyperlink"/>
            <w:rFonts w:ascii="Arial" w:hAnsi="Arial" w:cs="Arial"/>
            <w:color w:val="000000" w:themeColor="text1"/>
            <w:sz w:val="22"/>
            <w:szCs w:val="22"/>
          </w:rPr>
          <w:t>http://gov.wales/docs/dcells/publications/150225-successful-futures-en.pdf</w:t>
        </w:r>
      </w:hyperlink>
      <w:r w:rsidRPr="00C708D9">
        <w:rPr>
          <w:rFonts w:ascii="Arial" w:hAnsi="Arial" w:cs="Arial"/>
          <w:color w:val="000000" w:themeColor="text1"/>
          <w:sz w:val="22"/>
          <w:szCs w:val="22"/>
        </w:rPr>
        <w:t xml:space="preserve">   [Accessed: 5 March 2018].</w:t>
      </w:r>
    </w:p>
    <w:p w14:paraId="3DEEC669" w14:textId="77777777" w:rsidR="00E86E06" w:rsidRPr="00C708D9" w:rsidRDefault="00E86E06" w:rsidP="00C708D9">
      <w:pPr>
        <w:spacing w:line="360" w:lineRule="auto"/>
        <w:rPr>
          <w:rFonts w:ascii="Arial" w:hAnsi="Arial" w:cs="Arial"/>
          <w:sz w:val="22"/>
          <w:szCs w:val="22"/>
          <w:u w:val="single"/>
        </w:rPr>
      </w:pPr>
    </w:p>
    <w:p w14:paraId="22BB3466" w14:textId="77777777" w:rsidR="00E86E06" w:rsidRPr="00C708D9" w:rsidRDefault="05F312C3" w:rsidP="00C708D9">
      <w:pPr>
        <w:spacing w:line="360" w:lineRule="auto"/>
        <w:rPr>
          <w:rFonts w:ascii="Arial" w:hAnsi="Arial" w:cs="Arial"/>
          <w:color w:val="000000" w:themeColor="text1"/>
          <w:sz w:val="22"/>
          <w:szCs w:val="22"/>
          <w:lang w:eastAsia="en-GB"/>
        </w:rPr>
      </w:pPr>
      <w:r w:rsidRPr="00C708D9">
        <w:rPr>
          <w:rFonts w:ascii="Arial" w:hAnsi="Arial" w:cs="Arial"/>
          <w:color w:val="000000" w:themeColor="text1"/>
          <w:sz w:val="22"/>
          <w:szCs w:val="22"/>
          <w:lang w:eastAsia="en-GB"/>
        </w:rPr>
        <w:t>Dust, K. (1999) </w:t>
      </w:r>
      <w:r w:rsidRPr="00C708D9">
        <w:rPr>
          <w:rFonts w:ascii="Arial" w:hAnsi="Arial" w:cs="Arial"/>
          <w:i/>
          <w:iCs/>
          <w:color w:val="000000" w:themeColor="text1"/>
          <w:sz w:val="22"/>
          <w:szCs w:val="22"/>
          <w:lang w:eastAsia="en-GB"/>
        </w:rPr>
        <w:t>Motive, Means and Opportunity: Creativity Research Review</w:t>
      </w:r>
      <w:r w:rsidRPr="00C708D9">
        <w:rPr>
          <w:rFonts w:ascii="Arial" w:hAnsi="Arial" w:cs="Arial"/>
          <w:color w:val="000000" w:themeColor="text1"/>
          <w:sz w:val="22"/>
          <w:szCs w:val="22"/>
          <w:lang w:eastAsia="en-GB"/>
        </w:rPr>
        <w:t>. London: NESTA</w:t>
      </w:r>
    </w:p>
    <w:p w14:paraId="3656B9AB" w14:textId="77777777" w:rsidR="00E86E06" w:rsidRPr="00C708D9" w:rsidRDefault="00E86E06" w:rsidP="00C708D9">
      <w:pPr>
        <w:spacing w:line="360" w:lineRule="auto"/>
        <w:rPr>
          <w:rStyle w:val="authors"/>
          <w:rFonts w:ascii="Arial" w:hAnsi="Arial" w:cs="Arial"/>
          <w:color w:val="000000" w:themeColor="text1"/>
          <w:sz w:val="22"/>
          <w:szCs w:val="22"/>
          <w:shd w:val="clear" w:color="auto" w:fill="FFFFFF"/>
        </w:rPr>
      </w:pPr>
    </w:p>
    <w:p w14:paraId="432BD6E5" w14:textId="257628DE" w:rsidR="00E86E06" w:rsidRPr="00C708D9" w:rsidRDefault="05F312C3" w:rsidP="00C708D9">
      <w:pPr>
        <w:spacing w:line="360" w:lineRule="auto"/>
        <w:rPr>
          <w:rStyle w:val="authors"/>
          <w:rFonts w:ascii="Arial" w:hAnsi="Arial" w:cs="Arial"/>
          <w:color w:val="000000" w:themeColor="text1"/>
          <w:sz w:val="22"/>
          <w:szCs w:val="22"/>
          <w:lang w:eastAsia="en-GB"/>
        </w:rPr>
      </w:pPr>
      <w:r w:rsidRPr="00C708D9">
        <w:rPr>
          <w:rFonts w:ascii="Arial" w:hAnsi="Arial" w:cs="Arial"/>
          <w:color w:val="000000" w:themeColor="text1"/>
          <w:sz w:val="22"/>
          <w:szCs w:val="22"/>
          <w:lang w:eastAsia="en-GB"/>
        </w:rPr>
        <w:t xml:space="preserve">Guilford, J. P. (1967) </w:t>
      </w:r>
      <w:r w:rsidRPr="00C708D9">
        <w:rPr>
          <w:rFonts w:ascii="Arial" w:hAnsi="Arial" w:cs="Arial"/>
          <w:i/>
          <w:iCs/>
          <w:color w:val="000000" w:themeColor="text1"/>
          <w:sz w:val="22"/>
          <w:szCs w:val="22"/>
          <w:lang w:eastAsia="en-GB"/>
        </w:rPr>
        <w:t>The Nature of Human Intelligence</w:t>
      </w:r>
      <w:r w:rsidRPr="00C708D9">
        <w:rPr>
          <w:rFonts w:ascii="Arial" w:hAnsi="Arial" w:cs="Arial"/>
          <w:color w:val="000000" w:themeColor="text1"/>
          <w:sz w:val="22"/>
          <w:szCs w:val="22"/>
          <w:lang w:eastAsia="en-GB"/>
        </w:rPr>
        <w:t xml:space="preserve">. New York: McGraw-Hill. </w:t>
      </w:r>
    </w:p>
    <w:p w14:paraId="45FB0818" w14:textId="77777777" w:rsidR="00E86E06" w:rsidRPr="00C708D9" w:rsidRDefault="00E86E06" w:rsidP="00C708D9">
      <w:pPr>
        <w:spacing w:line="360" w:lineRule="auto"/>
        <w:rPr>
          <w:rStyle w:val="authors"/>
          <w:rFonts w:ascii="Arial" w:hAnsi="Arial" w:cs="Arial"/>
          <w:color w:val="000000" w:themeColor="text1"/>
          <w:sz w:val="22"/>
          <w:szCs w:val="22"/>
          <w:shd w:val="clear" w:color="auto" w:fill="FFFFFF"/>
        </w:rPr>
      </w:pPr>
    </w:p>
    <w:p w14:paraId="5434DC6D" w14:textId="2D4E63DC" w:rsidR="00E86E06" w:rsidRPr="00C708D9" w:rsidRDefault="00E86E06" w:rsidP="00C708D9">
      <w:pPr>
        <w:spacing w:line="360" w:lineRule="auto"/>
        <w:rPr>
          <w:rFonts w:ascii="Arial" w:hAnsi="Arial" w:cs="Arial"/>
          <w:sz w:val="22"/>
          <w:szCs w:val="22"/>
        </w:rPr>
      </w:pPr>
      <w:r w:rsidRPr="00C708D9">
        <w:rPr>
          <w:rStyle w:val="authors"/>
          <w:rFonts w:ascii="Arial" w:hAnsi="Arial" w:cs="Arial"/>
          <w:color w:val="000000" w:themeColor="text1"/>
          <w:sz w:val="22"/>
          <w:szCs w:val="22"/>
          <w:shd w:val="clear" w:color="auto" w:fill="FFFFFF"/>
        </w:rPr>
        <w:t>Humberstone, B., Stan, I.</w:t>
      </w:r>
      <w:r w:rsidRPr="00C708D9">
        <w:rPr>
          <w:rFonts w:ascii="Arial" w:hAnsi="Arial" w:cs="Arial"/>
          <w:color w:val="000000" w:themeColor="text1"/>
          <w:sz w:val="22"/>
          <w:szCs w:val="22"/>
          <w:shd w:val="clear" w:color="auto" w:fill="FFFFFF"/>
        </w:rPr>
        <w:t> </w:t>
      </w:r>
      <w:r w:rsidRPr="00C708D9">
        <w:rPr>
          <w:rStyle w:val="Date1"/>
          <w:rFonts w:ascii="Arial" w:hAnsi="Arial" w:cs="Arial"/>
          <w:color w:val="000000" w:themeColor="text1"/>
          <w:sz w:val="22"/>
          <w:szCs w:val="22"/>
          <w:shd w:val="clear" w:color="auto" w:fill="FFFFFF"/>
        </w:rPr>
        <w:t>(2011)</w:t>
      </w:r>
      <w:r w:rsidRPr="00C708D9">
        <w:rPr>
          <w:rFonts w:ascii="Arial" w:hAnsi="Arial" w:cs="Arial"/>
          <w:color w:val="000000" w:themeColor="text1"/>
          <w:sz w:val="22"/>
          <w:szCs w:val="22"/>
          <w:shd w:val="clear" w:color="auto" w:fill="FFFFFF"/>
        </w:rPr>
        <w:t> </w:t>
      </w:r>
      <w:r w:rsidRPr="00C708D9">
        <w:rPr>
          <w:rStyle w:val="arttitle"/>
          <w:rFonts w:ascii="Arial" w:hAnsi="Arial" w:cs="Arial"/>
          <w:i/>
          <w:iCs/>
          <w:color w:val="000000" w:themeColor="text1"/>
          <w:sz w:val="22"/>
          <w:szCs w:val="22"/>
          <w:shd w:val="clear" w:color="auto" w:fill="FFFFFF"/>
        </w:rPr>
        <w:t>Outdoor learning: primary pupils' experiences and teachers' interaction in outdoor learning</w:t>
      </w:r>
      <w:r w:rsidRPr="00C708D9">
        <w:rPr>
          <w:rStyle w:val="arttitle"/>
          <w:rFonts w:ascii="Arial" w:hAnsi="Arial" w:cs="Arial"/>
          <w:color w:val="000000" w:themeColor="text1"/>
          <w:sz w:val="22"/>
          <w:szCs w:val="22"/>
          <w:shd w:val="clear" w:color="auto" w:fill="FFFFFF"/>
        </w:rPr>
        <w:t>,</w:t>
      </w:r>
      <w:r w:rsidRPr="00C708D9">
        <w:rPr>
          <w:rFonts w:ascii="Arial" w:hAnsi="Arial" w:cs="Arial"/>
          <w:color w:val="000000" w:themeColor="text1"/>
          <w:sz w:val="22"/>
          <w:szCs w:val="22"/>
          <w:shd w:val="clear" w:color="auto" w:fill="FFFFFF"/>
        </w:rPr>
        <w:t> </w:t>
      </w:r>
      <w:r w:rsidRPr="00C708D9">
        <w:rPr>
          <w:rStyle w:val="serialtitle"/>
          <w:rFonts w:ascii="Arial" w:hAnsi="Arial" w:cs="Arial"/>
          <w:color w:val="000000" w:themeColor="text1"/>
          <w:sz w:val="22"/>
          <w:szCs w:val="22"/>
          <w:shd w:val="clear" w:color="auto" w:fill="FFFFFF"/>
        </w:rPr>
        <w:t xml:space="preserve">Education 3-13: </w:t>
      </w:r>
      <w:r w:rsidRPr="00C708D9">
        <w:rPr>
          <w:rStyle w:val="serialtitle"/>
          <w:rFonts w:ascii="Arial" w:hAnsi="Arial" w:cs="Arial"/>
          <w:i/>
          <w:color w:val="000000" w:themeColor="text1"/>
          <w:sz w:val="22"/>
          <w:szCs w:val="22"/>
          <w:shd w:val="clear" w:color="auto" w:fill="FFFFFF"/>
        </w:rPr>
        <w:t>International Journal of Primary, Elementary and Early Years Education.</w:t>
      </w:r>
      <w:r w:rsidRPr="00C708D9">
        <w:rPr>
          <w:rFonts w:ascii="Arial" w:hAnsi="Arial" w:cs="Arial"/>
          <w:color w:val="000000" w:themeColor="text1"/>
          <w:sz w:val="22"/>
          <w:szCs w:val="22"/>
        </w:rPr>
        <w:t xml:space="preserve"> </w:t>
      </w:r>
      <w:r w:rsidR="0080536E" w:rsidRPr="00C708D9">
        <w:rPr>
          <w:rFonts w:ascii="Arial" w:hAnsi="Arial" w:cs="Arial"/>
          <w:color w:val="222222"/>
          <w:sz w:val="22"/>
          <w:szCs w:val="22"/>
        </w:rPr>
        <w:t>p529-540</w:t>
      </w:r>
    </w:p>
    <w:p w14:paraId="049F31CB" w14:textId="77777777" w:rsidR="00E86E06" w:rsidRPr="00C708D9" w:rsidRDefault="00E86E06" w:rsidP="00C708D9">
      <w:pPr>
        <w:spacing w:line="360" w:lineRule="auto"/>
        <w:rPr>
          <w:rFonts w:ascii="Arial" w:hAnsi="Arial" w:cs="Arial"/>
          <w:color w:val="000000" w:themeColor="text1"/>
          <w:sz w:val="22"/>
          <w:szCs w:val="22"/>
          <w:shd w:val="clear" w:color="auto" w:fill="FFFFFF"/>
          <w:lang w:eastAsia="en-GB"/>
        </w:rPr>
      </w:pPr>
    </w:p>
    <w:p w14:paraId="7B979617" w14:textId="77777777" w:rsidR="00E86E06" w:rsidRPr="00C708D9" w:rsidRDefault="00E86E06" w:rsidP="00C708D9">
      <w:pPr>
        <w:spacing w:line="360" w:lineRule="auto"/>
        <w:rPr>
          <w:rFonts w:ascii="Arial" w:hAnsi="Arial" w:cs="Arial"/>
          <w:color w:val="000000" w:themeColor="text1"/>
          <w:sz w:val="22"/>
          <w:szCs w:val="22"/>
          <w:lang w:eastAsia="en-GB"/>
        </w:rPr>
      </w:pPr>
      <w:r w:rsidRPr="00C708D9">
        <w:rPr>
          <w:rFonts w:ascii="Arial" w:hAnsi="Arial" w:cs="Arial"/>
          <w:color w:val="000000" w:themeColor="text1"/>
          <w:sz w:val="22"/>
          <w:szCs w:val="22"/>
          <w:shd w:val="clear" w:color="auto" w:fill="FFFFFF"/>
          <w:lang w:eastAsia="en-GB"/>
        </w:rPr>
        <w:t>Koestler, A. (1964) </w:t>
      </w:r>
      <w:r w:rsidRPr="00C708D9">
        <w:rPr>
          <w:rFonts w:ascii="Arial" w:hAnsi="Arial" w:cs="Arial"/>
          <w:i/>
          <w:iCs/>
          <w:color w:val="000000" w:themeColor="text1"/>
          <w:sz w:val="22"/>
          <w:szCs w:val="22"/>
          <w:shd w:val="clear" w:color="auto" w:fill="FFFFFF"/>
          <w:lang w:eastAsia="en-GB"/>
        </w:rPr>
        <w:t>The Act of Creation</w:t>
      </w:r>
      <w:r w:rsidR="0061397E" w:rsidRPr="00C708D9">
        <w:rPr>
          <w:rFonts w:ascii="Arial" w:hAnsi="Arial" w:cs="Arial"/>
          <w:color w:val="000000" w:themeColor="text1"/>
          <w:sz w:val="22"/>
          <w:szCs w:val="22"/>
          <w:shd w:val="clear" w:color="auto" w:fill="FFFFFF"/>
          <w:lang w:eastAsia="en-GB"/>
        </w:rPr>
        <w:t>.</w:t>
      </w:r>
      <w:r w:rsidRPr="00C708D9">
        <w:rPr>
          <w:rFonts w:ascii="Arial" w:hAnsi="Arial" w:cs="Arial"/>
          <w:color w:val="000000" w:themeColor="text1"/>
          <w:sz w:val="22"/>
          <w:szCs w:val="22"/>
          <w:shd w:val="clear" w:color="auto" w:fill="FFFFFF"/>
          <w:lang w:eastAsia="en-GB"/>
        </w:rPr>
        <w:t xml:space="preserve"> Penguin Books: New York.</w:t>
      </w:r>
    </w:p>
    <w:p w14:paraId="53128261" w14:textId="77777777" w:rsidR="00E86E06" w:rsidRPr="00C708D9" w:rsidRDefault="00E86E06" w:rsidP="00C708D9">
      <w:pPr>
        <w:spacing w:line="360" w:lineRule="auto"/>
        <w:rPr>
          <w:rFonts w:ascii="Arial" w:hAnsi="Arial" w:cs="Arial"/>
          <w:color w:val="000000" w:themeColor="text1"/>
          <w:sz w:val="22"/>
          <w:szCs w:val="22"/>
          <w:lang w:eastAsia="en-GB"/>
        </w:rPr>
      </w:pPr>
    </w:p>
    <w:p w14:paraId="423A3779" w14:textId="5052F03A" w:rsidR="00E86E06" w:rsidRPr="00C708D9" w:rsidRDefault="05F312C3" w:rsidP="00C708D9">
      <w:pPr>
        <w:autoSpaceDE w:val="0"/>
        <w:autoSpaceDN w:val="0"/>
        <w:adjustRightInd w:val="0"/>
        <w:spacing w:line="360" w:lineRule="auto"/>
        <w:rPr>
          <w:rFonts w:ascii="Arial" w:hAnsi="Arial" w:cs="Arial"/>
          <w:color w:val="000000" w:themeColor="text1"/>
          <w:sz w:val="22"/>
          <w:szCs w:val="22"/>
          <w:lang w:eastAsia="en-GB"/>
        </w:rPr>
      </w:pPr>
      <w:r w:rsidRPr="00C708D9">
        <w:rPr>
          <w:rFonts w:ascii="Arial" w:hAnsi="Arial" w:cs="Arial"/>
          <w:color w:val="000000" w:themeColor="text1"/>
          <w:sz w:val="22"/>
          <w:szCs w:val="22"/>
          <w:lang w:eastAsia="en-GB"/>
        </w:rPr>
        <w:t xml:space="preserve">Lucas, B., Claxton, G., and Spence, E. (2013) </w:t>
      </w:r>
      <w:r w:rsidRPr="00C708D9">
        <w:rPr>
          <w:rFonts w:ascii="Arial" w:hAnsi="Arial" w:cs="Arial"/>
          <w:i/>
          <w:iCs/>
          <w:color w:val="000000" w:themeColor="text1"/>
          <w:sz w:val="22"/>
          <w:szCs w:val="22"/>
        </w:rPr>
        <w:t xml:space="preserve">Progression in Student Creativity in School: First Steps Towards New Forms of Formative Assessments. </w:t>
      </w:r>
      <w:r w:rsidRPr="00C708D9">
        <w:rPr>
          <w:rFonts w:ascii="Arial" w:hAnsi="Arial" w:cs="Arial"/>
          <w:color w:val="000000" w:themeColor="text1"/>
          <w:sz w:val="22"/>
          <w:szCs w:val="22"/>
        </w:rPr>
        <w:t xml:space="preserve">OCED Education Working Papers, No. 86, OECD Publishing. Available at: </w:t>
      </w:r>
      <w:hyperlink r:id="rId7">
        <w:r w:rsidRPr="00C708D9">
          <w:rPr>
            <w:rStyle w:val="Hyperlink"/>
            <w:rFonts w:ascii="Arial" w:hAnsi="Arial" w:cs="Arial"/>
            <w:color w:val="000000" w:themeColor="text1"/>
            <w:sz w:val="22"/>
            <w:szCs w:val="22"/>
          </w:rPr>
          <w:t>http://dx.doi.org/10.1787/5k4dp59msdwk-en</w:t>
        </w:r>
      </w:hyperlink>
      <w:r w:rsidRPr="00C708D9">
        <w:rPr>
          <w:rFonts w:ascii="Arial" w:hAnsi="Arial" w:cs="Arial"/>
          <w:color w:val="000000" w:themeColor="text1"/>
          <w:sz w:val="22"/>
          <w:szCs w:val="22"/>
        </w:rPr>
        <w:t xml:space="preserve"> </w:t>
      </w:r>
      <w:r w:rsidR="0080536E" w:rsidRPr="00C708D9">
        <w:rPr>
          <w:rFonts w:ascii="Arial" w:hAnsi="Arial" w:cs="Arial"/>
          <w:color w:val="000000" w:themeColor="text1"/>
          <w:sz w:val="22"/>
          <w:szCs w:val="22"/>
        </w:rPr>
        <w:t>[Accessed: 5 March 2018].</w:t>
      </w:r>
    </w:p>
    <w:p w14:paraId="62486C05" w14:textId="77777777" w:rsidR="00E86E06" w:rsidRPr="00C708D9" w:rsidRDefault="00E86E06" w:rsidP="00C708D9">
      <w:pPr>
        <w:spacing w:line="360" w:lineRule="auto"/>
        <w:rPr>
          <w:rFonts w:ascii="Arial" w:hAnsi="Arial" w:cs="Arial"/>
          <w:sz w:val="22"/>
          <w:szCs w:val="22"/>
          <w:lang w:eastAsia="en-GB"/>
        </w:rPr>
      </w:pPr>
    </w:p>
    <w:p w14:paraId="4A402E98" w14:textId="14A846AA" w:rsidR="00E86E06" w:rsidRPr="00C708D9" w:rsidRDefault="05F312C3" w:rsidP="00C708D9">
      <w:pPr>
        <w:spacing w:line="360" w:lineRule="auto"/>
        <w:rPr>
          <w:rFonts w:ascii="Arial" w:hAnsi="Arial" w:cs="Arial"/>
          <w:sz w:val="22"/>
          <w:szCs w:val="22"/>
          <w:lang w:eastAsia="en-GB"/>
        </w:rPr>
      </w:pPr>
      <w:r w:rsidRPr="00C708D9">
        <w:rPr>
          <w:rFonts w:ascii="Arial" w:hAnsi="Arial" w:cs="Arial"/>
          <w:sz w:val="22"/>
          <w:szCs w:val="22"/>
          <w:lang w:eastAsia="en-GB"/>
        </w:rPr>
        <w:t xml:space="preserve">Malaguzzi, L. (1993) ‘History, Ideas, and Basic Philosophy: an interview with </w:t>
      </w:r>
      <w:proofErr w:type="spellStart"/>
      <w:r w:rsidRPr="00C708D9">
        <w:rPr>
          <w:rFonts w:ascii="Arial" w:hAnsi="Arial" w:cs="Arial"/>
          <w:sz w:val="22"/>
          <w:szCs w:val="22"/>
          <w:lang w:eastAsia="en-GB"/>
        </w:rPr>
        <w:t>Lella</w:t>
      </w:r>
      <w:proofErr w:type="spellEnd"/>
      <w:r w:rsidRPr="00C708D9">
        <w:rPr>
          <w:rFonts w:ascii="Arial" w:hAnsi="Arial" w:cs="Arial"/>
          <w:sz w:val="22"/>
          <w:szCs w:val="22"/>
          <w:lang w:eastAsia="en-GB"/>
        </w:rPr>
        <w:t xml:space="preserve"> </w:t>
      </w:r>
      <w:proofErr w:type="spellStart"/>
      <w:r w:rsidRPr="00C708D9">
        <w:rPr>
          <w:rFonts w:ascii="Arial" w:hAnsi="Arial" w:cs="Arial"/>
          <w:sz w:val="22"/>
          <w:szCs w:val="22"/>
          <w:lang w:eastAsia="en-GB"/>
        </w:rPr>
        <w:t>Gandini</w:t>
      </w:r>
      <w:proofErr w:type="spellEnd"/>
      <w:r w:rsidRPr="00C708D9">
        <w:rPr>
          <w:rFonts w:ascii="Arial" w:hAnsi="Arial" w:cs="Arial"/>
          <w:sz w:val="22"/>
          <w:szCs w:val="22"/>
          <w:lang w:eastAsia="en-GB"/>
        </w:rPr>
        <w:t xml:space="preserve">.’ In: Edwards, C., </w:t>
      </w:r>
      <w:proofErr w:type="spellStart"/>
      <w:r w:rsidRPr="00C708D9">
        <w:rPr>
          <w:rFonts w:ascii="Arial" w:hAnsi="Arial" w:cs="Arial"/>
          <w:sz w:val="22"/>
          <w:szCs w:val="22"/>
          <w:lang w:eastAsia="en-GB"/>
        </w:rPr>
        <w:t>Gandini</w:t>
      </w:r>
      <w:proofErr w:type="spellEnd"/>
      <w:r w:rsidRPr="00C708D9">
        <w:rPr>
          <w:rFonts w:ascii="Arial" w:hAnsi="Arial" w:cs="Arial"/>
          <w:sz w:val="22"/>
          <w:szCs w:val="22"/>
          <w:lang w:eastAsia="en-GB"/>
        </w:rPr>
        <w:t xml:space="preserve">, L., Forman, G. The Hundred Languages of Children: the Reggio Emilia Approach – Advanced Reflections. Greenwich, CT: </w:t>
      </w:r>
      <w:proofErr w:type="spellStart"/>
      <w:r w:rsidRPr="00C708D9">
        <w:rPr>
          <w:rFonts w:ascii="Arial" w:hAnsi="Arial" w:cs="Arial"/>
          <w:sz w:val="22"/>
          <w:szCs w:val="22"/>
          <w:lang w:eastAsia="en-GB"/>
        </w:rPr>
        <w:t>Ablex</w:t>
      </w:r>
      <w:proofErr w:type="spellEnd"/>
      <w:r w:rsidRPr="00C708D9">
        <w:rPr>
          <w:rFonts w:ascii="Arial" w:hAnsi="Arial" w:cs="Arial"/>
          <w:sz w:val="22"/>
          <w:szCs w:val="22"/>
          <w:lang w:eastAsia="en-GB"/>
        </w:rPr>
        <w:t xml:space="preserve"> Publishing.</w:t>
      </w:r>
    </w:p>
    <w:p w14:paraId="4101652C" w14:textId="77777777" w:rsidR="00E86E06" w:rsidRPr="00C708D9" w:rsidRDefault="00E86E06" w:rsidP="00C708D9">
      <w:pPr>
        <w:spacing w:line="360" w:lineRule="auto"/>
        <w:rPr>
          <w:rFonts w:ascii="Arial" w:hAnsi="Arial" w:cs="Arial"/>
          <w:color w:val="000000" w:themeColor="text1"/>
          <w:sz w:val="22"/>
          <w:szCs w:val="22"/>
        </w:rPr>
      </w:pPr>
    </w:p>
    <w:p w14:paraId="101BEA2A" w14:textId="17A31472" w:rsidR="00E86E06" w:rsidRPr="00C708D9" w:rsidRDefault="05F312C3" w:rsidP="00C708D9">
      <w:pPr>
        <w:spacing w:line="360" w:lineRule="auto"/>
        <w:rPr>
          <w:rFonts w:ascii="Arial" w:hAnsi="Arial" w:cs="Arial"/>
          <w:color w:val="000000" w:themeColor="text1"/>
          <w:sz w:val="22"/>
          <w:szCs w:val="22"/>
        </w:rPr>
      </w:pPr>
      <w:r w:rsidRPr="00C708D9">
        <w:rPr>
          <w:rFonts w:ascii="Arial" w:hAnsi="Arial" w:cs="Arial"/>
          <w:color w:val="000000" w:themeColor="text1"/>
          <w:sz w:val="22"/>
          <w:szCs w:val="22"/>
        </w:rPr>
        <w:t xml:space="preserve">N.A.C.C.C.E. (1999) </w:t>
      </w:r>
      <w:r w:rsidRPr="00C708D9">
        <w:rPr>
          <w:rFonts w:ascii="Arial" w:hAnsi="Arial" w:cs="Arial"/>
          <w:i/>
          <w:iCs/>
          <w:color w:val="000000" w:themeColor="text1"/>
          <w:sz w:val="22"/>
          <w:szCs w:val="22"/>
        </w:rPr>
        <w:t>All our futures: Creativity, Culture and Education.</w:t>
      </w:r>
      <w:r w:rsidRPr="00C708D9">
        <w:rPr>
          <w:rFonts w:ascii="Arial" w:hAnsi="Arial" w:cs="Arial"/>
          <w:color w:val="000000" w:themeColor="text1"/>
          <w:sz w:val="22"/>
          <w:szCs w:val="22"/>
        </w:rPr>
        <w:t xml:space="preserve"> London: </w:t>
      </w:r>
      <w:proofErr w:type="spellStart"/>
      <w:r w:rsidRPr="00C708D9">
        <w:rPr>
          <w:rFonts w:ascii="Arial" w:hAnsi="Arial" w:cs="Arial"/>
          <w:color w:val="000000" w:themeColor="text1"/>
          <w:sz w:val="22"/>
          <w:szCs w:val="22"/>
        </w:rPr>
        <w:t>DfEE</w:t>
      </w:r>
      <w:proofErr w:type="spellEnd"/>
      <w:r w:rsidRPr="00C708D9">
        <w:rPr>
          <w:rFonts w:ascii="Arial" w:hAnsi="Arial" w:cs="Arial"/>
          <w:color w:val="000000" w:themeColor="text1"/>
          <w:sz w:val="22"/>
          <w:szCs w:val="22"/>
        </w:rPr>
        <w:t xml:space="preserve">. </w:t>
      </w:r>
    </w:p>
    <w:p w14:paraId="4B99056E" w14:textId="77777777" w:rsidR="00E86E06" w:rsidRPr="00C708D9" w:rsidRDefault="00E86E06" w:rsidP="00C708D9">
      <w:pPr>
        <w:spacing w:line="360" w:lineRule="auto"/>
        <w:rPr>
          <w:rFonts w:ascii="Arial" w:hAnsi="Arial" w:cs="Arial"/>
          <w:sz w:val="22"/>
          <w:szCs w:val="22"/>
        </w:rPr>
      </w:pPr>
    </w:p>
    <w:p w14:paraId="13B20448" w14:textId="77777777" w:rsidR="00E86E06" w:rsidRPr="00C708D9" w:rsidRDefault="05F312C3" w:rsidP="00C708D9">
      <w:pPr>
        <w:spacing w:line="360" w:lineRule="auto"/>
        <w:rPr>
          <w:rFonts w:ascii="Arial" w:hAnsi="Arial" w:cs="Arial"/>
          <w:color w:val="000000" w:themeColor="text1"/>
          <w:sz w:val="22"/>
          <w:szCs w:val="22"/>
          <w:lang w:eastAsia="en-GB"/>
        </w:rPr>
      </w:pPr>
      <w:r w:rsidRPr="00C708D9">
        <w:rPr>
          <w:rFonts w:ascii="Arial" w:hAnsi="Arial" w:cs="Arial"/>
          <w:sz w:val="22"/>
          <w:szCs w:val="22"/>
        </w:rPr>
        <w:t xml:space="preserve">Oppezzo, M., Schwartz, D. (2014) </w:t>
      </w:r>
      <w:r w:rsidRPr="00C708D9">
        <w:rPr>
          <w:rFonts w:ascii="Arial" w:hAnsi="Arial" w:cs="Arial"/>
          <w:i/>
          <w:iCs/>
          <w:sz w:val="22"/>
          <w:szCs w:val="22"/>
          <w:lang w:eastAsia="en-GB"/>
        </w:rPr>
        <w:t xml:space="preserve">Give Your Ideas Some Legs: The Positive Effect of Walking on </w:t>
      </w:r>
      <w:r w:rsidRPr="00C708D9">
        <w:rPr>
          <w:rFonts w:ascii="Arial" w:hAnsi="Arial" w:cs="Arial"/>
          <w:i/>
          <w:iCs/>
          <w:color w:val="000000" w:themeColor="text1"/>
          <w:sz w:val="22"/>
          <w:szCs w:val="22"/>
          <w:lang w:eastAsia="en-GB"/>
        </w:rPr>
        <w:t xml:space="preserve">Creative Thinking. </w:t>
      </w:r>
      <w:r w:rsidRPr="00C708D9">
        <w:rPr>
          <w:rFonts w:ascii="Arial" w:hAnsi="Arial" w:cs="Arial"/>
          <w:i/>
          <w:color w:val="000000" w:themeColor="text1"/>
          <w:sz w:val="22"/>
          <w:szCs w:val="22"/>
          <w:lang w:eastAsia="en-GB"/>
        </w:rPr>
        <w:t>Journal of Experimental Psychology</w:t>
      </w:r>
      <w:r w:rsidRPr="00C708D9">
        <w:rPr>
          <w:rFonts w:ascii="Arial" w:hAnsi="Arial" w:cs="Arial"/>
          <w:color w:val="000000" w:themeColor="text1"/>
          <w:sz w:val="22"/>
          <w:szCs w:val="22"/>
          <w:lang w:eastAsia="en-GB"/>
        </w:rPr>
        <w:t>: Learning, Memory, and Cognition</w:t>
      </w:r>
    </w:p>
    <w:p w14:paraId="1299C43A" w14:textId="77777777" w:rsidR="00E86E06" w:rsidRPr="00C708D9" w:rsidRDefault="00E86E06" w:rsidP="00C708D9">
      <w:pPr>
        <w:spacing w:line="360" w:lineRule="auto"/>
        <w:rPr>
          <w:rFonts w:ascii="Arial" w:hAnsi="Arial" w:cs="Arial"/>
          <w:color w:val="000000" w:themeColor="text1"/>
          <w:sz w:val="22"/>
          <w:szCs w:val="22"/>
        </w:rPr>
      </w:pPr>
    </w:p>
    <w:p w14:paraId="31DC0C5E" w14:textId="2037ADDB" w:rsidR="00E86E06" w:rsidRPr="00C708D9" w:rsidRDefault="00E86E06" w:rsidP="00C708D9">
      <w:pPr>
        <w:spacing w:line="360" w:lineRule="auto"/>
        <w:rPr>
          <w:rFonts w:ascii="Arial" w:hAnsi="Arial" w:cs="Arial"/>
          <w:color w:val="000000" w:themeColor="text1"/>
          <w:sz w:val="22"/>
          <w:szCs w:val="22"/>
        </w:rPr>
      </w:pPr>
      <w:r w:rsidRPr="00C708D9">
        <w:rPr>
          <w:rFonts w:ascii="Arial" w:hAnsi="Arial" w:cs="Arial"/>
          <w:color w:val="000000" w:themeColor="text1"/>
          <w:sz w:val="22"/>
          <w:szCs w:val="22"/>
          <w:shd w:val="clear" w:color="auto" w:fill="FFFFFF"/>
        </w:rPr>
        <w:t xml:space="preserve">Sandseter, E. B. H. (2009). </w:t>
      </w:r>
      <w:r w:rsidRPr="00C708D9">
        <w:rPr>
          <w:rFonts w:ascii="Arial" w:hAnsi="Arial" w:cs="Arial"/>
          <w:i/>
          <w:iCs/>
          <w:color w:val="000000" w:themeColor="text1"/>
          <w:sz w:val="22"/>
          <w:szCs w:val="22"/>
          <w:shd w:val="clear" w:color="auto" w:fill="FFFFFF"/>
        </w:rPr>
        <w:t>Characteristics of Risky Play</w:t>
      </w:r>
      <w:r w:rsidRPr="00C708D9">
        <w:rPr>
          <w:rFonts w:ascii="Arial" w:hAnsi="Arial" w:cs="Arial"/>
          <w:color w:val="000000" w:themeColor="text1"/>
          <w:sz w:val="22"/>
          <w:szCs w:val="22"/>
          <w:shd w:val="clear" w:color="auto" w:fill="FFFFFF"/>
        </w:rPr>
        <w:t>. Journal of Adventure Education and Outdoor Learning, 9(1), S. 3-21.</w:t>
      </w:r>
    </w:p>
    <w:p w14:paraId="4DDBEF00" w14:textId="77777777" w:rsidR="00E86E06" w:rsidRPr="00C708D9" w:rsidRDefault="00E86E06" w:rsidP="00C708D9">
      <w:pPr>
        <w:spacing w:line="360" w:lineRule="auto"/>
        <w:rPr>
          <w:rFonts w:ascii="Arial" w:hAnsi="Arial" w:cs="Arial"/>
          <w:color w:val="000000" w:themeColor="text1"/>
          <w:sz w:val="22"/>
          <w:szCs w:val="22"/>
        </w:rPr>
      </w:pPr>
    </w:p>
    <w:p w14:paraId="7B49C7C0" w14:textId="77777777" w:rsidR="00E86E06" w:rsidRPr="00C708D9" w:rsidRDefault="05F312C3" w:rsidP="00C708D9">
      <w:pPr>
        <w:spacing w:line="360" w:lineRule="auto"/>
        <w:rPr>
          <w:rFonts w:ascii="Arial" w:hAnsi="Arial" w:cs="Arial"/>
          <w:color w:val="000000" w:themeColor="text1"/>
          <w:sz w:val="22"/>
          <w:szCs w:val="22"/>
        </w:rPr>
      </w:pPr>
      <w:r w:rsidRPr="00C708D9">
        <w:rPr>
          <w:rFonts w:ascii="Arial" w:hAnsi="Arial" w:cs="Arial"/>
          <w:color w:val="000000" w:themeColor="text1"/>
          <w:sz w:val="22"/>
          <w:szCs w:val="22"/>
        </w:rPr>
        <w:t xml:space="preserve">Thorne, K. (2007) </w:t>
      </w:r>
      <w:r w:rsidRPr="00C708D9">
        <w:rPr>
          <w:rFonts w:ascii="Arial" w:hAnsi="Arial" w:cs="Arial"/>
          <w:i/>
          <w:iCs/>
          <w:color w:val="000000" w:themeColor="text1"/>
          <w:sz w:val="22"/>
          <w:szCs w:val="22"/>
        </w:rPr>
        <w:t xml:space="preserve">Essential Creativity in the Classroom. </w:t>
      </w:r>
      <w:r w:rsidRPr="00C708D9">
        <w:rPr>
          <w:rFonts w:ascii="Arial" w:hAnsi="Arial" w:cs="Arial"/>
          <w:color w:val="000000" w:themeColor="text1"/>
          <w:sz w:val="22"/>
          <w:szCs w:val="22"/>
        </w:rPr>
        <w:t>Abingdon: Routledge.</w:t>
      </w:r>
    </w:p>
    <w:p w14:paraId="3461D779" w14:textId="77777777" w:rsidR="00E86E06" w:rsidRPr="00C708D9" w:rsidRDefault="00E86E06" w:rsidP="00C708D9">
      <w:pPr>
        <w:spacing w:line="360" w:lineRule="auto"/>
        <w:rPr>
          <w:rFonts w:ascii="Arial" w:hAnsi="Arial" w:cs="Arial"/>
          <w:color w:val="000000" w:themeColor="text1"/>
          <w:sz w:val="22"/>
          <w:szCs w:val="22"/>
          <w:shd w:val="clear" w:color="auto" w:fill="FFFFFF"/>
          <w:lang w:eastAsia="en-GB"/>
        </w:rPr>
      </w:pPr>
    </w:p>
    <w:p w14:paraId="75708D2A" w14:textId="228C92F2" w:rsidR="00E86E06" w:rsidRPr="00C708D9" w:rsidRDefault="00E86E06" w:rsidP="00C708D9">
      <w:pPr>
        <w:spacing w:line="360" w:lineRule="auto"/>
        <w:rPr>
          <w:rFonts w:ascii="Arial" w:hAnsi="Arial" w:cs="Arial"/>
          <w:color w:val="000000" w:themeColor="text1"/>
          <w:sz w:val="22"/>
          <w:szCs w:val="22"/>
          <w:lang w:eastAsia="en-GB"/>
        </w:rPr>
      </w:pPr>
      <w:r w:rsidRPr="00C708D9">
        <w:rPr>
          <w:rFonts w:ascii="Arial" w:hAnsi="Arial" w:cs="Arial"/>
          <w:color w:val="000000" w:themeColor="text1"/>
          <w:sz w:val="22"/>
          <w:szCs w:val="22"/>
          <w:shd w:val="clear" w:color="auto" w:fill="FFFFFF"/>
          <w:lang w:eastAsia="en-GB"/>
        </w:rPr>
        <w:t>Waite, S., Davis, B. and Brown, K. (2006) </w:t>
      </w:r>
      <w:r w:rsidRPr="00C708D9">
        <w:rPr>
          <w:rFonts w:ascii="Arial" w:hAnsi="Arial" w:cs="Arial"/>
          <w:i/>
          <w:iCs/>
          <w:color w:val="000000" w:themeColor="text1"/>
          <w:sz w:val="22"/>
          <w:szCs w:val="22"/>
          <w:shd w:val="clear" w:color="auto" w:fill="FFFFFF"/>
          <w:lang w:eastAsia="en-GB"/>
        </w:rPr>
        <w:t>Final Report: Current practice and aspirations for outdoor learning for 2–11-year olds in Devon</w:t>
      </w:r>
      <w:r w:rsidR="0061397E" w:rsidRPr="00C708D9">
        <w:rPr>
          <w:rFonts w:ascii="Arial" w:hAnsi="Arial" w:cs="Arial"/>
          <w:color w:val="000000" w:themeColor="text1"/>
          <w:sz w:val="22"/>
          <w:szCs w:val="22"/>
          <w:shd w:val="clear" w:color="auto" w:fill="FFFFFF"/>
          <w:lang w:eastAsia="en-GB"/>
        </w:rPr>
        <w:t>.</w:t>
      </w:r>
      <w:r w:rsidRPr="00C708D9">
        <w:rPr>
          <w:rFonts w:ascii="Arial" w:hAnsi="Arial" w:cs="Arial"/>
          <w:color w:val="000000" w:themeColor="text1"/>
          <w:sz w:val="22"/>
          <w:szCs w:val="22"/>
          <w:shd w:val="clear" w:color="auto" w:fill="FFFFFF"/>
          <w:lang w:eastAsia="en-GB"/>
        </w:rPr>
        <w:t xml:space="preserve"> Plymouth: University of Plymouth. </w:t>
      </w:r>
    </w:p>
    <w:p w14:paraId="3CF2D8B6" w14:textId="77777777" w:rsidR="00E86E06" w:rsidRPr="00C708D9" w:rsidRDefault="00E86E06" w:rsidP="00C708D9">
      <w:pPr>
        <w:spacing w:line="360" w:lineRule="auto"/>
        <w:rPr>
          <w:rFonts w:ascii="Arial" w:hAnsi="Arial" w:cs="Arial"/>
          <w:color w:val="000000" w:themeColor="text1"/>
          <w:sz w:val="22"/>
          <w:szCs w:val="22"/>
        </w:rPr>
      </w:pPr>
    </w:p>
    <w:p w14:paraId="60628A38" w14:textId="77777777" w:rsidR="00E86E06" w:rsidRPr="00C708D9" w:rsidRDefault="05F312C3" w:rsidP="00C708D9">
      <w:pPr>
        <w:spacing w:line="360" w:lineRule="auto"/>
        <w:rPr>
          <w:rFonts w:ascii="Arial" w:hAnsi="Arial" w:cs="Arial"/>
          <w:color w:val="000000" w:themeColor="text1"/>
          <w:sz w:val="22"/>
          <w:szCs w:val="22"/>
        </w:rPr>
      </w:pPr>
      <w:r w:rsidRPr="00C708D9">
        <w:rPr>
          <w:rFonts w:ascii="Arial" w:hAnsi="Arial" w:cs="Arial"/>
          <w:color w:val="000000" w:themeColor="text1"/>
          <w:sz w:val="22"/>
          <w:szCs w:val="22"/>
        </w:rPr>
        <w:lastRenderedPageBreak/>
        <w:t xml:space="preserve">Wilson, A. (2010) </w:t>
      </w:r>
      <w:r w:rsidRPr="00C708D9">
        <w:rPr>
          <w:rFonts w:ascii="Arial" w:hAnsi="Arial" w:cs="Arial"/>
          <w:i/>
          <w:iCs/>
          <w:color w:val="000000" w:themeColor="text1"/>
          <w:sz w:val="22"/>
          <w:szCs w:val="22"/>
        </w:rPr>
        <w:t>Creativity in Primary Education.</w:t>
      </w:r>
      <w:r w:rsidRPr="00C708D9">
        <w:rPr>
          <w:rFonts w:ascii="Arial" w:hAnsi="Arial" w:cs="Arial"/>
          <w:color w:val="000000" w:themeColor="text1"/>
          <w:sz w:val="22"/>
          <w:szCs w:val="22"/>
        </w:rPr>
        <w:t xml:space="preserve"> Exeter: Learning Matters Ltd.</w:t>
      </w:r>
    </w:p>
    <w:p w14:paraId="0FB78278" w14:textId="77777777" w:rsidR="00E86E06" w:rsidRPr="00C708D9" w:rsidRDefault="00E86E06" w:rsidP="00C708D9">
      <w:pPr>
        <w:spacing w:line="360" w:lineRule="auto"/>
        <w:rPr>
          <w:rFonts w:ascii="Arial" w:hAnsi="Arial" w:cs="Arial"/>
          <w:color w:val="000000" w:themeColor="text1"/>
          <w:sz w:val="22"/>
          <w:szCs w:val="22"/>
        </w:rPr>
      </w:pPr>
    </w:p>
    <w:p w14:paraId="645A7205" w14:textId="4F43EFCD" w:rsidR="00E86E06" w:rsidRPr="00C708D9" w:rsidRDefault="05F312C3" w:rsidP="00C708D9">
      <w:pPr>
        <w:spacing w:line="360" w:lineRule="auto"/>
        <w:rPr>
          <w:rFonts w:ascii="Arial" w:hAnsi="Arial" w:cs="Arial"/>
          <w:sz w:val="22"/>
          <w:szCs w:val="22"/>
          <w:lang w:eastAsia="en-GB"/>
        </w:rPr>
      </w:pPr>
      <w:r w:rsidRPr="00C708D9">
        <w:rPr>
          <w:rFonts w:ascii="Arial" w:hAnsi="Arial" w:cs="Arial"/>
          <w:sz w:val="22"/>
          <w:szCs w:val="22"/>
          <w:lang w:eastAsia="en-GB"/>
        </w:rPr>
        <w:t xml:space="preserve">Woods, P. (1990) </w:t>
      </w:r>
      <w:r w:rsidRPr="00C708D9">
        <w:rPr>
          <w:rFonts w:ascii="Arial" w:hAnsi="Arial" w:cs="Arial"/>
          <w:i/>
          <w:iCs/>
          <w:sz w:val="22"/>
          <w:szCs w:val="22"/>
          <w:lang w:eastAsia="en-GB"/>
        </w:rPr>
        <w:t>Teacher Skills and Strategies.</w:t>
      </w:r>
      <w:r w:rsidRPr="00C708D9">
        <w:rPr>
          <w:rFonts w:ascii="Arial" w:hAnsi="Arial" w:cs="Arial"/>
          <w:sz w:val="22"/>
          <w:szCs w:val="22"/>
          <w:lang w:eastAsia="en-GB"/>
        </w:rPr>
        <w:t xml:space="preserve"> London: Falmer.</w:t>
      </w:r>
    </w:p>
    <w:p w14:paraId="1FC39945" w14:textId="77777777" w:rsidR="00E86E06" w:rsidRPr="00E86E06" w:rsidRDefault="00E86E06" w:rsidP="00E86E06">
      <w:pPr>
        <w:spacing w:line="360" w:lineRule="auto"/>
        <w:rPr>
          <w:rFonts w:ascii="Arial" w:hAnsi="Arial" w:cs="Arial"/>
        </w:rPr>
      </w:pPr>
    </w:p>
    <w:sectPr w:rsidR="00E86E06" w:rsidRPr="00E86E06" w:rsidSect="0051041D">
      <w:pgSz w:w="11894" w:h="16819"/>
      <w:pgMar w:top="1008"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4F26A6A"/>
    <w:multiLevelType w:val="hybridMultilevel"/>
    <w:tmpl w:val="402AF2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1C14B0A"/>
    <w:multiLevelType w:val="hybridMultilevel"/>
    <w:tmpl w:val="0408EB48"/>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1797"/>
    <w:rsid w:val="0010197F"/>
    <w:rsid w:val="00247F51"/>
    <w:rsid w:val="003D150C"/>
    <w:rsid w:val="004E3EBA"/>
    <w:rsid w:val="0051041D"/>
    <w:rsid w:val="0055624C"/>
    <w:rsid w:val="00595F56"/>
    <w:rsid w:val="0061397E"/>
    <w:rsid w:val="0080536E"/>
    <w:rsid w:val="008870F6"/>
    <w:rsid w:val="008C79F4"/>
    <w:rsid w:val="00AB3150"/>
    <w:rsid w:val="00B64BC5"/>
    <w:rsid w:val="00C708D9"/>
    <w:rsid w:val="00CC5A06"/>
    <w:rsid w:val="00E502A4"/>
    <w:rsid w:val="00E86E06"/>
    <w:rsid w:val="00F71797"/>
    <w:rsid w:val="00FD76C5"/>
    <w:rsid w:val="05F312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7E1F7F7"/>
  <w14:defaultImageDpi w14:val="32767"/>
  <w15:chartTrackingRefBased/>
  <w15:docId w15:val="{6405DD11-3F7A-7D48-9735-0636BFD2F5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80536E"/>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86E06"/>
    <w:pPr>
      <w:spacing w:after="120" w:line="259" w:lineRule="auto"/>
      <w:ind w:left="720"/>
      <w:contextualSpacing/>
    </w:pPr>
    <w:rPr>
      <w:rFonts w:asciiTheme="minorHAnsi" w:eastAsiaTheme="minorHAnsi" w:hAnsiTheme="minorHAnsi" w:cstheme="minorBidi"/>
      <w:color w:val="595959" w:themeColor="text1" w:themeTint="A6"/>
      <w:sz w:val="30"/>
      <w:szCs w:val="30"/>
      <w:lang w:eastAsia="ja-JP"/>
    </w:rPr>
  </w:style>
  <w:style w:type="character" w:styleId="Hyperlink">
    <w:name w:val="Hyperlink"/>
    <w:basedOn w:val="DefaultParagraphFont"/>
    <w:uiPriority w:val="99"/>
    <w:unhideWhenUsed/>
    <w:rsid w:val="00E86E06"/>
    <w:rPr>
      <w:color w:val="0563C1" w:themeColor="hyperlink"/>
      <w:u w:val="single"/>
    </w:rPr>
  </w:style>
  <w:style w:type="character" w:customStyle="1" w:styleId="authors">
    <w:name w:val="authors"/>
    <w:basedOn w:val="DefaultParagraphFont"/>
    <w:rsid w:val="00E86E06"/>
  </w:style>
  <w:style w:type="character" w:customStyle="1" w:styleId="Date1">
    <w:name w:val="Date1"/>
    <w:basedOn w:val="DefaultParagraphFont"/>
    <w:rsid w:val="00E86E06"/>
  </w:style>
  <w:style w:type="character" w:customStyle="1" w:styleId="arttitle">
    <w:name w:val="art_title"/>
    <w:basedOn w:val="DefaultParagraphFont"/>
    <w:rsid w:val="00E86E06"/>
  </w:style>
  <w:style w:type="character" w:customStyle="1" w:styleId="serialtitle">
    <w:name w:val="serial_title"/>
    <w:basedOn w:val="DefaultParagraphFont"/>
    <w:rsid w:val="00E86E06"/>
  </w:style>
  <w:style w:type="character" w:styleId="UnresolvedMention">
    <w:name w:val="Unresolved Mention"/>
    <w:basedOn w:val="DefaultParagraphFont"/>
    <w:uiPriority w:val="99"/>
    <w:rsid w:val="00FD76C5"/>
    <w:rPr>
      <w:color w:val="808080"/>
      <w:shd w:val="clear" w:color="auto" w:fill="E6E6E6"/>
    </w:rPr>
  </w:style>
  <w:style w:type="paragraph" w:styleId="CommentText">
    <w:name w:val="annotation text"/>
    <w:basedOn w:val="Normal"/>
    <w:link w:val="CommentTextChar"/>
    <w:uiPriority w:val="99"/>
    <w:semiHidden/>
    <w:unhideWhenUsed/>
    <w:rPr>
      <w:rFonts w:asciiTheme="minorHAnsi" w:eastAsiaTheme="minorHAnsi" w:hAnsiTheme="minorHAnsi" w:cstheme="minorBidi"/>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80536E"/>
    <w:rPr>
      <w:rFonts w:eastAsiaTheme="minorHAnsi"/>
      <w:sz w:val="18"/>
      <w:szCs w:val="18"/>
    </w:rPr>
  </w:style>
  <w:style w:type="character" w:customStyle="1" w:styleId="BalloonTextChar">
    <w:name w:val="Balloon Text Char"/>
    <w:basedOn w:val="DefaultParagraphFont"/>
    <w:link w:val="BalloonText"/>
    <w:uiPriority w:val="99"/>
    <w:semiHidden/>
    <w:rsid w:val="0080536E"/>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9369305">
      <w:bodyDiv w:val="1"/>
      <w:marLeft w:val="0"/>
      <w:marRight w:val="0"/>
      <w:marTop w:val="0"/>
      <w:marBottom w:val="0"/>
      <w:divBdr>
        <w:top w:val="none" w:sz="0" w:space="0" w:color="auto"/>
        <w:left w:val="none" w:sz="0" w:space="0" w:color="auto"/>
        <w:bottom w:val="none" w:sz="0" w:space="0" w:color="auto"/>
        <w:right w:val="none" w:sz="0" w:space="0" w:color="auto"/>
      </w:divBdr>
    </w:div>
    <w:div w:id="539711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dx.doi.org/10.1787/5k4dp59msdwk-e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gov.wales/docs/dcells/publications/150225-successful-futures-en.pdf" TargetMode="External"/><Relationship Id="rId5" Type="http://schemas.openxmlformats.org/officeDocument/2006/relationships/hyperlink" Target="https://youtu.be/9PLZY7wTyTM"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4</Pages>
  <Words>1269</Words>
  <Characters>7238</Characters>
  <Application>Microsoft Office Word</Application>
  <DocSecurity>0</DocSecurity>
  <Lines>60</Lines>
  <Paragraphs>16</Paragraphs>
  <ScaleCrop>false</ScaleCrop>
  <Company/>
  <LinksUpToDate>false</LinksUpToDate>
  <CharactersWithSpaces>8491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 Legg-Edwards (1500008)</dc:creator>
  <cp:keywords/>
  <dc:description/>
  <cp:lastModifiedBy>Harri Legg-Edwards (1500008)</cp:lastModifiedBy>
  <cp:revision>5</cp:revision>
  <dcterms:created xsi:type="dcterms:W3CDTF">2018-03-12T22:02:00Z</dcterms:created>
  <dcterms:modified xsi:type="dcterms:W3CDTF">2018-03-13T07:20:00Z</dcterms:modified>
</cp:coreProperties>
</file>