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0903051"/>
        <w:docPartObj>
          <w:docPartGallery w:val="Cover Pages"/>
          <w:docPartUnique/>
        </w:docPartObj>
      </w:sdtPr>
      <w:sdtContent>
        <w:p w14:paraId="1815D8A0" w14:textId="2C315C65" w:rsidR="00646E22" w:rsidRDefault="00646E22"/>
        <w:p w14:paraId="2E0F7ABE" w14:textId="77E52109" w:rsidR="00646E22" w:rsidRDefault="00646E22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B337193" wp14:editId="7E9604F5">
                    <wp:simplePos x="0" y="0"/>
                    <wp:positionH relativeFrom="margin">
                      <wp:posOffset>295275</wp:posOffset>
                    </wp:positionH>
                    <wp:positionV relativeFrom="page">
                      <wp:posOffset>5876925</wp:posOffset>
                    </wp:positionV>
                    <wp:extent cx="5324475" cy="2562225"/>
                    <wp:effectExtent l="0" t="0" r="9525" b="952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324475" cy="25622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2E485B2" w14:textId="239858A3" w:rsidR="00646E22" w:rsidRDefault="00646E22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010D1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Compa</w:t>
                                    </w:r>
                                    <w:r w:rsidR="00704DD2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rative financial analysis</w:t>
                                    </w:r>
                                    <w:r w:rsidR="00C010D1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 of</w:t>
                                    </w:r>
                                    <w:r w:rsidR="00597A5D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 Barclays and Credit Suisse Bank</w:t>
                                    </w:r>
                                    <w:r w:rsidR="00C010D1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3E9B9C2" w14:textId="4C53A5C6" w:rsidR="00646E22" w:rsidRDefault="00C965C8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MBA Banking and Finance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88814E1" w14:textId="7B3422CB" w:rsidR="00646E22" w:rsidRDefault="00C965C8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B33719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23.25pt;margin-top:462.75pt;width:419.25pt;height:201.75pt;z-index:251660288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" filled="f" stroked="f" strokeweight=".5pt">
                    <v:textbox inset="0,0,0,0">
                      <w:txbxContent>
                        <w:p w14:paraId="22E485B2" w14:textId="239858A3" w:rsidR="00646E22" w:rsidRDefault="00646E22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010D1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Compa</w:t>
                              </w:r>
                              <w:r w:rsidR="00704DD2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rative financial analysis</w:t>
                              </w:r>
                              <w:r w:rsidR="00C010D1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 of</w:t>
                              </w:r>
                              <w:r w:rsidR="00597A5D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 Barclays and Credit Suisse Bank</w:t>
                              </w:r>
                              <w:r w:rsidR="00C010D1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3E9B9C2" w14:textId="4C53A5C6" w:rsidR="00646E22" w:rsidRDefault="00C965C8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MBA Banking and Finance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showingPlcHdr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88814E1" w14:textId="7B3422CB" w:rsidR="00646E22" w:rsidRDefault="00C965C8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7D07F84" wp14:editId="24B8C6D1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795C792" w14:textId="03B7D7A2" w:rsidR="00646E22" w:rsidRDefault="00646E22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2022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47D07F84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DZw9tdhAIA&#10;AGYFAAAOAAAAAAAAAAAAAAAAAC4CAABkcnMvZTJvRG9jLnhtbFBLAQItABQABgAIAAAAIQBgIiS/&#10;2QAAAAQBAAAPAAAAAAAAAAAAAAAAAN4EAABkcnMvZG93bnJldi54bWxQSwUGAAAAAAQABADzAAAA&#10;5AUAAAAA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795C792" w14:textId="03B7D7A2" w:rsidR="00646E22" w:rsidRDefault="00646E22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2022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D2852E7" w14:textId="77FC888D" w:rsidR="00C97731" w:rsidRPr="0087785C" w:rsidRDefault="00C97731" w:rsidP="00C97731">
      <w:pPr>
        <w:spacing w:line="360" w:lineRule="auto"/>
        <w:rPr>
          <w:rFonts w:ascii="Arial" w:hAnsi="Arial" w:cs="Arial"/>
          <w:lang w:val="en-US"/>
        </w:rPr>
      </w:pPr>
      <w:r w:rsidRPr="0087785C">
        <w:rPr>
          <w:rFonts w:ascii="Arial" w:hAnsi="Arial" w:cs="Arial"/>
          <w:lang w:val="en-US"/>
        </w:rPr>
        <w:t>Name: Sadia Anjum</w:t>
      </w:r>
    </w:p>
    <w:p w14:paraId="1F013BFD" w14:textId="77777777" w:rsidR="00C97731" w:rsidRPr="0087785C" w:rsidRDefault="00C97731" w:rsidP="00C97731">
      <w:pPr>
        <w:spacing w:line="360" w:lineRule="auto"/>
        <w:rPr>
          <w:rFonts w:ascii="Arial" w:hAnsi="Arial" w:cs="Arial"/>
          <w:lang w:val="en-US"/>
        </w:rPr>
      </w:pPr>
      <w:r w:rsidRPr="0087785C">
        <w:rPr>
          <w:rFonts w:ascii="Arial" w:hAnsi="Arial" w:cs="Arial"/>
          <w:lang w:val="en-US"/>
        </w:rPr>
        <w:t>Student number: 1708775</w:t>
      </w:r>
    </w:p>
    <w:p w14:paraId="0D672B1C" w14:textId="77777777" w:rsidR="00C97731" w:rsidRPr="0087785C" w:rsidRDefault="00C97731" w:rsidP="00C97731">
      <w:pPr>
        <w:spacing w:line="360" w:lineRule="auto"/>
        <w:rPr>
          <w:rFonts w:ascii="Arial" w:hAnsi="Arial" w:cs="Arial"/>
          <w:lang w:val="en-US"/>
        </w:rPr>
      </w:pPr>
      <w:r w:rsidRPr="0087785C">
        <w:rPr>
          <w:rFonts w:ascii="Arial" w:hAnsi="Arial" w:cs="Arial"/>
          <w:lang w:val="en-US"/>
        </w:rPr>
        <w:t>Module name: Banking Financial Management and Financial Markets</w:t>
      </w:r>
    </w:p>
    <w:p w14:paraId="49ED8E9D" w14:textId="77777777" w:rsidR="00C97731" w:rsidRDefault="00C97731" w:rsidP="00C97731">
      <w:pPr>
        <w:spacing w:line="360" w:lineRule="auto"/>
        <w:rPr>
          <w:rFonts w:ascii="Arial" w:hAnsi="Arial" w:cs="Arial"/>
          <w:lang w:val="en-US"/>
        </w:rPr>
      </w:pPr>
      <w:r w:rsidRPr="0087785C">
        <w:rPr>
          <w:rFonts w:ascii="Arial" w:hAnsi="Arial" w:cs="Arial"/>
          <w:lang w:val="en-US"/>
        </w:rPr>
        <w:t>Module number: LCMB7012</w:t>
      </w:r>
    </w:p>
    <w:p w14:paraId="2D87F858" w14:textId="67355A07" w:rsidR="00EB004D" w:rsidRPr="0087785C" w:rsidRDefault="00EB004D" w:rsidP="00C9773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Lecturer: David Jenkins</w:t>
      </w:r>
    </w:p>
    <w:p w14:paraId="5A7A0DDF" w14:textId="77777777" w:rsidR="0042336D" w:rsidRDefault="0042336D">
      <w:pPr>
        <w:rPr>
          <w:lang w:val="en-US"/>
        </w:rPr>
      </w:pPr>
      <w:r>
        <w:rPr>
          <w:lang w:val="en-US"/>
        </w:rPr>
        <w:br w:type="page"/>
      </w:r>
    </w:p>
    <w:p w14:paraId="2BF990F9" w14:textId="0A041A85" w:rsidR="00935E90" w:rsidRDefault="00935E90">
      <w:pPr>
        <w:rPr>
          <w:lang w:val="en-US"/>
        </w:rPr>
      </w:pPr>
      <w:r>
        <w:rPr>
          <w:lang w:val="en-US"/>
        </w:rPr>
        <w:lastRenderedPageBreak/>
        <w:t>Abstract</w:t>
      </w:r>
    </w:p>
    <w:p w14:paraId="3704D055" w14:textId="750353F8" w:rsidR="00935E90" w:rsidRDefault="00935E90">
      <w:pPr>
        <w:rPr>
          <w:lang w:val="en-US"/>
        </w:rPr>
      </w:pPr>
      <w:r>
        <w:rPr>
          <w:lang w:val="en-US"/>
        </w:rPr>
        <w:t xml:space="preserve">The aim of this study is </w:t>
      </w:r>
      <w:r w:rsidR="00F7393B">
        <w:rPr>
          <w:lang w:val="en-US"/>
        </w:rPr>
        <w:t xml:space="preserve">to </w:t>
      </w:r>
      <w:proofErr w:type="spellStart"/>
      <w:r w:rsidR="00F7393B">
        <w:rPr>
          <w:lang w:val="en-US"/>
        </w:rPr>
        <w:t>analyse</w:t>
      </w:r>
      <w:proofErr w:type="spellEnd"/>
      <w:r w:rsidR="00F7393B">
        <w:rPr>
          <w:lang w:val="en-US"/>
        </w:rPr>
        <w:t xml:space="preserve"> the financial performance of two banks</w:t>
      </w:r>
      <w:r w:rsidR="00392E32">
        <w:rPr>
          <w:lang w:val="en-US"/>
        </w:rPr>
        <w:t xml:space="preserve">, </w:t>
      </w:r>
      <w:proofErr w:type="gramStart"/>
      <w:r w:rsidR="00392E32">
        <w:rPr>
          <w:lang w:val="en-US"/>
        </w:rPr>
        <w:t>Barclays</w:t>
      </w:r>
      <w:proofErr w:type="gramEnd"/>
      <w:r w:rsidR="00392E32">
        <w:rPr>
          <w:lang w:val="en-US"/>
        </w:rPr>
        <w:t xml:space="preserve"> and Credit Suisse and to compare the</w:t>
      </w:r>
      <w:r w:rsidR="00087EDC">
        <w:rPr>
          <w:lang w:val="en-US"/>
        </w:rPr>
        <w:t>ir operations</w:t>
      </w:r>
      <w:r w:rsidR="00B31A41">
        <w:rPr>
          <w:lang w:val="en-US"/>
        </w:rPr>
        <w:t xml:space="preserve"> focusing on the similarities and the differences between the</w:t>
      </w:r>
      <w:r w:rsidR="00EB004D">
        <w:rPr>
          <w:lang w:val="en-US"/>
        </w:rPr>
        <w:t xml:space="preserve">m. </w:t>
      </w:r>
    </w:p>
    <w:p w14:paraId="72913401" w14:textId="2305561B" w:rsidR="003F0ADA" w:rsidRDefault="003F0ADA">
      <w:pPr>
        <w:rPr>
          <w:lang w:val="en-US"/>
        </w:rPr>
      </w:pPr>
      <w:r>
        <w:rPr>
          <w:lang w:val="en-US"/>
        </w:rPr>
        <w:br w:type="page"/>
      </w:r>
    </w:p>
    <w:sdt>
      <w:sdtPr>
        <w:id w:val="-63826576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860723C" w14:textId="21F2718C" w:rsidR="003F0ADA" w:rsidRDefault="003F0ADA">
          <w:pPr>
            <w:pStyle w:val="TOCHeading"/>
          </w:pPr>
          <w:r>
            <w:t>Table of Contents</w:t>
          </w:r>
        </w:p>
        <w:p w14:paraId="5DB0C68D" w14:textId="64CF1E8C" w:rsidR="00DA0CDC" w:rsidRDefault="003F0AD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1702194" w:history="1">
            <w:r w:rsidR="00DA0CDC" w:rsidRPr="00BF3327">
              <w:rPr>
                <w:rStyle w:val="Hyperlink"/>
                <w:noProof/>
                <w:lang w:val="en-US"/>
              </w:rPr>
              <w:t>Part 1</w:t>
            </w:r>
            <w:r w:rsidR="00DA0CDC">
              <w:rPr>
                <w:noProof/>
                <w:webHidden/>
              </w:rPr>
              <w:tab/>
            </w:r>
            <w:r w:rsidR="00DA0CDC">
              <w:rPr>
                <w:noProof/>
                <w:webHidden/>
              </w:rPr>
              <w:fldChar w:fldCharType="begin"/>
            </w:r>
            <w:r w:rsidR="00DA0CDC">
              <w:rPr>
                <w:noProof/>
                <w:webHidden/>
              </w:rPr>
              <w:instrText xml:space="preserve"> PAGEREF _Toc101702194 \h </w:instrText>
            </w:r>
            <w:r w:rsidR="00DA0CDC">
              <w:rPr>
                <w:noProof/>
                <w:webHidden/>
              </w:rPr>
            </w:r>
            <w:r w:rsidR="00DA0CDC">
              <w:rPr>
                <w:noProof/>
                <w:webHidden/>
              </w:rPr>
              <w:fldChar w:fldCharType="separate"/>
            </w:r>
            <w:r w:rsidR="00DA0CDC">
              <w:rPr>
                <w:noProof/>
                <w:webHidden/>
              </w:rPr>
              <w:t>4</w:t>
            </w:r>
            <w:r w:rsidR="00DA0CDC">
              <w:rPr>
                <w:noProof/>
                <w:webHidden/>
              </w:rPr>
              <w:fldChar w:fldCharType="end"/>
            </w:r>
          </w:hyperlink>
        </w:p>
        <w:p w14:paraId="61BDFDBD" w14:textId="4B80A118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195" w:history="1">
            <w:r w:rsidRPr="00BF3327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_Toc101702195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BC38CA" w14:textId="5BB12E5F" w:rsidR="00DA0CDC" w:rsidRDefault="00DA0C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196" w:history="1">
            <w:r w:rsidRPr="00BF3327">
              <w:rPr>
                <w:rStyle w:val="Hyperlink"/>
                <w:noProof/>
                <w:lang w:val="en-US"/>
              </w:rPr>
              <w:t>Profitability ratios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_Toc101702196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DB8442" w14:textId="530416C1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197" w:history="1">
            <w:r w:rsidRPr="00BF3327">
              <w:rPr>
                <w:rStyle w:val="Hyperlink"/>
                <w:noProof/>
                <w:lang w:val="en-US"/>
              </w:rPr>
              <w:t>Return on shareholder’s fund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_Toc101702197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DC0E1" w14:textId="7F8861F0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198" w:history="1">
            <w:r w:rsidRPr="00BF3327">
              <w:rPr>
                <w:rStyle w:val="Hyperlink"/>
                <w:noProof/>
                <w:lang w:val="en-US"/>
              </w:rPr>
              <w:t>ROCE%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_Toc101702198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D369B" w14:textId="27525BFD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199" w:history="1">
            <w:r w:rsidRPr="00BF3327">
              <w:rPr>
                <w:rStyle w:val="Hyperlink"/>
                <w:noProof/>
                <w:lang w:val="en-US"/>
              </w:rPr>
              <w:t>ROTA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_Toc101702199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749AFE" w14:textId="3DE4E5BF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0" w:history="1">
            <w:r w:rsidRPr="00BF3327">
              <w:rPr>
                <w:rStyle w:val="Hyperlink"/>
                <w:noProof/>
                <w:lang w:val="en-US"/>
              </w:rPr>
              <w:t>Profit margin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6AF571" w14:textId="2715B5BD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1" w:history="1">
            <w:r w:rsidRPr="00BF3327">
              <w:rPr>
                <w:rStyle w:val="Hyperlink"/>
                <w:noProof/>
                <w:lang w:val="en-US"/>
              </w:rPr>
              <w:t>EBIT% &amp; EBITDA%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56AA7E" w14:textId="719F82D9" w:rsidR="00DA0CDC" w:rsidRDefault="00DA0C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2" w:history="1">
            <w:r w:rsidRPr="00BF3327">
              <w:rPr>
                <w:rStyle w:val="Hyperlink"/>
                <w:noProof/>
                <w:lang w:val="en-US"/>
              </w:rPr>
              <w:t>Operational ratios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D797B0" w14:textId="45117CDD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3" w:history="1">
            <w:r w:rsidRPr="00BF3327">
              <w:rPr>
                <w:rStyle w:val="Hyperlink"/>
                <w:noProof/>
                <w:lang w:val="en-US"/>
              </w:rPr>
              <w:t>Net asset turnover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E314C7" w14:textId="29DBBE87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4" w:history="1">
            <w:r w:rsidRPr="00BF3327">
              <w:rPr>
                <w:rStyle w:val="Hyperlink"/>
                <w:noProof/>
                <w:lang w:val="en-US"/>
              </w:rPr>
              <w:t>Fixed asset turnover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A0E7F7" w14:textId="3D5BD034" w:rsidR="00DA0CDC" w:rsidRDefault="00DA0C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5" w:history="1">
            <w:r w:rsidRPr="00BF3327">
              <w:rPr>
                <w:rStyle w:val="Hyperlink"/>
                <w:noProof/>
                <w:lang w:val="en-US"/>
              </w:rPr>
              <w:t>Structure ratios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FC81E" w14:textId="1964BD03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6" w:history="1">
            <w:r w:rsidRPr="00BF3327">
              <w:rPr>
                <w:rStyle w:val="Hyperlink"/>
                <w:noProof/>
              </w:rPr>
              <w:t>Current ratio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D1B7D" w14:textId="42D77C8B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7" w:history="1">
            <w:r w:rsidRPr="00BF3327">
              <w:rPr>
                <w:rStyle w:val="Hyperlink"/>
                <w:noProof/>
                <w:lang w:val="en-US"/>
              </w:rPr>
              <w:t>Solvency ratios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74562A" w14:textId="3842CB59" w:rsidR="00DA0CDC" w:rsidRDefault="00DA0CDC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8" w:history="1">
            <w:r w:rsidRPr="00BF3327">
              <w:rPr>
                <w:rStyle w:val="Hyperlink"/>
                <w:noProof/>
                <w:lang w:val="en-US"/>
              </w:rPr>
              <w:t>Gearing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1A553C" w14:textId="7AB13064" w:rsidR="00DA0CDC" w:rsidRDefault="00DA0CD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1702209" w:history="1">
            <w:r w:rsidRPr="00BF3327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_Toc101702209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B2516" w14:textId="0444BFAF" w:rsidR="003F0ADA" w:rsidRDefault="003F0ADA">
          <w:r>
            <w:rPr>
              <w:b/>
              <w:bCs/>
              <w:noProof/>
            </w:rPr>
            <w:fldChar w:fldCharType="end"/>
          </w:r>
        </w:p>
      </w:sdtContent>
    </w:sdt>
    <w:p w14:paraId="1EC50BBF" w14:textId="77777777" w:rsidR="00A21DDE" w:rsidRDefault="00A21DDE">
      <w:pPr>
        <w:rPr>
          <w:lang w:val="en-US"/>
        </w:rPr>
      </w:pPr>
    </w:p>
    <w:p w14:paraId="3AEF4107" w14:textId="77777777" w:rsidR="00935E90" w:rsidRDefault="00935E90">
      <w:pPr>
        <w:rPr>
          <w:lang w:val="en-US"/>
        </w:rPr>
      </w:pPr>
      <w:r>
        <w:rPr>
          <w:lang w:val="en-US"/>
        </w:rPr>
        <w:br w:type="page"/>
      </w:r>
    </w:p>
    <w:p w14:paraId="4E4A3943" w14:textId="1B4F757E" w:rsidR="00454ADD" w:rsidRDefault="00454ADD" w:rsidP="00463D05">
      <w:pPr>
        <w:pStyle w:val="Heading1"/>
        <w:spacing w:line="360" w:lineRule="auto"/>
        <w:jc w:val="both"/>
        <w:rPr>
          <w:lang w:val="en-US"/>
        </w:rPr>
      </w:pPr>
      <w:bookmarkStart w:id="0" w:name="_Toc101702194"/>
      <w:r>
        <w:rPr>
          <w:lang w:val="en-US"/>
        </w:rPr>
        <w:lastRenderedPageBreak/>
        <w:t>Part 1</w:t>
      </w:r>
      <w:bookmarkEnd w:id="0"/>
    </w:p>
    <w:p w14:paraId="17D370B4" w14:textId="4ABCF685" w:rsidR="00935E90" w:rsidRDefault="00935E90" w:rsidP="00463D05">
      <w:pPr>
        <w:pStyle w:val="Heading3"/>
        <w:spacing w:line="360" w:lineRule="auto"/>
        <w:jc w:val="both"/>
        <w:rPr>
          <w:lang w:val="en-US"/>
        </w:rPr>
      </w:pPr>
      <w:bookmarkStart w:id="1" w:name="_Toc101702195"/>
      <w:r w:rsidRPr="002E769B">
        <w:rPr>
          <w:lang w:val="en-US"/>
        </w:rPr>
        <w:t>Introduction</w:t>
      </w:r>
      <w:bookmarkEnd w:id="1"/>
      <w:r w:rsidRPr="002E769B">
        <w:rPr>
          <w:lang w:val="en-US"/>
        </w:rPr>
        <w:t xml:space="preserve"> </w:t>
      </w:r>
    </w:p>
    <w:p w14:paraId="2A7617FC" w14:textId="1242403D" w:rsidR="00944E07" w:rsidRDefault="008B7F75" w:rsidP="00463D0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Banks are financial institutions that</w:t>
      </w:r>
      <w:r w:rsidR="00A24542">
        <w:rPr>
          <w:rFonts w:ascii="Arial" w:hAnsi="Arial" w:cs="Arial"/>
        </w:rPr>
        <w:t xml:space="preserve"> </w:t>
      </w:r>
      <w:r w:rsidR="00AE2215">
        <w:rPr>
          <w:rFonts w:ascii="Arial" w:hAnsi="Arial" w:cs="Arial"/>
        </w:rPr>
        <w:t>buy and sell money</w:t>
      </w:r>
      <w:r w:rsidR="00E4249B">
        <w:rPr>
          <w:rFonts w:ascii="Arial" w:hAnsi="Arial" w:cs="Arial"/>
        </w:rPr>
        <w:t>, they are the</w:t>
      </w:r>
      <w:r w:rsidR="002B6434">
        <w:rPr>
          <w:rFonts w:ascii="Arial" w:hAnsi="Arial" w:cs="Arial"/>
        </w:rPr>
        <w:t xml:space="preserve"> </w:t>
      </w:r>
      <w:r w:rsidR="00FA6B2F">
        <w:rPr>
          <w:rFonts w:ascii="Arial" w:hAnsi="Arial" w:cs="Arial"/>
        </w:rPr>
        <w:t xml:space="preserve">medium by which an average person </w:t>
      </w:r>
      <w:r w:rsidR="00A52817">
        <w:rPr>
          <w:rFonts w:ascii="Arial" w:hAnsi="Arial" w:cs="Arial"/>
        </w:rPr>
        <w:t>interacts with the financial world.</w:t>
      </w:r>
      <w:r w:rsidR="00A24542">
        <w:rPr>
          <w:rFonts w:ascii="Arial" w:hAnsi="Arial" w:cs="Arial"/>
        </w:rPr>
        <w:t xml:space="preserve"> </w:t>
      </w:r>
      <w:r w:rsidR="00AF41D9">
        <w:rPr>
          <w:rFonts w:ascii="Arial" w:hAnsi="Arial" w:cs="Arial"/>
        </w:rPr>
        <w:t>Commercial</w:t>
      </w:r>
      <w:r w:rsidR="00370F5A">
        <w:rPr>
          <w:rFonts w:ascii="Arial" w:hAnsi="Arial" w:cs="Arial"/>
        </w:rPr>
        <w:t xml:space="preserve"> banks, loan associations, mutual saving</w:t>
      </w:r>
      <w:r w:rsidR="00154116">
        <w:rPr>
          <w:rFonts w:ascii="Arial" w:hAnsi="Arial" w:cs="Arial"/>
        </w:rPr>
        <w:t xml:space="preserve">s banks, credit unions, all these financial institutes </w:t>
      </w:r>
      <w:r w:rsidR="003C4AF5">
        <w:rPr>
          <w:rFonts w:ascii="Arial" w:hAnsi="Arial" w:cs="Arial"/>
        </w:rPr>
        <w:t>come under the term “banks”</w:t>
      </w:r>
      <w:r w:rsidR="001A252A">
        <w:rPr>
          <w:rFonts w:ascii="Arial" w:hAnsi="Arial" w:cs="Arial"/>
        </w:rPr>
        <w:t xml:space="preserve"> </w:t>
      </w:r>
      <w:r w:rsidR="0025718D">
        <w:rPr>
          <w:rFonts w:ascii="Arial" w:hAnsi="Arial" w:cs="Arial"/>
        </w:rPr>
        <w:t>(</w:t>
      </w:r>
      <w:r w:rsidR="00517CEF" w:rsidRPr="00517CEF">
        <w:rPr>
          <w:rFonts w:ascii="Arial" w:hAnsi="Arial" w:cs="Arial"/>
        </w:rPr>
        <w:t>Mishkin and Eakins, 2012)</w:t>
      </w:r>
      <w:r w:rsidR="000845E9">
        <w:rPr>
          <w:rFonts w:ascii="Arial" w:hAnsi="Arial" w:cs="Arial"/>
        </w:rPr>
        <w:t xml:space="preserve">. </w:t>
      </w:r>
      <w:r w:rsidR="00BD6BC1">
        <w:rPr>
          <w:rFonts w:ascii="Arial" w:hAnsi="Arial" w:cs="Arial"/>
        </w:rPr>
        <w:t xml:space="preserve">The </w:t>
      </w:r>
      <w:r w:rsidR="00F44711">
        <w:rPr>
          <w:rFonts w:ascii="Arial" w:hAnsi="Arial" w:cs="Arial"/>
        </w:rPr>
        <w:t xml:space="preserve">economy of a country is driven by the banking sector as </w:t>
      </w:r>
      <w:r w:rsidR="00CD1629">
        <w:rPr>
          <w:rFonts w:ascii="Arial" w:hAnsi="Arial" w:cs="Arial"/>
        </w:rPr>
        <w:t>it</w:t>
      </w:r>
      <w:r w:rsidR="00944E07" w:rsidRPr="005529FA">
        <w:rPr>
          <w:rFonts w:ascii="Arial" w:hAnsi="Arial" w:cs="Arial"/>
        </w:rPr>
        <w:t xml:space="preserve"> influences and facilitates many different economic activities like </w:t>
      </w:r>
      <w:r w:rsidR="005B5B58">
        <w:rPr>
          <w:rFonts w:ascii="Arial" w:hAnsi="Arial" w:cs="Arial"/>
        </w:rPr>
        <w:t>transfer</w:t>
      </w:r>
      <w:r w:rsidR="003568E2">
        <w:rPr>
          <w:rFonts w:ascii="Arial" w:hAnsi="Arial" w:cs="Arial"/>
        </w:rPr>
        <w:t>ring resources</w:t>
      </w:r>
      <w:r w:rsidR="00944E07" w:rsidRPr="005529FA">
        <w:rPr>
          <w:rFonts w:ascii="Arial" w:hAnsi="Arial" w:cs="Arial"/>
        </w:rPr>
        <w:t xml:space="preserve">, </w:t>
      </w:r>
      <w:r w:rsidR="00165F22">
        <w:rPr>
          <w:rFonts w:ascii="Arial" w:hAnsi="Arial" w:cs="Arial"/>
        </w:rPr>
        <w:t>creating jobs</w:t>
      </w:r>
      <w:r w:rsidR="00944E07" w:rsidRPr="005529FA">
        <w:rPr>
          <w:rFonts w:ascii="Arial" w:hAnsi="Arial" w:cs="Arial"/>
        </w:rPr>
        <w:t xml:space="preserve">, </w:t>
      </w:r>
      <w:r w:rsidR="00EB2718">
        <w:rPr>
          <w:rFonts w:ascii="Arial" w:hAnsi="Arial" w:cs="Arial"/>
        </w:rPr>
        <w:t xml:space="preserve">aiding </w:t>
      </w:r>
      <w:r w:rsidR="006C6EC4" w:rsidRPr="005529FA">
        <w:rPr>
          <w:rFonts w:ascii="Arial" w:hAnsi="Arial" w:cs="Arial"/>
        </w:rPr>
        <w:t>production,</w:t>
      </w:r>
      <w:r w:rsidR="00944E07" w:rsidRPr="005529FA">
        <w:rPr>
          <w:rFonts w:ascii="Arial" w:hAnsi="Arial" w:cs="Arial"/>
        </w:rPr>
        <w:t xml:space="preserve"> and distribution of public finance</w:t>
      </w:r>
      <w:r w:rsidR="009224D2" w:rsidRPr="009224D2">
        <w:t xml:space="preserve"> </w:t>
      </w:r>
      <w:r w:rsidR="009224D2" w:rsidRPr="009224D2">
        <w:rPr>
          <w:rFonts w:ascii="Arial" w:hAnsi="Arial" w:cs="Arial"/>
        </w:rPr>
        <w:t>(Hassan, 2021)</w:t>
      </w:r>
      <w:r w:rsidR="00944E07" w:rsidRPr="005529FA">
        <w:rPr>
          <w:rFonts w:ascii="Arial" w:hAnsi="Arial" w:cs="Arial"/>
        </w:rPr>
        <w:t>.</w:t>
      </w:r>
      <w:r w:rsidR="001A252A">
        <w:rPr>
          <w:rFonts w:ascii="Arial" w:hAnsi="Arial" w:cs="Arial"/>
        </w:rPr>
        <w:t xml:space="preserve"> </w:t>
      </w:r>
    </w:p>
    <w:p w14:paraId="57608B63" w14:textId="34E3C20D" w:rsidR="00ED4BA6" w:rsidRDefault="00A23EF0" w:rsidP="00463D0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A16F68">
        <w:rPr>
          <w:rFonts w:ascii="Arial" w:hAnsi="Arial" w:cs="Arial"/>
        </w:rPr>
        <w:t xml:space="preserve">e </w:t>
      </w:r>
      <w:r w:rsidR="00E63781">
        <w:rPr>
          <w:rFonts w:ascii="Arial" w:hAnsi="Arial" w:cs="Arial"/>
        </w:rPr>
        <w:t xml:space="preserve">global financial market condition </w:t>
      </w:r>
      <w:r w:rsidR="00794B11">
        <w:rPr>
          <w:rFonts w:ascii="Arial" w:hAnsi="Arial" w:cs="Arial"/>
        </w:rPr>
        <w:t>can be</w:t>
      </w:r>
      <w:r w:rsidR="00E63781">
        <w:rPr>
          <w:rFonts w:ascii="Arial" w:hAnsi="Arial" w:cs="Arial"/>
        </w:rPr>
        <w:t xml:space="preserve"> reflected on </w:t>
      </w:r>
      <w:r w:rsidR="00794B11">
        <w:rPr>
          <w:rFonts w:ascii="Arial" w:hAnsi="Arial" w:cs="Arial"/>
        </w:rPr>
        <w:t>the financial position of bank</w:t>
      </w:r>
      <w:r w:rsidR="008F6DC1">
        <w:rPr>
          <w:rFonts w:ascii="Arial" w:hAnsi="Arial" w:cs="Arial"/>
        </w:rPr>
        <w:t xml:space="preserve"> which can be </w:t>
      </w:r>
      <w:r w:rsidR="008C6302">
        <w:rPr>
          <w:rFonts w:ascii="Arial" w:hAnsi="Arial" w:cs="Arial"/>
        </w:rPr>
        <w:t>useful</w:t>
      </w:r>
      <w:r w:rsidR="008F6DC1">
        <w:rPr>
          <w:rFonts w:ascii="Arial" w:hAnsi="Arial" w:cs="Arial"/>
        </w:rPr>
        <w:t xml:space="preserve"> to </w:t>
      </w:r>
      <w:r w:rsidR="008C6302">
        <w:rPr>
          <w:rFonts w:ascii="Arial" w:hAnsi="Arial" w:cs="Arial"/>
        </w:rPr>
        <w:t xml:space="preserve">avoid financial crisis or deal with the financial </w:t>
      </w:r>
      <w:r w:rsidR="00487F2E">
        <w:rPr>
          <w:rFonts w:ascii="Arial" w:hAnsi="Arial" w:cs="Arial"/>
        </w:rPr>
        <w:t>crisis. The</w:t>
      </w:r>
      <w:r w:rsidR="00B65B67">
        <w:rPr>
          <w:rFonts w:ascii="Arial" w:hAnsi="Arial" w:cs="Arial"/>
        </w:rPr>
        <w:t xml:space="preserve"> financial </w:t>
      </w:r>
      <w:r w:rsidR="00D14749">
        <w:rPr>
          <w:rFonts w:ascii="Arial" w:hAnsi="Arial" w:cs="Arial"/>
        </w:rPr>
        <w:t>statement</w:t>
      </w:r>
      <w:r w:rsidR="00B65B67">
        <w:rPr>
          <w:rFonts w:ascii="Arial" w:hAnsi="Arial" w:cs="Arial"/>
        </w:rPr>
        <w:t xml:space="preserve"> of a bank reflects </w:t>
      </w:r>
      <w:r w:rsidR="002879E3">
        <w:rPr>
          <w:rFonts w:ascii="Arial" w:hAnsi="Arial" w:cs="Arial"/>
        </w:rPr>
        <w:t xml:space="preserve">its financial </w:t>
      </w:r>
      <w:r w:rsidR="001E6300">
        <w:rPr>
          <w:rFonts w:ascii="Arial" w:hAnsi="Arial" w:cs="Arial"/>
        </w:rPr>
        <w:t>position,</w:t>
      </w:r>
      <w:r w:rsidR="00DB282C">
        <w:rPr>
          <w:rFonts w:ascii="Arial" w:hAnsi="Arial" w:cs="Arial"/>
        </w:rPr>
        <w:t xml:space="preserve"> so it is </w:t>
      </w:r>
      <w:r w:rsidR="00661955">
        <w:rPr>
          <w:rFonts w:ascii="Arial" w:hAnsi="Arial" w:cs="Arial"/>
        </w:rPr>
        <w:t xml:space="preserve">important to analyse the financial statements </w:t>
      </w:r>
      <w:r w:rsidR="00C42053">
        <w:rPr>
          <w:rFonts w:ascii="Arial" w:hAnsi="Arial" w:cs="Arial"/>
        </w:rPr>
        <w:t xml:space="preserve">to assess </w:t>
      </w:r>
      <w:r w:rsidR="00DB2953">
        <w:rPr>
          <w:rFonts w:ascii="Arial" w:hAnsi="Arial" w:cs="Arial"/>
        </w:rPr>
        <w:t xml:space="preserve">the </w:t>
      </w:r>
      <w:r w:rsidR="00FF4F96">
        <w:rPr>
          <w:rFonts w:ascii="Arial" w:hAnsi="Arial" w:cs="Arial"/>
        </w:rPr>
        <w:t>assets and liabilities</w:t>
      </w:r>
      <w:r w:rsidR="003A2BAC">
        <w:rPr>
          <w:rFonts w:ascii="Arial" w:hAnsi="Arial" w:cs="Arial"/>
        </w:rPr>
        <w:t xml:space="preserve"> and the profit margin (Langer et al., 2014)</w:t>
      </w:r>
      <w:r w:rsidR="00D14749">
        <w:rPr>
          <w:rFonts w:ascii="Arial" w:hAnsi="Arial" w:cs="Arial"/>
        </w:rPr>
        <w:t xml:space="preserve">. </w:t>
      </w:r>
    </w:p>
    <w:p w14:paraId="640C272A" w14:textId="65CB5EB6" w:rsidR="002C325D" w:rsidRPr="005529FA" w:rsidRDefault="004065E7" w:rsidP="00463D05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This report will carry out a </w:t>
      </w:r>
      <w:r w:rsidR="00852F03">
        <w:rPr>
          <w:rFonts w:ascii="Arial" w:hAnsi="Arial" w:cs="Arial"/>
        </w:rPr>
        <w:t>five-year</w:t>
      </w:r>
      <w:r w:rsidR="00772B6A">
        <w:rPr>
          <w:rFonts w:ascii="Arial" w:hAnsi="Arial" w:cs="Arial"/>
        </w:rPr>
        <w:t xml:space="preserve"> analysis of the overall business and financial performance</w:t>
      </w:r>
      <w:r w:rsidR="0081319A">
        <w:rPr>
          <w:rFonts w:ascii="Arial" w:hAnsi="Arial" w:cs="Arial"/>
        </w:rPr>
        <w:t xml:space="preserve"> of two banks</w:t>
      </w:r>
      <w:r w:rsidR="002737EA">
        <w:rPr>
          <w:rFonts w:ascii="Arial" w:hAnsi="Arial" w:cs="Arial"/>
        </w:rPr>
        <w:t xml:space="preserve"> from 2016 to 2020</w:t>
      </w:r>
      <w:r w:rsidR="0081319A">
        <w:rPr>
          <w:rFonts w:ascii="Arial" w:hAnsi="Arial" w:cs="Arial"/>
        </w:rPr>
        <w:t>, focusing on the similarities</w:t>
      </w:r>
      <w:r w:rsidR="007F6B3A">
        <w:rPr>
          <w:rFonts w:ascii="Arial" w:hAnsi="Arial" w:cs="Arial"/>
        </w:rPr>
        <w:t xml:space="preserve"> and differences in their operations</w:t>
      </w:r>
      <w:r w:rsidR="00BC47B9">
        <w:rPr>
          <w:rFonts w:ascii="Arial" w:hAnsi="Arial" w:cs="Arial"/>
        </w:rPr>
        <w:t xml:space="preserve"> and discuss</w:t>
      </w:r>
      <w:r w:rsidR="00514FE3">
        <w:rPr>
          <w:rFonts w:ascii="Arial" w:hAnsi="Arial" w:cs="Arial"/>
        </w:rPr>
        <w:t xml:space="preserve"> how they manage</w:t>
      </w:r>
      <w:r w:rsidR="00BC47B9">
        <w:rPr>
          <w:rFonts w:ascii="Arial" w:hAnsi="Arial" w:cs="Arial"/>
        </w:rPr>
        <w:t xml:space="preserve"> their risk</w:t>
      </w:r>
      <w:r w:rsidR="00514FE3">
        <w:rPr>
          <w:rFonts w:ascii="Arial" w:hAnsi="Arial" w:cs="Arial"/>
        </w:rPr>
        <w:t>.</w:t>
      </w:r>
      <w:r w:rsidR="00827C0F">
        <w:rPr>
          <w:rFonts w:ascii="Arial" w:hAnsi="Arial" w:cs="Arial"/>
        </w:rPr>
        <w:t xml:space="preserve"> The chosen banks are an UK based bank</w:t>
      </w:r>
      <w:r w:rsidR="001B3B15">
        <w:rPr>
          <w:rFonts w:ascii="Arial" w:hAnsi="Arial" w:cs="Arial"/>
        </w:rPr>
        <w:t xml:space="preserve"> the Barclays Bank and a </w:t>
      </w:r>
      <w:r w:rsidR="005C3FC7">
        <w:rPr>
          <w:rFonts w:ascii="Arial" w:hAnsi="Arial" w:cs="Arial"/>
        </w:rPr>
        <w:t>Swiss bank</w:t>
      </w:r>
      <w:r w:rsidR="00A0233F">
        <w:rPr>
          <w:rFonts w:ascii="Arial" w:hAnsi="Arial" w:cs="Arial"/>
        </w:rPr>
        <w:t xml:space="preserve"> Credit </w:t>
      </w:r>
      <w:r w:rsidR="00852F03">
        <w:rPr>
          <w:rFonts w:ascii="Arial" w:hAnsi="Arial" w:cs="Arial"/>
        </w:rPr>
        <w:t xml:space="preserve">Suisse. </w:t>
      </w:r>
      <w:r w:rsidR="00014E8E">
        <w:rPr>
          <w:rFonts w:ascii="Arial" w:hAnsi="Arial" w:cs="Arial"/>
        </w:rPr>
        <w:t>To perform this analysis a number of financial ratios will be used</w:t>
      </w:r>
      <w:r w:rsidR="001A7BE5">
        <w:rPr>
          <w:rFonts w:ascii="Arial" w:hAnsi="Arial" w:cs="Arial"/>
        </w:rPr>
        <w:t xml:space="preserve">. </w:t>
      </w:r>
    </w:p>
    <w:p w14:paraId="71870175" w14:textId="77777777" w:rsidR="002E769B" w:rsidRPr="002E769B" w:rsidRDefault="002E769B" w:rsidP="00463D05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B15F5DB" w14:textId="77777777" w:rsidR="00430287" w:rsidRDefault="00430287" w:rsidP="002C325D">
      <w:pPr>
        <w:spacing w:line="360" w:lineRule="auto"/>
        <w:rPr>
          <w:lang w:val="en-US"/>
        </w:rPr>
      </w:pPr>
      <w:r>
        <w:rPr>
          <w:lang w:val="en-US"/>
        </w:rPr>
        <w:br w:type="page"/>
      </w:r>
    </w:p>
    <w:p w14:paraId="29E285A9" w14:textId="0DB5D6E5" w:rsidR="001A7BE5" w:rsidRDefault="00017F65" w:rsidP="00463D05">
      <w:pPr>
        <w:pStyle w:val="Heading2"/>
        <w:spacing w:line="360" w:lineRule="auto"/>
        <w:jc w:val="both"/>
        <w:rPr>
          <w:lang w:val="en-US"/>
        </w:rPr>
      </w:pPr>
      <w:bookmarkStart w:id="2" w:name="_Toc101702196"/>
      <w:r w:rsidRPr="004D264A">
        <w:rPr>
          <w:lang w:val="en-US"/>
        </w:rPr>
        <w:lastRenderedPageBreak/>
        <w:t xml:space="preserve">Profitability </w:t>
      </w:r>
      <w:r w:rsidR="004D264A" w:rsidRPr="004D264A">
        <w:rPr>
          <w:lang w:val="en-US"/>
        </w:rPr>
        <w:t>ratio</w:t>
      </w:r>
      <w:r w:rsidR="00F36D26">
        <w:rPr>
          <w:lang w:val="en-US"/>
        </w:rPr>
        <w:t>s</w:t>
      </w:r>
      <w:bookmarkEnd w:id="2"/>
    </w:p>
    <w:p w14:paraId="247E95CF" w14:textId="60329D88" w:rsidR="00F36D26" w:rsidRDefault="001117AD" w:rsidP="00463D05">
      <w:pPr>
        <w:pStyle w:val="Heading3"/>
        <w:spacing w:line="360" w:lineRule="auto"/>
        <w:jc w:val="both"/>
        <w:rPr>
          <w:lang w:val="en-US"/>
        </w:rPr>
      </w:pPr>
      <w:bookmarkStart w:id="3" w:name="_Hlk101696033"/>
      <w:bookmarkStart w:id="4" w:name="_Toc101702197"/>
      <w:r>
        <w:rPr>
          <w:lang w:val="en-US"/>
        </w:rPr>
        <w:t>Return on shareholder’s fund</w:t>
      </w:r>
      <w:bookmarkEnd w:id="4"/>
    </w:p>
    <w:bookmarkEnd w:id="3"/>
    <w:p w14:paraId="036F9F15" w14:textId="1D6EF8E6" w:rsidR="001117AD" w:rsidRDefault="00DE32FA" w:rsidP="00463D05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return on shareholder’s fund </w:t>
      </w:r>
      <w:r w:rsidR="00E30794">
        <w:rPr>
          <w:rFonts w:ascii="Arial" w:hAnsi="Arial" w:cs="Arial"/>
          <w:lang w:val="en-US"/>
        </w:rPr>
        <w:t xml:space="preserve">ratio shows the percentage of the </w:t>
      </w:r>
      <w:r w:rsidR="00A31AE8">
        <w:rPr>
          <w:rFonts w:ascii="Arial" w:hAnsi="Arial" w:cs="Arial"/>
          <w:lang w:val="en-US"/>
        </w:rPr>
        <w:t xml:space="preserve">money </w:t>
      </w:r>
      <w:r w:rsidR="0055582B">
        <w:rPr>
          <w:rFonts w:ascii="Arial" w:hAnsi="Arial" w:cs="Arial"/>
          <w:lang w:val="en-US"/>
        </w:rPr>
        <w:t xml:space="preserve">got returned </w:t>
      </w:r>
      <w:r w:rsidR="00363F86">
        <w:rPr>
          <w:rFonts w:ascii="Arial" w:hAnsi="Arial" w:cs="Arial"/>
          <w:lang w:val="en-US"/>
        </w:rPr>
        <w:t xml:space="preserve">from the money </w:t>
      </w:r>
      <w:r w:rsidR="00A31AE8">
        <w:rPr>
          <w:rFonts w:ascii="Arial" w:hAnsi="Arial" w:cs="Arial"/>
          <w:lang w:val="en-US"/>
        </w:rPr>
        <w:t xml:space="preserve">invested </w:t>
      </w:r>
      <w:r w:rsidR="00E01F01">
        <w:rPr>
          <w:rFonts w:ascii="Arial" w:hAnsi="Arial" w:cs="Arial"/>
          <w:lang w:val="en-US"/>
        </w:rPr>
        <w:t>to the owner</w:t>
      </w:r>
      <w:r w:rsidR="004B2D72">
        <w:rPr>
          <w:rFonts w:ascii="Arial" w:hAnsi="Arial" w:cs="Arial"/>
          <w:lang w:val="en-US"/>
        </w:rPr>
        <w:t xml:space="preserve">. </w:t>
      </w:r>
      <w:r w:rsidR="00991154">
        <w:rPr>
          <w:rFonts w:ascii="Arial" w:hAnsi="Arial" w:cs="Arial"/>
          <w:lang w:val="en-US"/>
        </w:rPr>
        <w:t xml:space="preserve">This is one of the profitability </w:t>
      </w:r>
      <w:r w:rsidR="00AD09BF">
        <w:rPr>
          <w:rFonts w:ascii="Arial" w:hAnsi="Arial" w:cs="Arial"/>
          <w:lang w:val="en-US"/>
        </w:rPr>
        <w:t>ratios</w:t>
      </w:r>
      <w:r w:rsidR="00991154">
        <w:rPr>
          <w:rFonts w:ascii="Arial" w:hAnsi="Arial" w:cs="Arial"/>
          <w:lang w:val="en-US"/>
        </w:rPr>
        <w:t>.</w:t>
      </w:r>
      <w:r w:rsidR="004045C0">
        <w:rPr>
          <w:rFonts w:ascii="Arial" w:hAnsi="Arial" w:cs="Arial"/>
          <w:lang w:val="en-US"/>
        </w:rPr>
        <w:t xml:space="preserve"> </w:t>
      </w:r>
      <w:r w:rsidR="00AD09BF">
        <w:rPr>
          <w:rFonts w:ascii="Arial" w:hAnsi="Arial" w:cs="Arial"/>
          <w:lang w:val="en-US"/>
        </w:rPr>
        <w:t xml:space="preserve">It indicates </w:t>
      </w:r>
      <w:r w:rsidR="00CF2680">
        <w:rPr>
          <w:rFonts w:ascii="Arial" w:hAnsi="Arial" w:cs="Arial"/>
          <w:lang w:val="en-US"/>
        </w:rPr>
        <w:t xml:space="preserve">the profitability </w:t>
      </w:r>
      <w:r w:rsidR="00957666">
        <w:rPr>
          <w:rFonts w:ascii="Arial" w:hAnsi="Arial" w:cs="Arial"/>
          <w:lang w:val="en-US"/>
        </w:rPr>
        <w:t xml:space="preserve">in relation to the </w:t>
      </w:r>
      <w:r w:rsidR="00592D6C">
        <w:rPr>
          <w:rFonts w:ascii="Arial" w:hAnsi="Arial" w:cs="Arial"/>
          <w:lang w:val="en-US"/>
        </w:rPr>
        <w:t xml:space="preserve">fund invested by the owner or the shareholders. </w:t>
      </w:r>
      <w:r w:rsidR="003E4613">
        <w:rPr>
          <w:rFonts w:ascii="Arial" w:hAnsi="Arial" w:cs="Arial"/>
          <w:lang w:val="en-US"/>
        </w:rPr>
        <w:t xml:space="preserve">This ratio is important </w:t>
      </w:r>
      <w:r w:rsidR="008F14D7">
        <w:rPr>
          <w:rFonts w:ascii="Arial" w:hAnsi="Arial" w:cs="Arial"/>
          <w:lang w:val="en-US"/>
        </w:rPr>
        <w:t xml:space="preserve">as it helps the business to </w:t>
      </w:r>
      <w:r w:rsidR="00617543">
        <w:rPr>
          <w:rFonts w:ascii="Arial" w:hAnsi="Arial" w:cs="Arial"/>
          <w:lang w:val="en-US"/>
        </w:rPr>
        <w:t>determine if it has earned enough returns to re</w:t>
      </w:r>
      <w:r w:rsidR="001C4270">
        <w:rPr>
          <w:rFonts w:ascii="Arial" w:hAnsi="Arial" w:cs="Arial"/>
          <w:lang w:val="en-US"/>
        </w:rPr>
        <w:t xml:space="preserve">pay its shareholders. </w:t>
      </w:r>
      <w:r w:rsidR="009D5BF0">
        <w:rPr>
          <w:rFonts w:ascii="Arial" w:hAnsi="Arial" w:cs="Arial"/>
          <w:lang w:val="en-US"/>
        </w:rPr>
        <w:t xml:space="preserve">Bellow is the graph </w:t>
      </w:r>
      <w:r w:rsidR="0088137E">
        <w:rPr>
          <w:rFonts w:ascii="Arial" w:hAnsi="Arial" w:cs="Arial"/>
          <w:lang w:val="en-US"/>
        </w:rPr>
        <w:t>of</w:t>
      </w:r>
      <w:r w:rsidR="008611B3">
        <w:rPr>
          <w:rFonts w:ascii="Arial" w:hAnsi="Arial" w:cs="Arial"/>
          <w:lang w:val="en-US"/>
        </w:rPr>
        <w:t xml:space="preserve"> the return on shareholder’s fund </w:t>
      </w:r>
      <w:r w:rsidR="0088137E">
        <w:rPr>
          <w:rFonts w:ascii="Arial" w:hAnsi="Arial" w:cs="Arial"/>
          <w:lang w:val="en-US"/>
        </w:rPr>
        <w:t>for</w:t>
      </w:r>
      <w:r w:rsidR="009D5BF0">
        <w:rPr>
          <w:rFonts w:ascii="Arial" w:hAnsi="Arial" w:cs="Arial"/>
          <w:lang w:val="en-US"/>
        </w:rPr>
        <w:t xml:space="preserve"> Barclays and Credit Suisse</w:t>
      </w:r>
      <w:r w:rsidR="0088137E">
        <w:rPr>
          <w:rFonts w:ascii="Arial" w:hAnsi="Arial" w:cs="Arial"/>
          <w:lang w:val="en-US"/>
        </w:rPr>
        <w:t>.</w:t>
      </w:r>
    </w:p>
    <w:p w14:paraId="10889084" w14:textId="77777777" w:rsidR="0088137E" w:rsidRDefault="0088137E" w:rsidP="00463D05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6F41E48" w14:textId="115131AA" w:rsidR="0088137E" w:rsidRDefault="0088137E" w:rsidP="00463D05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72EAF9C8" wp14:editId="3B7D623F">
            <wp:extent cx="4314825" cy="2247901"/>
            <wp:effectExtent l="0" t="0" r="9525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E7731C4-761A-4A6B-A7A1-7DDB444359C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6FD04C77" w14:textId="77777777" w:rsidR="003942BE" w:rsidRDefault="003942BE" w:rsidP="00463D05">
      <w:pPr>
        <w:spacing w:line="360" w:lineRule="auto"/>
        <w:jc w:val="center"/>
        <w:rPr>
          <w:rFonts w:ascii="Arial" w:hAnsi="Arial" w:cs="Arial"/>
          <w:lang w:val="en-US"/>
        </w:rPr>
      </w:pPr>
      <w:r w:rsidRPr="003942BE">
        <w:rPr>
          <w:rFonts w:ascii="Arial" w:hAnsi="Arial" w:cs="Arial"/>
          <w:lang w:val="en-US"/>
        </w:rPr>
        <w:t xml:space="preserve">Figure 1: </w:t>
      </w:r>
      <w:r w:rsidRPr="003942BE">
        <w:rPr>
          <w:rFonts w:ascii="Arial" w:hAnsi="Arial" w:cs="Arial"/>
          <w:lang w:val="en-US"/>
        </w:rPr>
        <w:t>Return on shareholder’s fund</w:t>
      </w:r>
    </w:p>
    <w:p w14:paraId="623F7E11" w14:textId="17F1AA75" w:rsidR="00C62C24" w:rsidRPr="003942BE" w:rsidRDefault="00D47382" w:rsidP="00463D05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graph on figure 1 shows that Barclays </w:t>
      </w:r>
      <w:r w:rsidR="00103F8D">
        <w:rPr>
          <w:rFonts w:ascii="Arial" w:hAnsi="Arial" w:cs="Arial"/>
          <w:lang w:val="en-US"/>
        </w:rPr>
        <w:t xml:space="preserve">generated more profit from the </w:t>
      </w:r>
      <w:r w:rsidR="005B031B">
        <w:rPr>
          <w:rFonts w:ascii="Arial" w:hAnsi="Arial" w:cs="Arial"/>
          <w:lang w:val="en-US"/>
        </w:rPr>
        <w:t>investment of the bank on behalf of the shareholders</w:t>
      </w:r>
      <w:r w:rsidR="00342137">
        <w:rPr>
          <w:rFonts w:ascii="Arial" w:hAnsi="Arial" w:cs="Arial"/>
          <w:lang w:val="en-US"/>
        </w:rPr>
        <w:t xml:space="preserve"> compare to Credit Suisse. </w:t>
      </w:r>
      <w:r w:rsidR="0028362F">
        <w:rPr>
          <w:rFonts w:ascii="Arial" w:hAnsi="Arial" w:cs="Arial"/>
          <w:lang w:val="en-US"/>
        </w:rPr>
        <w:t>The percentage is increasing for both banks</w:t>
      </w:r>
      <w:r w:rsidR="008E7844">
        <w:rPr>
          <w:rFonts w:ascii="Arial" w:hAnsi="Arial" w:cs="Arial"/>
          <w:lang w:val="en-US"/>
        </w:rPr>
        <w:t xml:space="preserve">, however for Credit Suisse </w:t>
      </w:r>
      <w:r w:rsidR="001B57D5">
        <w:rPr>
          <w:rFonts w:ascii="Arial" w:hAnsi="Arial" w:cs="Arial"/>
          <w:lang w:val="en-US"/>
        </w:rPr>
        <w:t>it is constant and for Barclays</w:t>
      </w:r>
      <w:r w:rsidR="00D61295">
        <w:rPr>
          <w:rFonts w:ascii="Arial" w:hAnsi="Arial" w:cs="Arial"/>
          <w:lang w:val="en-US"/>
        </w:rPr>
        <w:t xml:space="preserve"> there is a decrease from 2019 to 2020. </w:t>
      </w:r>
      <w:r w:rsidR="000B1DF6">
        <w:rPr>
          <w:rFonts w:ascii="Arial" w:hAnsi="Arial" w:cs="Arial"/>
          <w:lang w:val="en-US"/>
        </w:rPr>
        <w:t>From the income statement</w:t>
      </w:r>
      <w:r w:rsidR="005969FE">
        <w:rPr>
          <w:rFonts w:ascii="Arial" w:hAnsi="Arial" w:cs="Arial"/>
          <w:lang w:val="en-US"/>
        </w:rPr>
        <w:t xml:space="preserve">, </w:t>
      </w:r>
      <w:r w:rsidR="00463D05">
        <w:rPr>
          <w:rFonts w:ascii="Arial" w:hAnsi="Arial" w:cs="Arial"/>
          <w:lang w:val="en-US"/>
        </w:rPr>
        <w:t>Barclays</w:t>
      </w:r>
      <w:r w:rsidR="005969FE">
        <w:rPr>
          <w:rFonts w:ascii="Arial" w:hAnsi="Arial" w:cs="Arial"/>
          <w:lang w:val="en-US"/>
        </w:rPr>
        <w:t xml:space="preserve"> </w:t>
      </w:r>
      <w:r w:rsidR="00CA117C">
        <w:rPr>
          <w:rFonts w:ascii="Arial" w:hAnsi="Arial" w:cs="Arial"/>
          <w:lang w:val="en-US"/>
        </w:rPr>
        <w:t>generated 26.62% less profit in 2020 compared to 2019</w:t>
      </w:r>
      <w:r w:rsidR="003D53CB">
        <w:rPr>
          <w:rFonts w:ascii="Arial" w:hAnsi="Arial" w:cs="Arial"/>
          <w:lang w:val="en-US"/>
        </w:rPr>
        <w:t xml:space="preserve"> where the </w:t>
      </w:r>
      <w:r w:rsidR="00F96DC5">
        <w:rPr>
          <w:rFonts w:ascii="Arial" w:hAnsi="Arial" w:cs="Arial"/>
          <w:lang w:val="en-US"/>
        </w:rPr>
        <w:t xml:space="preserve">equity increased 1.86% from 2019 to 2020. </w:t>
      </w:r>
    </w:p>
    <w:p w14:paraId="1B87217E" w14:textId="251271F6" w:rsidR="0088137E" w:rsidRPr="00F36D26" w:rsidRDefault="0088137E" w:rsidP="00463D05">
      <w:pPr>
        <w:spacing w:line="360" w:lineRule="auto"/>
        <w:rPr>
          <w:rFonts w:ascii="Arial" w:hAnsi="Arial" w:cs="Arial"/>
          <w:lang w:val="en-US"/>
        </w:rPr>
      </w:pPr>
    </w:p>
    <w:p w14:paraId="27CCBD5C" w14:textId="77777777" w:rsidR="004D264A" w:rsidRPr="004D264A" w:rsidRDefault="004D264A" w:rsidP="004D264A">
      <w:pPr>
        <w:rPr>
          <w:rFonts w:ascii="Arial" w:hAnsi="Arial" w:cs="Arial"/>
          <w:lang w:val="en-US"/>
        </w:rPr>
      </w:pPr>
    </w:p>
    <w:p w14:paraId="637E1FA7" w14:textId="0F67F554" w:rsidR="00093DDC" w:rsidRDefault="00093DDC">
      <w:pPr>
        <w:rPr>
          <w:lang w:val="en-US"/>
        </w:rPr>
      </w:pPr>
      <w:r>
        <w:rPr>
          <w:lang w:val="en-US"/>
        </w:rPr>
        <w:br w:type="page"/>
      </w:r>
    </w:p>
    <w:p w14:paraId="64911E9A" w14:textId="7431C2A3" w:rsidR="00D7726D" w:rsidRDefault="00A63E9D" w:rsidP="003F0ADA">
      <w:pPr>
        <w:pStyle w:val="Heading3"/>
        <w:spacing w:line="360" w:lineRule="auto"/>
        <w:jc w:val="both"/>
        <w:rPr>
          <w:lang w:val="en-US"/>
        </w:rPr>
      </w:pPr>
      <w:bookmarkStart w:id="5" w:name="_Toc101702198"/>
      <w:r>
        <w:rPr>
          <w:lang w:val="en-US"/>
        </w:rPr>
        <w:lastRenderedPageBreak/>
        <w:t>ROCE</w:t>
      </w:r>
      <w:r w:rsidR="00064EA9">
        <w:rPr>
          <w:lang w:val="en-US"/>
        </w:rPr>
        <w:t>%</w:t>
      </w:r>
      <w:bookmarkEnd w:id="5"/>
    </w:p>
    <w:p w14:paraId="1335841B" w14:textId="2F7DECA9" w:rsidR="00C876F5" w:rsidRDefault="00442C90" w:rsidP="003F0ADA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Return on capital employe</w:t>
      </w:r>
      <w:r w:rsidR="00A061F0">
        <w:rPr>
          <w:rFonts w:ascii="Arial" w:hAnsi="Arial" w:cs="Arial"/>
          <w:lang w:val="en-US"/>
        </w:rPr>
        <w:t>d (ROCE) is a profitability ratio</w:t>
      </w:r>
      <w:r w:rsidR="004A7C9A">
        <w:rPr>
          <w:rFonts w:ascii="Arial" w:hAnsi="Arial" w:cs="Arial"/>
          <w:lang w:val="en-US"/>
        </w:rPr>
        <w:t xml:space="preserve"> </w:t>
      </w:r>
      <w:r w:rsidR="002E4857">
        <w:rPr>
          <w:rFonts w:ascii="Arial" w:hAnsi="Arial" w:cs="Arial"/>
          <w:lang w:val="en-US"/>
        </w:rPr>
        <w:t xml:space="preserve">which </w:t>
      </w:r>
      <w:r w:rsidR="00C80431">
        <w:rPr>
          <w:rFonts w:ascii="Arial" w:hAnsi="Arial" w:cs="Arial"/>
          <w:lang w:val="en-US"/>
        </w:rPr>
        <w:t>assess</w:t>
      </w:r>
      <w:r w:rsidR="00727D4D">
        <w:rPr>
          <w:rFonts w:ascii="Arial" w:hAnsi="Arial" w:cs="Arial"/>
          <w:lang w:val="en-US"/>
        </w:rPr>
        <w:t>es</w:t>
      </w:r>
      <w:r w:rsidR="00C80431">
        <w:rPr>
          <w:rFonts w:ascii="Arial" w:hAnsi="Arial" w:cs="Arial"/>
          <w:lang w:val="en-US"/>
        </w:rPr>
        <w:t xml:space="preserve"> bank’s capital efficiency </w:t>
      </w:r>
      <w:r w:rsidR="0026799F">
        <w:rPr>
          <w:rFonts w:ascii="Arial" w:hAnsi="Arial" w:cs="Arial"/>
          <w:lang w:val="en-US"/>
        </w:rPr>
        <w:t xml:space="preserve">and profitability. </w:t>
      </w:r>
      <w:r w:rsidR="00CF20F3">
        <w:rPr>
          <w:rFonts w:ascii="Arial" w:hAnsi="Arial" w:cs="Arial"/>
          <w:lang w:val="en-US"/>
        </w:rPr>
        <w:t>The ROCE indicates the</w:t>
      </w:r>
      <w:r w:rsidR="00973A58">
        <w:rPr>
          <w:rFonts w:ascii="Arial" w:hAnsi="Arial" w:cs="Arial"/>
          <w:lang w:val="en-US"/>
        </w:rPr>
        <w:t xml:space="preserve"> </w:t>
      </w:r>
      <w:r w:rsidR="00E10701">
        <w:rPr>
          <w:rFonts w:ascii="Arial" w:hAnsi="Arial" w:cs="Arial"/>
          <w:lang w:val="en-US"/>
        </w:rPr>
        <w:t>percentage</w:t>
      </w:r>
      <w:r w:rsidR="00973A58">
        <w:rPr>
          <w:rFonts w:ascii="Arial" w:hAnsi="Arial" w:cs="Arial"/>
          <w:lang w:val="en-US"/>
        </w:rPr>
        <w:t xml:space="preserve"> of profit generated</w:t>
      </w:r>
      <w:r w:rsidR="00064EA9">
        <w:rPr>
          <w:rFonts w:ascii="Arial" w:hAnsi="Arial" w:cs="Arial"/>
          <w:lang w:val="en-US"/>
        </w:rPr>
        <w:t xml:space="preserve"> </w:t>
      </w:r>
      <w:r w:rsidR="00E14176">
        <w:rPr>
          <w:rFonts w:ascii="Arial" w:hAnsi="Arial" w:cs="Arial"/>
          <w:lang w:val="en-US"/>
        </w:rPr>
        <w:t xml:space="preserve">from the capital employed. </w:t>
      </w:r>
      <w:r w:rsidR="004E1D6B">
        <w:rPr>
          <w:rFonts w:ascii="Arial" w:hAnsi="Arial" w:cs="Arial"/>
          <w:lang w:val="en-US"/>
        </w:rPr>
        <w:t xml:space="preserve">From the graph on figure 2 </w:t>
      </w:r>
      <w:r w:rsidR="00FB12E3">
        <w:rPr>
          <w:rFonts w:ascii="Arial" w:hAnsi="Arial" w:cs="Arial"/>
          <w:lang w:val="en-US"/>
        </w:rPr>
        <w:t xml:space="preserve">shows ROCE% for Barclays and Credit Suisse </w:t>
      </w:r>
      <w:r w:rsidR="00DB1E66">
        <w:rPr>
          <w:rFonts w:ascii="Arial" w:hAnsi="Arial" w:cs="Arial"/>
          <w:lang w:val="en-US"/>
        </w:rPr>
        <w:t xml:space="preserve">from 2016 to 2020. </w:t>
      </w:r>
      <w:r w:rsidR="00F3287E">
        <w:rPr>
          <w:rFonts w:ascii="Arial" w:hAnsi="Arial" w:cs="Arial"/>
          <w:lang w:val="en-US"/>
        </w:rPr>
        <w:t xml:space="preserve">Credit Suisse was </w:t>
      </w:r>
      <w:r w:rsidR="00C83216">
        <w:rPr>
          <w:rFonts w:ascii="Arial" w:hAnsi="Arial" w:cs="Arial"/>
          <w:lang w:val="en-US"/>
        </w:rPr>
        <w:t>suffering from loss</w:t>
      </w:r>
      <w:r w:rsidR="001E280E">
        <w:rPr>
          <w:rFonts w:ascii="Arial" w:hAnsi="Arial" w:cs="Arial"/>
          <w:lang w:val="en-US"/>
        </w:rPr>
        <w:t>es in 2016 and 2017</w:t>
      </w:r>
      <w:r w:rsidR="003F6395">
        <w:rPr>
          <w:rFonts w:ascii="Arial" w:hAnsi="Arial" w:cs="Arial"/>
          <w:lang w:val="en-US"/>
        </w:rPr>
        <w:t xml:space="preserve">. From 2016 the ROCE increased by </w:t>
      </w:r>
      <w:r w:rsidR="00472BB3">
        <w:rPr>
          <w:rFonts w:ascii="Arial" w:hAnsi="Arial" w:cs="Arial"/>
          <w:lang w:val="en-US"/>
        </w:rPr>
        <w:t xml:space="preserve">46.1% and </w:t>
      </w:r>
      <w:r w:rsidR="005E59ED">
        <w:rPr>
          <w:rFonts w:ascii="Arial" w:hAnsi="Arial" w:cs="Arial"/>
          <w:lang w:val="en-US"/>
        </w:rPr>
        <w:t>became 0.1</w:t>
      </w:r>
      <w:r w:rsidR="008B41B5">
        <w:rPr>
          <w:rFonts w:ascii="Arial" w:hAnsi="Arial" w:cs="Arial"/>
          <w:lang w:val="en-US"/>
        </w:rPr>
        <w:t xml:space="preserve">%. since 2017 the ROCE has been increasing </w:t>
      </w:r>
      <w:r w:rsidR="005E593C">
        <w:rPr>
          <w:rFonts w:ascii="Arial" w:hAnsi="Arial" w:cs="Arial"/>
          <w:lang w:val="en-US"/>
        </w:rPr>
        <w:t xml:space="preserve">each year and in 2020 it was 0.23%. </w:t>
      </w:r>
      <w:r w:rsidR="001B5E11">
        <w:rPr>
          <w:rFonts w:ascii="Arial" w:hAnsi="Arial" w:cs="Arial"/>
          <w:lang w:val="en-US"/>
        </w:rPr>
        <w:t xml:space="preserve">Barclays on the other hand, </w:t>
      </w:r>
      <w:r w:rsidR="00E21C0E">
        <w:rPr>
          <w:rFonts w:ascii="Arial" w:hAnsi="Arial" w:cs="Arial"/>
          <w:lang w:val="en-US"/>
        </w:rPr>
        <w:t>had small fluctuations each year</w:t>
      </w:r>
      <w:r w:rsidR="008E4F28">
        <w:rPr>
          <w:rFonts w:ascii="Arial" w:hAnsi="Arial" w:cs="Arial"/>
          <w:lang w:val="en-US"/>
        </w:rPr>
        <w:t xml:space="preserve">. </w:t>
      </w:r>
      <w:r w:rsidR="00973A58">
        <w:rPr>
          <w:rFonts w:ascii="Arial" w:hAnsi="Arial" w:cs="Arial"/>
          <w:lang w:val="en-US"/>
        </w:rPr>
        <w:t xml:space="preserve"> </w:t>
      </w:r>
    </w:p>
    <w:p w14:paraId="7DAE6DE4" w14:textId="10336C6E" w:rsidR="00A63E9D" w:rsidRDefault="00A63E9D" w:rsidP="008E4F28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1FD368BE" wp14:editId="3404D5BC">
            <wp:extent cx="4114800" cy="2738438"/>
            <wp:effectExtent l="0" t="0" r="0" b="508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0EDB8FB2-9C06-462D-A65D-A8A7FC42B15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66B1F8A8" w14:textId="118D9076" w:rsidR="008E4F28" w:rsidRDefault="008E4F28" w:rsidP="008E4F28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2: ROCE%</w:t>
      </w:r>
    </w:p>
    <w:p w14:paraId="335C492F" w14:textId="1151FC16" w:rsidR="00A21DDE" w:rsidRDefault="00A21DDE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11409A9B" w14:textId="3E399BAA" w:rsidR="008E4F28" w:rsidRDefault="002B5C1A" w:rsidP="00714913">
      <w:pPr>
        <w:pStyle w:val="Heading3"/>
        <w:jc w:val="both"/>
        <w:rPr>
          <w:lang w:val="en-US"/>
        </w:rPr>
      </w:pPr>
      <w:bookmarkStart w:id="6" w:name="_Toc101702199"/>
      <w:r>
        <w:rPr>
          <w:lang w:val="en-US"/>
        </w:rPr>
        <w:lastRenderedPageBreak/>
        <w:t>ROTA</w:t>
      </w:r>
      <w:bookmarkEnd w:id="6"/>
    </w:p>
    <w:p w14:paraId="77F1B926" w14:textId="1051CC6D" w:rsidR="0021013D" w:rsidRDefault="004278E1" w:rsidP="00714913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 return on asset</w:t>
      </w:r>
      <w:r w:rsidR="000A1B22">
        <w:rPr>
          <w:rFonts w:ascii="Arial" w:hAnsi="Arial" w:cs="Arial"/>
          <w:lang w:val="en-US"/>
        </w:rPr>
        <w:t>s</w:t>
      </w:r>
      <w:r w:rsidR="00423212">
        <w:rPr>
          <w:rFonts w:ascii="Arial" w:hAnsi="Arial" w:cs="Arial"/>
          <w:lang w:val="en-US"/>
        </w:rPr>
        <w:t xml:space="preserve"> (ROTA)</w:t>
      </w:r>
      <w:r w:rsidR="000A1B22">
        <w:rPr>
          <w:rFonts w:ascii="Arial" w:hAnsi="Arial" w:cs="Arial"/>
          <w:lang w:val="en-US"/>
        </w:rPr>
        <w:t xml:space="preserve"> of Barclays is higher than</w:t>
      </w:r>
      <w:r w:rsidR="003B78F4">
        <w:rPr>
          <w:rFonts w:ascii="Arial" w:hAnsi="Arial" w:cs="Arial"/>
          <w:lang w:val="en-US"/>
        </w:rPr>
        <w:t xml:space="preserve"> Credit Suisse</w:t>
      </w:r>
      <w:r w:rsidR="00042EA9">
        <w:rPr>
          <w:rFonts w:ascii="Arial" w:hAnsi="Arial" w:cs="Arial"/>
          <w:lang w:val="en-US"/>
        </w:rPr>
        <w:t xml:space="preserve"> from </w:t>
      </w:r>
      <w:r w:rsidR="00123084">
        <w:rPr>
          <w:rFonts w:ascii="Arial" w:hAnsi="Arial" w:cs="Arial"/>
          <w:lang w:val="en-US"/>
        </w:rPr>
        <w:t xml:space="preserve">2016 to 2020. </w:t>
      </w:r>
      <w:r w:rsidR="003C16D4">
        <w:rPr>
          <w:rFonts w:ascii="Arial" w:hAnsi="Arial" w:cs="Arial"/>
          <w:lang w:val="en-US"/>
        </w:rPr>
        <w:t>Credit Suisse</w:t>
      </w:r>
      <w:r w:rsidR="00613C6D">
        <w:rPr>
          <w:rFonts w:ascii="Arial" w:hAnsi="Arial" w:cs="Arial"/>
          <w:lang w:val="en-US"/>
        </w:rPr>
        <w:t xml:space="preserve"> had negative </w:t>
      </w:r>
      <w:r w:rsidR="00343370">
        <w:rPr>
          <w:rFonts w:ascii="Arial" w:hAnsi="Arial" w:cs="Arial"/>
          <w:lang w:val="en-US"/>
        </w:rPr>
        <w:t>ROTA</w:t>
      </w:r>
      <w:r w:rsidR="00423212">
        <w:rPr>
          <w:rFonts w:ascii="Arial" w:hAnsi="Arial" w:cs="Arial"/>
          <w:lang w:val="en-US"/>
        </w:rPr>
        <w:t xml:space="preserve"> </w:t>
      </w:r>
      <w:r w:rsidR="00963E27">
        <w:rPr>
          <w:rFonts w:ascii="Arial" w:hAnsi="Arial" w:cs="Arial"/>
          <w:lang w:val="en-US"/>
        </w:rPr>
        <w:t>in 2016 and 2017</w:t>
      </w:r>
      <w:r w:rsidR="00895F18">
        <w:rPr>
          <w:rFonts w:ascii="Arial" w:hAnsi="Arial" w:cs="Arial"/>
          <w:lang w:val="en-US"/>
        </w:rPr>
        <w:t>. The increase in ROTA was steady from 2018 to 2020</w:t>
      </w:r>
      <w:r w:rsidR="00844A30">
        <w:rPr>
          <w:rFonts w:ascii="Arial" w:hAnsi="Arial" w:cs="Arial"/>
          <w:lang w:val="en-US"/>
        </w:rPr>
        <w:t xml:space="preserve"> for Credit Suisse. Barclays</w:t>
      </w:r>
      <w:r w:rsidR="00E60684">
        <w:rPr>
          <w:rFonts w:ascii="Arial" w:hAnsi="Arial" w:cs="Arial"/>
          <w:lang w:val="en-US"/>
        </w:rPr>
        <w:t>’s ROTA increase each year from 2016 to 2019, however it decreased</w:t>
      </w:r>
      <w:r w:rsidR="008A02B3">
        <w:rPr>
          <w:rFonts w:ascii="Arial" w:hAnsi="Arial" w:cs="Arial"/>
          <w:lang w:val="en-US"/>
        </w:rPr>
        <w:t xml:space="preserve"> </w:t>
      </w:r>
      <w:r w:rsidR="005155D6">
        <w:rPr>
          <w:rFonts w:ascii="Arial" w:hAnsi="Arial" w:cs="Arial"/>
          <w:lang w:val="en-US"/>
        </w:rPr>
        <w:t>by 1.5</w:t>
      </w:r>
      <w:r w:rsidR="00B17512">
        <w:rPr>
          <w:rFonts w:ascii="Arial" w:hAnsi="Arial" w:cs="Arial"/>
          <w:lang w:val="en-US"/>
        </w:rPr>
        <w:t xml:space="preserve"> in 2020.</w:t>
      </w:r>
      <w:r w:rsidR="004710F1">
        <w:rPr>
          <w:rFonts w:ascii="Arial" w:hAnsi="Arial" w:cs="Arial"/>
          <w:lang w:val="en-US"/>
        </w:rPr>
        <w:t xml:space="preserve"> Overall, </w:t>
      </w:r>
      <w:r w:rsidR="00B20936">
        <w:rPr>
          <w:rFonts w:ascii="Arial" w:hAnsi="Arial" w:cs="Arial"/>
          <w:lang w:val="en-US"/>
        </w:rPr>
        <w:t xml:space="preserve">Barclays </w:t>
      </w:r>
      <w:r w:rsidR="008F723D">
        <w:rPr>
          <w:rFonts w:ascii="Arial" w:hAnsi="Arial" w:cs="Arial"/>
          <w:lang w:val="en-US"/>
        </w:rPr>
        <w:t>was</w:t>
      </w:r>
      <w:r w:rsidR="00B20936">
        <w:rPr>
          <w:rFonts w:ascii="Arial" w:hAnsi="Arial" w:cs="Arial"/>
          <w:lang w:val="en-US"/>
        </w:rPr>
        <w:t xml:space="preserve"> more efficient at using its capital to generate income compared to Credit </w:t>
      </w:r>
      <w:r w:rsidR="008F723D">
        <w:rPr>
          <w:rFonts w:ascii="Arial" w:hAnsi="Arial" w:cs="Arial"/>
          <w:lang w:val="en-US"/>
        </w:rPr>
        <w:t xml:space="preserve">Suisse in 2016 to 2020. </w:t>
      </w:r>
    </w:p>
    <w:p w14:paraId="141760F9" w14:textId="77777777" w:rsidR="00714913" w:rsidRPr="0021013D" w:rsidRDefault="00714913" w:rsidP="00714913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E337D35" w14:textId="783FC318" w:rsidR="00F223F2" w:rsidRPr="002B5C1A" w:rsidRDefault="00F223F2" w:rsidP="00F223F2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412C72B2" wp14:editId="6138DD9F">
            <wp:extent cx="3819525" cy="2586038"/>
            <wp:effectExtent l="0" t="0" r="9525" b="508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2E7456B6-7C87-43A0-91CB-843F666A07E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2DCCB31F" w14:textId="4EB665DC" w:rsidR="002B5C1A" w:rsidRDefault="00DB28E5" w:rsidP="00DB28E5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3: ROTA</w:t>
      </w:r>
    </w:p>
    <w:p w14:paraId="1110B91C" w14:textId="499A3433" w:rsidR="00714913" w:rsidRDefault="0071491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3BD157E1" w14:textId="32ABF91E" w:rsidR="00714913" w:rsidRDefault="00F52698" w:rsidP="00DA0CDC">
      <w:pPr>
        <w:pStyle w:val="Heading3"/>
        <w:spacing w:line="360" w:lineRule="auto"/>
        <w:rPr>
          <w:lang w:val="en-US"/>
        </w:rPr>
      </w:pPr>
      <w:bookmarkStart w:id="7" w:name="_Toc101702200"/>
      <w:r>
        <w:rPr>
          <w:lang w:val="en-US"/>
        </w:rPr>
        <w:t>Profit margin</w:t>
      </w:r>
      <w:bookmarkEnd w:id="7"/>
    </w:p>
    <w:p w14:paraId="3183D7DB" w14:textId="48FEAE41" w:rsidR="00364D77" w:rsidRDefault="00364D77" w:rsidP="00DA0CD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Profit margin ratio</w:t>
      </w:r>
      <w:r w:rsidR="00AF0DC9">
        <w:rPr>
          <w:rFonts w:ascii="Arial" w:hAnsi="Arial" w:cs="Arial"/>
          <w:lang w:val="en-US"/>
        </w:rPr>
        <w:t xml:space="preserve"> indicates the percentage of profit from a bank’s operation</w:t>
      </w:r>
      <w:r w:rsidR="00AC694E">
        <w:rPr>
          <w:rFonts w:ascii="Arial" w:hAnsi="Arial" w:cs="Arial"/>
          <w:lang w:val="en-US"/>
        </w:rPr>
        <w:t xml:space="preserve">s. </w:t>
      </w:r>
      <w:r w:rsidR="00394AEE">
        <w:rPr>
          <w:rFonts w:ascii="Arial" w:hAnsi="Arial" w:cs="Arial"/>
          <w:lang w:val="en-US"/>
        </w:rPr>
        <w:t xml:space="preserve">The graph in figure 4 is showing </w:t>
      </w:r>
      <w:r w:rsidR="00903CB0">
        <w:rPr>
          <w:rFonts w:ascii="Arial" w:hAnsi="Arial" w:cs="Arial"/>
          <w:lang w:val="en-US"/>
        </w:rPr>
        <w:t xml:space="preserve">profit margin for the two banks. </w:t>
      </w:r>
      <w:r w:rsidR="00F10930">
        <w:rPr>
          <w:rFonts w:ascii="Arial" w:hAnsi="Arial" w:cs="Arial"/>
          <w:lang w:val="en-US"/>
        </w:rPr>
        <w:t xml:space="preserve">Comparing the </w:t>
      </w:r>
      <w:r w:rsidR="00B52FFE">
        <w:rPr>
          <w:rFonts w:ascii="Arial" w:hAnsi="Arial" w:cs="Arial"/>
          <w:lang w:val="en-US"/>
        </w:rPr>
        <w:t xml:space="preserve">profit margin for the </w:t>
      </w:r>
      <w:r w:rsidR="00F10930">
        <w:rPr>
          <w:rFonts w:ascii="Arial" w:hAnsi="Arial" w:cs="Arial"/>
          <w:lang w:val="en-US"/>
        </w:rPr>
        <w:t>two banks</w:t>
      </w:r>
      <w:r w:rsidR="00903CB0">
        <w:rPr>
          <w:rFonts w:ascii="Arial" w:hAnsi="Arial" w:cs="Arial"/>
          <w:lang w:val="en-US"/>
        </w:rPr>
        <w:t>, i</w:t>
      </w:r>
      <w:r w:rsidR="0007165D">
        <w:rPr>
          <w:rFonts w:ascii="Arial" w:hAnsi="Arial" w:cs="Arial"/>
          <w:lang w:val="en-US"/>
        </w:rPr>
        <w:t>t reveals that Barclays</w:t>
      </w:r>
      <w:r w:rsidR="00581F57">
        <w:rPr>
          <w:rFonts w:ascii="Arial" w:hAnsi="Arial" w:cs="Arial"/>
          <w:lang w:val="en-US"/>
        </w:rPr>
        <w:t xml:space="preserve"> has a higher profitability</w:t>
      </w:r>
      <w:r w:rsidR="00CA23FD">
        <w:rPr>
          <w:rFonts w:ascii="Arial" w:hAnsi="Arial" w:cs="Arial"/>
          <w:lang w:val="en-US"/>
        </w:rPr>
        <w:t xml:space="preserve"> </w:t>
      </w:r>
      <w:r w:rsidR="00297B90">
        <w:rPr>
          <w:rFonts w:ascii="Arial" w:hAnsi="Arial" w:cs="Arial"/>
          <w:lang w:val="en-US"/>
        </w:rPr>
        <w:t xml:space="preserve">with an average </w:t>
      </w:r>
      <w:r w:rsidR="004734E4">
        <w:rPr>
          <w:rFonts w:ascii="Arial" w:hAnsi="Arial" w:cs="Arial"/>
          <w:lang w:val="en-US"/>
        </w:rPr>
        <w:t xml:space="preserve">profit margin of 13.16% </w:t>
      </w:r>
      <w:r w:rsidR="006713BD">
        <w:rPr>
          <w:rFonts w:ascii="Arial" w:hAnsi="Arial" w:cs="Arial"/>
          <w:lang w:val="en-US"/>
        </w:rPr>
        <w:t xml:space="preserve">where </w:t>
      </w:r>
      <w:r w:rsidR="00CF5E51">
        <w:rPr>
          <w:rFonts w:ascii="Arial" w:hAnsi="Arial" w:cs="Arial"/>
          <w:lang w:val="en-US"/>
        </w:rPr>
        <w:t xml:space="preserve">the average profit margin for </w:t>
      </w:r>
      <w:r w:rsidR="006713BD">
        <w:rPr>
          <w:rFonts w:ascii="Arial" w:hAnsi="Arial" w:cs="Arial"/>
          <w:lang w:val="en-US"/>
        </w:rPr>
        <w:t>Credit Suisse</w:t>
      </w:r>
      <w:r w:rsidR="00CF5E51">
        <w:rPr>
          <w:rFonts w:ascii="Arial" w:hAnsi="Arial" w:cs="Arial"/>
          <w:lang w:val="en-US"/>
        </w:rPr>
        <w:t xml:space="preserve"> is </w:t>
      </w:r>
      <w:r w:rsidR="00236CFA">
        <w:rPr>
          <w:rFonts w:ascii="Arial" w:hAnsi="Arial" w:cs="Arial"/>
          <w:lang w:val="en-US"/>
        </w:rPr>
        <w:t xml:space="preserve">-0.98%. </w:t>
      </w:r>
      <w:r w:rsidR="003F4E8C">
        <w:rPr>
          <w:rFonts w:ascii="Arial" w:hAnsi="Arial" w:cs="Arial"/>
          <w:lang w:val="en-US"/>
        </w:rPr>
        <w:t>C</w:t>
      </w:r>
      <w:r w:rsidR="00236CFA">
        <w:rPr>
          <w:rFonts w:ascii="Arial" w:hAnsi="Arial" w:cs="Arial"/>
          <w:lang w:val="en-US"/>
        </w:rPr>
        <w:t>redit Suisse had negative profit margin in 2016 and 2017</w:t>
      </w:r>
      <w:r w:rsidR="003F4E8C">
        <w:rPr>
          <w:rFonts w:ascii="Arial" w:hAnsi="Arial" w:cs="Arial"/>
          <w:lang w:val="en-US"/>
        </w:rPr>
        <w:t xml:space="preserve">, however it started </w:t>
      </w:r>
      <w:r w:rsidR="00AC16DB">
        <w:rPr>
          <w:rFonts w:ascii="Arial" w:hAnsi="Arial" w:cs="Arial"/>
          <w:lang w:val="en-US"/>
        </w:rPr>
        <w:t xml:space="preserve">being positive in 2018 when </w:t>
      </w:r>
      <w:r w:rsidR="001A6FD2">
        <w:rPr>
          <w:rFonts w:ascii="Arial" w:hAnsi="Arial" w:cs="Arial"/>
          <w:lang w:val="en-US"/>
        </w:rPr>
        <w:t xml:space="preserve">making profit </w:t>
      </w:r>
      <w:r w:rsidR="005A19EC">
        <w:rPr>
          <w:rFonts w:ascii="Arial" w:hAnsi="Arial" w:cs="Arial"/>
          <w:lang w:val="en-US"/>
        </w:rPr>
        <w:t xml:space="preserve">and the net income </w:t>
      </w:r>
      <w:r w:rsidR="007E0037">
        <w:rPr>
          <w:rFonts w:ascii="Arial" w:hAnsi="Arial" w:cs="Arial"/>
          <w:lang w:val="en-US"/>
        </w:rPr>
        <w:t xml:space="preserve">increased by 70.31% from 2017. </w:t>
      </w:r>
    </w:p>
    <w:p w14:paraId="3C3DB26C" w14:textId="77777777" w:rsidR="00DA0CDC" w:rsidRDefault="00DA0CDC" w:rsidP="00DA0CDC">
      <w:pPr>
        <w:spacing w:line="360" w:lineRule="auto"/>
        <w:rPr>
          <w:rFonts w:ascii="Arial" w:hAnsi="Arial" w:cs="Arial"/>
          <w:lang w:val="en-US"/>
        </w:rPr>
      </w:pPr>
    </w:p>
    <w:p w14:paraId="46D0D23B" w14:textId="1E187B44" w:rsidR="00AC694E" w:rsidRDefault="00AC694E" w:rsidP="00AC694E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2C3D92E1" wp14:editId="51389DE6">
            <wp:extent cx="4191001" cy="2805114"/>
            <wp:effectExtent l="0" t="0" r="0" b="14605"/>
            <wp:docPr id="4" name="Chart 4">
              <a:extLst xmlns:a="http://schemas.openxmlformats.org/drawingml/2006/main">
                <a:ext uri="{FF2B5EF4-FFF2-40B4-BE49-F238E27FC236}">
                  <a16:creationId xmlns:a16="http://schemas.microsoft.com/office/drawing/2014/main" id="{7E23855F-7A9A-4187-B19C-58FC3253548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1C4D8B1D" w14:textId="47FB66D3" w:rsidR="003A45DE" w:rsidRDefault="003A45DE" w:rsidP="00AC694E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4: Profit margin%</w:t>
      </w:r>
    </w:p>
    <w:p w14:paraId="24F631F7" w14:textId="13E786C2" w:rsidR="00134AD2" w:rsidRDefault="00134AD2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34297288" w14:textId="538BBDB5" w:rsidR="00134AD2" w:rsidRDefault="00134AD2" w:rsidP="00B71248">
      <w:pPr>
        <w:pStyle w:val="Heading3"/>
        <w:rPr>
          <w:lang w:val="en-US"/>
        </w:rPr>
      </w:pPr>
      <w:bookmarkStart w:id="8" w:name="_Toc101702201"/>
      <w:r>
        <w:rPr>
          <w:lang w:val="en-US"/>
        </w:rPr>
        <w:t>EBIT% &amp; EBITDA%</w:t>
      </w:r>
      <w:bookmarkEnd w:id="8"/>
    </w:p>
    <w:p w14:paraId="603E5D3C" w14:textId="77777777" w:rsidR="00134AD2" w:rsidRDefault="00134AD2" w:rsidP="00134AD2">
      <w:pPr>
        <w:rPr>
          <w:rFonts w:ascii="Arial" w:hAnsi="Arial" w:cs="Arial"/>
          <w:lang w:val="en-US"/>
        </w:rPr>
      </w:pPr>
    </w:p>
    <w:p w14:paraId="56E3AF3C" w14:textId="77777777" w:rsidR="00142E00" w:rsidRDefault="00142E00" w:rsidP="00134AD2">
      <w:pPr>
        <w:rPr>
          <w:rFonts w:ascii="Arial" w:hAnsi="Arial" w:cs="Arial"/>
          <w:lang w:val="en-US"/>
        </w:rPr>
      </w:pPr>
    </w:p>
    <w:p w14:paraId="1303F4BC" w14:textId="73FA34D5" w:rsidR="00142E00" w:rsidRDefault="00142E00" w:rsidP="00142E00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60C9C53D" wp14:editId="37A0AAB9">
            <wp:extent cx="4181475" cy="2509838"/>
            <wp:effectExtent l="0" t="0" r="9525" b="5080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853F6316-9784-4AF1-9AF4-A17E0E31748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E5F3B21" w14:textId="30CACC08" w:rsidR="00142E00" w:rsidRDefault="00142E00" w:rsidP="00142E00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5: EBIT%</w:t>
      </w:r>
    </w:p>
    <w:p w14:paraId="3F218D3C" w14:textId="77777777" w:rsidR="00142E00" w:rsidRDefault="00142E00" w:rsidP="00142E00">
      <w:pPr>
        <w:jc w:val="center"/>
        <w:rPr>
          <w:rFonts w:ascii="Arial" w:hAnsi="Arial" w:cs="Arial"/>
          <w:lang w:val="en-US"/>
        </w:rPr>
      </w:pPr>
    </w:p>
    <w:p w14:paraId="37FF1F71" w14:textId="1DC16DD6" w:rsidR="00142E00" w:rsidRDefault="00AB119C" w:rsidP="00142E00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209F5B73" wp14:editId="1C8400CE">
            <wp:extent cx="4324350" cy="2547938"/>
            <wp:effectExtent l="0" t="0" r="0" b="5080"/>
            <wp:docPr id="6" name="Chart 6">
              <a:extLst xmlns:a="http://schemas.openxmlformats.org/drawingml/2006/main">
                <a:ext uri="{FF2B5EF4-FFF2-40B4-BE49-F238E27FC236}">
                  <a16:creationId xmlns:a16="http://schemas.microsoft.com/office/drawing/2014/main" id="{87CC510E-6D62-47CD-B5D5-263CB6982EE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557E1ED3" w14:textId="21F32202" w:rsidR="00AB119C" w:rsidRDefault="00AB119C" w:rsidP="00142E00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6: EBITDA%</w:t>
      </w:r>
    </w:p>
    <w:p w14:paraId="64D87706" w14:textId="5F5B0BCD" w:rsidR="00AB119C" w:rsidRDefault="00AB119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42E0A385" w14:textId="4AA6117F" w:rsidR="00AB119C" w:rsidRDefault="00636E2A" w:rsidP="00B71248">
      <w:pPr>
        <w:pStyle w:val="Heading2"/>
        <w:rPr>
          <w:lang w:val="en-US"/>
        </w:rPr>
      </w:pPr>
      <w:bookmarkStart w:id="9" w:name="_Toc101702202"/>
      <w:r>
        <w:rPr>
          <w:lang w:val="en-US"/>
        </w:rPr>
        <w:t>Operational ratios</w:t>
      </w:r>
      <w:bookmarkEnd w:id="9"/>
    </w:p>
    <w:p w14:paraId="18C10B9D" w14:textId="25F0A94A" w:rsidR="00636E2A" w:rsidRDefault="00636E2A" w:rsidP="00B71248">
      <w:pPr>
        <w:pStyle w:val="Heading3"/>
        <w:rPr>
          <w:lang w:val="en-US"/>
        </w:rPr>
      </w:pPr>
      <w:bookmarkStart w:id="10" w:name="_Toc101702203"/>
      <w:r>
        <w:rPr>
          <w:lang w:val="en-US"/>
        </w:rPr>
        <w:t>Net asset turnover</w:t>
      </w:r>
      <w:bookmarkEnd w:id="10"/>
    </w:p>
    <w:p w14:paraId="28E1193F" w14:textId="77777777" w:rsidR="00AB105E" w:rsidRDefault="00AB105E" w:rsidP="00AB105E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26632D83" wp14:editId="45D5CC90">
            <wp:extent cx="4533900" cy="2395538"/>
            <wp:effectExtent l="0" t="0" r="0" b="5080"/>
            <wp:docPr id="12" name="Chart 12">
              <a:extLst xmlns:a="http://schemas.openxmlformats.org/drawingml/2006/main">
                <a:ext uri="{FF2B5EF4-FFF2-40B4-BE49-F238E27FC236}">
                  <a16:creationId xmlns:a16="http://schemas.microsoft.com/office/drawing/2014/main" id="{3C50DDDE-6A15-4612-8200-6701E157F1A5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0346C584" w14:textId="143674C3" w:rsidR="007D7644" w:rsidRDefault="00AB105E" w:rsidP="007D7644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7:</w:t>
      </w:r>
      <w:r w:rsidR="007D7644" w:rsidRPr="007D7644">
        <w:rPr>
          <w:rFonts w:ascii="Arial" w:hAnsi="Arial" w:cs="Arial"/>
          <w:lang w:val="en-US"/>
        </w:rPr>
        <w:t xml:space="preserve"> </w:t>
      </w:r>
      <w:r w:rsidR="007D7644">
        <w:rPr>
          <w:rFonts w:ascii="Arial" w:hAnsi="Arial" w:cs="Arial"/>
          <w:lang w:val="en-US"/>
        </w:rPr>
        <w:t>Net asset turnover</w:t>
      </w:r>
    </w:p>
    <w:p w14:paraId="30725A52" w14:textId="4D1405FC" w:rsidR="007C5680" w:rsidRDefault="007C5680" w:rsidP="00AB105E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4A06DAEB" w14:textId="22432393" w:rsidR="007C5680" w:rsidRDefault="007C5680" w:rsidP="00B71248">
      <w:pPr>
        <w:pStyle w:val="Heading3"/>
        <w:rPr>
          <w:lang w:val="en-US"/>
        </w:rPr>
      </w:pPr>
      <w:bookmarkStart w:id="11" w:name="_Toc101702204"/>
      <w:r>
        <w:rPr>
          <w:lang w:val="en-US"/>
        </w:rPr>
        <w:t>Fixed asset turnover</w:t>
      </w:r>
      <w:bookmarkEnd w:id="11"/>
    </w:p>
    <w:p w14:paraId="7F6DEC54" w14:textId="77777777" w:rsidR="00AB105E" w:rsidRDefault="00AB105E" w:rsidP="00AB119C">
      <w:pPr>
        <w:rPr>
          <w:rFonts w:ascii="Arial" w:hAnsi="Arial" w:cs="Arial"/>
          <w:lang w:val="en-US"/>
        </w:rPr>
      </w:pPr>
    </w:p>
    <w:p w14:paraId="0A27F8AA" w14:textId="7DA079B5" w:rsidR="00AB105E" w:rsidRDefault="00AB105E" w:rsidP="00AB105E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106A2179" wp14:editId="5292E29E">
            <wp:extent cx="4333875" cy="2538413"/>
            <wp:effectExtent l="0" t="0" r="9525" b="14605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E7CD74C8-B5F2-4E63-8C1E-AB21A862B4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7DB5934" w14:textId="5D1A6C51" w:rsidR="007D7644" w:rsidRDefault="007D7644" w:rsidP="00AB105E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8: Fixed asset turnover</w:t>
      </w:r>
    </w:p>
    <w:p w14:paraId="38259AAA" w14:textId="15AB2D06" w:rsidR="007C5680" w:rsidRDefault="007C5680" w:rsidP="00B71248">
      <w:pPr>
        <w:pStyle w:val="Heading3"/>
        <w:rPr>
          <w:lang w:val="en-US"/>
        </w:rPr>
      </w:pPr>
      <w:r>
        <w:rPr>
          <w:lang w:val="en-US"/>
        </w:rPr>
        <w:br w:type="page"/>
      </w:r>
    </w:p>
    <w:p w14:paraId="62EAFAAC" w14:textId="3D64D99C" w:rsidR="007C5680" w:rsidRDefault="007C5680" w:rsidP="00DA0CDC">
      <w:pPr>
        <w:pStyle w:val="Heading2"/>
        <w:rPr>
          <w:lang w:val="en-US"/>
        </w:rPr>
      </w:pPr>
      <w:bookmarkStart w:id="12" w:name="_Toc101702205"/>
      <w:r>
        <w:rPr>
          <w:lang w:val="en-US"/>
        </w:rPr>
        <w:t>Structure ratios</w:t>
      </w:r>
      <w:bookmarkEnd w:id="12"/>
    </w:p>
    <w:p w14:paraId="679962A3" w14:textId="6A01DC2E" w:rsidR="007C5680" w:rsidRPr="00B71248" w:rsidRDefault="007C5680" w:rsidP="00B71248">
      <w:pPr>
        <w:pStyle w:val="Heading3"/>
      </w:pPr>
      <w:bookmarkStart w:id="13" w:name="_Toc101702206"/>
      <w:r w:rsidRPr="00B71248">
        <w:t xml:space="preserve">Current </w:t>
      </w:r>
      <w:r w:rsidR="00C41CAC" w:rsidRPr="00B71248">
        <w:t>ratio</w:t>
      </w:r>
      <w:bookmarkEnd w:id="13"/>
    </w:p>
    <w:p w14:paraId="2DF51710" w14:textId="77777777" w:rsidR="000F136D" w:rsidRDefault="000F136D" w:rsidP="00DE6FC1">
      <w:pPr>
        <w:rPr>
          <w:lang w:val="en-US"/>
        </w:rPr>
      </w:pPr>
    </w:p>
    <w:p w14:paraId="5E8BA2DB" w14:textId="434ED476" w:rsidR="000F136D" w:rsidRDefault="000F136D" w:rsidP="00DE6FC1">
      <w:pPr>
        <w:jc w:val="center"/>
        <w:rPr>
          <w:lang w:val="en-US"/>
        </w:rPr>
      </w:pPr>
      <w:r>
        <w:rPr>
          <w:noProof/>
        </w:rPr>
        <w:drawing>
          <wp:inline distT="0" distB="0" distL="0" distR="0" wp14:anchorId="42399326" wp14:editId="35CF024E">
            <wp:extent cx="3819525" cy="2519363"/>
            <wp:effectExtent l="0" t="0" r="9525" b="14605"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ECF87DFD-6454-4B02-ABB7-00DE012AF37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5A9ADBB3" w14:textId="632B1FD6" w:rsidR="007D7644" w:rsidRDefault="007D7644" w:rsidP="00B71248">
      <w:pPr>
        <w:jc w:val="center"/>
        <w:rPr>
          <w:lang w:val="en-US"/>
        </w:rPr>
      </w:pPr>
      <w:r>
        <w:rPr>
          <w:lang w:val="en-US"/>
        </w:rPr>
        <w:t>Figure 9: Current ratio</w:t>
      </w:r>
    </w:p>
    <w:p w14:paraId="601A92D8" w14:textId="6468B9C2" w:rsidR="00C41CAC" w:rsidRDefault="00C41CAC" w:rsidP="00B71248">
      <w:pPr>
        <w:pStyle w:val="Heading3"/>
        <w:rPr>
          <w:lang w:val="en-US"/>
        </w:rPr>
      </w:pPr>
      <w:r>
        <w:rPr>
          <w:lang w:val="en-US"/>
        </w:rPr>
        <w:br w:type="page"/>
      </w:r>
    </w:p>
    <w:p w14:paraId="20AB3AA5" w14:textId="0A4E3857" w:rsidR="00C41CAC" w:rsidRDefault="00C41CAC" w:rsidP="00B71248">
      <w:pPr>
        <w:pStyle w:val="Heading3"/>
        <w:rPr>
          <w:lang w:val="en-US"/>
        </w:rPr>
      </w:pPr>
      <w:bookmarkStart w:id="14" w:name="_Toc101702207"/>
      <w:r>
        <w:rPr>
          <w:lang w:val="en-US"/>
        </w:rPr>
        <w:t>Solvency ratios</w:t>
      </w:r>
      <w:bookmarkEnd w:id="14"/>
    </w:p>
    <w:p w14:paraId="4B994A6A" w14:textId="31BA33FA" w:rsidR="001F2385" w:rsidRDefault="000F136D" w:rsidP="00AB105E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4F68DBEE" wp14:editId="04CA18B3">
            <wp:extent cx="4486275" cy="2614613"/>
            <wp:effectExtent l="0" t="0" r="9525" b="14605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A80CD8AC-18EC-46BC-AB3E-766F011DBAE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E16E21E" w14:textId="39A93083" w:rsidR="007D7644" w:rsidRDefault="007D7644" w:rsidP="00AB105E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Figure 10: </w:t>
      </w:r>
      <w:r w:rsidR="00846923">
        <w:rPr>
          <w:rFonts w:ascii="Arial" w:hAnsi="Arial" w:cs="Arial"/>
          <w:lang w:val="en-US"/>
        </w:rPr>
        <w:t>Solvency</w:t>
      </w:r>
      <w:r>
        <w:rPr>
          <w:rFonts w:ascii="Arial" w:hAnsi="Arial" w:cs="Arial"/>
          <w:lang w:val="en-US"/>
        </w:rPr>
        <w:t xml:space="preserve"> ratio</w:t>
      </w:r>
      <w:r w:rsidR="00846923">
        <w:rPr>
          <w:rFonts w:ascii="Arial" w:hAnsi="Arial" w:cs="Arial"/>
          <w:lang w:val="en-US"/>
        </w:rPr>
        <w:t xml:space="preserve"> (Asset based)</w:t>
      </w:r>
    </w:p>
    <w:p w14:paraId="6D4CB469" w14:textId="77777777" w:rsidR="000F136D" w:rsidRDefault="000F136D" w:rsidP="00AB119C">
      <w:pPr>
        <w:rPr>
          <w:rFonts w:ascii="Arial" w:hAnsi="Arial" w:cs="Arial"/>
          <w:lang w:val="en-US"/>
        </w:rPr>
      </w:pPr>
    </w:p>
    <w:p w14:paraId="746AC0B4" w14:textId="36B80FD6" w:rsidR="000F136D" w:rsidRDefault="000F136D" w:rsidP="00AB105E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4E4450CB" wp14:editId="2DDC6399">
            <wp:extent cx="4410075" cy="2586038"/>
            <wp:effectExtent l="0" t="0" r="9525" b="5080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35CA8688-52D5-412D-A443-3B9EDAA845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435C3033" w14:textId="31010B9C" w:rsidR="00846923" w:rsidRDefault="00846923" w:rsidP="00AB105E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11: Solvency ratio (Liability based)</w:t>
      </w:r>
    </w:p>
    <w:p w14:paraId="65A3C801" w14:textId="573CB996" w:rsidR="00C41CAC" w:rsidRDefault="00C41CAC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br w:type="page"/>
      </w:r>
    </w:p>
    <w:p w14:paraId="4FA8868F" w14:textId="7CD62BD0" w:rsidR="00C41CAC" w:rsidRDefault="001F2385" w:rsidP="00B71248">
      <w:pPr>
        <w:pStyle w:val="Heading3"/>
        <w:rPr>
          <w:lang w:val="en-US"/>
        </w:rPr>
      </w:pPr>
      <w:bookmarkStart w:id="15" w:name="_Toc101702208"/>
      <w:r>
        <w:rPr>
          <w:lang w:val="en-US"/>
        </w:rPr>
        <w:t>Gearing</w:t>
      </w:r>
      <w:bookmarkEnd w:id="15"/>
      <w:r>
        <w:rPr>
          <w:lang w:val="en-US"/>
        </w:rPr>
        <w:t xml:space="preserve"> </w:t>
      </w:r>
    </w:p>
    <w:p w14:paraId="40BAC4B9" w14:textId="19D12736" w:rsidR="001F2385" w:rsidRDefault="001F2385" w:rsidP="00AB105E">
      <w:pPr>
        <w:jc w:val="center"/>
        <w:rPr>
          <w:rFonts w:ascii="Arial" w:hAnsi="Arial" w:cs="Arial"/>
          <w:lang w:val="en-US"/>
        </w:rPr>
      </w:pPr>
      <w:r>
        <w:rPr>
          <w:noProof/>
        </w:rPr>
        <w:drawing>
          <wp:inline distT="0" distB="0" distL="0" distR="0" wp14:anchorId="07DA1232" wp14:editId="53F8B7E4">
            <wp:extent cx="4572000" cy="2743200"/>
            <wp:effectExtent l="0" t="0" r="0" b="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CE7A09EF-539C-4C05-BDEB-F44F5AF2C4E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4C0FA5AD" w14:textId="3A7EC47D" w:rsidR="00846923" w:rsidRPr="00463D05" w:rsidRDefault="00846923" w:rsidP="00AB105E">
      <w:pPr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Figure 12: Gearing%</w:t>
      </w:r>
    </w:p>
    <w:p w14:paraId="0224AB80" w14:textId="53D402EC" w:rsidR="00935E90" w:rsidRDefault="00935E90" w:rsidP="00714913">
      <w:pPr>
        <w:jc w:val="both"/>
        <w:rPr>
          <w:lang w:val="en-US"/>
        </w:rPr>
      </w:pPr>
      <w:r>
        <w:rPr>
          <w:lang w:val="en-US"/>
        </w:rPr>
        <w:br w:type="page"/>
      </w:r>
    </w:p>
    <w:p w14:paraId="3524B8EF" w14:textId="033CE4F7" w:rsidR="000845E9" w:rsidRPr="00846923" w:rsidRDefault="000845E9" w:rsidP="00B71248">
      <w:pPr>
        <w:pStyle w:val="Heading2"/>
      </w:pPr>
      <w:bookmarkStart w:id="16" w:name="_Toc101702209"/>
      <w:r w:rsidRPr="00846923">
        <w:lastRenderedPageBreak/>
        <w:t>REFERENCE LIST</w:t>
      </w:r>
      <w:bookmarkEnd w:id="16"/>
    </w:p>
    <w:p w14:paraId="20817F30" w14:textId="77777777" w:rsidR="00FE6E6F" w:rsidRPr="00B71248" w:rsidRDefault="00FE6E6F" w:rsidP="0084692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B71248">
        <w:rPr>
          <w:rFonts w:ascii="Arial" w:hAnsi="Arial" w:cs="Arial"/>
          <w:sz w:val="22"/>
          <w:szCs w:val="22"/>
        </w:rPr>
        <w:t xml:space="preserve">Mishkin, F.S. and Eakins, S.G. (2012). </w:t>
      </w:r>
      <w:r w:rsidRPr="00B71248">
        <w:rPr>
          <w:rFonts w:ascii="Arial" w:hAnsi="Arial" w:cs="Arial"/>
          <w:i/>
          <w:iCs/>
          <w:sz w:val="22"/>
          <w:szCs w:val="22"/>
        </w:rPr>
        <w:t>Financial Markets and Institutions</w:t>
      </w:r>
      <w:r w:rsidRPr="00B71248">
        <w:rPr>
          <w:rFonts w:ascii="Arial" w:hAnsi="Arial" w:cs="Arial"/>
          <w:sz w:val="22"/>
          <w:szCs w:val="22"/>
        </w:rPr>
        <w:t>. 7th ed. USA: Prentice Hall, pp.5–8.</w:t>
      </w:r>
    </w:p>
    <w:p w14:paraId="50A578C1" w14:textId="77777777" w:rsidR="000F592D" w:rsidRPr="00B71248" w:rsidRDefault="000F592D" w:rsidP="0084692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B71248">
        <w:rPr>
          <w:rFonts w:ascii="Arial" w:hAnsi="Arial" w:cs="Arial"/>
          <w:sz w:val="22"/>
          <w:szCs w:val="22"/>
        </w:rPr>
        <w:t xml:space="preserve">Hassan, </w:t>
      </w:r>
      <w:proofErr w:type="spellStart"/>
      <w:r w:rsidRPr="00B71248">
        <w:rPr>
          <w:rFonts w:ascii="Arial" w:hAnsi="Arial" w:cs="Arial"/>
          <w:sz w:val="22"/>
          <w:szCs w:val="22"/>
        </w:rPr>
        <w:t>Md.S</w:t>
      </w:r>
      <w:proofErr w:type="spellEnd"/>
      <w:r w:rsidRPr="00B71248">
        <w:rPr>
          <w:rFonts w:ascii="Arial" w:hAnsi="Arial" w:cs="Arial"/>
          <w:sz w:val="22"/>
          <w:szCs w:val="22"/>
        </w:rPr>
        <w:t xml:space="preserve">. (2021). Comparative Analysis on Financial Performance of Selected Commercial Banks: A Study on Bangladesh Banking Sector. </w:t>
      </w:r>
      <w:r w:rsidRPr="00B71248">
        <w:rPr>
          <w:rFonts w:ascii="Arial" w:hAnsi="Arial" w:cs="Arial"/>
          <w:i/>
          <w:iCs/>
          <w:sz w:val="22"/>
          <w:szCs w:val="22"/>
        </w:rPr>
        <w:t xml:space="preserve">International Journal of Business and </w:t>
      </w:r>
      <w:proofErr w:type="spellStart"/>
      <w:r w:rsidRPr="00B71248">
        <w:rPr>
          <w:rFonts w:ascii="Arial" w:hAnsi="Arial" w:cs="Arial"/>
          <w:i/>
          <w:iCs/>
          <w:sz w:val="22"/>
          <w:szCs w:val="22"/>
        </w:rPr>
        <w:t>Technopreneurship</w:t>
      </w:r>
      <w:proofErr w:type="spellEnd"/>
      <w:r w:rsidRPr="00B71248">
        <w:rPr>
          <w:rFonts w:ascii="Arial" w:hAnsi="Arial" w:cs="Arial"/>
          <w:sz w:val="22"/>
          <w:szCs w:val="22"/>
        </w:rPr>
        <w:t>, [online] 11(1), pp.92–95. Available at: https://www.researchgate.net/publication/351286287_Comparative_Analysis_on_Financial_Performance_of_Selected_Commercial_Banks_A_Study_on_Bangladesh_Banking_Sector [Accessed 10 Apr. 2022].</w:t>
      </w:r>
    </w:p>
    <w:p w14:paraId="0CB58916" w14:textId="747DA672" w:rsidR="000F592D" w:rsidRPr="00B71248" w:rsidRDefault="00E77C37" w:rsidP="00846923">
      <w:pPr>
        <w:pStyle w:val="NormalWeb"/>
        <w:numPr>
          <w:ilvl w:val="0"/>
          <w:numId w:val="1"/>
        </w:numPr>
        <w:spacing w:before="0" w:beforeAutospacing="0" w:after="240" w:afterAutospacing="0" w:line="360" w:lineRule="auto"/>
        <w:rPr>
          <w:rFonts w:ascii="Arial" w:hAnsi="Arial" w:cs="Arial"/>
          <w:sz w:val="22"/>
          <w:szCs w:val="22"/>
        </w:rPr>
      </w:pPr>
      <w:r w:rsidRPr="00B71248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Langer, T., </w:t>
      </w:r>
      <w:proofErr w:type="spellStart"/>
      <w:r w:rsidRPr="00B71248">
        <w:rPr>
          <w:rFonts w:ascii="Arial" w:hAnsi="Arial" w:cs="Arial"/>
          <w:color w:val="232323"/>
          <w:sz w:val="22"/>
          <w:szCs w:val="22"/>
          <w:shd w:val="clear" w:color="auto" w:fill="FFFFFF"/>
        </w:rPr>
        <w:t>Goedde</w:t>
      </w:r>
      <w:proofErr w:type="spellEnd"/>
      <w:r w:rsidRPr="00B71248">
        <w:rPr>
          <w:rFonts w:ascii="Arial" w:hAnsi="Arial" w:cs="Arial"/>
          <w:color w:val="232323"/>
          <w:sz w:val="22"/>
          <w:szCs w:val="22"/>
          <w:shd w:val="clear" w:color="auto" w:fill="FFFFFF"/>
        </w:rPr>
        <w:t xml:space="preserve">-Menke, &amp; </w:t>
      </w:r>
      <w:proofErr w:type="spellStart"/>
      <w:r w:rsidRPr="00B71248">
        <w:rPr>
          <w:rFonts w:ascii="Arial" w:hAnsi="Arial" w:cs="Arial"/>
          <w:color w:val="232323"/>
          <w:sz w:val="22"/>
          <w:szCs w:val="22"/>
          <w:shd w:val="clear" w:color="auto" w:fill="FFFFFF"/>
        </w:rPr>
        <w:t>Pfingsten</w:t>
      </w:r>
      <w:proofErr w:type="spellEnd"/>
      <w:r w:rsidRPr="00B71248">
        <w:rPr>
          <w:rFonts w:ascii="Arial" w:hAnsi="Arial" w:cs="Arial"/>
          <w:color w:val="232323"/>
          <w:sz w:val="22"/>
          <w:szCs w:val="22"/>
          <w:shd w:val="clear" w:color="auto" w:fill="FFFFFF"/>
        </w:rPr>
        <w:t>, A. (2014). Impact of the Financial Crisis on Bank Run Risk—Danger of the Days after. Journal of Banking &amp; Finance, 40, 522-533.</w:t>
      </w:r>
    </w:p>
    <w:p w14:paraId="644E1C80" w14:textId="489DACD9" w:rsidR="00E7154A" w:rsidRDefault="00E7154A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63FCCB9C" w14:textId="6DEDF95E" w:rsidR="00E77C37" w:rsidRDefault="00EA36F4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 1</w:t>
      </w:r>
    </w:p>
    <w:p w14:paraId="415E67F5" w14:textId="1D47208B" w:rsidR="00EA36F4" w:rsidRDefault="00EA36F4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EA36F4">
        <w:rPr>
          <w:rFonts w:ascii="Arial" w:hAnsi="Arial" w:cs="Arial"/>
        </w:rPr>
        <w:drawing>
          <wp:inline distT="0" distB="0" distL="0" distR="0" wp14:anchorId="4CB82786" wp14:editId="069D13C6">
            <wp:extent cx="5731510" cy="3728720"/>
            <wp:effectExtent l="0" t="0" r="2540" b="5080"/>
            <wp:docPr id="14" name="Picture 14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Char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8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29BEA3" w14:textId="14833E4C" w:rsidR="00EA36F4" w:rsidRDefault="00EA36F4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09F99D3D" w14:textId="65D1E3FB" w:rsidR="00EA36F4" w:rsidRDefault="00EA36F4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 2</w:t>
      </w:r>
    </w:p>
    <w:p w14:paraId="3EF33C65" w14:textId="32922F3E" w:rsidR="00EA36F4" w:rsidRDefault="001E152A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1E152A">
        <w:rPr>
          <w:rFonts w:ascii="Arial" w:hAnsi="Arial" w:cs="Arial"/>
        </w:rPr>
        <w:drawing>
          <wp:inline distT="0" distB="0" distL="0" distR="0" wp14:anchorId="2D2B31E5" wp14:editId="522582B0">
            <wp:extent cx="5731510" cy="3888105"/>
            <wp:effectExtent l="0" t="0" r="2540" b="0"/>
            <wp:docPr id="15" name="Picture 15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Chart, line char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8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6D350D" w14:textId="10991BA7" w:rsidR="001E152A" w:rsidRDefault="001E152A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5CC686BF" w14:textId="7865CB9B" w:rsidR="001E152A" w:rsidRDefault="001E152A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 3</w:t>
      </w:r>
    </w:p>
    <w:p w14:paraId="7B240EBF" w14:textId="1F2B56FF" w:rsidR="001E152A" w:rsidRDefault="00A12CCD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A12CCD">
        <w:rPr>
          <w:rFonts w:ascii="Arial" w:hAnsi="Arial" w:cs="Arial"/>
        </w:rPr>
        <w:drawing>
          <wp:inline distT="0" distB="0" distL="0" distR="0" wp14:anchorId="5CB544A9" wp14:editId="5ADE4109">
            <wp:extent cx="5731510" cy="3855720"/>
            <wp:effectExtent l="0" t="0" r="2540" b="0"/>
            <wp:docPr id="16" name="Picture 16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Chart, line chart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5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54F347" w14:textId="4B05E2E7" w:rsidR="00A12CCD" w:rsidRDefault="00A12CCD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3BDE985A" w14:textId="13A66B5F" w:rsidR="00A12CCD" w:rsidRDefault="00A12CCD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 4</w:t>
      </w:r>
    </w:p>
    <w:p w14:paraId="16298E8A" w14:textId="625C75AD" w:rsidR="00A12CCD" w:rsidRDefault="00C55A85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C55A85">
        <w:rPr>
          <w:rFonts w:ascii="Arial" w:hAnsi="Arial" w:cs="Arial"/>
        </w:rPr>
        <w:drawing>
          <wp:inline distT="0" distB="0" distL="0" distR="0" wp14:anchorId="101B636A" wp14:editId="22E8EC11">
            <wp:extent cx="5731510" cy="4131310"/>
            <wp:effectExtent l="0" t="0" r="2540" b="2540"/>
            <wp:docPr id="17" name="Picture 17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Chart, line chart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31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B6955E" w14:textId="228CECCD" w:rsidR="00C55A85" w:rsidRDefault="00C55A85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13652A0D" w14:textId="43540CC9" w:rsidR="00C55A85" w:rsidRDefault="00C55A85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Appendix 5</w:t>
      </w:r>
    </w:p>
    <w:p w14:paraId="36682522" w14:textId="3506F3F7" w:rsidR="00C55A85" w:rsidRDefault="00321001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321001">
        <w:rPr>
          <w:rFonts w:ascii="Arial" w:hAnsi="Arial" w:cs="Arial"/>
        </w:rPr>
        <w:drawing>
          <wp:inline distT="0" distB="0" distL="0" distR="0" wp14:anchorId="66CA0B77" wp14:editId="3EDED305">
            <wp:extent cx="5731510" cy="6214745"/>
            <wp:effectExtent l="0" t="0" r="2540" b="0"/>
            <wp:docPr id="18" name="Picture 1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abl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14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9826E8" w14:textId="051974AB" w:rsidR="00321001" w:rsidRDefault="00321001">
      <w:pPr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br w:type="page"/>
      </w:r>
    </w:p>
    <w:p w14:paraId="3C9D6431" w14:textId="3FAA91C7" w:rsidR="00321001" w:rsidRDefault="00321001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Appendix </w:t>
      </w:r>
      <w:r w:rsidR="00F7393B">
        <w:rPr>
          <w:rFonts w:ascii="Arial" w:hAnsi="Arial" w:cs="Arial"/>
        </w:rPr>
        <w:t>6</w:t>
      </w:r>
    </w:p>
    <w:p w14:paraId="67EB00D5" w14:textId="77777777" w:rsidR="00F7393B" w:rsidRDefault="00F7393B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47E19114" w14:textId="77777777" w:rsidR="00EA36F4" w:rsidRPr="00846923" w:rsidRDefault="00EA36F4" w:rsidP="00E7154A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</w:p>
    <w:p w14:paraId="41616374" w14:textId="77777777" w:rsidR="000F592D" w:rsidRDefault="000F592D" w:rsidP="00FE6E6F">
      <w:pPr>
        <w:pStyle w:val="NormalWeb"/>
        <w:spacing w:before="0" w:beforeAutospacing="0" w:after="240" w:afterAutospacing="0" w:line="360" w:lineRule="auto"/>
      </w:pPr>
    </w:p>
    <w:p w14:paraId="056E481A" w14:textId="77777777" w:rsidR="00FE6E6F" w:rsidRDefault="00FE6E6F"/>
    <w:p w14:paraId="4EA91460" w14:textId="77777777" w:rsidR="000845E9" w:rsidRDefault="000845E9"/>
    <w:p w14:paraId="015FDF52" w14:textId="77777777" w:rsidR="000845E9" w:rsidRDefault="000845E9"/>
    <w:p w14:paraId="07F1CAED" w14:textId="77777777" w:rsidR="005A649A" w:rsidRPr="00935E90" w:rsidRDefault="005A649A">
      <w:pPr>
        <w:rPr>
          <w:lang w:val="en-US"/>
        </w:rPr>
      </w:pPr>
    </w:p>
    <w:sectPr w:rsidR="005A649A" w:rsidRPr="00935E90" w:rsidSect="00646E22">
      <w:head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E59162" w14:textId="77777777" w:rsidR="009B096F" w:rsidRDefault="009B096F" w:rsidP="009B096F">
      <w:pPr>
        <w:spacing w:after="0" w:line="240" w:lineRule="auto"/>
      </w:pPr>
      <w:r>
        <w:separator/>
      </w:r>
    </w:p>
  </w:endnote>
  <w:endnote w:type="continuationSeparator" w:id="0">
    <w:p w14:paraId="1C63B010" w14:textId="77777777" w:rsidR="009B096F" w:rsidRDefault="009B096F" w:rsidP="009B09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A1A8BA" w14:textId="77777777" w:rsidR="009B096F" w:rsidRDefault="009B096F" w:rsidP="009B096F">
      <w:pPr>
        <w:spacing w:after="0" w:line="240" w:lineRule="auto"/>
      </w:pPr>
      <w:r>
        <w:separator/>
      </w:r>
    </w:p>
  </w:footnote>
  <w:footnote w:type="continuationSeparator" w:id="0">
    <w:p w14:paraId="2C6EFB1D" w14:textId="77777777" w:rsidR="009B096F" w:rsidRDefault="009B096F" w:rsidP="009B09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71905250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1B3F797" w14:textId="2FFFEC56" w:rsidR="009B096F" w:rsidRDefault="009B096F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8BE8CA9" w14:textId="77777777" w:rsidR="009B096F" w:rsidRDefault="009B096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0723D8"/>
    <w:multiLevelType w:val="hybridMultilevel"/>
    <w:tmpl w:val="B2EEC3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29522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5E90"/>
    <w:rsid w:val="00002DE4"/>
    <w:rsid w:val="00014E8E"/>
    <w:rsid w:val="00017F65"/>
    <w:rsid w:val="00042EA9"/>
    <w:rsid w:val="00043DE3"/>
    <w:rsid w:val="00064EA9"/>
    <w:rsid w:val="0007165D"/>
    <w:rsid w:val="000845E9"/>
    <w:rsid w:val="00087EDC"/>
    <w:rsid w:val="00093DDC"/>
    <w:rsid w:val="000A1B22"/>
    <w:rsid w:val="000B1DF6"/>
    <w:rsid w:val="000F136D"/>
    <w:rsid w:val="000F592D"/>
    <w:rsid w:val="00103F8D"/>
    <w:rsid w:val="001117AD"/>
    <w:rsid w:val="00123084"/>
    <w:rsid w:val="00134AD2"/>
    <w:rsid w:val="00142E00"/>
    <w:rsid w:val="00154116"/>
    <w:rsid w:val="00165F22"/>
    <w:rsid w:val="001A252A"/>
    <w:rsid w:val="001A6FD2"/>
    <w:rsid w:val="001A7BE5"/>
    <w:rsid w:val="001B3B15"/>
    <w:rsid w:val="001B57D5"/>
    <w:rsid w:val="001B5E11"/>
    <w:rsid w:val="001C4270"/>
    <w:rsid w:val="001E152A"/>
    <w:rsid w:val="001E280E"/>
    <w:rsid w:val="001E6300"/>
    <w:rsid w:val="001F2385"/>
    <w:rsid w:val="0021013D"/>
    <w:rsid w:val="00236CFA"/>
    <w:rsid w:val="0025718D"/>
    <w:rsid w:val="0026799F"/>
    <w:rsid w:val="002737EA"/>
    <w:rsid w:val="0028362F"/>
    <w:rsid w:val="002879E3"/>
    <w:rsid w:val="00297B90"/>
    <w:rsid w:val="002B5C1A"/>
    <w:rsid w:val="002B6434"/>
    <w:rsid w:val="002C325D"/>
    <w:rsid w:val="002D7731"/>
    <w:rsid w:val="002E4857"/>
    <w:rsid w:val="002E769B"/>
    <w:rsid w:val="00321001"/>
    <w:rsid w:val="00342137"/>
    <w:rsid w:val="00343370"/>
    <w:rsid w:val="003568E2"/>
    <w:rsid w:val="00363F86"/>
    <w:rsid w:val="00364D77"/>
    <w:rsid w:val="00370F5A"/>
    <w:rsid w:val="00392E32"/>
    <w:rsid w:val="003942BE"/>
    <w:rsid w:val="00394AEE"/>
    <w:rsid w:val="003A2BAC"/>
    <w:rsid w:val="003A45DE"/>
    <w:rsid w:val="003B78F4"/>
    <w:rsid w:val="003C16D4"/>
    <w:rsid w:val="003C4AF5"/>
    <w:rsid w:val="003D53CB"/>
    <w:rsid w:val="003E4613"/>
    <w:rsid w:val="003F0ADA"/>
    <w:rsid w:val="003F4E8C"/>
    <w:rsid w:val="003F6395"/>
    <w:rsid w:val="004045C0"/>
    <w:rsid w:val="004065E7"/>
    <w:rsid w:val="00423212"/>
    <w:rsid w:val="0042336D"/>
    <w:rsid w:val="004278E1"/>
    <w:rsid w:val="00430287"/>
    <w:rsid w:val="00442C90"/>
    <w:rsid w:val="00454ADD"/>
    <w:rsid w:val="00463D05"/>
    <w:rsid w:val="004710F1"/>
    <w:rsid w:val="00472BB3"/>
    <w:rsid w:val="004734E4"/>
    <w:rsid w:val="00487F2E"/>
    <w:rsid w:val="004A7C9A"/>
    <w:rsid w:val="004B2D72"/>
    <w:rsid w:val="004C1BA6"/>
    <w:rsid w:val="004D264A"/>
    <w:rsid w:val="004E1D6B"/>
    <w:rsid w:val="00514FE3"/>
    <w:rsid w:val="005155D6"/>
    <w:rsid w:val="00517CEF"/>
    <w:rsid w:val="0055582B"/>
    <w:rsid w:val="00581F57"/>
    <w:rsid w:val="00592D6C"/>
    <w:rsid w:val="005969FE"/>
    <w:rsid w:val="00596D1F"/>
    <w:rsid w:val="00597A5D"/>
    <w:rsid w:val="005A19EC"/>
    <w:rsid w:val="005A649A"/>
    <w:rsid w:val="005B031B"/>
    <w:rsid w:val="005B5B58"/>
    <w:rsid w:val="005C3FC7"/>
    <w:rsid w:val="005E593C"/>
    <w:rsid w:val="005E59ED"/>
    <w:rsid w:val="00613C6D"/>
    <w:rsid w:val="00617543"/>
    <w:rsid w:val="00636E2A"/>
    <w:rsid w:val="00646E22"/>
    <w:rsid w:val="00661955"/>
    <w:rsid w:val="006713BD"/>
    <w:rsid w:val="006C6EC4"/>
    <w:rsid w:val="00704DD2"/>
    <w:rsid w:val="00714913"/>
    <w:rsid w:val="00727D4D"/>
    <w:rsid w:val="00772B6A"/>
    <w:rsid w:val="00794B11"/>
    <w:rsid w:val="00796FBC"/>
    <w:rsid w:val="007C5680"/>
    <w:rsid w:val="007D7644"/>
    <w:rsid w:val="007E0037"/>
    <w:rsid w:val="007F6B3A"/>
    <w:rsid w:val="0081319A"/>
    <w:rsid w:val="00827C0F"/>
    <w:rsid w:val="00844A30"/>
    <w:rsid w:val="00846923"/>
    <w:rsid w:val="00852F03"/>
    <w:rsid w:val="008611B3"/>
    <w:rsid w:val="00870378"/>
    <w:rsid w:val="0088137E"/>
    <w:rsid w:val="0088449A"/>
    <w:rsid w:val="00895F18"/>
    <w:rsid w:val="008A02B3"/>
    <w:rsid w:val="008B41B5"/>
    <w:rsid w:val="008B7F75"/>
    <w:rsid w:val="008C6302"/>
    <w:rsid w:val="008E4F28"/>
    <w:rsid w:val="008E7844"/>
    <w:rsid w:val="008F14D7"/>
    <w:rsid w:val="008F6DC1"/>
    <w:rsid w:val="008F723D"/>
    <w:rsid w:val="00903CB0"/>
    <w:rsid w:val="009224D2"/>
    <w:rsid w:val="00930244"/>
    <w:rsid w:val="00931E32"/>
    <w:rsid w:val="00934465"/>
    <w:rsid w:val="00935E90"/>
    <w:rsid w:val="00944E07"/>
    <w:rsid w:val="00957666"/>
    <w:rsid w:val="00963E27"/>
    <w:rsid w:val="00973A58"/>
    <w:rsid w:val="00991154"/>
    <w:rsid w:val="009B096F"/>
    <w:rsid w:val="009D5BF0"/>
    <w:rsid w:val="00A0233F"/>
    <w:rsid w:val="00A061F0"/>
    <w:rsid w:val="00A12CCD"/>
    <w:rsid w:val="00A16F68"/>
    <w:rsid w:val="00A21DDE"/>
    <w:rsid w:val="00A23EF0"/>
    <w:rsid w:val="00A24542"/>
    <w:rsid w:val="00A31AE8"/>
    <w:rsid w:val="00A52817"/>
    <w:rsid w:val="00A63E9D"/>
    <w:rsid w:val="00AB105E"/>
    <w:rsid w:val="00AB119C"/>
    <w:rsid w:val="00AC16DB"/>
    <w:rsid w:val="00AC694E"/>
    <w:rsid w:val="00AD09BF"/>
    <w:rsid w:val="00AD3216"/>
    <w:rsid w:val="00AE2215"/>
    <w:rsid w:val="00AF0DC9"/>
    <w:rsid w:val="00AF41D9"/>
    <w:rsid w:val="00B17512"/>
    <w:rsid w:val="00B20936"/>
    <w:rsid w:val="00B31A41"/>
    <w:rsid w:val="00B52FFE"/>
    <w:rsid w:val="00B65B67"/>
    <w:rsid w:val="00B71248"/>
    <w:rsid w:val="00BA3B65"/>
    <w:rsid w:val="00BC47B9"/>
    <w:rsid w:val="00BD6BC1"/>
    <w:rsid w:val="00C010D1"/>
    <w:rsid w:val="00C41CAC"/>
    <w:rsid w:val="00C42053"/>
    <w:rsid w:val="00C43EB8"/>
    <w:rsid w:val="00C55A85"/>
    <w:rsid w:val="00C62C24"/>
    <w:rsid w:val="00C80431"/>
    <w:rsid w:val="00C83216"/>
    <w:rsid w:val="00C876F5"/>
    <w:rsid w:val="00C965C8"/>
    <w:rsid w:val="00C97731"/>
    <w:rsid w:val="00CA117C"/>
    <w:rsid w:val="00CA23FD"/>
    <w:rsid w:val="00CA2A31"/>
    <w:rsid w:val="00CB2214"/>
    <w:rsid w:val="00CD1629"/>
    <w:rsid w:val="00CF20F3"/>
    <w:rsid w:val="00CF2680"/>
    <w:rsid w:val="00CF5E51"/>
    <w:rsid w:val="00D14749"/>
    <w:rsid w:val="00D47382"/>
    <w:rsid w:val="00D61295"/>
    <w:rsid w:val="00D7726D"/>
    <w:rsid w:val="00DA0CDC"/>
    <w:rsid w:val="00DA327C"/>
    <w:rsid w:val="00DB1E66"/>
    <w:rsid w:val="00DB282C"/>
    <w:rsid w:val="00DB28E5"/>
    <w:rsid w:val="00DB2953"/>
    <w:rsid w:val="00DE32FA"/>
    <w:rsid w:val="00DE6FC1"/>
    <w:rsid w:val="00E01F01"/>
    <w:rsid w:val="00E10701"/>
    <w:rsid w:val="00E14176"/>
    <w:rsid w:val="00E21C0E"/>
    <w:rsid w:val="00E30794"/>
    <w:rsid w:val="00E4249B"/>
    <w:rsid w:val="00E60684"/>
    <w:rsid w:val="00E63781"/>
    <w:rsid w:val="00E7154A"/>
    <w:rsid w:val="00E77C37"/>
    <w:rsid w:val="00EA36F4"/>
    <w:rsid w:val="00EB004D"/>
    <w:rsid w:val="00EB2718"/>
    <w:rsid w:val="00ED4BA6"/>
    <w:rsid w:val="00F10930"/>
    <w:rsid w:val="00F223F2"/>
    <w:rsid w:val="00F3287E"/>
    <w:rsid w:val="00F36D26"/>
    <w:rsid w:val="00F44711"/>
    <w:rsid w:val="00F52698"/>
    <w:rsid w:val="00F7393B"/>
    <w:rsid w:val="00F96DC5"/>
    <w:rsid w:val="00FA6B2F"/>
    <w:rsid w:val="00FB12E3"/>
    <w:rsid w:val="00FB7189"/>
    <w:rsid w:val="00FE6E6F"/>
    <w:rsid w:val="00FF4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2C44F7"/>
  <w15:chartTrackingRefBased/>
  <w15:docId w15:val="{8A75624B-385C-446F-8D5A-4A3BB08B0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C325D"/>
    <w:pPr>
      <w:keepNext/>
      <w:keepLines/>
      <w:spacing w:before="240" w:after="0"/>
      <w:outlineLvl w:val="0"/>
    </w:pPr>
    <w:rPr>
      <w:rFonts w:ascii="Arial" w:eastAsiaTheme="majorEastAsia" w:hAnsi="Arial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C325D"/>
    <w:pPr>
      <w:keepNext/>
      <w:keepLines/>
      <w:spacing w:before="40" w:after="0"/>
      <w:outlineLvl w:val="1"/>
    </w:pPr>
    <w:rPr>
      <w:rFonts w:ascii="Arial" w:eastAsiaTheme="majorEastAsia" w:hAnsi="Arial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C325D"/>
    <w:pPr>
      <w:keepNext/>
      <w:keepLines/>
      <w:spacing w:before="40" w:after="0"/>
      <w:outlineLvl w:val="2"/>
    </w:pPr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A649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49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FE6E6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C325D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2C325D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25D"/>
    <w:rPr>
      <w:rFonts w:ascii="Arial" w:eastAsiaTheme="majorEastAsia" w:hAnsi="Arial" w:cstheme="majorBidi"/>
      <w:color w:val="000000" w:themeColor="text1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930244"/>
    <w:pPr>
      <w:outlineLvl w:val="9"/>
    </w:pPr>
    <w:rPr>
      <w:rFonts w:asciiTheme="majorHAnsi" w:hAnsiTheme="majorHAns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30244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930244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unhideWhenUsed/>
    <w:rsid w:val="00930244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9B09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096F"/>
  </w:style>
  <w:style w:type="paragraph" w:styleId="Footer">
    <w:name w:val="footer"/>
    <w:basedOn w:val="Normal"/>
    <w:link w:val="FooterChar"/>
    <w:uiPriority w:val="99"/>
    <w:unhideWhenUsed/>
    <w:rsid w:val="009B09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096F"/>
  </w:style>
  <w:style w:type="paragraph" w:styleId="NoSpacing">
    <w:name w:val="No Spacing"/>
    <w:link w:val="NoSpacingChar"/>
    <w:uiPriority w:val="1"/>
    <w:qFormat/>
    <w:rsid w:val="00646E2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46E22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80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0484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42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412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5.xml"/><Relationship Id="rId18" Type="http://schemas.openxmlformats.org/officeDocument/2006/relationships/chart" Target="charts/chart10.xml"/><Relationship Id="rId26" Type="http://schemas.openxmlformats.org/officeDocument/2006/relationships/header" Target="header1.xml"/><Relationship Id="rId3" Type="http://schemas.openxmlformats.org/officeDocument/2006/relationships/numbering" Target="numbering.xml"/><Relationship Id="rId21" Type="http://schemas.openxmlformats.org/officeDocument/2006/relationships/image" Target="media/image1.png"/><Relationship Id="rId7" Type="http://schemas.openxmlformats.org/officeDocument/2006/relationships/footnotes" Target="footnotes.xml"/><Relationship Id="rId12" Type="http://schemas.openxmlformats.org/officeDocument/2006/relationships/chart" Target="charts/chart4.xml"/><Relationship Id="rId17" Type="http://schemas.openxmlformats.org/officeDocument/2006/relationships/chart" Target="charts/chart9.xml"/><Relationship Id="rId25" Type="http://schemas.openxmlformats.org/officeDocument/2006/relationships/image" Target="media/image5.png"/><Relationship Id="rId2" Type="http://schemas.openxmlformats.org/officeDocument/2006/relationships/customXml" Target="../customXml/item2.xml"/><Relationship Id="rId16" Type="http://schemas.openxmlformats.org/officeDocument/2006/relationships/chart" Target="charts/chart8.xml"/><Relationship Id="rId20" Type="http://schemas.openxmlformats.org/officeDocument/2006/relationships/chart" Target="charts/chart1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3.xml"/><Relationship Id="rId24" Type="http://schemas.openxmlformats.org/officeDocument/2006/relationships/image" Target="media/image4.png"/><Relationship Id="rId5" Type="http://schemas.openxmlformats.org/officeDocument/2006/relationships/settings" Target="settings.xml"/><Relationship Id="rId15" Type="http://schemas.openxmlformats.org/officeDocument/2006/relationships/chart" Target="charts/chart7.xml"/><Relationship Id="rId23" Type="http://schemas.openxmlformats.org/officeDocument/2006/relationships/image" Target="media/image3.png"/><Relationship Id="rId28" Type="http://schemas.openxmlformats.org/officeDocument/2006/relationships/theme" Target="theme/theme1.xml"/><Relationship Id="rId10" Type="http://schemas.openxmlformats.org/officeDocument/2006/relationships/chart" Target="charts/chart2.xml"/><Relationship Id="rId19" Type="http://schemas.openxmlformats.org/officeDocument/2006/relationships/chart" Target="charts/chart11.xml"/><Relationship Id="rId4" Type="http://schemas.openxmlformats.org/officeDocument/2006/relationships/styles" Target="styles.xml"/><Relationship Id="rId9" Type="http://schemas.openxmlformats.org/officeDocument/2006/relationships/chart" Target="charts/chart1.xml"/><Relationship Id="rId14" Type="http://schemas.openxmlformats.org/officeDocument/2006/relationships/chart" Target="charts/chart6.xml"/><Relationship Id="rId22" Type="http://schemas.openxmlformats.org/officeDocument/2006/relationships/image" Target="media/image2.png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.bin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2.bin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3.bin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4.bin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5.bin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6.bin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7.bin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8.bin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9.bin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0.bin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1.bin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../embeddings/oleObject12.bin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Retun on Shareholders Funds%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finance.xlsx]Graphs'!$A$2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finance.xlsx]Graphs'!$B$1:$F$1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finance.xlsx]Graphs'!$B$2:$F$2</c:f>
              <c:numCache>
                <c:formatCode>General</c:formatCode>
                <c:ptCount val="5"/>
                <c:pt idx="0">
                  <c:v>4.9800000000000004</c:v>
                </c:pt>
                <c:pt idx="1">
                  <c:v>5.54</c:v>
                </c:pt>
                <c:pt idx="2">
                  <c:v>5.59</c:v>
                </c:pt>
                <c:pt idx="3">
                  <c:v>6.76</c:v>
                </c:pt>
                <c:pt idx="4">
                  <c:v>4.66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417-4884-95DB-BC44BE14F305}"/>
            </c:ext>
          </c:extLst>
        </c:ser>
        <c:ser>
          <c:idx val="1"/>
          <c:order val="1"/>
          <c:tx>
            <c:strRef>
              <c:f>'[banking and finance.xlsx]Graphs'!$A$3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finance.xlsx]Graphs'!$B$1:$F$1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finance.xlsx]Graphs'!$B$3:$F$3</c:f>
              <c:numCache>
                <c:formatCode>General</c:formatCode>
                <c:ptCount val="5"/>
                <c:pt idx="0">
                  <c:v>-1.45</c:v>
                </c:pt>
                <c:pt idx="1">
                  <c:v>-0.8</c:v>
                </c:pt>
                <c:pt idx="2">
                  <c:v>0.31</c:v>
                </c:pt>
                <c:pt idx="3">
                  <c:v>0.7</c:v>
                </c:pt>
                <c:pt idx="4">
                  <c:v>0.74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2417-4884-95DB-BC44BE14F30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57386208"/>
        <c:axId val="1557384128"/>
      </c:lineChart>
      <c:catAx>
        <c:axId val="155738620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57384128"/>
        <c:crosses val="autoZero"/>
        <c:auto val="1"/>
        <c:lblAlgn val="ctr"/>
        <c:lblOffset val="100"/>
        <c:noMultiLvlLbl val="0"/>
      </c:catAx>
      <c:valAx>
        <c:axId val="15573841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5738620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ROCE%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finance.xlsx]Graphs'!$A$15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finance.xlsx]Graphs'!$B$14:$F$14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finance.xlsx]Graphs'!$B$15:$F$15</c:f>
              <c:numCache>
                <c:formatCode>General</c:formatCode>
                <c:ptCount val="5"/>
                <c:pt idx="0">
                  <c:v>4.25</c:v>
                </c:pt>
                <c:pt idx="1">
                  <c:v>5.0199999999999996</c:v>
                </c:pt>
                <c:pt idx="2">
                  <c:v>4.12</c:v>
                </c:pt>
                <c:pt idx="3">
                  <c:v>5.01</c:v>
                </c:pt>
                <c:pt idx="4">
                  <c:v>4.43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24E8-4FD4-82AD-BD5A40C39C92}"/>
            </c:ext>
          </c:extLst>
        </c:ser>
        <c:ser>
          <c:idx val="1"/>
          <c:order val="1"/>
          <c:tx>
            <c:strRef>
              <c:f>'[banking and finance.xlsx]Graphs'!$A$16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finance.xlsx]Graphs'!$B$14:$F$14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finance.xlsx]Graphs'!$B$16:$F$16</c:f>
              <c:numCache>
                <c:formatCode>General</c:formatCode>
                <c:ptCount val="5"/>
                <c:pt idx="0">
                  <c:v>-56</c:v>
                </c:pt>
                <c:pt idx="1">
                  <c:v>-46</c:v>
                </c:pt>
                <c:pt idx="2">
                  <c:v>0.1</c:v>
                </c:pt>
                <c:pt idx="3">
                  <c:v>0.21</c:v>
                </c:pt>
                <c:pt idx="4">
                  <c:v>0.23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24E8-4FD4-82AD-BD5A40C39C9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52115968"/>
        <c:axId val="1552114304"/>
      </c:lineChart>
      <c:catAx>
        <c:axId val="15521159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52114304"/>
        <c:crosses val="autoZero"/>
        <c:auto val="1"/>
        <c:lblAlgn val="ctr"/>
        <c:lblOffset val="100"/>
        <c:noMultiLvlLbl val="0"/>
      </c:catAx>
      <c:valAx>
        <c:axId val="15521143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521159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ROTA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finance.xlsx]Graphs'!$A$30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finance.xlsx]Graphs'!$B$29:$F$29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finance.xlsx]Graphs'!$B$30:$F$30</c:f>
              <c:numCache>
                <c:formatCode>General</c:formatCode>
                <c:ptCount val="5"/>
                <c:pt idx="0">
                  <c:v>0.27</c:v>
                </c:pt>
                <c:pt idx="1">
                  <c:v>0.31</c:v>
                </c:pt>
                <c:pt idx="2">
                  <c:v>0.31</c:v>
                </c:pt>
                <c:pt idx="3">
                  <c:v>0.38</c:v>
                </c:pt>
                <c:pt idx="4">
                  <c:v>0.23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4A4-4209-AB2E-89C5224458D8}"/>
            </c:ext>
          </c:extLst>
        </c:ser>
        <c:ser>
          <c:idx val="1"/>
          <c:order val="1"/>
          <c:tx>
            <c:strRef>
              <c:f>'[banking and finance.xlsx]Graphs'!$A$31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finance.xlsx]Graphs'!$B$29:$F$29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finance.xlsx]Graphs'!$B$31:$F$31</c:f>
              <c:numCache>
                <c:formatCode>General</c:formatCode>
                <c:ptCount val="5"/>
                <c:pt idx="0">
                  <c:v>-0.1</c:v>
                </c:pt>
                <c:pt idx="1">
                  <c:v>-7.0000000000000007E-2</c:v>
                </c:pt>
                <c:pt idx="2">
                  <c:v>0.02</c:v>
                </c:pt>
                <c:pt idx="3">
                  <c:v>0.04</c:v>
                </c:pt>
                <c:pt idx="4">
                  <c:v>0.04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4A4-4209-AB2E-89C5224458D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207138112"/>
        <c:axId val="1207140192"/>
      </c:lineChart>
      <c:catAx>
        <c:axId val="120713811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7140192"/>
        <c:crosses val="autoZero"/>
        <c:auto val="1"/>
        <c:lblAlgn val="ctr"/>
        <c:lblOffset val="100"/>
        <c:noMultiLvlLbl val="0"/>
      </c:catAx>
      <c:valAx>
        <c:axId val="12071401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0713811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Profit margin%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finance.xlsx]Graphs'!$A$48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finance.xlsx]Graphs'!$B$47:$F$47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finance.xlsx]Graphs'!$B$48:$F$48</c:f>
              <c:numCache>
                <c:formatCode>General</c:formatCode>
                <c:ptCount val="5"/>
                <c:pt idx="0">
                  <c:v>11.85</c:v>
                </c:pt>
                <c:pt idx="1">
                  <c:v>13.21</c:v>
                </c:pt>
                <c:pt idx="2">
                  <c:v>12.17</c:v>
                </c:pt>
                <c:pt idx="3">
                  <c:v>14.5</c:v>
                </c:pt>
                <c:pt idx="4">
                  <c:v>14.08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3582-4480-A655-91DD21E671DD}"/>
            </c:ext>
          </c:extLst>
        </c:ser>
        <c:ser>
          <c:idx val="1"/>
          <c:order val="1"/>
          <c:tx>
            <c:strRef>
              <c:f>'[banking and finance.xlsx]Graphs'!$A$49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finance.xlsx]Graphs'!$B$47:$F$47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finance.xlsx]Graphs'!$B$49:$F$49</c:f>
              <c:numCache>
                <c:formatCode>General</c:formatCode>
                <c:ptCount val="5"/>
                <c:pt idx="0">
                  <c:v>-12.24</c:v>
                </c:pt>
                <c:pt idx="1">
                  <c:v>-12.6</c:v>
                </c:pt>
                <c:pt idx="2">
                  <c:v>3.84</c:v>
                </c:pt>
                <c:pt idx="3">
                  <c:v>7.78</c:v>
                </c:pt>
                <c:pt idx="4">
                  <c:v>8.31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3582-4480-A655-91DD21E671D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69289792"/>
        <c:axId val="1569291040"/>
      </c:lineChart>
      <c:catAx>
        <c:axId val="15692897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9291040"/>
        <c:crosses val="autoZero"/>
        <c:auto val="1"/>
        <c:lblAlgn val="ctr"/>
        <c:lblOffset val="100"/>
        <c:noMultiLvlLbl val="0"/>
      </c:catAx>
      <c:valAx>
        <c:axId val="15692910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92897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EBIT%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finance.xlsx]Graphs'!$A$61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finance.xlsx]Graphs'!$B$60:$F$60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finance.xlsx]Graphs'!$B$61:$F$61</c:f>
              <c:numCache>
                <c:formatCode>General</c:formatCode>
                <c:ptCount val="5"/>
                <c:pt idx="0">
                  <c:v>10.050000000000001</c:v>
                </c:pt>
                <c:pt idx="1">
                  <c:v>12.25</c:v>
                </c:pt>
                <c:pt idx="2">
                  <c:v>11.93</c:v>
                </c:pt>
                <c:pt idx="3">
                  <c:v>14.5</c:v>
                </c:pt>
                <c:pt idx="4">
                  <c:v>13.98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5BA-4B7B-A76C-D7ECAD61398F}"/>
            </c:ext>
          </c:extLst>
        </c:ser>
        <c:ser>
          <c:idx val="1"/>
          <c:order val="1"/>
          <c:tx>
            <c:strRef>
              <c:f>'[banking and finance.xlsx]Graphs'!$A$62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finance.xlsx]Graphs'!$B$60:$F$60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finance.xlsx]Graphs'!$B$62:$F$62</c:f>
              <c:numCache>
                <c:formatCode>General</c:formatCode>
                <c:ptCount val="5"/>
                <c:pt idx="0">
                  <c:v>-12.24</c:v>
                </c:pt>
                <c:pt idx="1">
                  <c:v>-12.6</c:v>
                </c:pt>
                <c:pt idx="2">
                  <c:v>-10.210000000000001</c:v>
                </c:pt>
                <c:pt idx="3">
                  <c:v>-1.44</c:v>
                </c:pt>
                <c:pt idx="4">
                  <c:v>7.83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5BA-4B7B-A76C-D7ECAD61398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947332080"/>
        <c:axId val="1947330416"/>
      </c:lineChart>
      <c:catAx>
        <c:axId val="194733208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7330416"/>
        <c:crosses val="autoZero"/>
        <c:auto val="1"/>
        <c:lblAlgn val="ctr"/>
        <c:lblOffset val="100"/>
        <c:noMultiLvlLbl val="0"/>
      </c:catAx>
      <c:valAx>
        <c:axId val="19473304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733208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EBITDA%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finance.xlsx]Graphs'!$A$75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finance.xlsx]Graphs'!$B$74:$F$74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finance.xlsx]Graphs'!$B$75:$F$75</c:f>
              <c:numCache>
                <c:formatCode>General</c:formatCode>
                <c:ptCount val="5"/>
                <c:pt idx="0">
                  <c:v>14.39</c:v>
                </c:pt>
                <c:pt idx="1">
                  <c:v>16.88</c:v>
                </c:pt>
                <c:pt idx="2">
                  <c:v>16.329999999999998</c:v>
                </c:pt>
                <c:pt idx="3">
                  <c:v>19.559999999999999</c:v>
                </c:pt>
                <c:pt idx="4">
                  <c:v>21.94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0CC4-47B8-8401-A143BAA4F237}"/>
            </c:ext>
          </c:extLst>
        </c:ser>
        <c:ser>
          <c:idx val="1"/>
          <c:order val="1"/>
          <c:tx>
            <c:strRef>
              <c:f>'[banking and finance.xlsx]Graphs'!$A$76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finance.xlsx]Graphs'!$B$74:$F$74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finance.xlsx]Graphs'!$B$76:$F$76</c:f>
              <c:numCache>
                <c:formatCode>General</c:formatCode>
                <c:ptCount val="5"/>
                <c:pt idx="0">
                  <c:v>-6.3</c:v>
                </c:pt>
                <c:pt idx="1">
                  <c:v>-3.36</c:v>
                </c:pt>
                <c:pt idx="2">
                  <c:v>-3.91</c:v>
                </c:pt>
                <c:pt idx="3">
                  <c:v>8.16</c:v>
                </c:pt>
                <c:pt idx="4">
                  <c:v>15.61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0CC4-47B8-8401-A143BAA4F23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49481984"/>
        <c:axId val="2000394832"/>
      </c:lineChart>
      <c:catAx>
        <c:axId val="15494819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00394832"/>
        <c:crosses val="autoZero"/>
        <c:auto val="1"/>
        <c:lblAlgn val="ctr"/>
        <c:lblOffset val="100"/>
        <c:noMultiLvlLbl val="0"/>
      </c:catAx>
      <c:valAx>
        <c:axId val="20003948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94819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Net asset turnover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finance.xlsx]Graphs'!$A$87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finance.xlsx]Graphs'!$B$86:$F$86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finance.xlsx]Graphs'!$B$87:$F$87</c:f>
              <c:numCache>
                <c:formatCode>General</c:formatCode>
                <c:ptCount val="5"/>
                <c:pt idx="0">
                  <c:v>0.36</c:v>
                </c:pt>
                <c:pt idx="1">
                  <c:v>0.38</c:v>
                </c:pt>
                <c:pt idx="2">
                  <c:v>0.34</c:v>
                </c:pt>
                <c:pt idx="3">
                  <c:v>0.35</c:v>
                </c:pt>
                <c:pt idx="4">
                  <c:v>0.31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DCD-4D69-84C6-6F4235689110}"/>
            </c:ext>
          </c:extLst>
        </c:ser>
        <c:ser>
          <c:idx val="1"/>
          <c:order val="1"/>
          <c:tx>
            <c:strRef>
              <c:f>'[banking and finance.xlsx]Graphs'!$A$88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finance.xlsx]Graphs'!$B$86:$F$86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finance.xlsx]Graphs'!$B$88:$F$88</c:f>
              <c:numCache>
                <c:formatCode>General</c:formatCode>
                <c:ptCount val="5"/>
                <c:pt idx="0">
                  <c:v>0.05</c:v>
                </c:pt>
                <c:pt idx="1">
                  <c:v>0.04</c:v>
                </c:pt>
                <c:pt idx="2">
                  <c:v>0.03</c:v>
                </c:pt>
                <c:pt idx="3">
                  <c:v>0.03</c:v>
                </c:pt>
                <c:pt idx="4">
                  <c:v>0.03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4DCD-4D69-84C6-6F423568911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70343216"/>
        <c:axId val="1470347792"/>
      </c:lineChart>
      <c:catAx>
        <c:axId val="147034321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0347792"/>
        <c:crosses val="autoZero"/>
        <c:auto val="1"/>
        <c:lblAlgn val="ctr"/>
        <c:lblOffset val="100"/>
        <c:noMultiLvlLbl val="0"/>
      </c:catAx>
      <c:valAx>
        <c:axId val="1470347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034321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Fixed asset turnover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finance.xlsx]Graphs'!$A$100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finance.xlsx]Graphs'!$B$99:$F$99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finance.xlsx]Graphs'!$B$100:$F$100</c:f>
              <c:numCache>
                <c:formatCode>General</c:formatCode>
                <c:ptCount val="5"/>
                <c:pt idx="0">
                  <c:v>1.69</c:v>
                </c:pt>
                <c:pt idx="1">
                  <c:v>1.55</c:v>
                </c:pt>
                <c:pt idx="2">
                  <c:v>1.7</c:v>
                </c:pt>
                <c:pt idx="3">
                  <c:v>1.63</c:v>
                </c:pt>
                <c:pt idx="4">
                  <c:v>1.82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E09-4C58-B0EB-5972BC9D2BFC}"/>
            </c:ext>
          </c:extLst>
        </c:ser>
        <c:ser>
          <c:idx val="1"/>
          <c:order val="1"/>
          <c:tx>
            <c:strRef>
              <c:f>'[banking and finance.xlsx]Graphs'!$A$101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finance.xlsx]Graphs'!$B$99:$F$99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finance.xlsx]Graphs'!$B$101:$F$101</c:f>
              <c:numCache>
                <c:formatCode>General</c:formatCode>
                <c:ptCount val="5"/>
                <c:pt idx="0">
                  <c:v>0.55000000000000004</c:v>
                </c:pt>
                <c:pt idx="1">
                  <c:v>1.31</c:v>
                </c:pt>
                <c:pt idx="2">
                  <c:v>0.01</c:v>
                </c:pt>
                <c:pt idx="3">
                  <c:v>0.01</c:v>
                </c:pt>
                <c:pt idx="4">
                  <c:v>0.01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E09-4C58-B0EB-5972BC9D2BF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70338224"/>
        <c:axId val="1470346960"/>
      </c:lineChart>
      <c:catAx>
        <c:axId val="147033822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0346960"/>
        <c:crosses val="autoZero"/>
        <c:auto val="1"/>
        <c:lblAlgn val="ctr"/>
        <c:lblOffset val="100"/>
        <c:noMultiLvlLbl val="0"/>
      </c:catAx>
      <c:valAx>
        <c:axId val="1470346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033822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Current ratio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finance.xlsx]Graphs'!$A$113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finance.xlsx]Graphs'!$B$112:$F$112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finance.xlsx]Graphs'!$B$113:$F$113</c:f>
              <c:numCache>
                <c:formatCode>General</c:formatCode>
                <c:ptCount val="5"/>
                <c:pt idx="0">
                  <c:v>1.05</c:v>
                </c:pt>
                <c:pt idx="1">
                  <c:v>1.05</c:v>
                </c:pt>
                <c:pt idx="2">
                  <c:v>1.06</c:v>
                </c:pt>
                <c:pt idx="3">
                  <c:v>1.07</c:v>
                </c:pt>
                <c:pt idx="4">
                  <c:v>1.04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36F2-44C9-A39C-16B520F523E7}"/>
            </c:ext>
          </c:extLst>
        </c:ser>
        <c:ser>
          <c:idx val="1"/>
          <c:order val="1"/>
          <c:tx>
            <c:strRef>
              <c:f>'[banking and finance.xlsx]Graphs'!$A$114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finance.xlsx]Graphs'!$B$112:$F$112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finance.xlsx]Graphs'!$B$114:$F$114</c:f>
              <c:numCache>
                <c:formatCode>General</c:formatCode>
                <c:ptCount val="5"/>
                <c:pt idx="0">
                  <c:v>1.2</c:v>
                </c:pt>
                <c:pt idx="1">
                  <c:v>1.18</c:v>
                </c:pt>
                <c:pt idx="2">
                  <c:v>7.0000000000000007E-2</c:v>
                </c:pt>
                <c:pt idx="3">
                  <c:v>0.06</c:v>
                </c:pt>
                <c:pt idx="4">
                  <c:v>0.06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36F2-44C9-A39C-16B520F523E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68565008"/>
        <c:axId val="1468565424"/>
      </c:lineChart>
      <c:catAx>
        <c:axId val="146856500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8565424"/>
        <c:crosses val="autoZero"/>
        <c:auto val="1"/>
        <c:lblAlgn val="ctr"/>
        <c:lblOffset val="100"/>
        <c:noMultiLvlLbl val="0"/>
      </c:catAx>
      <c:valAx>
        <c:axId val="14685654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6856500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Solvency ratio (Asset based)%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finance.xlsx]Graphs'!$A$141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finance.xlsx]Graphs'!$B$140:$F$140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finance.xlsx]Graphs'!$B$141:$F$141</c:f>
              <c:numCache>
                <c:formatCode>General</c:formatCode>
                <c:ptCount val="5"/>
                <c:pt idx="0">
                  <c:v>5.35</c:v>
                </c:pt>
                <c:pt idx="1">
                  <c:v>5.64</c:v>
                </c:pt>
                <c:pt idx="2">
                  <c:v>5.52</c:v>
                </c:pt>
                <c:pt idx="3">
                  <c:v>5.65</c:v>
                </c:pt>
                <c:pt idx="4">
                  <c:v>4.88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758-4A24-A3CE-12974AE2EE87}"/>
            </c:ext>
          </c:extLst>
        </c:ser>
        <c:ser>
          <c:idx val="1"/>
          <c:order val="1"/>
          <c:tx>
            <c:strRef>
              <c:f>'[banking and finance.xlsx]Graphs'!$A$142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finance.xlsx]Graphs'!$B$140:$F$140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finance.xlsx]Graphs'!$B$142:$F$142</c:f>
              <c:numCache>
                <c:formatCode>General</c:formatCode>
                <c:ptCount val="5"/>
                <c:pt idx="0">
                  <c:v>6.83</c:v>
                </c:pt>
                <c:pt idx="1">
                  <c:v>9.01</c:v>
                </c:pt>
                <c:pt idx="2">
                  <c:v>6.64</c:v>
                </c:pt>
                <c:pt idx="3">
                  <c:v>5.4</c:v>
                </c:pt>
                <c:pt idx="4">
                  <c:v>5.77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758-4A24-A3CE-12974AE2EE8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549482400"/>
        <c:axId val="1549482816"/>
      </c:lineChart>
      <c:catAx>
        <c:axId val="154948240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9482816"/>
        <c:crosses val="autoZero"/>
        <c:auto val="1"/>
        <c:lblAlgn val="ctr"/>
        <c:lblOffset val="100"/>
        <c:noMultiLvlLbl val="0"/>
      </c:catAx>
      <c:valAx>
        <c:axId val="15494828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494824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Solvency ratio (Liability based)%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finance.xlsx]Graphs'!$A$155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finance.xlsx]Graphs'!$B$154:$F$154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finance.xlsx]Graphs'!$B$155:$F$155</c:f>
              <c:numCache>
                <c:formatCode>General</c:formatCode>
                <c:ptCount val="5"/>
                <c:pt idx="0">
                  <c:v>5.65</c:v>
                </c:pt>
                <c:pt idx="1">
                  <c:v>5.98</c:v>
                </c:pt>
                <c:pt idx="2">
                  <c:v>5.84</c:v>
                </c:pt>
                <c:pt idx="3">
                  <c:v>5.99</c:v>
                </c:pt>
                <c:pt idx="4">
                  <c:v>5.13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78DB-4E69-AFBE-BA3A276C1072}"/>
            </c:ext>
          </c:extLst>
        </c:ser>
        <c:ser>
          <c:idx val="1"/>
          <c:order val="1"/>
          <c:tx>
            <c:strRef>
              <c:f>'[banking and finance.xlsx]Graphs'!$A$156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finance.xlsx]Graphs'!$B$154:$F$154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finance.xlsx]Graphs'!$B$156:$F$156</c:f>
              <c:numCache>
                <c:formatCode>General</c:formatCode>
                <c:ptCount val="5"/>
                <c:pt idx="0">
                  <c:v>7.33</c:v>
                </c:pt>
                <c:pt idx="1">
                  <c:v>9.9</c:v>
                </c:pt>
                <c:pt idx="2">
                  <c:v>7.11</c:v>
                </c:pt>
                <c:pt idx="3">
                  <c:v>5.7</c:v>
                </c:pt>
                <c:pt idx="4">
                  <c:v>6.12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78DB-4E69-AFBE-BA3A276C1072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940833456"/>
        <c:axId val="1940832624"/>
      </c:lineChart>
      <c:catAx>
        <c:axId val="19408334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0832624"/>
        <c:crosses val="autoZero"/>
        <c:auto val="1"/>
        <c:lblAlgn val="ctr"/>
        <c:lblOffset val="100"/>
        <c:noMultiLvlLbl val="0"/>
      </c:catAx>
      <c:valAx>
        <c:axId val="19408326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9408334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Gearing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'[banking and finance.xlsx]Graphs'!$A$169</c:f>
              <c:strCache>
                <c:ptCount val="1"/>
                <c:pt idx="0">
                  <c:v>Barclays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finance.xlsx]Graphs'!$B$168:$F$168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finance.xlsx]Graphs'!$B$169:$F$169</c:f>
              <c:numCache>
                <c:formatCode>General</c:formatCode>
                <c:ptCount val="5"/>
                <c:pt idx="0">
                  <c:v>53.07</c:v>
                </c:pt>
                <c:pt idx="1">
                  <c:v>47.64</c:v>
                </c:pt>
                <c:pt idx="2">
                  <c:v>35.44</c:v>
                </c:pt>
                <c:pt idx="3">
                  <c:v>37.71</c:v>
                </c:pt>
                <c:pt idx="4">
                  <c:v>5.17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A0F-4375-903F-20E47565D9EF}"/>
            </c:ext>
          </c:extLst>
        </c:ser>
        <c:ser>
          <c:idx val="1"/>
          <c:order val="1"/>
          <c:tx>
            <c:strRef>
              <c:f>'[banking and finance.xlsx]Graphs'!$A$170</c:f>
              <c:strCache>
                <c:ptCount val="1"/>
                <c:pt idx="0">
                  <c:v>Credit Suisse 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'[banking and finance.xlsx]Graphs'!$B$168:$F$168</c:f>
              <c:numCache>
                <c:formatCode>General</c:formatCode>
                <c:ptCount val="5"/>
                <c:pt idx="0">
                  <c:v>2016</c:v>
                </c:pt>
                <c:pt idx="1">
                  <c:v>2017</c:v>
                </c:pt>
                <c:pt idx="2">
                  <c:v>2018</c:v>
                </c:pt>
                <c:pt idx="3">
                  <c:v>2019</c:v>
                </c:pt>
                <c:pt idx="4">
                  <c:v>2020</c:v>
                </c:pt>
              </c:numCache>
            </c:numRef>
          </c:cat>
          <c:val>
            <c:numRef>
              <c:f>'[banking and finance.xlsx]Graphs'!$B$170:$F$170</c:f>
              <c:numCache>
                <c:formatCode>General</c:formatCode>
                <c:ptCount val="5"/>
                <c:pt idx="0">
                  <c:v>170.16</c:v>
                </c:pt>
                <c:pt idx="1">
                  <c:v>101.4</c:v>
                </c:pt>
                <c:pt idx="2">
                  <c:v>215.08</c:v>
                </c:pt>
                <c:pt idx="3">
                  <c:v>238.53</c:v>
                </c:pt>
                <c:pt idx="4">
                  <c:v>229.89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8A0F-4375-903F-20E47565D9E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470351120"/>
        <c:axId val="1470351952"/>
      </c:lineChart>
      <c:catAx>
        <c:axId val="147035112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0351952"/>
        <c:crosses val="autoZero"/>
        <c:auto val="1"/>
        <c:lblAlgn val="ctr"/>
        <c:lblOffset val="100"/>
        <c:noMultiLvlLbl val="0"/>
      </c:catAx>
      <c:valAx>
        <c:axId val="14703519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703511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AD001F-A74D-4B8F-AB28-4A26CF4A79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3213</TotalTime>
  <Pages>22</Pages>
  <Words>1020</Words>
  <Characters>5814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Comparative financial analysis of Barclays and Credit Suisse Bank</dc:title>
  <dc:subject>MBA Banking and Finance</dc:subject>
  <dc:creator/>
  <cp:keywords/>
  <dc:description/>
  <cp:lastModifiedBy>(S) Ajwad Choudhury</cp:lastModifiedBy>
  <cp:revision>233</cp:revision>
  <dcterms:created xsi:type="dcterms:W3CDTF">2022-04-04T09:09:00Z</dcterms:created>
  <dcterms:modified xsi:type="dcterms:W3CDTF">2022-04-24T13:34:00Z</dcterms:modified>
</cp:coreProperties>
</file>