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77777777" w:rsidR="007E3170" w:rsidRDefault="007E3170" w:rsidP="0089286A">
      <w:pPr>
        <w:spacing w:before="100" w:beforeAutospacing="1" w:after="100" w:afterAutospacing="1" w:line="360" w:lineRule="auto"/>
        <w:jc w:val="center"/>
        <w:rPr>
          <w:b/>
          <w:sz w:val="32"/>
          <w:szCs w:val="32"/>
        </w:rPr>
      </w:pPr>
    </w:p>
    <w:p w14:paraId="00000002" w14:textId="77777777" w:rsidR="007E3170" w:rsidRDefault="007E3170" w:rsidP="0089286A">
      <w:pPr>
        <w:spacing w:before="100" w:beforeAutospacing="1" w:after="100" w:afterAutospacing="1" w:line="360" w:lineRule="auto"/>
        <w:jc w:val="center"/>
        <w:rPr>
          <w:b/>
          <w:sz w:val="32"/>
          <w:szCs w:val="32"/>
        </w:rPr>
      </w:pPr>
    </w:p>
    <w:p w14:paraId="00000003" w14:textId="77777777" w:rsidR="007E3170" w:rsidRDefault="007E3170" w:rsidP="0089286A">
      <w:pPr>
        <w:spacing w:before="100" w:beforeAutospacing="1" w:after="100" w:afterAutospacing="1" w:line="360" w:lineRule="auto"/>
        <w:jc w:val="center"/>
        <w:rPr>
          <w:b/>
          <w:sz w:val="32"/>
          <w:szCs w:val="32"/>
        </w:rPr>
      </w:pPr>
    </w:p>
    <w:p w14:paraId="00000004" w14:textId="77777777" w:rsidR="007E3170" w:rsidRDefault="007E3170" w:rsidP="0089286A">
      <w:pPr>
        <w:spacing w:before="100" w:beforeAutospacing="1" w:after="100" w:afterAutospacing="1" w:line="360" w:lineRule="auto"/>
        <w:jc w:val="center"/>
        <w:rPr>
          <w:b/>
          <w:sz w:val="32"/>
          <w:szCs w:val="32"/>
        </w:rPr>
      </w:pPr>
    </w:p>
    <w:p w14:paraId="00000005" w14:textId="77777777" w:rsidR="007E3170" w:rsidRDefault="00B75A6D" w:rsidP="0089286A">
      <w:pPr>
        <w:spacing w:before="100" w:beforeAutospacing="1" w:after="100" w:afterAutospacing="1" w:line="360" w:lineRule="auto"/>
        <w:jc w:val="center"/>
        <w:rPr>
          <w:b/>
          <w:sz w:val="32"/>
          <w:szCs w:val="32"/>
        </w:rPr>
      </w:pPr>
      <w:r>
        <w:rPr>
          <w:b/>
          <w:sz w:val="32"/>
          <w:szCs w:val="32"/>
        </w:rPr>
        <w:t>Sustainability And Net-Zero in the Hotel Industry</w:t>
      </w:r>
    </w:p>
    <w:p w14:paraId="00000006" w14:textId="0F95CE42" w:rsidR="007E3170" w:rsidRDefault="00AE0667" w:rsidP="0089286A">
      <w:pPr>
        <w:spacing w:before="100" w:beforeAutospacing="1" w:after="100" w:afterAutospacing="1" w:line="360" w:lineRule="auto"/>
        <w:jc w:val="center"/>
        <w:rPr>
          <w:b/>
        </w:rPr>
      </w:pPr>
      <w:r>
        <w:rPr>
          <w:b/>
        </w:rPr>
        <w:t>Name of student: Antonina Vasileva Danchova</w:t>
      </w:r>
    </w:p>
    <w:p w14:paraId="00000007" w14:textId="2700C435" w:rsidR="007E3170" w:rsidRDefault="00B75A6D" w:rsidP="0089286A">
      <w:pPr>
        <w:spacing w:before="100" w:beforeAutospacing="1" w:after="100" w:afterAutospacing="1" w:line="360" w:lineRule="auto"/>
        <w:jc w:val="center"/>
        <w:rPr>
          <w:b/>
        </w:rPr>
      </w:pPr>
      <w:r>
        <w:rPr>
          <w:b/>
        </w:rPr>
        <w:t>Student ID:</w:t>
      </w:r>
      <w:r w:rsidR="00AE0667">
        <w:rPr>
          <w:b/>
        </w:rPr>
        <w:t xml:space="preserve"> 2211877</w:t>
      </w:r>
    </w:p>
    <w:p w14:paraId="6373DA3A" w14:textId="1A69A085" w:rsidR="00AE0667" w:rsidRDefault="00AE0667" w:rsidP="0089286A">
      <w:pPr>
        <w:spacing w:before="100" w:beforeAutospacing="1" w:after="100" w:afterAutospacing="1" w:line="360" w:lineRule="auto"/>
        <w:jc w:val="center"/>
        <w:rPr>
          <w:b/>
        </w:rPr>
      </w:pPr>
      <w:r>
        <w:rPr>
          <w:b/>
        </w:rPr>
        <w:t>Lecture name: Antoinette Milne</w:t>
      </w:r>
    </w:p>
    <w:p w14:paraId="00000008" w14:textId="77777777" w:rsidR="007E3170" w:rsidRDefault="00B75A6D" w:rsidP="0089286A">
      <w:pPr>
        <w:spacing w:before="100" w:beforeAutospacing="1" w:after="100" w:afterAutospacing="1" w:line="360" w:lineRule="auto"/>
        <w:jc w:val="center"/>
        <w:rPr>
          <w:b/>
        </w:rPr>
      </w:pPr>
      <w:r>
        <w:rPr>
          <w:b/>
        </w:rPr>
        <w:t>Module code: BMIH6001</w:t>
      </w:r>
    </w:p>
    <w:p w14:paraId="00000009" w14:textId="77777777" w:rsidR="007E3170" w:rsidRDefault="00B75A6D" w:rsidP="0089286A">
      <w:pPr>
        <w:spacing w:before="100" w:beforeAutospacing="1" w:after="100" w:afterAutospacing="1" w:line="360" w:lineRule="auto"/>
        <w:jc w:val="center"/>
        <w:rPr>
          <w:b/>
        </w:rPr>
      </w:pPr>
      <w:r>
        <w:rPr>
          <w:b/>
        </w:rPr>
        <w:t>Module Title: Contemporary Themes in the Hotel and Hospitality Sector</w:t>
      </w:r>
    </w:p>
    <w:p w14:paraId="0000000B" w14:textId="18FF76BC" w:rsidR="007E3170" w:rsidRDefault="007E3170" w:rsidP="00AE0667">
      <w:pPr>
        <w:spacing w:before="100" w:beforeAutospacing="1" w:after="100" w:afterAutospacing="1" w:line="360" w:lineRule="auto"/>
        <w:rPr>
          <w:b/>
        </w:rPr>
      </w:pPr>
      <w:bookmarkStart w:id="0" w:name="_GoBack"/>
      <w:bookmarkEnd w:id="0"/>
    </w:p>
    <w:p w14:paraId="0000000C" w14:textId="77777777" w:rsidR="007E3170" w:rsidRDefault="007E3170" w:rsidP="0089286A">
      <w:pPr>
        <w:spacing w:before="100" w:beforeAutospacing="1" w:after="100" w:afterAutospacing="1" w:line="360" w:lineRule="auto"/>
        <w:jc w:val="center"/>
        <w:rPr>
          <w:b/>
        </w:rPr>
      </w:pPr>
    </w:p>
    <w:p w14:paraId="0000000D" w14:textId="77777777" w:rsidR="007E3170" w:rsidRDefault="00B75A6D" w:rsidP="0089286A">
      <w:pPr>
        <w:spacing w:before="100" w:beforeAutospacing="1" w:after="100" w:afterAutospacing="1" w:line="360" w:lineRule="auto"/>
        <w:jc w:val="left"/>
        <w:rPr>
          <w:b/>
        </w:rPr>
      </w:pPr>
      <w:r>
        <w:br w:type="page"/>
      </w:r>
    </w:p>
    <w:p w14:paraId="0000000E" w14:textId="77777777" w:rsidR="007E3170" w:rsidRDefault="00B75A6D" w:rsidP="0089286A">
      <w:pPr>
        <w:keepNext/>
        <w:keepLines/>
        <w:pBdr>
          <w:top w:val="nil"/>
          <w:left w:val="nil"/>
          <w:bottom w:val="nil"/>
          <w:right w:val="nil"/>
          <w:between w:val="nil"/>
        </w:pBdr>
        <w:spacing w:before="100" w:beforeAutospacing="1" w:after="100" w:afterAutospacing="1" w:line="360" w:lineRule="auto"/>
        <w:jc w:val="center"/>
        <w:rPr>
          <w:b/>
          <w:color w:val="000000"/>
          <w:sz w:val="32"/>
          <w:szCs w:val="32"/>
        </w:rPr>
      </w:pPr>
      <w:r>
        <w:rPr>
          <w:b/>
          <w:color w:val="000000"/>
          <w:sz w:val="32"/>
          <w:szCs w:val="32"/>
        </w:rPr>
        <w:lastRenderedPageBreak/>
        <w:t>Table of Contents</w:t>
      </w:r>
    </w:p>
    <w:sdt>
      <w:sdtPr>
        <w:id w:val="635687774"/>
        <w:docPartObj>
          <w:docPartGallery w:val="Table of Contents"/>
          <w:docPartUnique/>
        </w:docPartObj>
      </w:sdtPr>
      <w:sdtEndPr/>
      <w:sdtContent>
        <w:p w14:paraId="5DA79C98" w14:textId="05054869" w:rsidR="0089286A" w:rsidRDefault="00B75A6D">
          <w:pPr>
            <w:pStyle w:val="11"/>
            <w:tabs>
              <w:tab w:val="left" w:pos="480"/>
              <w:tab w:val="right" w:pos="9016"/>
            </w:tabs>
            <w:rPr>
              <w:rFonts w:asciiTheme="minorHAnsi" w:eastAsiaTheme="minorEastAsia" w:hAnsiTheme="minorHAnsi" w:cstheme="minorBidi"/>
              <w:noProof/>
              <w:kern w:val="2"/>
              <w:szCs w:val="24"/>
              <w:lang w:val="en-IN"/>
              <w14:ligatures w14:val="standardContextual"/>
            </w:rPr>
          </w:pPr>
          <w:r>
            <w:fldChar w:fldCharType="begin"/>
          </w:r>
          <w:r>
            <w:instrText xml:space="preserve"> TOC \h \u \z \t "Heading 1,1,Heading 2,2,Heading 3,3,"</w:instrText>
          </w:r>
          <w:r>
            <w:fldChar w:fldCharType="separate"/>
          </w:r>
          <w:hyperlink w:anchor="_Toc198334115" w:history="1">
            <w:r w:rsidR="0089286A" w:rsidRPr="00E60811">
              <w:rPr>
                <w:rStyle w:val="af"/>
                <w:rFonts w:eastAsiaTheme="majorEastAsia"/>
                <w:noProof/>
              </w:rPr>
              <w:t>1.</w:t>
            </w:r>
            <w:r w:rsidR="0089286A">
              <w:rPr>
                <w:rFonts w:asciiTheme="minorHAnsi" w:eastAsiaTheme="minorEastAsia" w:hAnsiTheme="minorHAnsi" w:cstheme="minorBidi"/>
                <w:noProof/>
                <w:kern w:val="2"/>
                <w:szCs w:val="24"/>
                <w:lang w:val="en-IN"/>
                <w14:ligatures w14:val="standardContextual"/>
              </w:rPr>
              <w:tab/>
            </w:r>
            <w:r w:rsidR="0089286A" w:rsidRPr="00E60811">
              <w:rPr>
                <w:rStyle w:val="af"/>
                <w:rFonts w:eastAsiaTheme="majorEastAsia"/>
                <w:noProof/>
              </w:rPr>
              <w:t>Introduction</w:t>
            </w:r>
            <w:r w:rsidR="0089286A">
              <w:rPr>
                <w:noProof/>
                <w:webHidden/>
              </w:rPr>
              <w:tab/>
            </w:r>
            <w:r w:rsidR="0089286A">
              <w:rPr>
                <w:noProof/>
                <w:webHidden/>
              </w:rPr>
              <w:fldChar w:fldCharType="begin"/>
            </w:r>
            <w:r w:rsidR="0089286A">
              <w:rPr>
                <w:noProof/>
                <w:webHidden/>
              </w:rPr>
              <w:instrText xml:space="preserve"> PAGEREF _Toc198334115 \h </w:instrText>
            </w:r>
            <w:r w:rsidR="0089286A">
              <w:rPr>
                <w:noProof/>
                <w:webHidden/>
              </w:rPr>
            </w:r>
            <w:r w:rsidR="0089286A">
              <w:rPr>
                <w:noProof/>
                <w:webHidden/>
              </w:rPr>
              <w:fldChar w:fldCharType="separate"/>
            </w:r>
            <w:r w:rsidR="0089286A">
              <w:rPr>
                <w:noProof/>
                <w:webHidden/>
              </w:rPr>
              <w:t>4</w:t>
            </w:r>
            <w:r w:rsidR="0089286A">
              <w:rPr>
                <w:noProof/>
                <w:webHidden/>
              </w:rPr>
              <w:fldChar w:fldCharType="end"/>
            </w:r>
          </w:hyperlink>
        </w:p>
        <w:p w14:paraId="022F4DE3" w14:textId="6E9543EC" w:rsidR="0089286A" w:rsidRDefault="00060E25">
          <w:pPr>
            <w:pStyle w:val="11"/>
            <w:tabs>
              <w:tab w:val="left" w:pos="480"/>
              <w:tab w:val="right" w:pos="9016"/>
            </w:tabs>
            <w:rPr>
              <w:rFonts w:asciiTheme="minorHAnsi" w:eastAsiaTheme="minorEastAsia" w:hAnsiTheme="minorHAnsi" w:cstheme="minorBidi"/>
              <w:noProof/>
              <w:kern w:val="2"/>
              <w:szCs w:val="24"/>
              <w:lang w:val="en-IN"/>
              <w14:ligatures w14:val="standardContextual"/>
            </w:rPr>
          </w:pPr>
          <w:hyperlink w:anchor="_Toc198334116" w:history="1">
            <w:r w:rsidR="0089286A" w:rsidRPr="00E60811">
              <w:rPr>
                <w:rStyle w:val="af"/>
                <w:rFonts w:eastAsiaTheme="majorEastAsia"/>
                <w:noProof/>
              </w:rPr>
              <w:t>2.</w:t>
            </w:r>
            <w:r w:rsidR="0089286A">
              <w:rPr>
                <w:rFonts w:asciiTheme="minorHAnsi" w:eastAsiaTheme="minorEastAsia" w:hAnsiTheme="minorHAnsi" w:cstheme="minorBidi"/>
                <w:noProof/>
                <w:kern w:val="2"/>
                <w:szCs w:val="24"/>
                <w:lang w:val="en-IN"/>
                <w14:ligatures w14:val="standardContextual"/>
              </w:rPr>
              <w:tab/>
            </w:r>
            <w:r w:rsidR="0089286A" w:rsidRPr="00E60811">
              <w:rPr>
                <w:rStyle w:val="af"/>
                <w:rFonts w:eastAsiaTheme="majorEastAsia"/>
                <w:noProof/>
              </w:rPr>
              <w:t>Literature Review</w:t>
            </w:r>
            <w:r w:rsidR="0089286A">
              <w:rPr>
                <w:noProof/>
                <w:webHidden/>
              </w:rPr>
              <w:tab/>
            </w:r>
            <w:r w:rsidR="0089286A">
              <w:rPr>
                <w:noProof/>
                <w:webHidden/>
              </w:rPr>
              <w:fldChar w:fldCharType="begin"/>
            </w:r>
            <w:r w:rsidR="0089286A">
              <w:rPr>
                <w:noProof/>
                <w:webHidden/>
              </w:rPr>
              <w:instrText xml:space="preserve"> PAGEREF _Toc198334116 \h </w:instrText>
            </w:r>
            <w:r w:rsidR="0089286A">
              <w:rPr>
                <w:noProof/>
                <w:webHidden/>
              </w:rPr>
            </w:r>
            <w:r w:rsidR="0089286A">
              <w:rPr>
                <w:noProof/>
                <w:webHidden/>
              </w:rPr>
              <w:fldChar w:fldCharType="separate"/>
            </w:r>
            <w:r w:rsidR="0089286A">
              <w:rPr>
                <w:noProof/>
                <w:webHidden/>
              </w:rPr>
              <w:t>4</w:t>
            </w:r>
            <w:r w:rsidR="0089286A">
              <w:rPr>
                <w:noProof/>
                <w:webHidden/>
              </w:rPr>
              <w:fldChar w:fldCharType="end"/>
            </w:r>
          </w:hyperlink>
        </w:p>
        <w:p w14:paraId="6BCBA8B2" w14:textId="4EB46928" w:rsidR="0089286A" w:rsidRDefault="00060E25">
          <w:pPr>
            <w:pStyle w:val="11"/>
            <w:tabs>
              <w:tab w:val="left" w:pos="480"/>
              <w:tab w:val="right" w:pos="9016"/>
            </w:tabs>
            <w:rPr>
              <w:rFonts w:asciiTheme="minorHAnsi" w:eastAsiaTheme="minorEastAsia" w:hAnsiTheme="minorHAnsi" w:cstheme="minorBidi"/>
              <w:noProof/>
              <w:kern w:val="2"/>
              <w:szCs w:val="24"/>
              <w:lang w:val="en-IN"/>
              <w14:ligatures w14:val="standardContextual"/>
            </w:rPr>
          </w:pPr>
          <w:hyperlink w:anchor="_Toc198334117" w:history="1">
            <w:r w:rsidR="0089286A" w:rsidRPr="00E60811">
              <w:rPr>
                <w:rStyle w:val="af"/>
                <w:rFonts w:eastAsiaTheme="majorEastAsia"/>
                <w:noProof/>
              </w:rPr>
              <w:t>3.</w:t>
            </w:r>
            <w:r w:rsidR="0089286A">
              <w:rPr>
                <w:rFonts w:asciiTheme="minorHAnsi" w:eastAsiaTheme="minorEastAsia" w:hAnsiTheme="minorHAnsi" w:cstheme="minorBidi"/>
                <w:noProof/>
                <w:kern w:val="2"/>
                <w:szCs w:val="24"/>
                <w:lang w:val="en-IN"/>
                <w14:ligatures w14:val="standardContextual"/>
              </w:rPr>
              <w:tab/>
            </w:r>
            <w:r w:rsidR="0089286A" w:rsidRPr="00E60811">
              <w:rPr>
                <w:rStyle w:val="af"/>
                <w:rFonts w:eastAsiaTheme="majorEastAsia"/>
                <w:noProof/>
              </w:rPr>
              <w:t>Method</w:t>
            </w:r>
            <w:r w:rsidR="0089286A">
              <w:rPr>
                <w:noProof/>
                <w:webHidden/>
              </w:rPr>
              <w:tab/>
            </w:r>
            <w:r w:rsidR="0089286A">
              <w:rPr>
                <w:noProof/>
                <w:webHidden/>
              </w:rPr>
              <w:fldChar w:fldCharType="begin"/>
            </w:r>
            <w:r w:rsidR="0089286A">
              <w:rPr>
                <w:noProof/>
                <w:webHidden/>
              </w:rPr>
              <w:instrText xml:space="preserve"> PAGEREF _Toc198334117 \h </w:instrText>
            </w:r>
            <w:r w:rsidR="0089286A">
              <w:rPr>
                <w:noProof/>
                <w:webHidden/>
              </w:rPr>
            </w:r>
            <w:r w:rsidR="0089286A">
              <w:rPr>
                <w:noProof/>
                <w:webHidden/>
              </w:rPr>
              <w:fldChar w:fldCharType="separate"/>
            </w:r>
            <w:r w:rsidR="0089286A">
              <w:rPr>
                <w:noProof/>
                <w:webHidden/>
              </w:rPr>
              <w:t>6</w:t>
            </w:r>
            <w:r w:rsidR="0089286A">
              <w:rPr>
                <w:noProof/>
                <w:webHidden/>
              </w:rPr>
              <w:fldChar w:fldCharType="end"/>
            </w:r>
          </w:hyperlink>
        </w:p>
        <w:p w14:paraId="7F13AD73" w14:textId="39A4AE99" w:rsidR="0089286A" w:rsidRDefault="00060E25">
          <w:pPr>
            <w:pStyle w:val="11"/>
            <w:tabs>
              <w:tab w:val="left" w:pos="480"/>
              <w:tab w:val="right" w:pos="9016"/>
            </w:tabs>
            <w:rPr>
              <w:rFonts w:asciiTheme="minorHAnsi" w:eastAsiaTheme="minorEastAsia" w:hAnsiTheme="minorHAnsi" w:cstheme="minorBidi"/>
              <w:noProof/>
              <w:kern w:val="2"/>
              <w:szCs w:val="24"/>
              <w:lang w:val="en-IN"/>
              <w14:ligatures w14:val="standardContextual"/>
            </w:rPr>
          </w:pPr>
          <w:hyperlink w:anchor="_Toc198334118" w:history="1">
            <w:r w:rsidR="0089286A" w:rsidRPr="00E60811">
              <w:rPr>
                <w:rStyle w:val="af"/>
                <w:rFonts w:eastAsiaTheme="majorEastAsia"/>
                <w:noProof/>
              </w:rPr>
              <w:t>4.</w:t>
            </w:r>
            <w:r w:rsidR="0089286A">
              <w:rPr>
                <w:rFonts w:asciiTheme="minorHAnsi" w:eastAsiaTheme="minorEastAsia" w:hAnsiTheme="minorHAnsi" w:cstheme="minorBidi"/>
                <w:noProof/>
                <w:kern w:val="2"/>
                <w:szCs w:val="24"/>
                <w:lang w:val="en-IN"/>
                <w14:ligatures w14:val="standardContextual"/>
              </w:rPr>
              <w:tab/>
            </w:r>
            <w:r w:rsidR="0089286A" w:rsidRPr="00E60811">
              <w:rPr>
                <w:rStyle w:val="af"/>
                <w:rFonts w:eastAsiaTheme="majorEastAsia"/>
                <w:noProof/>
              </w:rPr>
              <w:t>Thematic analysis of impacts</w:t>
            </w:r>
            <w:r w:rsidR="0089286A">
              <w:rPr>
                <w:noProof/>
                <w:webHidden/>
              </w:rPr>
              <w:tab/>
            </w:r>
            <w:r w:rsidR="0089286A">
              <w:rPr>
                <w:noProof/>
                <w:webHidden/>
              </w:rPr>
              <w:fldChar w:fldCharType="begin"/>
            </w:r>
            <w:r w:rsidR="0089286A">
              <w:rPr>
                <w:noProof/>
                <w:webHidden/>
              </w:rPr>
              <w:instrText xml:space="preserve"> PAGEREF _Toc198334118 \h </w:instrText>
            </w:r>
            <w:r w:rsidR="0089286A">
              <w:rPr>
                <w:noProof/>
                <w:webHidden/>
              </w:rPr>
            </w:r>
            <w:r w:rsidR="0089286A">
              <w:rPr>
                <w:noProof/>
                <w:webHidden/>
              </w:rPr>
              <w:fldChar w:fldCharType="separate"/>
            </w:r>
            <w:r w:rsidR="0089286A">
              <w:rPr>
                <w:noProof/>
                <w:webHidden/>
              </w:rPr>
              <w:t>7</w:t>
            </w:r>
            <w:r w:rsidR="0089286A">
              <w:rPr>
                <w:noProof/>
                <w:webHidden/>
              </w:rPr>
              <w:fldChar w:fldCharType="end"/>
            </w:r>
          </w:hyperlink>
        </w:p>
        <w:p w14:paraId="30F1FE34" w14:textId="528C90C1" w:rsidR="0089286A" w:rsidRDefault="00060E25">
          <w:pPr>
            <w:pStyle w:val="11"/>
            <w:tabs>
              <w:tab w:val="left" w:pos="480"/>
              <w:tab w:val="right" w:pos="9016"/>
            </w:tabs>
            <w:rPr>
              <w:rFonts w:asciiTheme="minorHAnsi" w:eastAsiaTheme="minorEastAsia" w:hAnsiTheme="minorHAnsi" w:cstheme="minorBidi"/>
              <w:noProof/>
              <w:kern w:val="2"/>
              <w:szCs w:val="24"/>
              <w:lang w:val="en-IN"/>
              <w14:ligatures w14:val="standardContextual"/>
            </w:rPr>
          </w:pPr>
          <w:hyperlink w:anchor="_Toc198334119" w:history="1">
            <w:r w:rsidR="0089286A" w:rsidRPr="00E60811">
              <w:rPr>
                <w:rStyle w:val="af"/>
                <w:rFonts w:eastAsiaTheme="majorEastAsia"/>
                <w:noProof/>
              </w:rPr>
              <w:t>5.</w:t>
            </w:r>
            <w:r w:rsidR="0089286A">
              <w:rPr>
                <w:rFonts w:asciiTheme="minorHAnsi" w:eastAsiaTheme="minorEastAsia" w:hAnsiTheme="minorHAnsi" w:cstheme="minorBidi"/>
                <w:noProof/>
                <w:kern w:val="2"/>
                <w:szCs w:val="24"/>
                <w:lang w:val="en-IN"/>
                <w14:ligatures w14:val="standardContextual"/>
              </w:rPr>
              <w:tab/>
            </w:r>
            <w:r w:rsidR="0089286A" w:rsidRPr="00E60811">
              <w:rPr>
                <w:rStyle w:val="af"/>
                <w:rFonts w:eastAsiaTheme="majorEastAsia"/>
                <w:noProof/>
              </w:rPr>
              <w:t>Conclusion</w:t>
            </w:r>
            <w:r w:rsidR="0089286A">
              <w:rPr>
                <w:noProof/>
                <w:webHidden/>
              </w:rPr>
              <w:tab/>
            </w:r>
            <w:r w:rsidR="0089286A">
              <w:rPr>
                <w:noProof/>
                <w:webHidden/>
              </w:rPr>
              <w:fldChar w:fldCharType="begin"/>
            </w:r>
            <w:r w:rsidR="0089286A">
              <w:rPr>
                <w:noProof/>
                <w:webHidden/>
              </w:rPr>
              <w:instrText xml:space="preserve"> PAGEREF _Toc198334119 \h </w:instrText>
            </w:r>
            <w:r w:rsidR="0089286A">
              <w:rPr>
                <w:noProof/>
                <w:webHidden/>
              </w:rPr>
            </w:r>
            <w:r w:rsidR="0089286A">
              <w:rPr>
                <w:noProof/>
                <w:webHidden/>
              </w:rPr>
              <w:fldChar w:fldCharType="separate"/>
            </w:r>
            <w:r w:rsidR="0089286A">
              <w:rPr>
                <w:noProof/>
                <w:webHidden/>
              </w:rPr>
              <w:t>11</w:t>
            </w:r>
            <w:r w:rsidR="0089286A">
              <w:rPr>
                <w:noProof/>
                <w:webHidden/>
              </w:rPr>
              <w:fldChar w:fldCharType="end"/>
            </w:r>
          </w:hyperlink>
        </w:p>
        <w:p w14:paraId="4EB1DA3F" w14:textId="4044C85B" w:rsidR="0089286A" w:rsidRDefault="00060E25">
          <w:pPr>
            <w:pStyle w:val="11"/>
            <w:tabs>
              <w:tab w:val="right" w:pos="9016"/>
            </w:tabs>
            <w:rPr>
              <w:rFonts w:asciiTheme="minorHAnsi" w:eastAsiaTheme="minorEastAsia" w:hAnsiTheme="minorHAnsi" w:cstheme="minorBidi"/>
              <w:noProof/>
              <w:kern w:val="2"/>
              <w:szCs w:val="24"/>
              <w:lang w:val="en-IN"/>
              <w14:ligatures w14:val="standardContextual"/>
            </w:rPr>
          </w:pPr>
          <w:hyperlink w:anchor="_Toc198334120" w:history="1">
            <w:r w:rsidR="0089286A" w:rsidRPr="00E60811">
              <w:rPr>
                <w:rStyle w:val="af"/>
                <w:rFonts w:eastAsiaTheme="majorEastAsia"/>
                <w:noProof/>
              </w:rPr>
              <w:t>Recommendations</w:t>
            </w:r>
            <w:r w:rsidR="0089286A">
              <w:rPr>
                <w:noProof/>
                <w:webHidden/>
              </w:rPr>
              <w:tab/>
            </w:r>
            <w:r w:rsidR="0089286A">
              <w:rPr>
                <w:noProof/>
                <w:webHidden/>
              </w:rPr>
              <w:fldChar w:fldCharType="begin"/>
            </w:r>
            <w:r w:rsidR="0089286A">
              <w:rPr>
                <w:noProof/>
                <w:webHidden/>
              </w:rPr>
              <w:instrText xml:space="preserve"> PAGEREF _Toc198334120 \h </w:instrText>
            </w:r>
            <w:r w:rsidR="0089286A">
              <w:rPr>
                <w:noProof/>
                <w:webHidden/>
              </w:rPr>
            </w:r>
            <w:r w:rsidR="0089286A">
              <w:rPr>
                <w:noProof/>
                <w:webHidden/>
              </w:rPr>
              <w:fldChar w:fldCharType="separate"/>
            </w:r>
            <w:r w:rsidR="0089286A">
              <w:rPr>
                <w:noProof/>
                <w:webHidden/>
              </w:rPr>
              <w:t>12</w:t>
            </w:r>
            <w:r w:rsidR="0089286A">
              <w:rPr>
                <w:noProof/>
                <w:webHidden/>
              </w:rPr>
              <w:fldChar w:fldCharType="end"/>
            </w:r>
          </w:hyperlink>
        </w:p>
        <w:p w14:paraId="180E760F" w14:textId="5EBEA3CF" w:rsidR="0089286A" w:rsidRDefault="00060E25">
          <w:pPr>
            <w:pStyle w:val="11"/>
            <w:tabs>
              <w:tab w:val="right" w:pos="9016"/>
            </w:tabs>
            <w:rPr>
              <w:rFonts w:asciiTheme="minorHAnsi" w:eastAsiaTheme="minorEastAsia" w:hAnsiTheme="minorHAnsi" w:cstheme="minorBidi"/>
              <w:noProof/>
              <w:kern w:val="2"/>
              <w:szCs w:val="24"/>
              <w:lang w:val="en-IN"/>
              <w14:ligatures w14:val="standardContextual"/>
            </w:rPr>
          </w:pPr>
          <w:hyperlink w:anchor="_Toc198334121" w:history="1">
            <w:r w:rsidR="0089286A" w:rsidRPr="00E60811">
              <w:rPr>
                <w:rStyle w:val="af"/>
                <w:rFonts w:eastAsiaTheme="majorEastAsia"/>
                <w:noProof/>
              </w:rPr>
              <w:t>References</w:t>
            </w:r>
            <w:r w:rsidR="0089286A">
              <w:rPr>
                <w:noProof/>
                <w:webHidden/>
              </w:rPr>
              <w:tab/>
            </w:r>
            <w:r w:rsidR="0089286A">
              <w:rPr>
                <w:noProof/>
                <w:webHidden/>
              </w:rPr>
              <w:fldChar w:fldCharType="begin"/>
            </w:r>
            <w:r w:rsidR="0089286A">
              <w:rPr>
                <w:noProof/>
                <w:webHidden/>
              </w:rPr>
              <w:instrText xml:space="preserve"> PAGEREF _Toc198334121 \h </w:instrText>
            </w:r>
            <w:r w:rsidR="0089286A">
              <w:rPr>
                <w:noProof/>
                <w:webHidden/>
              </w:rPr>
            </w:r>
            <w:r w:rsidR="0089286A">
              <w:rPr>
                <w:noProof/>
                <w:webHidden/>
              </w:rPr>
              <w:fldChar w:fldCharType="separate"/>
            </w:r>
            <w:r w:rsidR="0089286A">
              <w:rPr>
                <w:noProof/>
                <w:webHidden/>
              </w:rPr>
              <w:t>14</w:t>
            </w:r>
            <w:r w:rsidR="0089286A">
              <w:rPr>
                <w:noProof/>
                <w:webHidden/>
              </w:rPr>
              <w:fldChar w:fldCharType="end"/>
            </w:r>
          </w:hyperlink>
        </w:p>
        <w:p w14:paraId="00000016" w14:textId="7DD3E8C0" w:rsidR="007E3170" w:rsidRDefault="00B75A6D" w:rsidP="0089286A">
          <w:pPr>
            <w:spacing w:before="100" w:beforeAutospacing="1" w:after="100" w:afterAutospacing="1" w:line="360" w:lineRule="auto"/>
          </w:pPr>
          <w:r>
            <w:fldChar w:fldCharType="end"/>
          </w:r>
        </w:p>
      </w:sdtContent>
    </w:sdt>
    <w:p w14:paraId="00000017" w14:textId="77777777" w:rsidR="007E3170" w:rsidRDefault="007E3170" w:rsidP="0089286A">
      <w:pPr>
        <w:spacing w:before="100" w:beforeAutospacing="1" w:after="100" w:afterAutospacing="1" w:line="360" w:lineRule="auto"/>
        <w:jc w:val="center"/>
        <w:rPr>
          <w:b/>
        </w:rPr>
      </w:pPr>
    </w:p>
    <w:p w14:paraId="00000018" w14:textId="77777777" w:rsidR="007E3170" w:rsidRDefault="00B75A6D" w:rsidP="0089286A">
      <w:pPr>
        <w:spacing w:before="100" w:beforeAutospacing="1" w:after="100" w:afterAutospacing="1" w:line="360" w:lineRule="auto"/>
        <w:jc w:val="left"/>
        <w:rPr>
          <w:b/>
        </w:rPr>
      </w:pPr>
      <w:r>
        <w:br w:type="page"/>
      </w:r>
    </w:p>
    <w:p w14:paraId="00000019" w14:textId="77777777" w:rsidR="007E3170" w:rsidRDefault="00B75A6D" w:rsidP="0089286A">
      <w:pPr>
        <w:spacing w:before="100" w:beforeAutospacing="1" w:after="100" w:afterAutospacing="1" w:line="360" w:lineRule="auto"/>
        <w:jc w:val="center"/>
        <w:rPr>
          <w:b/>
        </w:rPr>
      </w:pPr>
      <w:r>
        <w:rPr>
          <w:b/>
        </w:rPr>
        <w:lastRenderedPageBreak/>
        <w:t>Abstract</w:t>
      </w:r>
    </w:p>
    <w:p w14:paraId="0000001A" w14:textId="0F60515F" w:rsidR="007E3170" w:rsidRDefault="00B75A6D" w:rsidP="0089286A">
      <w:pPr>
        <w:spacing w:before="100" w:beforeAutospacing="1" w:after="100" w:afterAutospacing="1" w:line="360" w:lineRule="auto"/>
      </w:pPr>
      <w:r>
        <w:t>This study analyses impact of sustainability in the hotel and hospitality sector using a secondary qualitative data collection and PEST analysis framework. Key factors influencing the industry include evolving environmental regulations, rising operational costs, shifting consumer preferences towards eco-friendly experiences, and rapid technological advancements. The study highlights industry responses such as green certifications, energy-efficient technologies, and transparent ESG reporting. Strengths and limitations of these initiatives are discussed. Based on the analysis, strategic recommendations are provided to guide hotels towards sustainable growth. Emphasis is placed on technological integration, community partnerships, transparent communication, and scalable renewable energy adoption to enhance long-term competitiveness and environmental responsibility.</w:t>
      </w:r>
    </w:p>
    <w:p w14:paraId="0000001B" w14:textId="77777777" w:rsidR="007E3170" w:rsidRDefault="00B75A6D" w:rsidP="0089286A">
      <w:pPr>
        <w:spacing w:before="100" w:beforeAutospacing="1" w:after="100" w:afterAutospacing="1" w:line="360" w:lineRule="auto"/>
        <w:jc w:val="left"/>
      </w:pPr>
      <w:r>
        <w:br w:type="page"/>
      </w:r>
    </w:p>
    <w:bookmarkStart w:id="1" w:name="_Toc198334115"/>
    <w:p w14:paraId="0000001C" w14:textId="77777777" w:rsidR="007E3170" w:rsidRDefault="00060E25" w:rsidP="0089286A">
      <w:pPr>
        <w:pStyle w:val="1"/>
        <w:numPr>
          <w:ilvl w:val="0"/>
          <w:numId w:val="1"/>
        </w:numPr>
        <w:spacing w:before="100" w:beforeAutospacing="1" w:after="100" w:afterAutospacing="1" w:line="360" w:lineRule="auto"/>
      </w:pPr>
      <w:sdt>
        <w:sdtPr>
          <w:tag w:val="goog_rdk_2"/>
          <w:id w:val="590902276"/>
        </w:sdtPr>
        <w:sdtEndPr/>
        <w:sdtContent/>
      </w:sdt>
      <w:r w:rsidR="00B75A6D">
        <w:t>Introduction</w:t>
      </w:r>
      <w:bookmarkEnd w:id="1"/>
    </w:p>
    <w:p w14:paraId="0000001D" w14:textId="77777777" w:rsidR="007E3170" w:rsidRDefault="00B75A6D" w:rsidP="0089286A">
      <w:pPr>
        <w:spacing w:before="100" w:beforeAutospacing="1" w:after="100" w:afterAutospacing="1" w:line="360" w:lineRule="auto"/>
      </w:pPr>
      <w:r>
        <w:t xml:space="preserve">Sustainability and the pursuit of net-zero emissions have become crucial priorities for hotels and the hospitality sector for the response to rising environmental issues and global imperatives on climate change (Batabyal and Das, 2019). The industry, known for its resource-intensive operations, majorly contributes to carbon emissions through waste generation, energy consumption, and water usage (Ford and Sturman, 2019). Along with the rise of global awareness of environmental impacts, hotels seemed to be under critical pressure from consumers, governments, and stakeholders to adopt eco-friendly practices, keeping alignment with global sustainability goals, for instance, the Paris Agreement and United Nations SGDs. Such change not only addresses environmental responsibility, but also provides competitive advantages through improved brand reputation, cost savings, and achieving the expectations of environmentally conscious tourists. Considering the global footprint of the industry and its potential for larger-scale environmental impact, the adoption of net-zero and sustainability strategies is not just a trend, but a vital requirement. The paper, therefore explores the importance of this theme, emphasising on innovative energy management solutions for operations in hotels. </w:t>
      </w:r>
    </w:p>
    <w:p w14:paraId="0000001E" w14:textId="77777777" w:rsidR="007E3170" w:rsidRDefault="00B75A6D" w:rsidP="0089286A">
      <w:pPr>
        <w:pStyle w:val="1"/>
        <w:numPr>
          <w:ilvl w:val="0"/>
          <w:numId w:val="1"/>
        </w:numPr>
        <w:spacing w:before="100" w:beforeAutospacing="1" w:after="100" w:afterAutospacing="1" w:line="360" w:lineRule="auto"/>
      </w:pPr>
      <w:bookmarkStart w:id="2" w:name="_Toc198334116"/>
      <w:r>
        <w:t>Literature Review</w:t>
      </w:r>
      <w:bookmarkEnd w:id="2"/>
    </w:p>
    <w:p w14:paraId="0000001F" w14:textId="77777777" w:rsidR="007E3170" w:rsidRDefault="00B75A6D" w:rsidP="0089286A">
      <w:pPr>
        <w:spacing w:before="100" w:beforeAutospacing="1" w:after="100" w:afterAutospacing="1" w:line="360" w:lineRule="auto"/>
      </w:pPr>
      <w:r>
        <w:rPr>
          <w:b/>
          <w:i/>
        </w:rPr>
        <w:t>Importance of Energy Management in Hotels:</w:t>
      </w:r>
      <w:r>
        <w:t xml:space="preserve"> </w:t>
      </w:r>
    </w:p>
    <w:p w14:paraId="00000020" w14:textId="77777777" w:rsidR="007E3170" w:rsidRDefault="00B75A6D" w:rsidP="0089286A">
      <w:pPr>
        <w:spacing w:before="100" w:beforeAutospacing="1" w:after="100" w:afterAutospacing="1" w:line="360" w:lineRule="auto"/>
      </w:pPr>
      <w:r>
        <w:t xml:space="preserve">According to Costa and Costa (2022), one of fast-growing and largest sectors in the world is tourism. The authors have particularly noted that the socioeconomic advances and economic growth is crucially driven by the hospitality industry in both developing and developed countries. Hospitality industry contributes to 6.9% of employment, along with 4.4% to the GDP, and also the respective 21.5% to service-related exports to OECD nations. Given the vast impact of the hospitality sector, the findings of Arenhart </w:t>
      </w:r>
      <w:r>
        <w:rPr>
          <w:i/>
        </w:rPr>
        <w:t>et al.</w:t>
      </w:r>
      <w:r>
        <w:t xml:space="preserve"> (2022) can be analysed to assess the importance of energy management. The regression model analysis indicated higher revenue in hotels is associated with the significant higher energy use. The use of energy prediction models in hotels has been proven to improve sustainability. </w:t>
      </w:r>
    </w:p>
    <w:p w14:paraId="00000021" w14:textId="77777777" w:rsidR="007E3170" w:rsidRDefault="00B75A6D" w:rsidP="0089286A">
      <w:pPr>
        <w:spacing w:before="100" w:beforeAutospacing="1" w:after="100" w:afterAutospacing="1" w:line="360" w:lineRule="auto"/>
      </w:pPr>
      <w:r>
        <w:rPr>
          <w:b/>
          <w:i/>
        </w:rPr>
        <w:t>Sustainable Energy Solutions in Hotel Operations:</w:t>
      </w:r>
      <w:r>
        <w:t xml:space="preserve"> </w:t>
      </w:r>
    </w:p>
    <w:p w14:paraId="00000022" w14:textId="77777777" w:rsidR="007E3170" w:rsidRDefault="00B75A6D" w:rsidP="0089286A">
      <w:pPr>
        <w:spacing w:before="100" w:beforeAutospacing="1" w:after="100" w:afterAutospacing="1" w:line="360" w:lineRule="auto"/>
      </w:pPr>
      <w:r>
        <w:lastRenderedPageBreak/>
        <w:t xml:space="preserve">Singh </w:t>
      </w:r>
      <w:r>
        <w:rPr>
          <w:i/>
        </w:rPr>
        <w:t>et al.</w:t>
      </w:r>
      <w:r>
        <w:t xml:space="preserve"> (2024) has highlighted several sustainable hotel energy systems and their performance in various hotels. The first system is solar photovoltaic or PV panels. This system is recognised for converting sunlight into that of the electricity to minimise reliance on fossil fuel. Solar PV can generate nearly 30-60% of total energy needs, according to solar potentials and geographic location. Hotels in Spain and Maldives reported up to 40% cost savings annually, while further lowering emissions of greenhouse gases. Another significant solution is energy-efficient lighting which can reduce energy consumption by 75-80% with the additional benefits of a lower maintenance cost and longer lifespan. Smart Building Management Systems leverage automated controls and sensors for optimising energy consumption in real time. </w:t>
      </w:r>
    </w:p>
    <w:p w14:paraId="00000023" w14:textId="77777777" w:rsidR="007E3170" w:rsidRDefault="00B75A6D" w:rsidP="0089286A">
      <w:pPr>
        <w:spacing w:before="100" w:beforeAutospacing="1" w:after="100" w:afterAutospacing="1" w:line="360" w:lineRule="auto"/>
      </w:pPr>
      <w:r>
        <w:rPr>
          <w:b/>
          <w:i/>
        </w:rPr>
        <w:t>Smart Energy Management Systems (SEMS):</w:t>
      </w:r>
      <w:r>
        <w:t xml:space="preserve"> </w:t>
      </w:r>
    </w:p>
    <w:p w14:paraId="00000024" w14:textId="77777777" w:rsidR="007E3170" w:rsidRDefault="00B75A6D" w:rsidP="0089286A">
      <w:pPr>
        <w:spacing w:before="100" w:beforeAutospacing="1" w:after="100" w:afterAutospacing="1" w:line="360" w:lineRule="auto"/>
      </w:pPr>
      <w:r>
        <w:t xml:space="preserve">The study of Gatwiri </w:t>
      </w:r>
      <w:r>
        <w:rPr>
          <w:i/>
        </w:rPr>
        <w:t>et al.</w:t>
      </w:r>
      <w:r>
        <w:t xml:space="preserve"> (2024) discussed that SEMS integrate sensors and IoT devices to monitor real-time energy consumption. With this capability, SEMS can assess the patterns of energy demand and adjust operations accordingly. The integration of SEMS, according to the authors, aligns with some of the important global trends toward cost efficiency and sustainability. It has been noted in past studies that SEMS can gain substantial energy savings, increasing potential for hotels to develop a greener future. </w:t>
      </w:r>
    </w:p>
    <w:p w14:paraId="00000025" w14:textId="77777777" w:rsidR="007E3170" w:rsidRDefault="00B75A6D" w:rsidP="0089286A">
      <w:pPr>
        <w:spacing w:before="100" w:beforeAutospacing="1" w:after="100" w:afterAutospacing="1" w:line="360" w:lineRule="auto"/>
      </w:pPr>
      <w:r>
        <w:rPr>
          <w:b/>
          <w:i/>
        </w:rPr>
        <w:t>Global Standards and Certifications Driving Change:</w:t>
      </w:r>
      <w:r>
        <w:t xml:space="preserve"> </w:t>
      </w:r>
    </w:p>
    <w:p w14:paraId="00000026" w14:textId="77777777" w:rsidR="007E3170" w:rsidRDefault="00B75A6D" w:rsidP="0089286A">
      <w:pPr>
        <w:spacing w:before="100" w:beforeAutospacing="1" w:after="100" w:afterAutospacing="1" w:line="360" w:lineRule="auto"/>
      </w:pPr>
      <w:r>
        <w:t xml:space="preserve">Rodríguez-García </w:t>
      </w:r>
      <w:r>
        <w:rPr>
          <w:i/>
        </w:rPr>
        <w:t>et al.</w:t>
      </w:r>
      <w:r>
        <w:t xml:space="preserve"> (2023) has discussed sustainability certifications for hotels. The authors have referred to the Sustainable Hospitality Alliance while stating that the most recognised certifications are Green Globe, Green Key, Earth Check, Travelife Sustainability and EU Ecolabel, emphasising the GSTC Criteria to be some of the international sustainable standards related to the sustainability certification. These certifications are concentrated on the processes adhered in the activity of the hotel. However, the authors stated that there are other types of certifications relying on the building of the hotel. </w:t>
      </w:r>
    </w:p>
    <w:p w14:paraId="00000027" w14:textId="77777777" w:rsidR="007E3170" w:rsidRDefault="00B75A6D" w:rsidP="0089286A">
      <w:pPr>
        <w:spacing w:before="100" w:beforeAutospacing="1" w:after="100" w:afterAutospacing="1" w:line="360" w:lineRule="auto"/>
      </w:pPr>
      <w:r>
        <w:rPr>
          <w:b/>
          <w:i/>
        </w:rPr>
        <w:t>Consumer Demand and Market Pressure:</w:t>
      </w:r>
      <w:r>
        <w:t xml:space="preserve"> </w:t>
      </w:r>
    </w:p>
    <w:p w14:paraId="00000028" w14:textId="77777777" w:rsidR="007E3170" w:rsidRDefault="00B75A6D" w:rsidP="0089286A">
      <w:pPr>
        <w:spacing w:before="100" w:beforeAutospacing="1" w:after="100" w:afterAutospacing="1" w:line="360" w:lineRule="auto"/>
      </w:pPr>
      <w:r>
        <w:t xml:space="preserve">Sun </w:t>
      </w:r>
      <w:r>
        <w:rPr>
          <w:i/>
        </w:rPr>
        <w:t>et al.</w:t>
      </w:r>
      <w:r>
        <w:t xml:space="preserve"> (2024), the increasing environmental problems within the hotel industry at present have made different organisations face constant pressure from the stakeholders for environmental concerns. Pressure for green labelling and eco-friendly production are the key </w:t>
      </w:r>
      <w:r>
        <w:lastRenderedPageBreak/>
        <w:t xml:space="preserve">stakeholder pressure within the hotel industry. In the digital era at present, consumer pressure has been identified by the author to be one of the most vital drivers of green innovations in firms. In terms of market pressure, the authors have emphasised on competitive pressure. It is highlighted that there is a growing issue that customers mostly buy different green products. Such a notion is crucial for firms to meet environmental standards, leveraging green production. The organisations facing competitive pressure at present are compelled to provide ecological services and goods. Green hotels have adopted GPI to compete in the current market. </w:t>
      </w:r>
    </w:p>
    <w:p w14:paraId="00000029" w14:textId="77777777" w:rsidR="007E3170" w:rsidRDefault="00B75A6D" w:rsidP="0089286A">
      <w:pPr>
        <w:spacing w:before="100" w:beforeAutospacing="1" w:after="100" w:afterAutospacing="1" w:line="360" w:lineRule="auto"/>
      </w:pPr>
      <w:r>
        <w:rPr>
          <w:b/>
          <w:i/>
        </w:rPr>
        <w:t>Challenges and Barriers to Net-Zero Implementation:</w:t>
      </w:r>
      <w:r>
        <w:t xml:space="preserve"> </w:t>
      </w:r>
    </w:p>
    <w:p w14:paraId="0000002A" w14:textId="77777777" w:rsidR="007E3170" w:rsidRDefault="00B75A6D" w:rsidP="0089286A">
      <w:pPr>
        <w:spacing w:before="100" w:beforeAutospacing="1" w:after="100" w:afterAutospacing="1" w:line="360" w:lineRule="auto"/>
      </w:pPr>
      <w:r>
        <w:t xml:space="preserve">According to Mavrigiannaki </w:t>
      </w:r>
      <w:r>
        <w:rPr>
          <w:i/>
        </w:rPr>
        <w:t>et al.</w:t>
      </w:r>
      <w:r>
        <w:t xml:space="preserve"> (2021), the transition to Net Zero Energy coming from the building to settlement scale has been approached theoretically in several papers. However, the key issues revealed by the authors were external barriers raised by the regulations and some of the important planning policies. Another challenge was to manage and integrate the requirements and needs of project stakeholders. The authors identified that the regulatory barriers related to the national and local planning processes and regulations, seem to limit, discourage, prevent, or delay the implementation of NZE settlements. These mostly include, however not limited to, barriers associated with long-term urban planning, getting building permits, and the approval of hybrid and communal renewable energy systems. On the other hand, the challenges introduced by project management mostly result from the novelty of its approach, requiring collaboration along with the alignment of a diverse project team (Mavrigiannaki </w:t>
      </w:r>
      <w:r>
        <w:rPr>
          <w:i/>
        </w:rPr>
        <w:t>et al.</w:t>
      </w:r>
      <w:r>
        <w:t>, 2021). It includes barriers associated to project team assembly, to the reduce adaptability of the team to cooperate in some of the unexpected circumstances.</w:t>
      </w:r>
    </w:p>
    <w:p w14:paraId="0000002B" w14:textId="77777777" w:rsidR="007E3170" w:rsidRDefault="00B75A6D" w:rsidP="0089286A">
      <w:pPr>
        <w:pStyle w:val="1"/>
        <w:numPr>
          <w:ilvl w:val="0"/>
          <w:numId w:val="1"/>
        </w:numPr>
        <w:spacing w:before="100" w:beforeAutospacing="1" w:after="100" w:afterAutospacing="1" w:line="360" w:lineRule="auto"/>
      </w:pPr>
      <w:bookmarkStart w:id="3" w:name="_Toc198334117"/>
      <w:r>
        <w:t>Method</w:t>
      </w:r>
      <w:bookmarkEnd w:id="3"/>
    </w:p>
    <w:p w14:paraId="0000002C" w14:textId="77777777" w:rsidR="007E3170" w:rsidRDefault="00B75A6D" w:rsidP="0089286A">
      <w:pPr>
        <w:spacing w:before="100" w:beforeAutospacing="1" w:after="100" w:afterAutospacing="1" w:line="360" w:lineRule="auto"/>
      </w:pPr>
      <w:r>
        <w:t xml:space="preserve">The study employed a secondary qualitative research method to assess the role of sustainability and net-zero strategies in the hotel industries, with a particular focus on the solutions of energy management. </w:t>
      </w:r>
      <w:sdt>
        <w:sdtPr>
          <w:tag w:val="goog_rdk_3"/>
          <w:id w:val="-838773201"/>
        </w:sdtPr>
        <w:sdtEndPr/>
        <w:sdtContent/>
      </w:sdt>
      <w:sdt>
        <w:sdtPr>
          <w:tag w:val="goog_rdk_4"/>
          <w:id w:val="-1713417272"/>
        </w:sdtPr>
        <w:sdtEndPr/>
        <w:sdtContent/>
      </w:sdt>
      <w:r>
        <w:t>Data collection process has been done from journal articles, case studies, and industry reports. This is because secondary data collection is cost-effective and is suitable for time constraint projects (Martinsuo and Huemann, 2021). Furthermore, use of credible online sources has been done in this paper, such as publications from the International Energy Agency, UNWTO,</w:t>
      </w:r>
      <w:sdt>
        <w:sdtPr>
          <w:tag w:val="goog_rdk_5"/>
          <w:id w:val="-16782092"/>
        </w:sdtPr>
        <w:sdtEndPr/>
        <w:sdtContent/>
      </w:sdt>
      <w:r>
        <w:t xml:space="preserve"> and sustainability reports of leading global hotel chains. The sources have been used because secondary qualitative data help in gathering </w:t>
      </w:r>
      <w:r>
        <w:lastRenderedPageBreak/>
        <w:t xml:space="preserve">information with in-depth knowledge about the practices, trends, and challenges that are handled by hospitality organisations at present. After completing the data collection process, a thematic analysis method has been applied to analyse the key themes derived from present information. While conducting thematic analysis, application of a theoretical framework has been done to structure the findings section of this paper. The PEST framework is a well-suited tool for this study and it has been presented in a tabular format in the following section (Cox, 2021). The application of this certain framework has assisted the researcher to critically assess macro-environmental impacts imposed by sustainability approaches on the selected industry. In addition to providing a structured analysis, the framework is also crucial to demonstrate how the technological evolution, policy changes, and consumer influence around the world impact the adoption of energy-efficient systems and net-zero goals. </w:t>
      </w:r>
    </w:p>
    <w:p w14:paraId="0000002D" w14:textId="19D94216" w:rsidR="007E3170" w:rsidRDefault="00B75A6D" w:rsidP="0089286A">
      <w:pPr>
        <w:pStyle w:val="1"/>
        <w:numPr>
          <w:ilvl w:val="0"/>
          <w:numId w:val="1"/>
        </w:numPr>
        <w:spacing w:before="100" w:beforeAutospacing="1" w:after="100" w:afterAutospacing="1" w:line="360" w:lineRule="auto"/>
      </w:pPr>
      <w:bookmarkStart w:id="4" w:name="_Toc198334118"/>
      <w:r>
        <w:t>Thematic analysis of impacts</w:t>
      </w:r>
      <w:bookmarkEnd w:id="4"/>
    </w:p>
    <w:tbl>
      <w:tblPr>
        <w:tblStyle w:val="af8"/>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24"/>
        <w:gridCol w:w="1981"/>
        <w:gridCol w:w="1914"/>
        <w:gridCol w:w="1884"/>
        <w:gridCol w:w="1939"/>
      </w:tblGrid>
      <w:tr w:rsidR="007E3170" w14:paraId="7057F82A" w14:textId="77777777">
        <w:tc>
          <w:tcPr>
            <w:tcW w:w="1524" w:type="dxa"/>
          </w:tcPr>
          <w:p w14:paraId="0000002E" w14:textId="77777777" w:rsidR="007E3170" w:rsidRDefault="00B75A6D" w:rsidP="0089286A">
            <w:pPr>
              <w:spacing w:before="100" w:beforeAutospacing="1" w:after="100" w:afterAutospacing="1" w:line="360" w:lineRule="auto"/>
              <w:jc w:val="center"/>
              <w:rPr>
                <w:b/>
              </w:rPr>
            </w:pPr>
            <w:r>
              <w:rPr>
                <w:b/>
              </w:rPr>
              <w:t>Factor</w:t>
            </w:r>
          </w:p>
        </w:tc>
        <w:tc>
          <w:tcPr>
            <w:tcW w:w="1981" w:type="dxa"/>
          </w:tcPr>
          <w:p w14:paraId="0000002F" w14:textId="77777777" w:rsidR="007E3170" w:rsidRDefault="00B75A6D" w:rsidP="0089286A">
            <w:pPr>
              <w:spacing w:before="100" w:beforeAutospacing="1" w:after="100" w:afterAutospacing="1" w:line="360" w:lineRule="auto"/>
              <w:jc w:val="center"/>
              <w:rPr>
                <w:b/>
              </w:rPr>
            </w:pPr>
            <w:r>
              <w:rPr>
                <w:b/>
              </w:rPr>
              <w:t>Impact Analysis</w:t>
            </w:r>
          </w:p>
        </w:tc>
        <w:tc>
          <w:tcPr>
            <w:tcW w:w="1914" w:type="dxa"/>
          </w:tcPr>
          <w:p w14:paraId="00000030" w14:textId="77777777" w:rsidR="007E3170" w:rsidRDefault="00B75A6D" w:rsidP="0089286A">
            <w:pPr>
              <w:spacing w:before="100" w:beforeAutospacing="1" w:after="100" w:afterAutospacing="1" w:line="360" w:lineRule="auto"/>
              <w:jc w:val="center"/>
              <w:rPr>
                <w:b/>
              </w:rPr>
            </w:pPr>
            <w:r>
              <w:rPr>
                <w:b/>
              </w:rPr>
              <w:t>Industry Responses</w:t>
            </w:r>
          </w:p>
        </w:tc>
        <w:tc>
          <w:tcPr>
            <w:tcW w:w="1884" w:type="dxa"/>
          </w:tcPr>
          <w:p w14:paraId="00000031" w14:textId="77777777" w:rsidR="007E3170" w:rsidRDefault="00B75A6D" w:rsidP="0089286A">
            <w:pPr>
              <w:spacing w:before="100" w:beforeAutospacing="1" w:after="100" w:afterAutospacing="1" w:line="360" w:lineRule="auto"/>
              <w:jc w:val="center"/>
              <w:rPr>
                <w:b/>
              </w:rPr>
            </w:pPr>
            <w:r>
              <w:rPr>
                <w:b/>
              </w:rPr>
              <w:t>Strengths</w:t>
            </w:r>
          </w:p>
        </w:tc>
        <w:tc>
          <w:tcPr>
            <w:tcW w:w="1939" w:type="dxa"/>
          </w:tcPr>
          <w:p w14:paraId="00000032" w14:textId="77777777" w:rsidR="007E3170" w:rsidRDefault="00B75A6D" w:rsidP="0089286A">
            <w:pPr>
              <w:spacing w:before="100" w:beforeAutospacing="1" w:after="100" w:afterAutospacing="1" w:line="360" w:lineRule="auto"/>
              <w:jc w:val="center"/>
              <w:rPr>
                <w:b/>
              </w:rPr>
            </w:pPr>
            <w:r>
              <w:rPr>
                <w:b/>
              </w:rPr>
              <w:t>Limitations</w:t>
            </w:r>
          </w:p>
        </w:tc>
      </w:tr>
      <w:tr w:rsidR="007E3170" w14:paraId="79D862A2" w14:textId="77777777">
        <w:tc>
          <w:tcPr>
            <w:tcW w:w="1524" w:type="dxa"/>
          </w:tcPr>
          <w:p w14:paraId="00000033" w14:textId="77777777" w:rsidR="007E3170" w:rsidRDefault="00B75A6D" w:rsidP="0089286A">
            <w:pPr>
              <w:spacing w:before="100" w:beforeAutospacing="1" w:after="100" w:afterAutospacing="1" w:line="360" w:lineRule="auto"/>
            </w:pPr>
            <w:r>
              <w:rPr>
                <w:b/>
              </w:rPr>
              <w:t>Political</w:t>
            </w:r>
          </w:p>
        </w:tc>
        <w:tc>
          <w:tcPr>
            <w:tcW w:w="1981" w:type="dxa"/>
          </w:tcPr>
          <w:p w14:paraId="00000034" w14:textId="77777777" w:rsidR="007E3170" w:rsidRDefault="00B75A6D" w:rsidP="0089286A">
            <w:pPr>
              <w:spacing w:before="100" w:beforeAutospacing="1" w:after="100" w:afterAutospacing="1" w:line="360" w:lineRule="auto"/>
            </w:pPr>
            <w:r>
              <w:t xml:space="preserve">- Governments worldwide are enforcing stricter environmental regulations, carbon emission reduction targets, and green building standards. - Policies like the EU Green Deal, US Inflation Reduction Act, and UK Net Zero Strategy are pushing industries, </w:t>
            </w:r>
            <w:r>
              <w:lastRenderedPageBreak/>
              <w:t>including hospitality, towards sustainable operations (Bailey and Tomlinson, 2024). - Carbon taxes and penalties for high-emission businesses are increasing. - Cross-border agreements like COP28 commitments are fostering global alignment on decarbonisation, affecting multinational hotel groups (Bustamante et al., 2023).</w:t>
            </w:r>
          </w:p>
        </w:tc>
        <w:tc>
          <w:tcPr>
            <w:tcW w:w="1914" w:type="dxa"/>
          </w:tcPr>
          <w:p w14:paraId="00000035" w14:textId="77777777" w:rsidR="007E3170" w:rsidRDefault="00B75A6D" w:rsidP="0089286A">
            <w:pPr>
              <w:spacing w:before="100" w:beforeAutospacing="1" w:after="100" w:afterAutospacing="1" w:line="360" w:lineRule="auto"/>
            </w:pPr>
            <w:r>
              <w:lastRenderedPageBreak/>
              <w:t xml:space="preserve">- Major hotel groups (e.g., Marriott, Hilton, Accor) have committed to achieving net-zero emissions by 2050 (Marriot, 2021). - Implementation of green building certifications (LEED, BREEAM) for new and existing properties. - Partnerships with local </w:t>
            </w:r>
            <w:r>
              <w:lastRenderedPageBreak/>
              <w:t>governments for eco-tourism initiatives and sustainable development. - Participation in global alliances such as the Sustainable Hospitality Alliance to influence policy.</w:t>
            </w:r>
          </w:p>
        </w:tc>
        <w:tc>
          <w:tcPr>
            <w:tcW w:w="1884" w:type="dxa"/>
          </w:tcPr>
          <w:p w14:paraId="00000036" w14:textId="77777777" w:rsidR="007E3170" w:rsidRDefault="00B75A6D" w:rsidP="0089286A">
            <w:pPr>
              <w:spacing w:before="100" w:beforeAutospacing="1" w:after="100" w:afterAutospacing="1" w:line="360" w:lineRule="auto"/>
            </w:pPr>
            <w:r>
              <w:lastRenderedPageBreak/>
              <w:t xml:space="preserve">- Alignment with regulatory requirements reduces legal risks. - Improved public image through proactive compliance. - Access to government incentives and subsidies for green projects. - Collaboration in global initiatives enhances lobbying power </w:t>
            </w:r>
            <w:r>
              <w:lastRenderedPageBreak/>
              <w:t>and knowledge-sharing.</w:t>
            </w:r>
          </w:p>
        </w:tc>
        <w:tc>
          <w:tcPr>
            <w:tcW w:w="1939" w:type="dxa"/>
          </w:tcPr>
          <w:p w14:paraId="00000037" w14:textId="77777777" w:rsidR="007E3170" w:rsidRDefault="00B75A6D" w:rsidP="0089286A">
            <w:pPr>
              <w:spacing w:before="100" w:beforeAutospacing="1" w:after="100" w:afterAutospacing="1" w:line="360" w:lineRule="auto"/>
            </w:pPr>
            <w:r>
              <w:lastRenderedPageBreak/>
              <w:t xml:space="preserve">- Compliance costs can be high, especially for small and mid-sized hotels. - Regulatory variations across countries create inconsistency in implementation (Steinebach, 2022). - Long approval processes for retrofitting existing buildings. - Smaller chains </w:t>
            </w:r>
            <w:r>
              <w:lastRenderedPageBreak/>
              <w:t>have limited influence on policy-making.</w:t>
            </w:r>
          </w:p>
        </w:tc>
      </w:tr>
      <w:tr w:rsidR="007E3170" w14:paraId="7D4CD8F5" w14:textId="77777777">
        <w:tc>
          <w:tcPr>
            <w:tcW w:w="1524" w:type="dxa"/>
          </w:tcPr>
          <w:p w14:paraId="00000038" w14:textId="77777777" w:rsidR="007E3170" w:rsidRDefault="00B75A6D" w:rsidP="0089286A">
            <w:pPr>
              <w:spacing w:before="100" w:beforeAutospacing="1" w:after="100" w:afterAutospacing="1" w:line="360" w:lineRule="auto"/>
            </w:pPr>
            <w:r>
              <w:rPr>
                <w:b/>
              </w:rPr>
              <w:lastRenderedPageBreak/>
              <w:t>Economic</w:t>
            </w:r>
          </w:p>
        </w:tc>
        <w:tc>
          <w:tcPr>
            <w:tcW w:w="1981" w:type="dxa"/>
          </w:tcPr>
          <w:p w14:paraId="00000039" w14:textId="77777777" w:rsidR="007E3170" w:rsidRDefault="00B75A6D" w:rsidP="0089286A">
            <w:pPr>
              <w:spacing w:before="100" w:beforeAutospacing="1" w:after="100" w:afterAutospacing="1" w:line="360" w:lineRule="auto"/>
            </w:pPr>
            <w:r>
              <w:t xml:space="preserve">- Rising operational costs due to energy price volatility and global economic instability (Chang et al., 2022). - </w:t>
            </w:r>
            <w:r>
              <w:lastRenderedPageBreak/>
              <w:t>Increasing demand from eco-conscious travellers willing to pay premium rates for sustainable hotels. - Availability of green financing options, green bonds, and ESG investments for sustainable projects. - Economic resilience of sustainable hotels attracting corporate clients with ESG mandates.</w:t>
            </w:r>
          </w:p>
        </w:tc>
        <w:tc>
          <w:tcPr>
            <w:tcW w:w="1914" w:type="dxa"/>
          </w:tcPr>
          <w:p w14:paraId="0000003A" w14:textId="77777777" w:rsidR="007E3170" w:rsidRDefault="00B75A6D" w:rsidP="0089286A">
            <w:pPr>
              <w:spacing w:before="100" w:beforeAutospacing="1" w:after="100" w:afterAutospacing="1" w:line="360" w:lineRule="auto"/>
            </w:pPr>
            <w:r>
              <w:lastRenderedPageBreak/>
              <w:t xml:space="preserve">- Investment in energy-efficient technologies (LED lighting, smart HVAC, solar panels) to reduce long-term energy costs. - </w:t>
            </w:r>
            <w:r>
              <w:lastRenderedPageBreak/>
              <w:t>Adoption of Green Key or EarthCheck certifications as a marketing advantage (Velaoras et al., 2025). - Dynamic pricing models showcasing eco-friendly practices to justify higher room rates. - Introduction of ESG-linked hotel bonds to finance sustainable upgrades.</w:t>
            </w:r>
          </w:p>
        </w:tc>
        <w:tc>
          <w:tcPr>
            <w:tcW w:w="1884" w:type="dxa"/>
          </w:tcPr>
          <w:p w14:paraId="0000003B" w14:textId="77777777" w:rsidR="007E3170" w:rsidRDefault="00B75A6D" w:rsidP="0089286A">
            <w:pPr>
              <w:spacing w:before="100" w:beforeAutospacing="1" w:after="100" w:afterAutospacing="1" w:line="360" w:lineRule="auto"/>
            </w:pPr>
            <w:r>
              <w:lastRenderedPageBreak/>
              <w:t xml:space="preserve">- Significant long-term cost savings on energy bills and waste management. - Enhanced competitiveness </w:t>
            </w:r>
            <w:r>
              <w:lastRenderedPageBreak/>
              <w:t>through sustainability-driven branding (Zada et al., 2025). - Attraction of ESG-focused investors and corporate clients. - Diversification of revenue streams through eco-tourism partnerships.</w:t>
            </w:r>
          </w:p>
        </w:tc>
        <w:tc>
          <w:tcPr>
            <w:tcW w:w="1939" w:type="dxa"/>
          </w:tcPr>
          <w:p w14:paraId="0000003C" w14:textId="77777777" w:rsidR="007E3170" w:rsidRDefault="00B75A6D" w:rsidP="0089286A">
            <w:pPr>
              <w:spacing w:before="100" w:beforeAutospacing="1" w:after="100" w:afterAutospacing="1" w:line="360" w:lineRule="auto"/>
            </w:pPr>
            <w:r>
              <w:lastRenderedPageBreak/>
              <w:t xml:space="preserve">- High initial capital investment and long payback periods for renewable energy infrastructure. - Financial </w:t>
            </w:r>
            <w:r>
              <w:lastRenderedPageBreak/>
              <w:t>constraints for independent hotels and small chains. - Economic downturns may shift focus away from green investments temporarily. - Difficulty accessing green financing without strong credit profiles.</w:t>
            </w:r>
          </w:p>
        </w:tc>
      </w:tr>
      <w:tr w:rsidR="007E3170" w14:paraId="082C35CE" w14:textId="77777777">
        <w:tc>
          <w:tcPr>
            <w:tcW w:w="1524" w:type="dxa"/>
          </w:tcPr>
          <w:p w14:paraId="0000003D" w14:textId="77777777" w:rsidR="007E3170" w:rsidRDefault="00B75A6D" w:rsidP="0089286A">
            <w:pPr>
              <w:spacing w:before="100" w:beforeAutospacing="1" w:after="100" w:afterAutospacing="1" w:line="360" w:lineRule="auto"/>
            </w:pPr>
            <w:r>
              <w:rPr>
                <w:b/>
              </w:rPr>
              <w:lastRenderedPageBreak/>
              <w:t>Social</w:t>
            </w:r>
          </w:p>
        </w:tc>
        <w:tc>
          <w:tcPr>
            <w:tcW w:w="1981" w:type="dxa"/>
          </w:tcPr>
          <w:p w14:paraId="0000003E" w14:textId="77777777" w:rsidR="007E3170" w:rsidRDefault="00B75A6D" w:rsidP="0089286A">
            <w:pPr>
              <w:spacing w:before="100" w:beforeAutospacing="1" w:after="100" w:afterAutospacing="1" w:line="360" w:lineRule="auto"/>
            </w:pPr>
            <w:r>
              <w:t xml:space="preserve">- Growing consumer awareness and demand for eco-friendly hospitality experiences. - Pressure from NGOs and sustainability advocacy groups to adopt green </w:t>
            </w:r>
            <w:r>
              <w:lastRenderedPageBreak/>
              <w:t>practices (Cooper and Hall, 2022). - Shift towards responsible tourism post-pandemic, with guests seeking low-impact stays. - Social media amplifies guest expectations for transparency on green initiatives.</w:t>
            </w:r>
          </w:p>
        </w:tc>
        <w:tc>
          <w:tcPr>
            <w:tcW w:w="1914" w:type="dxa"/>
          </w:tcPr>
          <w:p w14:paraId="0000003F" w14:textId="77777777" w:rsidR="007E3170" w:rsidRDefault="00B75A6D" w:rsidP="0089286A">
            <w:pPr>
              <w:spacing w:before="100" w:beforeAutospacing="1" w:after="100" w:afterAutospacing="1" w:line="360" w:lineRule="auto"/>
            </w:pPr>
            <w:r>
              <w:lastRenderedPageBreak/>
              <w:t xml:space="preserve">- Introduction of “Green Stay” programs offering guests incentives for reducing linen washing, energy use, etc (Jayaraj and Chandrakala, 2024). - Community engagement </w:t>
            </w:r>
            <w:r>
              <w:lastRenderedPageBreak/>
              <w:t>initiatives focusing on local sourcing, biodiversity conservation, and waste reduction. - Staff training programs on sustainability and environmental awareness. - Enhanced guest communication through sustainability dashboards in lobbies and apps.</w:t>
            </w:r>
          </w:p>
        </w:tc>
        <w:tc>
          <w:tcPr>
            <w:tcW w:w="1884" w:type="dxa"/>
          </w:tcPr>
          <w:p w14:paraId="00000040" w14:textId="77777777" w:rsidR="007E3170" w:rsidRDefault="00B75A6D" w:rsidP="0089286A">
            <w:pPr>
              <w:spacing w:before="100" w:beforeAutospacing="1" w:after="100" w:afterAutospacing="1" w:line="360" w:lineRule="auto"/>
            </w:pPr>
            <w:r>
              <w:lastRenderedPageBreak/>
              <w:t xml:space="preserve">- Strengthens customer loyalty and enhances brand reputation. - Creates differentiation in a competitive market. - Improves employee engagement through </w:t>
            </w:r>
            <w:r>
              <w:lastRenderedPageBreak/>
              <w:t>meaningful sustainability initiatives. - Positive social media visibility boosts organic marketing reach.</w:t>
            </w:r>
          </w:p>
        </w:tc>
        <w:tc>
          <w:tcPr>
            <w:tcW w:w="1939" w:type="dxa"/>
          </w:tcPr>
          <w:p w14:paraId="00000041" w14:textId="77777777" w:rsidR="007E3170" w:rsidRDefault="00B75A6D" w:rsidP="0089286A">
            <w:pPr>
              <w:spacing w:before="100" w:beforeAutospacing="1" w:after="100" w:afterAutospacing="1" w:line="360" w:lineRule="auto"/>
            </w:pPr>
            <w:r>
              <w:lastRenderedPageBreak/>
              <w:t xml:space="preserve">- Consumer scepticism towards “greenwashing” can harm brand trust if claims are not backed by transparent actions. - Cultural differences may affect the </w:t>
            </w:r>
            <w:r>
              <w:lastRenderedPageBreak/>
              <w:t>acceptance of certain green practices globally.</w:t>
            </w:r>
          </w:p>
          <w:p w14:paraId="00000042" w14:textId="77777777" w:rsidR="007E3170" w:rsidRDefault="00B75A6D" w:rsidP="0089286A">
            <w:pPr>
              <w:spacing w:before="100" w:beforeAutospacing="1" w:after="100" w:afterAutospacing="1" w:line="360" w:lineRule="auto"/>
            </w:pPr>
            <w:r>
              <w:t>Small hotels struggle to match the scale of social impact programs of large chains (Calisto et al., 2021). - Changing consumer preferences require continuous adaptation of strategies.</w:t>
            </w:r>
          </w:p>
        </w:tc>
      </w:tr>
      <w:tr w:rsidR="007E3170" w14:paraId="08199925" w14:textId="77777777">
        <w:tc>
          <w:tcPr>
            <w:tcW w:w="1524" w:type="dxa"/>
          </w:tcPr>
          <w:p w14:paraId="00000043" w14:textId="77777777" w:rsidR="007E3170" w:rsidRDefault="00B75A6D" w:rsidP="0089286A">
            <w:pPr>
              <w:spacing w:before="100" w:beforeAutospacing="1" w:after="100" w:afterAutospacing="1" w:line="360" w:lineRule="auto"/>
            </w:pPr>
            <w:r>
              <w:rPr>
                <w:b/>
              </w:rPr>
              <w:lastRenderedPageBreak/>
              <w:t>Technological</w:t>
            </w:r>
          </w:p>
        </w:tc>
        <w:tc>
          <w:tcPr>
            <w:tcW w:w="1981" w:type="dxa"/>
          </w:tcPr>
          <w:p w14:paraId="00000044" w14:textId="77777777" w:rsidR="007E3170" w:rsidRDefault="00B75A6D" w:rsidP="0089286A">
            <w:pPr>
              <w:spacing w:before="100" w:beforeAutospacing="1" w:after="100" w:afterAutospacing="1" w:line="360" w:lineRule="auto"/>
            </w:pPr>
            <w:r>
              <w:t xml:space="preserve">- Rapid advancement in Smart Energy Management Systems (SEMS), IoT, and AI-driven solutions for optimising hotel energy consumption. - Growth of renewable energy technologies (solar, wind, </w:t>
            </w:r>
            <w:r>
              <w:lastRenderedPageBreak/>
              <w:t>geothermal) for onsite generation. - Emergence of carbon tracking and reporting software aligned with ESG requirements. - Tech innovations like AI-powered guest apps promoting sustainable choices (e.g., CO2-saving tips).</w:t>
            </w:r>
          </w:p>
        </w:tc>
        <w:tc>
          <w:tcPr>
            <w:tcW w:w="1914" w:type="dxa"/>
          </w:tcPr>
          <w:p w14:paraId="00000045" w14:textId="77777777" w:rsidR="007E3170" w:rsidRDefault="00B75A6D" w:rsidP="0089286A">
            <w:pPr>
              <w:spacing w:before="100" w:beforeAutospacing="1" w:after="100" w:afterAutospacing="1" w:line="360" w:lineRule="auto"/>
            </w:pPr>
            <w:r>
              <w:lastRenderedPageBreak/>
              <w:t xml:space="preserve">- Integration of IoT-based sensors for real-time energy monitoring and predictive maintenance. - Deployment of AI-driven automation for HVAC, lighting, and water management systems. - </w:t>
            </w:r>
            <w:r>
              <w:lastRenderedPageBreak/>
              <w:t>Adoption of blockchain technology for transparent carbon footprint tracking. - Examples: IHG’s “Green Engage” system, Hilton’s “LightStay” platform (IHG, 2025). - Use of guest-facing apps to encou</w:t>
            </w:r>
            <w:sdt>
              <w:sdtPr>
                <w:tag w:val="goog_rdk_6"/>
                <w:id w:val="1177621059"/>
              </w:sdtPr>
              <w:sdtEndPr/>
              <w:sdtContent/>
            </w:sdt>
            <w:sdt>
              <w:sdtPr>
                <w:tag w:val="goog_rdk_7"/>
                <w:id w:val="-231166410"/>
              </w:sdtPr>
              <w:sdtEndPr/>
              <w:sdtContent/>
            </w:sdt>
            <w:r>
              <w:t>rage energy-conscious behaviours.</w:t>
            </w:r>
          </w:p>
        </w:tc>
        <w:tc>
          <w:tcPr>
            <w:tcW w:w="1884" w:type="dxa"/>
          </w:tcPr>
          <w:p w14:paraId="00000046" w14:textId="77777777" w:rsidR="007E3170" w:rsidRDefault="00B75A6D" w:rsidP="0089286A">
            <w:pPr>
              <w:spacing w:before="100" w:beforeAutospacing="1" w:after="100" w:afterAutospacing="1" w:line="360" w:lineRule="auto"/>
            </w:pPr>
            <w:r>
              <w:lastRenderedPageBreak/>
              <w:t xml:space="preserve">- Significant improvements in operational efficiency and energy savings. - Real-time data enables better decision-making and reporting. - Supports compliance with international ESG standards and reporting </w:t>
            </w:r>
            <w:r>
              <w:lastRenderedPageBreak/>
              <w:t>frameworks. - Enhanced guest engagement through tech-driven sustainability initiatives.</w:t>
            </w:r>
          </w:p>
        </w:tc>
        <w:tc>
          <w:tcPr>
            <w:tcW w:w="1939" w:type="dxa"/>
          </w:tcPr>
          <w:p w14:paraId="00000047" w14:textId="77777777" w:rsidR="007E3170" w:rsidRDefault="00B75A6D" w:rsidP="0089286A">
            <w:pPr>
              <w:spacing w:before="100" w:beforeAutospacing="1" w:after="100" w:afterAutospacing="1" w:line="360" w:lineRule="auto"/>
            </w:pPr>
            <w:r>
              <w:lastRenderedPageBreak/>
              <w:t xml:space="preserve">- High costs of technology deployment and system integration. - Requires skilled personnel for operation and maintenance. - Cybersecurity risks associated with connected systems and data privacy concerns. </w:t>
            </w:r>
            <w:r>
              <w:lastRenderedPageBreak/>
              <w:t>- Smaller hotels may face technological adoption barriers due to lack of scale. - Risk of technological obsolescence demands continuous upgrades (Furneaux et al., 2022).</w:t>
            </w:r>
          </w:p>
        </w:tc>
      </w:tr>
    </w:tbl>
    <w:p w14:paraId="00000048" w14:textId="77777777" w:rsidR="007E3170" w:rsidRDefault="00B75A6D" w:rsidP="0089286A">
      <w:pPr>
        <w:spacing w:before="100" w:beforeAutospacing="1" w:after="100" w:afterAutospacing="1" w:line="360" w:lineRule="auto"/>
        <w:jc w:val="center"/>
        <w:rPr>
          <w:b/>
        </w:rPr>
      </w:pPr>
      <w:r>
        <w:rPr>
          <w:b/>
        </w:rPr>
        <w:lastRenderedPageBreak/>
        <w:t>Table 1: PEST Analysis Table</w:t>
      </w:r>
    </w:p>
    <w:p w14:paraId="00000049" w14:textId="77777777" w:rsidR="007E3170" w:rsidRDefault="00B75A6D" w:rsidP="0089286A">
      <w:pPr>
        <w:spacing w:before="100" w:beforeAutospacing="1" w:after="100" w:afterAutospacing="1" w:line="360" w:lineRule="auto"/>
        <w:jc w:val="center"/>
      </w:pPr>
      <w:r>
        <w:t>(Source: Self-created)</w:t>
      </w:r>
    </w:p>
    <w:p w14:paraId="0000004A" w14:textId="77777777" w:rsidR="007E3170" w:rsidRDefault="00B75A6D" w:rsidP="0089286A">
      <w:pPr>
        <w:spacing w:before="100" w:beforeAutospacing="1" w:after="100" w:afterAutospacing="1" w:line="360" w:lineRule="auto"/>
      </w:pPr>
      <w:r>
        <w:t>This thematic analysis outlines the multidirectional effect of political, economic, social and technological factors on sustainability in the hospitality industry. It highlights how global regulation along with consumer preference and technical innovation are shaping hotel operations. Major hotel groups are adopting green standards and technologies for meeting evolving demand that enhance brand value and comply with the eig framework. While these strategies offer significant long term benefits like cost saving and customer loyalty, challenges are still present especially for smaller hotels who face high compliance and investment costs. The shift in industry towards sustainability is evident which requires balance strategies to overcome financial, regulatory and technological limitations.</w:t>
      </w:r>
    </w:p>
    <w:p w14:paraId="0000004B" w14:textId="59E2D3AB" w:rsidR="007E3170" w:rsidRDefault="00B75A6D" w:rsidP="0089286A">
      <w:pPr>
        <w:pStyle w:val="1"/>
        <w:numPr>
          <w:ilvl w:val="0"/>
          <w:numId w:val="1"/>
        </w:numPr>
        <w:spacing w:before="100" w:beforeAutospacing="1" w:after="100" w:afterAutospacing="1" w:line="360" w:lineRule="auto"/>
      </w:pPr>
      <w:bookmarkStart w:id="5" w:name="_Toc198334119"/>
      <w:r>
        <w:t>Conclusion</w:t>
      </w:r>
      <w:bookmarkEnd w:id="5"/>
      <w:r>
        <w:t xml:space="preserve"> </w:t>
      </w:r>
    </w:p>
    <w:p w14:paraId="0000004C" w14:textId="77777777" w:rsidR="007E3170" w:rsidRDefault="00B75A6D" w:rsidP="0089286A">
      <w:pPr>
        <w:spacing w:before="100" w:beforeAutospacing="1" w:after="100" w:afterAutospacing="1" w:line="360" w:lineRule="auto"/>
      </w:pPr>
      <w:r>
        <w:t xml:space="preserve">The hospitality industry is impacted by political, economic, social, and technological factors driving the shift towards sustainability as noted in the PEST analysis. Leading hotel chains, </w:t>
      </w:r>
      <w:r>
        <w:lastRenderedPageBreak/>
        <w:t xml:space="preserve">as evident from case study examples, are adopting eco-friendly practices, advanced technologies, and community-driven initiatives to meet regulatory demands and consumer expectations. However, challenges such as high implementation costs, inconsistent global regulations, and greenwashing concerns persist. Despite these hurdles, sustainable practices offer long-term benefits including operational efficiency, enhanced brand reputation, and investor attraction. The challenges can be mitigated with the help of including some of the effective strategies that are directly associated with the involvement of better growth in the market. </w:t>
      </w:r>
    </w:p>
    <w:p w14:paraId="0000004D" w14:textId="77777777" w:rsidR="007E3170" w:rsidRDefault="00B75A6D" w:rsidP="0089286A">
      <w:pPr>
        <w:pStyle w:val="1"/>
        <w:spacing w:before="100" w:beforeAutospacing="1" w:after="100" w:afterAutospacing="1" w:line="360" w:lineRule="auto"/>
      </w:pPr>
      <w:bookmarkStart w:id="6" w:name="_Toc198334120"/>
      <w:r>
        <w:t>Recommendations</w:t>
      </w:r>
      <w:bookmarkEnd w:id="6"/>
      <w:r>
        <w:t xml:space="preserve"> </w:t>
      </w:r>
    </w:p>
    <w:p w14:paraId="0000004E" w14:textId="77777777" w:rsidR="007E3170" w:rsidRDefault="00B75A6D" w:rsidP="0089286A">
      <w:pPr>
        <w:spacing w:before="100" w:beforeAutospacing="1" w:after="100" w:afterAutospacing="1" w:line="360" w:lineRule="auto"/>
      </w:pPr>
      <w:r>
        <w:rPr>
          <w:b/>
        </w:rPr>
        <w:t xml:space="preserve">Recommendation 1: Certifications for the green activities: </w:t>
      </w:r>
      <w:r>
        <w:t xml:space="preserve">Various hotels can focus on the utilisation of the green certifications that can help in dealing with some of the important sustainability activities (Hazarhun </w:t>
      </w:r>
      <w:r>
        <w:rPr>
          <w:i/>
        </w:rPr>
        <w:t>et al.,</w:t>
      </w:r>
      <w:r>
        <w:t xml:space="preserve"> 2023). It can be beneficial for dealing with the inclusion of the credibility for the investors and also for the case of travellers who are travel conscious. This can include the involvement of the local policies and different international authorities to deal with the challenges and incorporate some of the incentives. </w:t>
      </w:r>
    </w:p>
    <w:p w14:paraId="0000004F" w14:textId="77777777" w:rsidR="007E3170" w:rsidRDefault="00B75A6D" w:rsidP="0089286A">
      <w:pPr>
        <w:spacing w:before="100" w:beforeAutospacing="1" w:after="100" w:afterAutospacing="1" w:line="360" w:lineRule="auto"/>
      </w:pPr>
      <w:r>
        <w:rPr>
          <w:b/>
        </w:rPr>
        <w:t xml:space="preserve">Recommendation 2: Investing more on the scalable solutions: </w:t>
      </w:r>
      <w:r>
        <w:t xml:space="preserve">The inclusion of the investment for the case of the small hotels can consider the investment for the renewable sector. The consideration of green financing can be beneficial to ensure the reduction of the financial burden and partnering with various ESG bonds and providers (Ogunsola </w:t>
      </w:r>
      <w:r>
        <w:rPr>
          <w:i/>
        </w:rPr>
        <w:t>et al.,</w:t>
      </w:r>
      <w:r>
        <w:t xml:space="preserve"> 2024). It can focus on the respective usage of the HVAC, various solar panels and also different smart lighting for the hotels. </w:t>
      </w:r>
    </w:p>
    <w:p w14:paraId="00000050" w14:textId="77777777" w:rsidR="007E3170" w:rsidRDefault="00B75A6D" w:rsidP="0089286A">
      <w:pPr>
        <w:spacing w:before="100" w:beforeAutospacing="1" w:after="100" w:afterAutospacing="1" w:line="360" w:lineRule="auto"/>
      </w:pPr>
      <w:r>
        <w:rPr>
          <w:b/>
        </w:rPr>
        <w:t>Recommendation 3: Improve technological integration:</w:t>
      </w:r>
      <w:r>
        <w:t xml:space="preserve"> Investment in advanced technologies such as AI-driven energy management systems, IoT sensors, and carbon footprint tracking system is necessary. Resource usage is optimised by these technologies, besides lower operational costs, and accurate ESG reporting (Saxena </w:t>
      </w:r>
      <w:r>
        <w:rPr>
          <w:i/>
        </w:rPr>
        <w:t>et al.,</w:t>
      </w:r>
      <w:r>
        <w:t xml:space="preserve"> 2022). Training staff on cybersecurity measures and digital tools will further improve the effectiveness of these proposed solutions. </w:t>
      </w:r>
    </w:p>
    <w:p w14:paraId="00000051" w14:textId="77777777" w:rsidR="007E3170" w:rsidRDefault="00B75A6D" w:rsidP="0089286A">
      <w:pPr>
        <w:spacing w:before="100" w:beforeAutospacing="1" w:after="100" w:afterAutospacing="1" w:line="360" w:lineRule="auto"/>
      </w:pPr>
      <w:r>
        <w:rPr>
          <w:b/>
        </w:rPr>
        <w:t>Recommendation 4: Strengthen transpare</w:t>
      </w:r>
      <w:sdt>
        <w:sdtPr>
          <w:tag w:val="goog_rdk_8"/>
          <w:id w:val="-1305993387"/>
        </w:sdtPr>
        <w:sdtEndPr/>
        <w:sdtContent/>
      </w:sdt>
      <w:r>
        <w:rPr>
          <w:b/>
        </w:rPr>
        <w:t xml:space="preserve">ncy: </w:t>
      </w:r>
      <w:r>
        <w:t xml:space="preserve">Global consumers have become highly sceptical of vague claims of sustainability. Guest engagement and trust could be built by creating interactive dashboards where water savings and real-time energy savings are </w:t>
      </w:r>
      <w:r>
        <w:lastRenderedPageBreak/>
        <w:t xml:space="preserve">displayed (Soares </w:t>
      </w:r>
      <w:r>
        <w:rPr>
          <w:i/>
        </w:rPr>
        <w:t>et al.,</w:t>
      </w:r>
      <w:r>
        <w:t xml:space="preserve"> 2021). Therefore, hotels should commit to transparent communication by publishing verified reports on sustainability, leveraging third-party audits, and showcasing measurable environmental impacts transparently. </w:t>
      </w:r>
    </w:p>
    <w:p w14:paraId="00000052" w14:textId="77777777" w:rsidR="007E3170" w:rsidRDefault="00B75A6D" w:rsidP="0089286A">
      <w:pPr>
        <w:spacing w:before="100" w:beforeAutospacing="1" w:after="100" w:afterAutospacing="1" w:line="360" w:lineRule="auto"/>
      </w:pPr>
      <w:r>
        <w:rPr>
          <w:b/>
        </w:rPr>
        <w:t xml:space="preserve">Recommendation 5: Foster local community and supply partnership: </w:t>
      </w:r>
      <w:r>
        <w:t xml:space="preserve">Sourcing locally-produced products, engaging in community-based tourism, and supporting regional artists would not only reduce hotel’s carbon footprints, but they will also enrich overall guest experiences (Martínez, 2024). These partnerships can strengthen the social license of the hotels to operate and keep alignment with the global trend for responsible tourism. </w:t>
      </w:r>
    </w:p>
    <w:p w14:paraId="00000053" w14:textId="77777777" w:rsidR="007E3170" w:rsidRDefault="007E3170" w:rsidP="0089286A">
      <w:pPr>
        <w:spacing w:before="100" w:beforeAutospacing="1" w:after="100" w:afterAutospacing="1" w:line="360" w:lineRule="auto"/>
      </w:pPr>
    </w:p>
    <w:p w14:paraId="00000054" w14:textId="77777777" w:rsidR="007E3170" w:rsidRDefault="00B75A6D" w:rsidP="0089286A">
      <w:pPr>
        <w:spacing w:before="100" w:beforeAutospacing="1" w:after="100" w:afterAutospacing="1" w:line="360" w:lineRule="auto"/>
        <w:jc w:val="left"/>
        <w:rPr>
          <w:b/>
          <w:sz w:val="28"/>
          <w:szCs w:val="28"/>
        </w:rPr>
      </w:pPr>
      <w:r>
        <w:br w:type="page"/>
      </w:r>
    </w:p>
    <w:p w14:paraId="00000055" w14:textId="77777777" w:rsidR="007E3170" w:rsidRDefault="00B75A6D" w:rsidP="0089286A">
      <w:pPr>
        <w:pStyle w:val="1"/>
        <w:spacing w:before="100" w:beforeAutospacing="1" w:after="100" w:afterAutospacing="1" w:line="360" w:lineRule="auto"/>
      </w:pPr>
      <w:bookmarkStart w:id="7" w:name="_Toc198334121"/>
      <w:r>
        <w:lastRenderedPageBreak/>
        <w:t>References</w:t>
      </w:r>
      <w:bookmarkEnd w:id="7"/>
    </w:p>
    <w:p w14:paraId="00000056" w14:textId="77777777" w:rsidR="007E3170" w:rsidRDefault="00B75A6D" w:rsidP="0089286A">
      <w:pPr>
        <w:spacing w:before="100" w:beforeAutospacing="1" w:after="100" w:afterAutospacing="1" w:line="360" w:lineRule="auto"/>
      </w:pPr>
      <w:r>
        <w:t>Arenhart, R.S., Souza, A.M. and Zanini, R.R., 2022. Energy use and its key factors in hotel chains. </w:t>
      </w:r>
      <w:r>
        <w:rPr>
          <w:i/>
        </w:rPr>
        <w:t>Sustainability</w:t>
      </w:r>
      <w:r>
        <w:t>, </w:t>
      </w:r>
      <w:r>
        <w:rPr>
          <w:i/>
        </w:rPr>
        <w:t>14</w:t>
      </w:r>
      <w:r>
        <w:t>(14),</w:t>
      </w:r>
      <w:sdt>
        <w:sdtPr>
          <w:tag w:val="goog_rdk_9"/>
          <w:id w:val="1833184138"/>
        </w:sdtPr>
        <w:sdtEndPr/>
        <w:sdtContent/>
      </w:sdt>
      <w:r>
        <w:t xml:space="preserve"> p.1-14.</w:t>
      </w:r>
    </w:p>
    <w:p w14:paraId="00000057" w14:textId="77777777" w:rsidR="007E3170" w:rsidRDefault="00B75A6D" w:rsidP="0089286A">
      <w:pPr>
        <w:spacing w:before="100" w:beforeAutospacing="1" w:after="100" w:afterAutospacing="1" w:line="360" w:lineRule="auto"/>
      </w:pPr>
      <w:r>
        <w:t>Bailey, D. and Tomlinson, P.R., 2024. Industrial policies and net zero. In </w:t>
      </w:r>
      <w:r>
        <w:rPr>
          <w:i/>
        </w:rPr>
        <w:t>The State of the UK Economy 2024</w:t>
      </w:r>
      <w:r>
        <w:t> (pp. 61-64). UK in a Changing Europe.</w:t>
      </w:r>
    </w:p>
    <w:p w14:paraId="00000058" w14:textId="77777777" w:rsidR="007E3170" w:rsidRDefault="00B75A6D" w:rsidP="0089286A">
      <w:pPr>
        <w:spacing w:before="100" w:beforeAutospacing="1" w:after="100" w:afterAutospacing="1" w:line="360" w:lineRule="auto"/>
      </w:pPr>
      <w:r>
        <w:t>Batabyal, D. and Das, D.K. eds., 2019. </w:t>
      </w:r>
      <w:r>
        <w:rPr>
          <w:i/>
        </w:rPr>
        <w:t>Global Trends, Practices, and Challenges in Contemporary Tourism and Hospitality Management</w:t>
      </w:r>
      <w:r>
        <w:t xml:space="preserve">. IGI Global. 2(8), pp. 17. </w:t>
      </w:r>
    </w:p>
    <w:p w14:paraId="00000059" w14:textId="77777777" w:rsidR="007E3170" w:rsidRDefault="00B75A6D" w:rsidP="0089286A">
      <w:pPr>
        <w:spacing w:before="100" w:beforeAutospacing="1" w:after="100" w:afterAutospacing="1" w:line="360" w:lineRule="auto"/>
      </w:pPr>
      <w:r>
        <w:t>Bustamante, M., Roy, J., Ospina, D., Achakulwisut, P., Aggarwal, A., Bastos, A., Broadgate, W., Canadell, J.G., Carr, E.R., Chen, D. and Cleugh, H.A., 2023. Ten new insights in climate science 2023. </w:t>
      </w:r>
      <w:r>
        <w:rPr>
          <w:i/>
        </w:rPr>
        <w:t>Global Sustainability</w:t>
      </w:r>
      <w:r>
        <w:t>, </w:t>
      </w:r>
      <w:r>
        <w:rPr>
          <w:i/>
        </w:rPr>
        <w:t>7</w:t>
      </w:r>
      <w:r>
        <w:t>, p.e19.</w:t>
      </w:r>
    </w:p>
    <w:p w14:paraId="0000005A" w14:textId="77777777" w:rsidR="007E3170" w:rsidRDefault="00B75A6D" w:rsidP="0089286A">
      <w:pPr>
        <w:spacing w:before="100" w:beforeAutospacing="1" w:after="100" w:afterAutospacing="1" w:line="360" w:lineRule="auto"/>
      </w:pPr>
      <w:r>
        <w:t>Calisto, M.D.L., Umbelino, J., Gonçalves, A. and Viegas, C., 2021. Environmental sustainability strategies for smaller companies in the hotel industry: doing the right thing or doing things right?. </w:t>
      </w:r>
      <w:r>
        <w:rPr>
          <w:i/>
        </w:rPr>
        <w:t>Sustainability</w:t>
      </w:r>
      <w:r>
        <w:t>, </w:t>
      </w:r>
      <w:r>
        <w:rPr>
          <w:i/>
        </w:rPr>
        <w:t>13</w:t>
      </w:r>
      <w:r>
        <w:t xml:space="preserve">(18), </w:t>
      </w:r>
      <w:sdt>
        <w:sdtPr>
          <w:tag w:val="goog_rdk_10"/>
          <w:id w:val="1188721043"/>
        </w:sdtPr>
        <w:sdtEndPr/>
        <w:sdtContent/>
      </w:sdt>
      <w:r>
        <w:t>p.2-19.</w:t>
      </w:r>
    </w:p>
    <w:p w14:paraId="0000005B" w14:textId="77777777" w:rsidR="007E3170" w:rsidRDefault="00B75A6D" w:rsidP="0089286A">
      <w:pPr>
        <w:spacing w:before="100" w:beforeAutospacing="1" w:after="100" w:afterAutospacing="1" w:line="360" w:lineRule="auto"/>
      </w:pPr>
      <w:r>
        <w:t>Chang, L., Baloch, Z.A., Saydaliev, H.B., Hyder, M. and Dilanchiev, A., 2022. Testing oil price volatility during Covid-19: Global economic impact. </w:t>
      </w:r>
      <w:r>
        <w:rPr>
          <w:i/>
        </w:rPr>
        <w:t>Resources Policy</w:t>
      </w:r>
      <w:r>
        <w:t>, </w:t>
      </w:r>
      <w:sdt>
        <w:sdtPr>
          <w:tag w:val="goog_rdk_11"/>
          <w:id w:val="-1410452737"/>
        </w:sdtPr>
        <w:sdtEndPr/>
        <w:sdtContent/>
      </w:sdt>
      <w:r>
        <w:rPr>
          <w:i/>
        </w:rPr>
        <w:t>78</w:t>
      </w:r>
      <w:r>
        <w:t>, p.1-10.</w:t>
      </w:r>
    </w:p>
    <w:p w14:paraId="0000005C" w14:textId="77777777" w:rsidR="007E3170" w:rsidRDefault="00B75A6D" w:rsidP="0089286A">
      <w:pPr>
        <w:spacing w:before="100" w:beforeAutospacing="1" w:after="100" w:afterAutospacing="1" w:line="360" w:lineRule="auto"/>
      </w:pPr>
      <w:r>
        <w:t xml:space="preserve">Cooper, C. and Hall, C.M., 2022. </w:t>
      </w:r>
      <w:r>
        <w:rPr>
          <w:i/>
        </w:rPr>
        <w:t>Contemporary tourism: An international approach</w:t>
      </w:r>
      <w:r>
        <w:t xml:space="preserve">. Goodfellow Publishers Ltd. </w:t>
      </w:r>
    </w:p>
    <w:p w14:paraId="0000005D" w14:textId="77777777" w:rsidR="007E3170" w:rsidRDefault="00B75A6D" w:rsidP="0089286A">
      <w:pPr>
        <w:spacing w:before="100" w:beforeAutospacing="1" w:after="100" w:afterAutospacing="1" w:line="360" w:lineRule="auto"/>
      </w:pPr>
      <w:r>
        <w:t>Costa, V. and Costa, C., 2022. Challenges in Times of Crisis and Pandemics in the Hospitality Industry: A Systematic Literature Review. </w:t>
      </w:r>
      <w:r>
        <w:rPr>
          <w:i/>
        </w:rPr>
        <w:t>Sustainability and Competitiveness in the Hospitality Industry</w:t>
      </w:r>
      <w:r>
        <w:t xml:space="preserve">, </w:t>
      </w:r>
      <w:r>
        <w:rPr>
          <w:i/>
        </w:rPr>
        <w:t>Volume: 1.</w:t>
      </w:r>
      <w:r>
        <w:t xml:space="preserve"> pp.1-22.</w:t>
      </w:r>
    </w:p>
    <w:p w14:paraId="0000005E" w14:textId="77777777" w:rsidR="007E3170" w:rsidRDefault="00B75A6D" w:rsidP="0089286A">
      <w:pPr>
        <w:spacing w:before="100" w:beforeAutospacing="1" w:after="100" w:afterAutospacing="1" w:line="360" w:lineRule="auto"/>
      </w:pPr>
      <w:r>
        <w:t>Cox, J., 2021. The higher education environment driving academic library strategy: A political, economic, social and technological (PEST) analysis. </w:t>
      </w:r>
      <w:r>
        <w:rPr>
          <w:i/>
        </w:rPr>
        <w:t>The Journal of Academic Librarianship</w:t>
      </w:r>
      <w:r>
        <w:t>, </w:t>
      </w:r>
      <w:r>
        <w:rPr>
          <w:i/>
        </w:rPr>
        <w:t>47</w:t>
      </w:r>
      <w:r>
        <w:t>(1), p</w:t>
      </w:r>
      <w:sdt>
        <w:sdtPr>
          <w:tag w:val="goog_rdk_12"/>
          <w:id w:val="799722371"/>
        </w:sdtPr>
        <w:sdtEndPr/>
        <w:sdtContent/>
      </w:sdt>
      <w:r>
        <w:t>.1-11.</w:t>
      </w:r>
    </w:p>
    <w:p w14:paraId="0000005F" w14:textId="77777777" w:rsidR="007E3170" w:rsidRDefault="00B75A6D" w:rsidP="0089286A">
      <w:pPr>
        <w:spacing w:before="100" w:beforeAutospacing="1" w:after="100" w:afterAutospacing="1" w:line="360" w:lineRule="auto"/>
      </w:pPr>
      <w:r>
        <w:t>Ford, R.C. and Sturman, M.C., 2019. </w:t>
      </w:r>
      <w:r>
        <w:rPr>
          <w:i/>
        </w:rPr>
        <w:t>Managing hospitality organizations: Achieving excellence in the guest experience</w:t>
      </w:r>
      <w:r>
        <w:t xml:space="preserve">. SAGE Publications. </w:t>
      </w:r>
    </w:p>
    <w:p w14:paraId="00000060" w14:textId="77777777" w:rsidR="007E3170" w:rsidRDefault="00B75A6D" w:rsidP="0089286A">
      <w:pPr>
        <w:spacing w:before="100" w:beforeAutospacing="1" w:after="100" w:afterAutospacing="1" w:line="360" w:lineRule="auto"/>
      </w:pPr>
      <w:r>
        <w:lastRenderedPageBreak/>
        <w:t>Furneaux, B., Mannina, S. and Rieser, L., 2022. Responding to information system obsolescence: Should we upgrade or replace?. </w:t>
      </w:r>
      <w:r>
        <w:rPr>
          <w:i/>
        </w:rPr>
        <w:t>Journal of Computer Information Systems</w:t>
      </w:r>
      <w:r>
        <w:t>, </w:t>
      </w:r>
      <w:r>
        <w:rPr>
          <w:i/>
        </w:rPr>
        <w:t>62</w:t>
      </w:r>
      <w:r>
        <w:t>(2), pp.372-383.</w:t>
      </w:r>
    </w:p>
    <w:p w14:paraId="00000061" w14:textId="77777777" w:rsidR="007E3170" w:rsidRDefault="00B75A6D" w:rsidP="0089286A">
      <w:pPr>
        <w:spacing w:before="100" w:beforeAutospacing="1" w:after="100" w:afterAutospacing="1" w:line="360" w:lineRule="auto"/>
      </w:pPr>
      <w:r>
        <w:t xml:space="preserve">Gatwiri, G., Ronoh, K., Nthiga, R., Mutiga, M. and Watiema, C.M., 2024. Effects of Smart Energy Management Systems on Financial Performance in Economy Hotels. </w:t>
      </w:r>
      <w:r>
        <w:rPr>
          <w:i/>
        </w:rPr>
        <w:t xml:space="preserve">IJARKE Business &amp; Management Journal, </w:t>
      </w:r>
      <w:r>
        <w:t>7(1)</w:t>
      </w:r>
      <w:r>
        <w:rPr>
          <w:i/>
        </w:rPr>
        <w:t xml:space="preserve">, </w:t>
      </w:r>
      <w:r>
        <w:t>p. 98.</w:t>
      </w:r>
    </w:p>
    <w:p w14:paraId="00000062" w14:textId="77777777" w:rsidR="007E3170" w:rsidRDefault="00B75A6D" w:rsidP="0089286A">
      <w:pPr>
        <w:spacing w:before="100" w:beforeAutospacing="1" w:after="100" w:afterAutospacing="1" w:line="360" w:lineRule="auto"/>
      </w:pPr>
      <w:r>
        <w:t>Hazarhun, E., Çetinsöz, B.C. and Bilgin, Y.K., 2023. Analysis of the website of hotels with sustainable tourism certificate: The case of Türkiye. </w:t>
      </w:r>
      <w:r>
        <w:rPr>
          <w:i/>
        </w:rPr>
        <w:t>Journal of Tourism Leisure and Hospitality</w:t>
      </w:r>
      <w:r>
        <w:t>, </w:t>
      </w:r>
      <w:r>
        <w:rPr>
          <w:i/>
        </w:rPr>
        <w:t>5</w:t>
      </w:r>
      <w:r>
        <w:t>(2), pp.96-108.</w:t>
      </w:r>
    </w:p>
    <w:p w14:paraId="00000063" w14:textId="77777777" w:rsidR="007E3170" w:rsidRDefault="00B75A6D" w:rsidP="0089286A">
      <w:pPr>
        <w:spacing w:before="100" w:beforeAutospacing="1" w:after="100" w:afterAutospacing="1" w:line="360" w:lineRule="auto"/>
      </w:pPr>
      <w:r>
        <w:t xml:space="preserve">IHG, 2025. </w:t>
      </w:r>
      <w:r>
        <w:rPr>
          <w:i/>
        </w:rPr>
        <w:t>IHG Green Engage™ system.</w:t>
      </w:r>
      <w:r>
        <w:t xml:space="preserve"> Available at: </w:t>
      </w:r>
      <w:hyperlink r:id="rId9">
        <w:r w:rsidR="007E3170">
          <w:rPr>
            <w:color w:val="0563C1"/>
            <w:u w:val="single"/>
          </w:rPr>
          <w:t>https://www.ihg.com/content/gb/en/support/green-engage?msockid=042c89140bbe6a48231d9a7c0a0c6b87</w:t>
        </w:r>
      </w:hyperlink>
      <w:r>
        <w:t xml:space="preserve"> (Accessed: 12 May 2025)</w:t>
      </w:r>
    </w:p>
    <w:p w14:paraId="00000064" w14:textId="77777777" w:rsidR="007E3170" w:rsidRDefault="00B75A6D" w:rsidP="0089286A">
      <w:pPr>
        <w:spacing w:before="100" w:beforeAutospacing="1" w:after="100" w:afterAutospacing="1" w:line="360" w:lineRule="auto"/>
      </w:pPr>
      <w:r>
        <w:t>Jayaraj, M.M. and Chandrakala, A., 2024, February. Nudging for Sustainability: Innovative Practices in Sustainable Tourism and Public Policy. In </w:t>
      </w:r>
      <w:r>
        <w:rPr>
          <w:i/>
        </w:rPr>
        <w:t>3rd International Conference on Reinventing Business Practices, Start-ups and Sustainability (ICRBSS 2023)</w:t>
      </w:r>
      <w:r>
        <w:t> (pp. 973-983). Atlantis Press.</w:t>
      </w:r>
    </w:p>
    <w:p w14:paraId="00000065" w14:textId="77777777" w:rsidR="007E3170" w:rsidRDefault="00B75A6D" w:rsidP="0089286A">
      <w:pPr>
        <w:spacing w:before="100" w:beforeAutospacing="1" w:after="100" w:afterAutospacing="1" w:line="360" w:lineRule="auto"/>
      </w:pPr>
      <w:r>
        <w:t xml:space="preserve">Marriot, 2021. </w:t>
      </w:r>
      <w:r>
        <w:rPr>
          <w:i/>
        </w:rPr>
        <w:t xml:space="preserve">Commitment Represents Company's Latest Action on Climate Stewardship. </w:t>
      </w:r>
      <w:r>
        <w:t xml:space="preserve">Available at: </w:t>
      </w:r>
      <w:hyperlink r:id="rId10" w:anchor=":~:text=Set%20a%20long-term%20science-based%20target%20to%20reach%20net-zero,and%20recommendations%20of%20the%20Science%20Based%20Targets%20initiative">
        <w:r w:rsidR="007E3170">
          <w:rPr>
            <w:color w:val="0563C1"/>
            <w:u w:val="single"/>
          </w:rPr>
          <w:t>https://marriott.gcs-web.com/news-releases/news-release-details/marriott-international-announces-ambition-go-net-zero#:~:text=Set%20a%20long-term%20science-based%20target%20to%20reach%20net-zero,and%20recommendations%20of%20the%20Science%20Based%20Targets%20initiative</w:t>
        </w:r>
      </w:hyperlink>
      <w:r>
        <w:t>. (Accessed: 12 May 2025)</w:t>
      </w:r>
    </w:p>
    <w:p w14:paraId="00000066" w14:textId="77777777" w:rsidR="007E3170" w:rsidRDefault="00B75A6D" w:rsidP="0089286A">
      <w:pPr>
        <w:spacing w:before="100" w:beforeAutospacing="1" w:after="100" w:afterAutospacing="1" w:line="360" w:lineRule="auto"/>
      </w:pPr>
      <w:r>
        <w:t>Martínez, G., 2024. Cultural Heritage Tourism: Balancing Preservation with Visitor Experience. </w:t>
      </w:r>
      <w:r>
        <w:rPr>
          <w:i/>
        </w:rPr>
        <w:t>Journal of Tourism, Culture, and Management Studies</w:t>
      </w:r>
      <w:r>
        <w:t>, </w:t>
      </w:r>
      <w:r>
        <w:rPr>
          <w:i/>
        </w:rPr>
        <w:t>1</w:t>
      </w:r>
      <w:r>
        <w:t>(2), pp.17-27.</w:t>
      </w:r>
    </w:p>
    <w:p w14:paraId="00000067" w14:textId="77777777" w:rsidR="007E3170" w:rsidRDefault="00B75A6D" w:rsidP="0089286A">
      <w:pPr>
        <w:spacing w:before="100" w:beforeAutospacing="1" w:after="100" w:afterAutospacing="1" w:line="360" w:lineRule="auto"/>
      </w:pPr>
      <w:r>
        <w:t>Martinsuo, M. and Huemann, M., 2021. Reporting case studies for making an impact. </w:t>
      </w:r>
      <w:r>
        <w:rPr>
          <w:i/>
        </w:rPr>
        <w:t>International Journal of Project Management</w:t>
      </w:r>
      <w:r>
        <w:t>, </w:t>
      </w:r>
      <w:r>
        <w:rPr>
          <w:i/>
        </w:rPr>
        <w:t>39</w:t>
      </w:r>
      <w:r>
        <w:t>(8), pp.827-833.</w:t>
      </w:r>
    </w:p>
    <w:p w14:paraId="00000068" w14:textId="77777777" w:rsidR="007E3170" w:rsidRDefault="00B75A6D" w:rsidP="0089286A">
      <w:pPr>
        <w:spacing w:before="100" w:beforeAutospacing="1" w:after="100" w:afterAutospacing="1" w:line="360" w:lineRule="auto"/>
      </w:pPr>
      <w:r>
        <w:lastRenderedPageBreak/>
        <w:t>Mavrigiannaki, A., Pignatta, G., Assimakopoulos, M., Isaac, M., Gupta, R., Kolokotsa, D., Laskari, M., Saliari, M., Meir, I.A. and Isaac, S., 2021. Examining the benefits and barriers for the implementation of net zero energy settlements. </w:t>
      </w:r>
      <w:r>
        <w:rPr>
          <w:i/>
        </w:rPr>
        <w:t>Energy and Buildings</w:t>
      </w:r>
      <w:r>
        <w:t>, </w:t>
      </w:r>
      <w:r>
        <w:rPr>
          <w:i/>
        </w:rPr>
        <w:t>230</w:t>
      </w:r>
      <w:r>
        <w:t>,</w:t>
      </w:r>
      <w:sdt>
        <w:sdtPr>
          <w:tag w:val="goog_rdk_13"/>
          <w:id w:val="1790860560"/>
        </w:sdtPr>
        <w:sdtEndPr/>
        <w:sdtContent/>
      </w:sdt>
      <w:r>
        <w:t xml:space="preserve"> p.1-12.</w:t>
      </w:r>
    </w:p>
    <w:p w14:paraId="00000069" w14:textId="77777777" w:rsidR="007E3170" w:rsidRDefault="00B75A6D" w:rsidP="0089286A">
      <w:pPr>
        <w:spacing w:before="100" w:beforeAutospacing="1" w:after="100" w:afterAutospacing="1" w:line="360" w:lineRule="auto"/>
      </w:pPr>
      <w:r>
        <w:t>Mirza, Z.T., Anderson, T., Seadon, J. and Brent, A., 2024. A thematic analysis of the factors that influence the development of a renewable energy policy. </w:t>
      </w:r>
      <w:r>
        <w:rPr>
          <w:i/>
        </w:rPr>
        <w:t>Renewable Energy Focus</w:t>
      </w:r>
      <w:r>
        <w:t xml:space="preserve">, </w:t>
      </w:r>
      <w:sdt>
        <w:sdtPr>
          <w:tag w:val="goog_rdk_14"/>
          <w:id w:val="238299398"/>
        </w:sdtPr>
        <w:sdtEndPr/>
        <w:sdtContent/>
      </w:sdt>
      <w:r>
        <w:t>p.1-16.</w:t>
      </w:r>
    </w:p>
    <w:p w14:paraId="0000006A" w14:textId="77777777" w:rsidR="007E3170" w:rsidRDefault="00B75A6D" w:rsidP="0089286A">
      <w:pPr>
        <w:spacing w:before="100" w:beforeAutospacing="1" w:after="100" w:afterAutospacing="1" w:line="360" w:lineRule="auto"/>
      </w:pPr>
      <w:r>
        <w:t>Ogunsola, O.Y., Adebayo, Y.A., Dienagha, I.N., Ninduwezuor-Ehiobu, N. and Nwokediegwu, Z.S., 2024. Strategic framework for integrating green bonds and other financial instruments in renewable energy financing. </w:t>
      </w:r>
      <w:r>
        <w:rPr>
          <w:i/>
        </w:rPr>
        <w:t>Gulf Journal of Advance Business Research</w:t>
      </w:r>
      <w:r>
        <w:t>, </w:t>
      </w:r>
      <w:r>
        <w:rPr>
          <w:i/>
        </w:rPr>
        <w:t>2</w:t>
      </w:r>
      <w:r>
        <w:t>(6), pp.461-472.</w:t>
      </w:r>
    </w:p>
    <w:p w14:paraId="0000006B" w14:textId="77777777" w:rsidR="007E3170" w:rsidRDefault="00B75A6D" w:rsidP="0089286A">
      <w:pPr>
        <w:spacing w:before="100" w:beforeAutospacing="1" w:after="100" w:afterAutospacing="1" w:line="360" w:lineRule="auto"/>
      </w:pPr>
      <w:r>
        <w:t>Rodríguez-García, R., Ferrero-Ferrero, I. and Fernández-Izquierdo, M.Á., 2023. Analysis of integration of sustainability in sustainability certifications in the hotel industry. </w:t>
      </w:r>
      <w:r>
        <w:rPr>
          <w:i/>
        </w:rPr>
        <w:t>Frontiers in Sustainability</w:t>
      </w:r>
      <w:r>
        <w:t>,</w:t>
      </w:r>
      <w:sdt>
        <w:sdtPr>
          <w:tag w:val="goog_rdk_15"/>
          <w:id w:val="-1221362939"/>
        </w:sdtPr>
        <w:sdtEndPr/>
        <w:sdtContent/>
      </w:sdt>
      <w:sdt>
        <w:sdtPr>
          <w:tag w:val="goog_rdk_16"/>
          <w:id w:val="-1194922493"/>
        </w:sdtPr>
        <w:sdtEndPr/>
        <w:sdtContent/>
      </w:sdt>
      <w:r>
        <w:t> </w:t>
      </w:r>
      <w:r>
        <w:rPr>
          <w:i/>
        </w:rPr>
        <w:t>4</w:t>
      </w:r>
      <w:r>
        <w:t>, p.1-14.</w:t>
      </w:r>
    </w:p>
    <w:p w14:paraId="0000006C" w14:textId="77777777" w:rsidR="007E3170" w:rsidRDefault="00B75A6D" w:rsidP="0089286A">
      <w:pPr>
        <w:spacing w:before="100" w:beforeAutospacing="1" w:after="100" w:afterAutospacing="1" w:line="360" w:lineRule="auto"/>
      </w:pPr>
      <w:r>
        <w:t>Saxena, A., Singh, R., Gehlot, A., Akram, S.V., Twala, B., Singh, A., Montero, E.C. and Priyadarshi, N., 2022. Technologies empowered environmental, social, and governance (ESG): An industry 4.0 landscape. </w:t>
      </w:r>
      <w:r>
        <w:rPr>
          <w:i/>
        </w:rPr>
        <w:t>Sustainability</w:t>
      </w:r>
      <w:r>
        <w:t>, </w:t>
      </w:r>
      <w:r>
        <w:rPr>
          <w:i/>
        </w:rPr>
        <w:t>15</w:t>
      </w:r>
      <w:r>
        <w:t>(1), p.309.</w:t>
      </w:r>
    </w:p>
    <w:p w14:paraId="0000006D" w14:textId="77777777" w:rsidR="007E3170" w:rsidRDefault="00B75A6D" w:rsidP="0089286A">
      <w:pPr>
        <w:spacing w:before="100" w:beforeAutospacing="1" w:after="100" w:afterAutospacing="1" w:line="360" w:lineRule="auto"/>
      </w:pPr>
      <w:r>
        <w:t>Singh, A.B., Mishra, Y. and Yadav, S., 2024. Toward Sustainability: Interventions for Implementing Energy-Efficient Systems into Hotel Buildings. </w:t>
      </w:r>
      <w:r>
        <w:rPr>
          <w:i/>
        </w:rPr>
        <w:t>Engineering Proceedings</w:t>
      </w:r>
      <w:r>
        <w:t>, </w:t>
      </w:r>
      <w:r>
        <w:rPr>
          <w:i/>
        </w:rPr>
        <w:t>67</w:t>
      </w:r>
      <w:r>
        <w:t>(1), p.80.</w:t>
      </w:r>
    </w:p>
    <w:p w14:paraId="0000006E" w14:textId="77777777" w:rsidR="007E3170" w:rsidRDefault="00B75A6D" w:rsidP="0089286A">
      <w:pPr>
        <w:spacing w:before="100" w:beforeAutospacing="1" w:after="100" w:afterAutospacing="1" w:line="360" w:lineRule="auto"/>
      </w:pPr>
      <w:r>
        <w:t>Soares, F., Madureira, A., Pagès, A., Barbosa, A., Coelho, A., Cassola, F., Ribeiro, F., Viana, J., Andrade, J., Dorokhova, M. and Morais, N., 2021. Feedback: An ICT-based platform to increase energy efficiency through buildings’ consumer engagement. </w:t>
      </w:r>
      <w:r>
        <w:rPr>
          <w:i/>
        </w:rPr>
        <w:t>Energies</w:t>
      </w:r>
      <w:r>
        <w:t>, </w:t>
      </w:r>
      <w:r>
        <w:rPr>
          <w:i/>
        </w:rPr>
        <w:t>14</w:t>
      </w:r>
      <w:r>
        <w:t>(6), p.1-43.</w:t>
      </w:r>
    </w:p>
    <w:p w14:paraId="0000006F" w14:textId="77777777" w:rsidR="007E3170" w:rsidRDefault="00B75A6D" w:rsidP="0089286A">
      <w:pPr>
        <w:spacing w:before="100" w:beforeAutospacing="1" w:after="100" w:afterAutospacing="1" w:line="360" w:lineRule="auto"/>
      </w:pPr>
      <w:r>
        <w:t>Steinebach, Y., 2022. Instrument choice, implementation structures, and the effectiveness of environmental policies: A cross‐national analysis. </w:t>
      </w:r>
      <w:r>
        <w:rPr>
          <w:i/>
        </w:rPr>
        <w:t>Regulation &amp; Governance</w:t>
      </w:r>
      <w:r>
        <w:t>, </w:t>
      </w:r>
      <w:r>
        <w:rPr>
          <w:i/>
        </w:rPr>
        <w:t>16</w:t>
      </w:r>
      <w:r>
        <w:t>(1), pp.225-242.</w:t>
      </w:r>
    </w:p>
    <w:p w14:paraId="00000070" w14:textId="77777777" w:rsidR="007E3170" w:rsidRDefault="00B75A6D" w:rsidP="0089286A">
      <w:pPr>
        <w:spacing w:before="100" w:beforeAutospacing="1" w:after="100" w:afterAutospacing="1" w:line="360" w:lineRule="auto"/>
      </w:pPr>
      <w:r>
        <w:t>Sun, J. and Nasrullah, A., 2024. Green transition in the hospitality industry: The influence of market forces and customer dynamics on sustainable performance in the digital era. </w:t>
      </w:r>
      <w:r>
        <w:rPr>
          <w:i/>
        </w:rPr>
        <w:t>Heliyon</w:t>
      </w:r>
      <w:r>
        <w:t>, </w:t>
      </w:r>
      <w:r>
        <w:rPr>
          <w:i/>
        </w:rPr>
        <w:t>10</w:t>
      </w:r>
      <w:r>
        <w:t>(8). p. 3</w:t>
      </w:r>
    </w:p>
    <w:p w14:paraId="00000071" w14:textId="77777777" w:rsidR="007E3170" w:rsidRDefault="00B75A6D" w:rsidP="0089286A">
      <w:pPr>
        <w:spacing w:before="100" w:beforeAutospacing="1" w:after="100" w:afterAutospacing="1" w:line="360" w:lineRule="auto"/>
      </w:pPr>
      <w:r>
        <w:lastRenderedPageBreak/>
        <w:t>Velaoras, K., Menegaki, A.N., Polyzos, S. and Gotzamani, K., 2025. The role of environmental certification in the hospitality industry: Assessing sustainability, consumer preferences, and the economic impact. </w:t>
      </w:r>
      <w:r>
        <w:rPr>
          <w:i/>
        </w:rPr>
        <w:t>Sustainability</w:t>
      </w:r>
      <w:r>
        <w:t>, </w:t>
      </w:r>
      <w:r>
        <w:rPr>
          <w:i/>
        </w:rPr>
        <w:t>17</w:t>
      </w:r>
      <w:r>
        <w:t>(2), p.650.</w:t>
      </w:r>
    </w:p>
    <w:p w14:paraId="00000072" w14:textId="77777777" w:rsidR="007E3170" w:rsidRDefault="00B75A6D" w:rsidP="0089286A">
      <w:pPr>
        <w:spacing w:before="100" w:beforeAutospacing="1" w:after="100" w:afterAutospacing="1" w:line="360" w:lineRule="auto"/>
      </w:pPr>
      <w:r>
        <w:t>Zada, M., Erkol Bayram, G., Contreras-Barraza, N., Kaptangil, K. and Aylan, S., 2025. Integrating Social Media-Driven Service Innovation and Sustainable Leadership: Advancing Sustainable Practices in Tourism and Hospitality. </w:t>
      </w:r>
      <w:r>
        <w:rPr>
          <w:i/>
        </w:rPr>
        <w:t>Sustainability</w:t>
      </w:r>
      <w:r>
        <w:t>, </w:t>
      </w:r>
      <w:r>
        <w:rPr>
          <w:i/>
        </w:rPr>
        <w:t>17</w:t>
      </w:r>
      <w:r>
        <w:t>(2), p.399.</w:t>
      </w:r>
    </w:p>
    <w:p w14:paraId="00000073" w14:textId="77777777" w:rsidR="007E3170" w:rsidRDefault="007E3170" w:rsidP="0089286A">
      <w:pPr>
        <w:spacing w:before="100" w:beforeAutospacing="1" w:after="100" w:afterAutospacing="1" w:line="360" w:lineRule="auto"/>
        <w:jc w:val="left"/>
      </w:pPr>
    </w:p>
    <w:sectPr w:rsidR="007E3170">
      <w:footerReference w:type="default" r:id="rId1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F8061D3" w14:textId="77777777" w:rsidR="00060E25" w:rsidRDefault="00060E25">
      <w:pPr>
        <w:spacing w:line="240" w:lineRule="auto"/>
      </w:pPr>
      <w:r>
        <w:separator/>
      </w:r>
    </w:p>
  </w:endnote>
  <w:endnote w:type="continuationSeparator" w:id="0">
    <w:p w14:paraId="70AF776F" w14:textId="77777777" w:rsidR="00060E25" w:rsidRDefault="00060E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200247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74" w14:textId="6E027495" w:rsidR="007E3170" w:rsidRDefault="00B75A6D">
    <w:pPr>
      <w:pBdr>
        <w:top w:val="nil"/>
        <w:left w:val="nil"/>
        <w:bottom w:val="nil"/>
        <w:right w:val="nil"/>
        <w:between w:val="nil"/>
      </w:pBdr>
      <w:tabs>
        <w:tab w:val="center" w:pos="4680"/>
        <w:tab w:val="right" w:pos="9360"/>
      </w:tabs>
      <w:spacing w:line="240" w:lineRule="auto"/>
      <w:jc w:val="right"/>
      <w:rPr>
        <w:color w:val="000000"/>
        <w:szCs w:val="24"/>
      </w:rPr>
    </w:pPr>
    <w:r>
      <w:rPr>
        <w:color w:val="000000"/>
        <w:szCs w:val="24"/>
      </w:rPr>
      <w:fldChar w:fldCharType="begin"/>
    </w:r>
    <w:r>
      <w:rPr>
        <w:color w:val="000000"/>
        <w:szCs w:val="24"/>
      </w:rPr>
      <w:instrText>PAGE</w:instrText>
    </w:r>
    <w:r>
      <w:rPr>
        <w:color w:val="000000"/>
        <w:szCs w:val="24"/>
      </w:rPr>
      <w:fldChar w:fldCharType="separate"/>
    </w:r>
    <w:r w:rsidR="00AE0667">
      <w:rPr>
        <w:noProof/>
        <w:color w:val="000000"/>
        <w:szCs w:val="24"/>
      </w:rPr>
      <w:t>1</w:t>
    </w:r>
    <w:r>
      <w:rPr>
        <w:color w:val="000000"/>
        <w:szCs w:val="24"/>
      </w:rPr>
      <w:fldChar w:fldCharType="end"/>
    </w:r>
  </w:p>
  <w:p w14:paraId="00000075" w14:textId="77777777" w:rsidR="007E3170" w:rsidRDefault="007E3170">
    <w:pPr>
      <w:pBdr>
        <w:top w:val="nil"/>
        <w:left w:val="nil"/>
        <w:bottom w:val="nil"/>
        <w:right w:val="nil"/>
        <w:between w:val="nil"/>
      </w:pBdr>
      <w:tabs>
        <w:tab w:val="center" w:pos="4680"/>
        <w:tab w:val="right" w:pos="9360"/>
      </w:tabs>
      <w:spacing w:line="240" w:lineRule="auto"/>
      <w:rPr>
        <w:color w:val="000000"/>
        <w:szCs w:val="2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EED05E5" w14:textId="77777777" w:rsidR="00060E25" w:rsidRDefault="00060E25">
      <w:pPr>
        <w:spacing w:line="240" w:lineRule="auto"/>
      </w:pPr>
      <w:r>
        <w:separator/>
      </w:r>
    </w:p>
  </w:footnote>
  <w:footnote w:type="continuationSeparator" w:id="0">
    <w:p w14:paraId="2B0C1433" w14:textId="77777777" w:rsidR="00060E25" w:rsidRDefault="00060E25">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7C7999"/>
    <w:multiLevelType w:val="multilevel"/>
    <w:tmpl w:val="451836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E3170"/>
    <w:rsid w:val="00060E25"/>
    <w:rsid w:val="002C6CAD"/>
    <w:rsid w:val="00391D5D"/>
    <w:rsid w:val="00577BA2"/>
    <w:rsid w:val="00715E59"/>
    <w:rsid w:val="007E3170"/>
    <w:rsid w:val="0089286A"/>
    <w:rsid w:val="00992B1B"/>
    <w:rsid w:val="00AE0667"/>
    <w:rsid w:val="00B75A6D"/>
    <w:rsid w:val="00BA1D33"/>
    <w:rsid w:val="00EF1AA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203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A4792"/>
    <w:rPr>
      <w:szCs w:val="20"/>
    </w:rPr>
  </w:style>
  <w:style w:type="paragraph" w:styleId="1">
    <w:name w:val="heading 1"/>
    <w:basedOn w:val="a"/>
    <w:next w:val="a"/>
    <w:link w:val="10"/>
    <w:uiPriority w:val="9"/>
    <w:qFormat/>
    <w:rsid w:val="008B5887"/>
    <w:pPr>
      <w:keepNext/>
      <w:keepLines/>
      <w:spacing w:before="400" w:after="120"/>
      <w:outlineLvl w:val="0"/>
    </w:pPr>
    <w:rPr>
      <w:b/>
      <w:sz w:val="28"/>
      <w:szCs w:val="40"/>
    </w:rPr>
  </w:style>
  <w:style w:type="paragraph" w:styleId="2">
    <w:name w:val="heading 2"/>
    <w:basedOn w:val="a"/>
    <w:next w:val="a"/>
    <w:link w:val="20"/>
    <w:uiPriority w:val="9"/>
    <w:semiHidden/>
    <w:unhideWhenUsed/>
    <w:qFormat/>
    <w:rsid w:val="00CA404A"/>
    <w:pPr>
      <w:keepNext/>
      <w:keepLines/>
      <w:spacing w:before="360" w:after="120"/>
      <w:outlineLvl w:val="1"/>
    </w:pPr>
    <w:rPr>
      <w:b/>
      <w:sz w:val="26"/>
      <w:szCs w:val="32"/>
    </w:rPr>
  </w:style>
  <w:style w:type="paragraph" w:styleId="3">
    <w:name w:val="heading 3"/>
    <w:basedOn w:val="a"/>
    <w:next w:val="a"/>
    <w:link w:val="30"/>
    <w:uiPriority w:val="9"/>
    <w:semiHidden/>
    <w:unhideWhenUsed/>
    <w:qFormat/>
    <w:rsid w:val="00360400"/>
    <w:pPr>
      <w:keepNext/>
      <w:keepLines/>
      <w:spacing w:before="40"/>
      <w:jc w:val="left"/>
      <w:outlineLvl w:val="2"/>
    </w:pPr>
    <w:rPr>
      <w:rFonts w:eastAsiaTheme="majorEastAsia" w:cstheme="majorBidi"/>
      <w:b/>
      <w:color w:val="000000" w:themeColor="text1"/>
      <w:kern w:val="2"/>
      <w:szCs w:val="24"/>
    </w:rPr>
  </w:style>
  <w:style w:type="paragraph" w:styleId="4">
    <w:name w:val="heading 4"/>
    <w:basedOn w:val="a"/>
    <w:next w:val="a"/>
    <w:link w:val="40"/>
    <w:uiPriority w:val="9"/>
    <w:semiHidden/>
    <w:unhideWhenUsed/>
    <w:qFormat/>
    <w:rsid w:val="00191F1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5">
    <w:name w:val="heading 5"/>
    <w:basedOn w:val="a"/>
    <w:next w:val="a"/>
    <w:link w:val="50"/>
    <w:uiPriority w:val="9"/>
    <w:semiHidden/>
    <w:unhideWhenUsed/>
    <w:qFormat/>
    <w:rsid w:val="00191F14"/>
    <w:pPr>
      <w:keepNext/>
      <w:keepLines/>
      <w:spacing w:before="80" w:after="40"/>
      <w:outlineLvl w:val="4"/>
    </w:pPr>
    <w:rPr>
      <w:rFonts w:asciiTheme="minorHAnsi" w:eastAsiaTheme="majorEastAsia" w:hAnsiTheme="minorHAnsi" w:cstheme="majorBidi"/>
      <w:color w:val="2F5496" w:themeColor="accent1" w:themeShade="BF"/>
    </w:rPr>
  </w:style>
  <w:style w:type="paragraph" w:styleId="6">
    <w:name w:val="heading 6"/>
    <w:basedOn w:val="a"/>
    <w:next w:val="a"/>
    <w:link w:val="60"/>
    <w:uiPriority w:val="9"/>
    <w:semiHidden/>
    <w:unhideWhenUsed/>
    <w:qFormat/>
    <w:rsid w:val="00191F14"/>
    <w:pPr>
      <w:keepNext/>
      <w:keepLines/>
      <w:spacing w:before="40"/>
      <w:outlineLvl w:val="5"/>
    </w:pPr>
    <w:rPr>
      <w:rFonts w:asciiTheme="minorHAnsi" w:eastAsiaTheme="majorEastAsia" w:hAnsiTheme="minorHAnsi" w:cstheme="majorBidi"/>
      <w:i/>
      <w:iCs/>
      <w:color w:val="595959" w:themeColor="text1" w:themeTint="A6"/>
    </w:rPr>
  </w:style>
  <w:style w:type="paragraph" w:styleId="7">
    <w:name w:val="heading 7"/>
    <w:basedOn w:val="a"/>
    <w:next w:val="a"/>
    <w:link w:val="70"/>
    <w:uiPriority w:val="9"/>
    <w:semiHidden/>
    <w:unhideWhenUsed/>
    <w:qFormat/>
    <w:rsid w:val="00191F14"/>
    <w:pPr>
      <w:keepNext/>
      <w:keepLines/>
      <w:spacing w:before="40"/>
      <w:outlineLvl w:val="6"/>
    </w:pPr>
    <w:rPr>
      <w:rFonts w:asciiTheme="minorHAnsi" w:eastAsiaTheme="majorEastAsia" w:hAnsiTheme="minorHAnsi" w:cstheme="majorBidi"/>
      <w:color w:val="595959" w:themeColor="text1" w:themeTint="A6"/>
    </w:rPr>
  </w:style>
  <w:style w:type="paragraph" w:styleId="8">
    <w:name w:val="heading 8"/>
    <w:basedOn w:val="a"/>
    <w:next w:val="a"/>
    <w:link w:val="80"/>
    <w:uiPriority w:val="9"/>
    <w:semiHidden/>
    <w:unhideWhenUsed/>
    <w:qFormat/>
    <w:rsid w:val="00191F14"/>
    <w:pPr>
      <w:keepNext/>
      <w:keepLines/>
      <w:outlineLvl w:val="7"/>
    </w:pPr>
    <w:rPr>
      <w:rFonts w:asciiTheme="minorHAnsi" w:eastAsiaTheme="majorEastAsia" w:hAnsiTheme="minorHAnsi" w:cstheme="majorBidi"/>
      <w:i/>
      <w:iCs/>
      <w:color w:val="272727" w:themeColor="text1" w:themeTint="D8"/>
    </w:rPr>
  </w:style>
  <w:style w:type="paragraph" w:styleId="9">
    <w:name w:val="heading 9"/>
    <w:basedOn w:val="a"/>
    <w:next w:val="a"/>
    <w:link w:val="90"/>
    <w:uiPriority w:val="9"/>
    <w:semiHidden/>
    <w:unhideWhenUsed/>
    <w:qFormat/>
    <w:rsid w:val="00191F14"/>
    <w:pPr>
      <w:keepNext/>
      <w:keepLines/>
      <w:outlineLvl w:val="8"/>
    </w:pPr>
    <w:rPr>
      <w:rFonts w:asciiTheme="minorHAnsi" w:eastAsiaTheme="majorEastAsia" w:hAnsiTheme="minorHAnsi"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191F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10">
    <w:name w:val="Заглавие 1 Знак"/>
    <w:basedOn w:val="a0"/>
    <w:link w:val="1"/>
    <w:rsid w:val="008B5887"/>
    <w:rPr>
      <w:rFonts w:ascii="Times New Roman" w:hAnsi="Times New Roman" w:cs="Arial"/>
      <w:b/>
      <w:color w:val="000000" w:themeColor="text1"/>
      <w:kern w:val="0"/>
      <w:sz w:val="28"/>
      <w:szCs w:val="40"/>
    </w:rPr>
  </w:style>
  <w:style w:type="character" w:customStyle="1" w:styleId="20">
    <w:name w:val="Заглавие 2 Знак"/>
    <w:basedOn w:val="a0"/>
    <w:link w:val="2"/>
    <w:rsid w:val="00CA404A"/>
    <w:rPr>
      <w:rFonts w:ascii="Times New Roman" w:hAnsi="Times New Roman" w:cs="Arial"/>
      <w:b/>
      <w:color w:val="000000" w:themeColor="text1"/>
      <w:kern w:val="0"/>
      <w:sz w:val="26"/>
      <w:szCs w:val="32"/>
    </w:rPr>
  </w:style>
  <w:style w:type="character" w:customStyle="1" w:styleId="30">
    <w:name w:val="Заглавие 3 Знак"/>
    <w:basedOn w:val="a0"/>
    <w:link w:val="3"/>
    <w:uiPriority w:val="9"/>
    <w:rsid w:val="00360400"/>
    <w:rPr>
      <w:rFonts w:ascii="Times New Roman" w:eastAsiaTheme="majorEastAsia" w:hAnsi="Times New Roman" w:cstheme="majorBidi"/>
      <w:b/>
      <w:color w:val="000000" w:themeColor="text1"/>
      <w:sz w:val="24"/>
      <w:szCs w:val="24"/>
      <w:lang w:val="en-GB"/>
    </w:rPr>
  </w:style>
  <w:style w:type="character" w:customStyle="1" w:styleId="40">
    <w:name w:val="Заглавие 4 Знак"/>
    <w:basedOn w:val="a0"/>
    <w:link w:val="4"/>
    <w:uiPriority w:val="9"/>
    <w:semiHidden/>
    <w:rsid w:val="00191F14"/>
    <w:rPr>
      <w:rFonts w:eastAsiaTheme="majorEastAsia" w:cstheme="majorBidi"/>
      <w:i/>
      <w:iCs/>
      <w:color w:val="2F5496" w:themeColor="accent1" w:themeShade="BF"/>
      <w:kern w:val="0"/>
      <w:sz w:val="24"/>
      <w:szCs w:val="20"/>
      <w:lang w:val="en-GB"/>
    </w:rPr>
  </w:style>
  <w:style w:type="character" w:customStyle="1" w:styleId="50">
    <w:name w:val="Заглавие 5 Знак"/>
    <w:basedOn w:val="a0"/>
    <w:link w:val="5"/>
    <w:uiPriority w:val="9"/>
    <w:semiHidden/>
    <w:rsid w:val="00191F14"/>
    <w:rPr>
      <w:rFonts w:eastAsiaTheme="majorEastAsia" w:cstheme="majorBidi"/>
      <w:color w:val="2F5496" w:themeColor="accent1" w:themeShade="BF"/>
      <w:kern w:val="0"/>
      <w:sz w:val="24"/>
      <w:szCs w:val="20"/>
      <w:lang w:val="en-GB"/>
    </w:rPr>
  </w:style>
  <w:style w:type="character" w:customStyle="1" w:styleId="60">
    <w:name w:val="Заглавие 6 Знак"/>
    <w:basedOn w:val="a0"/>
    <w:link w:val="6"/>
    <w:uiPriority w:val="9"/>
    <w:semiHidden/>
    <w:rsid w:val="00191F14"/>
    <w:rPr>
      <w:rFonts w:eastAsiaTheme="majorEastAsia" w:cstheme="majorBidi"/>
      <w:i/>
      <w:iCs/>
      <w:color w:val="595959" w:themeColor="text1" w:themeTint="A6"/>
      <w:kern w:val="0"/>
      <w:sz w:val="24"/>
      <w:szCs w:val="20"/>
      <w:lang w:val="en-GB"/>
    </w:rPr>
  </w:style>
  <w:style w:type="character" w:customStyle="1" w:styleId="70">
    <w:name w:val="Заглавие 7 Знак"/>
    <w:basedOn w:val="a0"/>
    <w:link w:val="7"/>
    <w:uiPriority w:val="9"/>
    <w:semiHidden/>
    <w:rsid w:val="00191F14"/>
    <w:rPr>
      <w:rFonts w:eastAsiaTheme="majorEastAsia" w:cstheme="majorBidi"/>
      <w:color w:val="595959" w:themeColor="text1" w:themeTint="A6"/>
      <w:kern w:val="0"/>
      <w:sz w:val="24"/>
      <w:szCs w:val="20"/>
      <w:lang w:val="en-GB"/>
    </w:rPr>
  </w:style>
  <w:style w:type="character" w:customStyle="1" w:styleId="80">
    <w:name w:val="Заглавие 8 Знак"/>
    <w:basedOn w:val="a0"/>
    <w:link w:val="8"/>
    <w:uiPriority w:val="9"/>
    <w:semiHidden/>
    <w:rsid w:val="00191F14"/>
    <w:rPr>
      <w:rFonts w:eastAsiaTheme="majorEastAsia" w:cstheme="majorBidi"/>
      <w:i/>
      <w:iCs/>
      <w:color w:val="272727" w:themeColor="text1" w:themeTint="D8"/>
      <w:kern w:val="0"/>
      <w:sz w:val="24"/>
      <w:szCs w:val="20"/>
      <w:lang w:val="en-GB"/>
    </w:rPr>
  </w:style>
  <w:style w:type="character" w:customStyle="1" w:styleId="90">
    <w:name w:val="Заглавие 9 Знак"/>
    <w:basedOn w:val="a0"/>
    <w:link w:val="9"/>
    <w:uiPriority w:val="9"/>
    <w:semiHidden/>
    <w:rsid w:val="00191F14"/>
    <w:rPr>
      <w:rFonts w:eastAsiaTheme="majorEastAsia" w:cstheme="majorBidi"/>
      <w:color w:val="272727" w:themeColor="text1" w:themeTint="D8"/>
      <w:kern w:val="0"/>
      <w:sz w:val="24"/>
      <w:szCs w:val="20"/>
      <w:lang w:val="en-GB"/>
    </w:rPr>
  </w:style>
  <w:style w:type="character" w:customStyle="1" w:styleId="a4">
    <w:name w:val="Заглавие Знак"/>
    <w:basedOn w:val="a0"/>
    <w:link w:val="a3"/>
    <w:uiPriority w:val="10"/>
    <w:rsid w:val="00191F14"/>
    <w:rPr>
      <w:rFonts w:asciiTheme="majorHAnsi" w:eastAsiaTheme="majorEastAsia" w:hAnsiTheme="majorHAnsi" w:cstheme="majorBidi"/>
      <w:spacing w:val="-10"/>
      <w:kern w:val="28"/>
      <w:sz w:val="56"/>
      <w:szCs w:val="56"/>
      <w:lang w:val="en-GB"/>
    </w:rPr>
  </w:style>
  <w:style w:type="paragraph" w:styleId="a5">
    <w:name w:val="Subtitle"/>
    <w:basedOn w:val="a"/>
    <w:next w:val="a"/>
    <w:link w:val="a6"/>
    <w:uiPriority w:val="11"/>
    <w:qFormat/>
    <w:pPr>
      <w:spacing w:after="160"/>
    </w:pPr>
    <w:rPr>
      <w:rFonts w:ascii="Calibri" w:eastAsia="Calibri" w:hAnsi="Calibri" w:cs="Calibri"/>
      <w:color w:val="595959"/>
      <w:sz w:val="28"/>
      <w:szCs w:val="28"/>
    </w:rPr>
  </w:style>
  <w:style w:type="character" w:customStyle="1" w:styleId="a6">
    <w:name w:val="Подзаглавие Знак"/>
    <w:basedOn w:val="a0"/>
    <w:link w:val="a5"/>
    <w:uiPriority w:val="11"/>
    <w:rsid w:val="00191F14"/>
    <w:rPr>
      <w:rFonts w:eastAsiaTheme="majorEastAsia" w:cstheme="majorBidi"/>
      <w:color w:val="595959" w:themeColor="text1" w:themeTint="A6"/>
      <w:spacing w:val="15"/>
      <w:kern w:val="0"/>
      <w:sz w:val="28"/>
      <w:szCs w:val="28"/>
      <w:lang w:val="en-GB"/>
    </w:rPr>
  </w:style>
  <w:style w:type="paragraph" w:styleId="a7">
    <w:name w:val="Quote"/>
    <w:basedOn w:val="a"/>
    <w:next w:val="a"/>
    <w:link w:val="a8"/>
    <w:uiPriority w:val="29"/>
    <w:qFormat/>
    <w:rsid w:val="00191F14"/>
    <w:pPr>
      <w:spacing w:before="160" w:after="160"/>
      <w:jc w:val="center"/>
    </w:pPr>
    <w:rPr>
      <w:i/>
      <w:iCs/>
      <w:color w:val="404040" w:themeColor="text1" w:themeTint="BF"/>
    </w:rPr>
  </w:style>
  <w:style w:type="character" w:customStyle="1" w:styleId="a8">
    <w:name w:val="Цитат Знак"/>
    <w:basedOn w:val="a0"/>
    <w:link w:val="a7"/>
    <w:uiPriority w:val="29"/>
    <w:rsid w:val="00191F14"/>
    <w:rPr>
      <w:rFonts w:ascii="Times New Roman" w:hAnsi="Times New Roman" w:cs="Times New Roman"/>
      <w:i/>
      <w:iCs/>
      <w:color w:val="404040" w:themeColor="text1" w:themeTint="BF"/>
      <w:kern w:val="0"/>
      <w:sz w:val="24"/>
      <w:szCs w:val="20"/>
      <w:lang w:val="en-GB"/>
    </w:rPr>
  </w:style>
  <w:style w:type="paragraph" w:styleId="a9">
    <w:name w:val="List Paragraph"/>
    <w:basedOn w:val="a"/>
    <w:uiPriority w:val="34"/>
    <w:qFormat/>
    <w:rsid w:val="00191F14"/>
    <w:pPr>
      <w:ind w:left="720"/>
      <w:contextualSpacing/>
    </w:pPr>
  </w:style>
  <w:style w:type="character" w:styleId="aa">
    <w:name w:val="Intense Emphasis"/>
    <w:basedOn w:val="a0"/>
    <w:uiPriority w:val="21"/>
    <w:qFormat/>
    <w:rsid w:val="00191F14"/>
    <w:rPr>
      <w:i/>
      <w:iCs/>
      <w:color w:val="2F5496" w:themeColor="accent1" w:themeShade="BF"/>
    </w:rPr>
  </w:style>
  <w:style w:type="paragraph" w:styleId="ab">
    <w:name w:val="Intense Quote"/>
    <w:basedOn w:val="a"/>
    <w:next w:val="a"/>
    <w:link w:val="ac"/>
    <w:uiPriority w:val="30"/>
    <w:qFormat/>
    <w:rsid w:val="00191F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Интензивно цитиране Знак"/>
    <w:basedOn w:val="a0"/>
    <w:link w:val="ab"/>
    <w:uiPriority w:val="30"/>
    <w:rsid w:val="00191F14"/>
    <w:rPr>
      <w:rFonts w:ascii="Times New Roman" w:hAnsi="Times New Roman" w:cs="Times New Roman"/>
      <w:i/>
      <w:iCs/>
      <w:color w:val="2F5496" w:themeColor="accent1" w:themeShade="BF"/>
      <w:kern w:val="0"/>
      <w:sz w:val="24"/>
      <w:szCs w:val="20"/>
      <w:lang w:val="en-GB"/>
    </w:rPr>
  </w:style>
  <w:style w:type="character" w:styleId="ad">
    <w:name w:val="Intense Reference"/>
    <w:basedOn w:val="a0"/>
    <w:uiPriority w:val="32"/>
    <w:qFormat/>
    <w:rsid w:val="00191F14"/>
    <w:rPr>
      <w:b/>
      <w:bCs/>
      <w:smallCaps/>
      <w:color w:val="2F5496" w:themeColor="accent1" w:themeShade="BF"/>
      <w:spacing w:val="5"/>
    </w:rPr>
  </w:style>
  <w:style w:type="table" w:styleId="ae">
    <w:name w:val="Table Grid"/>
    <w:basedOn w:val="a1"/>
    <w:uiPriority w:val="39"/>
    <w:rsid w:val="00837373"/>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f">
    <w:name w:val="Hyperlink"/>
    <w:basedOn w:val="a0"/>
    <w:uiPriority w:val="99"/>
    <w:unhideWhenUsed/>
    <w:rsid w:val="00EA2ECC"/>
    <w:rPr>
      <w:color w:val="0563C1" w:themeColor="hyperlink"/>
      <w:u w:val="single"/>
    </w:rPr>
  </w:style>
  <w:style w:type="paragraph" w:styleId="af0">
    <w:name w:val="TOC Heading"/>
    <w:basedOn w:val="1"/>
    <w:next w:val="a"/>
    <w:uiPriority w:val="39"/>
    <w:unhideWhenUsed/>
    <w:qFormat/>
    <w:rsid w:val="00415186"/>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11">
    <w:name w:val="toc 1"/>
    <w:basedOn w:val="a"/>
    <w:next w:val="a"/>
    <w:autoRedefine/>
    <w:uiPriority w:val="39"/>
    <w:unhideWhenUsed/>
    <w:rsid w:val="00415186"/>
    <w:pPr>
      <w:spacing w:after="100"/>
    </w:pPr>
  </w:style>
  <w:style w:type="paragraph" w:styleId="af1">
    <w:name w:val="Balloon Text"/>
    <w:basedOn w:val="a"/>
    <w:link w:val="af2"/>
    <w:uiPriority w:val="99"/>
    <w:semiHidden/>
    <w:unhideWhenUsed/>
    <w:rsid w:val="00775F72"/>
    <w:pPr>
      <w:spacing w:line="240" w:lineRule="auto"/>
    </w:pPr>
    <w:rPr>
      <w:rFonts w:ascii="Tahoma" w:hAnsi="Tahoma" w:cs="Tahoma"/>
      <w:sz w:val="16"/>
      <w:szCs w:val="16"/>
    </w:rPr>
  </w:style>
  <w:style w:type="character" w:customStyle="1" w:styleId="af2">
    <w:name w:val="Изнесен текст Знак"/>
    <w:basedOn w:val="a0"/>
    <w:link w:val="af1"/>
    <w:uiPriority w:val="99"/>
    <w:semiHidden/>
    <w:rsid w:val="00775F72"/>
    <w:rPr>
      <w:rFonts w:ascii="Tahoma" w:hAnsi="Tahoma" w:cs="Tahoma"/>
      <w:kern w:val="0"/>
      <w:sz w:val="16"/>
      <w:szCs w:val="16"/>
      <w:lang w:val="en-GB"/>
    </w:rPr>
  </w:style>
  <w:style w:type="paragraph" w:styleId="af3">
    <w:name w:val="header"/>
    <w:basedOn w:val="a"/>
    <w:link w:val="af4"/>
    <w:uiPriority w:val="99"/>
    <w:semiHidden/>
    <w:unhideWhenUsed/>
    <w:rsid w:val="00775F72"/>
    <w:pPr>
      <w:tabs>
        <w:tab w:val="center" w:pos="4680"/>
        <w:tab w:val="right" w:pos="9360"/>
      </w:tabs>
      <w:spacing w:line="240" w:lineRule="auto"/>
    </w:pPr>
  </w:style>
  <w:style w:type="character" w:customStyle="1" w:styleId="af4">
    <w:name w:val="Горен колонтитул Знак"/>
    <w:basedOn w:val="a0"/>
    <w:link w:val="af3"/>
    <w:uiPriority w:val="99"/>
    <w:semiHidden/>
    <w:rsid w:val="00775F72"/>
    <w:rPr>
      <w:rFonts w:ascii="Times New Roman" w:hAnsi="Times New Roman" w:cs="Times New Roman"/>
      <w:kern w:val="0"/>
      <w:sz w:val="24"/>
      <w:szCs w:val="20"/>
      <w:lang w:val="en-GB"/>
    </w:rPr>
  </w:style>
  <w:style w:type="paragraph" w:styleId="af5">
    <w:name w:val="footer"/>
    <w:basedOn w:val="a"/>
    <w:link w:val="af6"/>
    <w:uiPriority w:val="99"/>
    <w:unhideWhenUsed/>
    <w:rsid w:val="00775F72"/>
    <w:pPr>
      <w:tabs>
        <w:tab w:val="center" w:pos="4680"/>
        <w:tab w:val="right" w:pos="9360"/>
      </w:tabs>
      <w:spacing w:line="240" w:lineRule="auto"/>
    </w:pPr>
  </w:style>
  <w:style w:type="character" w:customStyle="1" w:styleId="af6">
    <w:name w:val="Долен колонтитул Знак"/>
    <w:basedOn w:val="a0"/>
    <w:link w:val="af5"/>
    <w:uiPriority w:val="99"/>
    <w:rsid w:val="00775F72"/>
    <w:rPr>
      <w:rFonts w:ascii="Times New Roman" w:hAnsi="Times New Roman" w:cs="Times New Roman"/>
      <w:kern w:val="0"/>
      <w:sz w:val="24"/>
      <w:szCs w:val="20"/>
      <w:lang w:val="en-GB"/>
    </w:rPr>
  </w:style>
  <w:style w:type="table" w:customStyle="1" w:styleId="af7">
    <w:basedOn w:val="a1"/>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f8">
    <w:basedOn w:val="a1"/>
    <w:pPr>
      <w:spacing w:line="240" w:lineRule="auto"/>
    </w:pPr>
    <w:tblPr>
      <w:tblStyleRowBandSize w:val="1"/>
      <w:tblStyleColBandSize w:val="1"/>
      <w:tblInd w:w="0" w:type="dxa"/>
      <w:tblCellMar>
        <w:top w:w="0" w:type="dxa"/>
        <w:left w:w="108" w:type="dxa"/>
        <w:bottom w:w="0" w:type="dxa"/>
        <w:right w:w="108" w:type="dxa"/>
      </w:tblCellMar>
    </w:tblPr>
  </w:style>
  <w:style w:type="paragraph" w:styleId="af9">
    <w:name w:val="annotation text"/>
    <w:basedOn w:val="a"/>
    <w:link w:val="afa"/>
    <w:uiPriority w:val="99"/>
    <w:semiHidden/>
    <w:unhideWhenUsed/>
    <w:pPr>
      <w:spacing w:line="240" w:lineRule="auto"/>
    </w:pPr>
    <w:rPr>
      <w:sz w:val="20"/>
    </w:rPr>
  </w:style>
  <w:style w:type="character" w:customStyle="1" w:styleId="afa">
    <w:name w:val="Текст на коментар Знак"/>
    <w:basedOn w:val="a0"/>
    <w:link w:val="af9"/>
    <w:uiPriority w:val="99"/>
    <w:semiHidden/>
    <w:rPr>
      <w:sz w:val="20"/>
      <w:szCs w:val="20"/>
    </w:rPr>
  </w:style>
  <w:style w:type="character" w:styleId="afb">
    <w:name w:val="annotation reference"/>
    <w:basedOn w:val="a0"/>
    <w:uiPriority w:val="99"/>
    <w:semiHidden/>
    <w:unhideWhenUsed/>
    <w:rPr>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9A4792"/>
    <w:rPr>
      <w:szCs w:val="20"/>
    </w:rPr>
  </w:style>
  <w:style w:type="paragraph" w:styleId="1">
    <w:name w:val="heading 1"/>
    <w:basedOn w:val="a"/>
    <w:next w:val="a"/>
    <w:link w:val="10"/>
    <w:uiPriority w:val="9"/>
    <w:qFormat/>
    <w:rsid w:val="008B5887"/>
    <w:pPr>
      <w:keepNext/>
      <w:keepLines/>
      <w:spacing w:before="400" w:after="120"/>
      <w:outlineLvl w:val="0"/>
    </w:pPr>
    <w:rPr>
      <w:b/>
      <w:sz w:val="28"/>
      <w:szCs w:val="40"/>
    </w:rPr>
  </w:style>
  <w:style w:type="paragraph" w:styleId="2">
    <w:name w:val="heading 2"/>
    <w:basedOn w:val="a"/>
    <w:next w:val="a"/>
    <w:link w:val="20"/>
    <w:uiPriority w:val="9"/>
    <w:semiHidden/>
    <w:unhideWhenUsed/>
    <w:qFormat/>
    <w:rsid w:val="00CA404A"/>
    <w:pPr>
      <w:keepNext/>
      <w:keepLines/>
      <w:spacing w:before="360" w:after="120"/>
      <w:outlineLvl w:val="1"/>
    </w:pPr>
    <w:rPr>
      <w:b/>
      <w:sz w:val="26"/>
      <w:szCs w:val="32"/>
    </w:rPr>
  </w:style>
  <w:style w:type="paragraph" w:styleId="3">
    <w:name w:val="heading 3"/>
    <w:basedOn w:val="a"/>
    <w:next w:val="a"/>
    <w:link w:val="30"/>
    <w:uiPriority w:val="9"/>
    <w:semiHidden/>
    <w:unhideWhenUsed/>
    <w:qFormat/>
    <w:rsid w:val="00360400"/>
    <w:pPr>
      <w:keepNext/>
      <w:keepLines/>
      <w:spacing w:before="40"/>
      <w:jc w:val="left"/>
      <w:outlineLvl w:val="2"/>
    </w:pPr>
    <w:rPr>
      <w:rFonts w:eastAsiaTheme="majorEastAsia" w:cstheme="majorBidi"/>
      <w:b/>
      <w:color w:val="000000" w:themeColor="text1"/>
      <w:kern w:val="2"/>
      <w:szCs w:val="24"/>
    </w:rPr>
  </w:style>
  <w:style w:type="paragraph" w:styleId="4">
    <w:name w:val="heading 4"/>
    <w:basedOn w:val="a"/>
    <w:next w:val="a"/>
    <w:link w:val="40"/>
    <w:uiPriority w:val="9"/>
    <w:semiHidden/>
    <w:unhideWhenUsed/>
    <w:qFormat/>
    <w:rsid w:val="00191F1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5">
    <w:name w:val="heading 5"/>
    <w:basedOn w:val="a"/>
    <w:next w:val="a"/>
    <w:link w:val="50"/>
    <w:uiPriority w:val="9"/>
    <w:semiHidden/>
    <w:unhideWhenUsed/>
    <w:qFormat/>
    <w:rsid w:val="00191F14"/>
    <w:pPr>
      <w:keepNext/>
      <w:keepLines/>
      <w:spacing w:before="80" w:after="40"/>
      <w:outlineLvl w:val="4"/>
    </w:pPr>
    <w:rPr>
      <w:rFonts w:asciiTheme="minorHAnsi" w:eastAsiaTheme="majorEastAsia" w:hAnsiTheme="minorHAnsi" w:cstheme="majorBidi"/>
      <w:color w:val="2F5496" w:themeColor="accent1" w:themeShade="BF"/>
    </w:rPr>
  </w:style>
  <w:style w:type="paragraph" w:styleId="6">
    <w:name w:val="heading 6"/>
    <w:basedOn w:val="a"/>
    <w:next w:val="a"/>
    <w:link w:val="60"/>
    <w:uiPriority w:val="9"/>
    <w:semiHidden/>
    <w:unhideWhenUsed/>
    <w:qFormat/>
    <w:rsid w:val="00191F14"/>
    <w:pPr>
      <w:keepNext/>
      <w:keepLines/>
      <w:spacing w:before="40"/>
      <w:outlineLvl w:val="5"/>
    </w:pPr>
    <w:rPr>
      <w:rFonts w:asciiTheme="minorHAnsi" w:eastAsiaTheme="majorEastAsia" w:hAnsiTheme="minorHAnsi" w:cstheme="majorBidi"/>
      <w:i/>
      <w:iCs/>
      <w:color w:val="595959" w:themeColor="text1" w:themeTint="A6"/>
    </w:rPr>
  </w:style>
  <w:style w:type="paragraph" w:styleId="7">
    <w:name w:val="heading 7"/>
    <w:basedOn w:val="a"/>
    <w:next w:val="a"/>
    <w:link w:val="70"/>
    <w:uiPriority w:val="9"/>
    <w:semiHidden/>
    <w:unhideWhenUsed/>
    <w:qFormat/>
    <w:rsid w:val="00191F14"/>
    <w:pPr>
      <w:keepNext/>
      <w:keepLines/>
      <w:spacing w:before="40"/>
      <w:outlineLvl w:val="6"/>
    </w:pPr>
    <w:rPr>
      <w:rFonts w:asciiTheme="minorHAnsi" w:eastAsiaTheme="majorEastAsia" w:hAnsiTheme="minorHAnsi" w:cstheme="majorBidi"/>
      <w:color w:val="595959" w:themeColor="text1" w:themeTint="A6"/>
    </w:rPr>
  </w:style>
  <w:style w:type="paragraph" w:styleId="8">
    <w:name w:val="heading 8"/>
    <w:basedOn w:val="a"/>
    <w:next w:val="a"/>
    <w:link w:val="80"/>
    <w:uiPriority w:val="9"/>
    <w:semiHidden/>
    <w:unhideWhenUsed/>
    <w:qFormat/>
    <w:rsid w:val="00191F14"/>
    <w:pPr>
      <w:keepNext/>
      <w:keepLines/>
      <w:outlineLvl w:val="7"/>
    </w:pPr>
    <w:rPr>
      <w:rFonts w:asciiTheme="minorHAnsi" w:eastAsiaTheme="majorEastAsia" w:hAnsiTheme="minorHAnsi" w:cstheme="majorBidi"/>
      <w:i/>
      <w:iCs/>
      <w:color w:val="272727" w:themeColor="text1" w:themeTint="D8"/>
    </w:rPr>
  </w:style>
  <w:style w:type="paragraph" w:styleId="9">
    <w:name w:val="heading 9"/>
    <w:basedOn w:val="a"/>
    <w:next w:val="a"/>
    <w:link w:val="90"/>
    <w:uiPriority w:val="9"/>
    <w:semiHidden/>
    <w:unhideWhenUsed/>
    <w:qFormat/>
    <w:rsid w:val="00191F14"/>
    <w:pPr>
      <w:keepNext/>
      <w:keepLines/>
      <w:outlineLvl w:val="8"/>
    </w:pPr>
    <w:rPr>
      <w:rFonts w:asciiTheme="minorHAnsi" w:eastAsiaTheme="majorEastAsia" w:hAnsiTheme="minorHAnsi"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191F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10">
    <w:name w:val="Заглавие 1 Знак"/>
    <w:basedOn w:val="a0"/>
    <w:link w:val="1"/>
    <w:rsid w:val="008B5887"/>
    <w:rPr>
      <w:rFonts w:ascii="Times New Roman" w:hAnsi="Times New Roman" w:cs="Arial"/>
      <w:b/>
      <w:color w:val="000000" w:themeColor="text1"/>
      <w:kern w:val="0"/>
      <w:sz w:val="28"/>
      <w:szCs w:val="40"/>
    </w:rPr>
  </w:style>
  <w:style w:type="character" w:customStyle="1" w:styleId="20">
    <w:name w:val="Заглавие 2 Знак"/>
    <w:basedOn w:val="a0"/>
    <w:link w:val="2"/>
    <w:rsid w:val="00CA404A"/>
    <w:rPr>
      <w:rFonts w:ascii="Times New Roman" w:hAnsi="Times New Roman" w:cs="Arial"/>
      <w:b/>
      <w:color w:val="000000" w:themeColor="text1"/>
      <w:kern w:val="0"/>
      <w:sz w:val="26"/>
      <w:szCs w:val="32"/>
    </w:rPr>
  </w:style>
  <w:style w:type="character" w:customStyle="1" w:styleId="30">
    <w:name w:val="Заглавие 3 Знак"/>
    <w:basedOn w:val="a0"/>
    <w:link w:val="3"/>
    <w:uiPriority w:val="9"/>
    <w:rsid w:val="00360400"/>
    <w:rPr>
      <w:rFonts w:ascii="Times New Roman" w:eastAsiaTheme="majorEastAsia" w:hAnsi="Times New Roman" w:cstheme="majorBidi"/>
      <w:b/>
      <w:color w:val="000000" w:themeColor="text1"/>
      <w:sz w:val="24"/>
      <w:szCs w:val="24"/>
      <w:lang w:val="en-GB"/>
    </w:rPr>
  </w:style>
  <w:style w:type="character" w:customStyle="1" w:styleId="40">
    <w:name w:val="Заглавие 4 Знак"/>
    <w:basedOn w:val="a0"/>
    <w:link w:val="4"/>
    <w:uiPriority w:val="9"/>
    <w:semiHidden/>
    <w:rsid w:val="00191F14"/>
    <w:rPr>
      <w:rFonts w:eastAsiaTheme="majorEastAsia" w:cstheme="majorBidi"/>
      <w:i/>
      <w:iCs/>
      <w:color w:val="2F5496" w:themeColor="accent1" w:themeShade="BF"/>
      <w:kern w:val="0"/>
      <w:sz w:val="24"/>
      <w:szCs w:val="20"/>
      <w:lang w:val="en-GB"/>
    </w:rPr>
  </w:style>
  <w:style w:type="character" w:customStyle="1" w:styleId="50">
    <w:name w:val="Заглавие 5 Знак"/>
    <w:basedOn w:val="a0"/>
    <w:link w:val="5"/>
    <w:uiPriority w:val="9"/>
    <w:semiHidden/>
    <w:rsid w:val="00191F14"/>
    <w:rPr>
      <w:rFonts w:eastAsiaTheme="majorEastAsia" w:cstheme="majorBidi"/>
      <w:color w:val="2F5496" w:themeColor="accent1" w:themeShade="BF"/>
      <w:kern w:val="0"/>
      <w:sz w:val="24"/>
      <w:szCs w:val="20"/>
      <w:lang w:val="en-GB"/>
    </w:rPr>
  </w:style>
  <w:style w:type="character" w:customStyle="1" w:styleId="60">
    <w:name w:val="Заглавие 6 Знак"/>
    <w:basedOn w:val="a0"/>
    <w:link w:val="6"/>
    <w:uiPriority w:val="9"/>
    <w:semiHidden/>
    <w:rsid w:val="00191F14"/>
    <w:rPr>
      <w:rFonts w:eastAsiaTheme="majorEastAsia" w:cstheme="majorBidi"/>
      <w:i/>
      <w:iCs/>
      <w:color w:val="595959" w:themeColor="text1" w:themeTint="A6"/>
      <w:kern w:val="0"/>
      <w:sz w:val="24"/>
      <w:szCs w:val="20"/>
      <w:lang w:val="en-GB"/>
    </w:rPr>
  </w:style>
  <w:style w:type="character" w:customStyle="1" w:styleId="70">
    <w:name w:val="Заглавие 7 Знак"/>
    <w:basedOn w:val="a0"/>
    <w:link w:val="7"/>
    <w:uiPriority w:val="9"/>
    <w:semiHidden/>
    <w:rsid w:val="00191F14"/>
    <w:rPr>
      <w:rFonts w:eastAsiaTheme="majorEastAsia" w:cstheme="majorBidi"/>
      <w:color w:val="595959" w:themeColor="text1" w:themeTint="A6"/>
      <w:kern w:val="0"/>
      <w:sz w:val="24"/>
      <w:szCs w:val="20"/>
      <w:lang w:val="en-GB"/>
    </w:rPr>
  </w:style>
  <w:style w:type="character" w:customStyle="1" w:styleId="80">
    <w:name w:val="Заглавие 8 Знак"/>
    <w:basedOn w:val="a0"/>
    <w:link w:val="8"/>
    <w:uiPriority w:val="9"/>
    <w:semiHidden/>
    <w:rsid w:val="00191F14"/>
    <w:rPr>
      <w:rFonts w:eastAsiaTheme="majorEastAsia" w:cstheme="majorBidi"/>
      <w:i/>
      <w:iCs/>
      <w:color w:val="272727" w:themeColor="text1" w:themeTint="D8"/>
      <w:kern w:val="0"/>
      <w:sz w:val="24"/>
      <w:szCs w:val="20"/>
      <w:lang w:val="en-GB"/>
    </w:rPr>
  </w:style>
  <w:style w:type="character" w:customStyle="1" w:styleId="90">
    <w:name w:val="Заглавие 9 Знак"/>
    <w:basedOn w:val="a0"/>
    <w:link w:val="9"/>
    <w:uiPriority w:val="9"/>
    <w:semiHidden/>
    <w:rsid w:val="00191F14"/>
    <w:rPr>
      <w:rFonts w:eastAsiaTheme="majorEastAsia" w:cstheme="majorBidi"/>
      <w:color w:val="272727" w:themeColor="text1" w:themeTint="D8"/>
      <w:kern w:val="0"/>
      <w:sz w:val="24"/>
      <w:szCs w:val="20"/>
      <w:lang w:val="en-GB"/>
    </w:rPr>
  </w:style>
  <w:style w:type="character" w:customStyle="1" w:styleId="a4">
    <w:name w:val="Заглавие Знак"/>
    <w:basedOn w:val="a0"/>
    <w:link w:val="a3"/>
    <w:uiPriority w:val="10"/>
    <w:rsid w:val="00191F14"/>
    <w:rPr>
      <w:rFonts w:asciiTheme="majorHAnsi" w:eastAsiaTheme="majorEastAsia" w:hAnsiTheme="majorHAnsi" w:cstheme="majorBidi"/>
      <w:spacing w:val="-10"/>
      <w:kern w:val="28"/>
      <w:sz w:val="56"/>
      <w:szCs w:val="56"/>
      <w:lang w:val="en-GB"/>
    </w:rPr>
  </w:style>
  <w:style w:type="paragraph" w:styleId="a5">
    <w:name w:val="Subtitle"/>
    <w:basedOn w:val="a"/>
    <w:next w:val="a"/>
    <w:link w:val="a6"/>
    <w:uiPriority w:val="11"/>
    <w:qFormat/>
    <w:pPr>
      <w:spacing w:after="160"/>
    </w:pPr>
    <w:rPr>
      <w:rFonts w:ascii="Calibri" w:eastAsia="Calibri" w:hAnsi="Calibri" w:cs="Calibri"/>
      <w:color w:val="595959"/>
      <w:sz w:val="28"/>
      <w:szCs w:val="28"/>
    </w:rPr>
  </w:style>
  <w:style w:type="character" w:customStyle="1" w:styleId="a6">
    <w:name w:val="Подзаглавие Знак"/>
    <w:basedOn w:val="a0"/>
    <w:link w:val="a5"/>
    <w:uiPriority w:val="11"/>
    <w:rsid w:val="00191F14"/>
    <w:rPr>
      <w:rFonts w:eastAsiaTheme="majorEastAsia" w:cstheme="majorBidi"/>
      <w:color w:val="595959" w:themeColor="text1" w:themeTint="A6"/>
      <w:spacing w:val="15"/>
      <w:kern w:val="0"/>
      <w:sz w:val="28"/>
      <w:szCs w:val="28"/>
      <w:lang w:val="en-GB"/>
    </w:rPr>
  </w:style>
  <w:style w:type="paragraph" w:styleId="a7">
    <w:name w:val="Quote"/>
    <w:basedOn w:val="a"/>
    <w:next w:val="a"/>
    <w:link w:val="a8"/>
    <w:uiPriority w:val="29"/>
    <w:qFormat/>
    <w:rsid w:val="00191F14"/>
    <w:pPr>
      <w:spacing w:before="160" w:after="160"/>
      <w:jc w:val="center"/>
    </w:pPr>
    <w:rPr>
      <w:i/>
      <w:iCs/>
      <w:color w:val="404040" w:themeColor="text1" w:themeTint="BF"/>
    </w:rPr>
  </w:style>
  <w:style w:type="character" w:customStyle="1" w:styleId="a8">
    <w:name w:val="Цитат Знак"/>
    <w:basedOn w:val="a0"/>
    <w:link w:val="a7"/>
    <w:uiPriority w:val="29"/>
    <w:rsid w:val="00191F14"/>
    <w:rPr>
      <w:rFonts w:ascii="Times New Roman" w:hAnsi="Times New Roman" w:cs="Times New Roman"/>
      <w:i/>
      <w:iCs/>
      <w:color w:val="404040" w:themeColor="text1" w:themeTint="BF"/>
      <w:kern w:val="0"/>
      <w:sz w:val="24"/>
      <w:szCs w:val="20"/>
      <w:lang w:val="en-GB"/>
    </w:rPr>
  </w:style>
  <w:style w:type="paragraph" w:styleId="a9">
    <w:name w:val="List Paragraph"/>
    <w:basedOn w:val="a"/>
    <w:uiPriority w:val="34"/>
    <w:qFormat/>
    <w:rsid w:val="00191F14"/>
    <w:pPr>
      <w:ind w:left="720"/>
      <w:contextualSpacing/>
    </w:pPr>
  </w:style>
  <w:style w:type="character" w:styleId="aa">
    <w:name w:val="Intense Emphasis"/>
    <w:basedOn w:val="a0"/>
    <w:uiPriority w:val="21"/>
    <w:qFormat/>
    <w:rsid w:val="00191F14"/>
    <w:rPr>
      <w:i/>
      <w:iCs/>
      <w:color w:val="2F5496" w:themeColor="accent1" w:themeShade="BF"/>
    </w:rPr>
  </w:style>
  <w:style w:type="paragraph" w:styleId="ab">
    <w:name w:val="Intense Quote"/>
    <w:basedOn w:val="a"/>
    <w:next w:val="a"/>
    <w:link w:val="ac"/>
    <w:uiPriority w:val="30"/>
    <w:qFormat/>
    <w:rsid w:val="00191F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Интензивно цитиране Знак"/>
    <w:basedOn w:val="a0"/>
    <w:link w:val="ab"/>
    <w:uiPriority w:val="30"/>
    <w:rsid w:val="00191F14"/>
    <w:rPr>
      <w:rFonts w:ascii="Times New Roman" w:hAnsi="Times New Roman" w:cs="Times New Roman"/>
      <w:i/>
      <w:iCs/>
      <w:color w:val="2F5496" w:themeColor="accent1" w:themeShade="BF"/>
      <w:kern w:val="0"/>
      <w:sz w:val="24"/>
      <w:szCs w:val="20"/>
      <w:lang w:val="en-GB"/>
    </w:rPr>
  </w:style>
  <w:style w:type="character" w:styleId="ad">
    <w:name w:val="Intense Reference"/>
    <w:basedOn w:val="a0"/>
    <w:uiPriority w:val="32"/>
    <w:qFormat/>
    <w:rsid w:val="00191F14"/>
    <w:rPr>
      <w:b/>
      <w:bCs/>
      <w:smallCaps/>
      <w:color w:val="2F5496" w:themeColor="accent1" w:themeShade="BF"/>
      <w:spacing w:val="5"/>
    </w:rPr>
  </w:style>
  <w:style w:type="table" w:styleId="ae">
    <w:name w:val="Table Grid"/>
    <w:basedOn w:val="a1"/>
    <w:uiPriority w:val="39"/>
    <w:rsid w:val="00837373"/>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af">
    <w:name w:val="Hyperlink"/>
    <w:basedOn w:val="a0"/>
    <w:uiPriority w:val="99"/>
    <w:unhideWhenUsed/>
    <w:rsid w:val="00EA2ECC"/>
    <w:rPr>
      <w:color w:val="0563C1" w:themeColor="hyperlink"/>
      <w:u w:val="single"/>
    </w:rPr>
  </w:style>
  <w:style w:type="paragraph" w:styleId="af0">
    <w:name w:val="TOC Heading"/>
    <w:basedOn w:val="1"/>
    <w:next w:val="a"/>
    <w:uiPriority w:val="39"/>
    <w:unhideWhenUsed/>
    <w:qFormat/>
    <w:rsid w:val="00415186"/>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11">
    <w:name w:val="toc 1"/>
    <w:basedOn w:val="a"/>
    <w:next w:val="a"/>
    <w:autoRedefine/>
    <w:uiPriority w:val="39"/>
    <w:unhideWhenUsed/>
    <w:rsid w:val="00415186"/>
    <w:pPr>
      <w:spacing w:after="100"/>
    </w:pPr>
  </w:style>
  <w:style w:type="paragraph" w:styleId="af1">
    <w:name w:val="Balloon Text"/>
    <w:basedOn w:val="a"/>
    <w:link w:val="af2"/>
    <w:uiPriority w:val="99"/>
    <w:semiHidden/>
    <w:unhideWhenUsed/>
    <w:rsid w:val="00775F72"/>
    <w:pPr>
      <w:spacing w:line="240" w:lineRule="auto"/>
    </w:pPr>
    <w:rPr>
      <w:rFonts w:ascii="Tahoma" w:hAnsi="Tahoma" w:cs="Tahoma"/>
      <w:sz w:val="16"/>
      <w:szCs w:val="16"/>
    </w:rPr>
  </w:style>
  <w:style w:type="character" w:customStyle="1" w:styleId="af2">
    <w:name w:val="Изнесен текст Знак"/>
    <w:basedOn w:val="a0"/>
    <w:link w:val="af1"/>
    <w:uiPriority w:val="99"/>
    <w:semiHidden/>
    <w:rsid w:val="00775F72"/>
    <w:rPr>
      <w:rFonts w:ascii="Tahoma" w:hAnsi="Tahoma" w:cs="Tahoma"/>
      <w:kern w:val="0"/>
      <w:sz w:val="16"/>
      <w:szCs w:val="16"/>
      <w:lang w:val="en-GB"/>
    </w:rPr>
  </w:style>
  <w:style w:type="paragraph" w:styleId="af3">
    <w:name w:val="header"/>
    <w:basedOn w:val="a"/>
    <w:link w:val="af4"/>
    <w:uiPriority w:val="99"/>
    <w:semiHidden/>
    <w:unhideWhenUsed/>
    <w:rsid w:val="00775F72"/>
    <w:pPr>
      <w:tabs>
        <w:tab w:val="center" w:pos="4680"/>
        <w:tab w:val="right" w:pos="9360"/>
      </w:tabs>
      <w:spacing w:line="240" w:lineRule="auto"/>
    </w:pPr>
  </w:style>
  <w:style w:type="character" w:customStyle="1" w:styleId="af4">
    <w:name w:val="Горен колонтитул Знак"/>
    <w:basedOn w:val="a0"/>
    <w:link w:val="af3"/>
    <w:uiPriority w:val="99"/>
    <w:semiHidden/>
    <w:rsid w:val="00775F72"/>
    <w:rPr>
      <w:rFonts w:ascii="Times New Roman" w:hAnsi="Times New Roman" w:cs="Times New Roman"/>
      <w:kern w:val="0"/>
      <w:sz w:val="24"/>
      <w:szCs w:val="20"/>
      <w:lang w:val="en-GB"/>
    </w:rPr>
  </w:style>
  <w:style w:type="paragraph" w:styleId="af5">
    <w:name w:val="footer"/>
    <w:basedOn w:val="a"/>
    <w:link w:val="af6"/>
    <w:uiPriority w:val="99"/>
    <w:unhideWhenUsed/>
    <w:rsid w:val="00775F72"/>
    <w:pPr>
      <w:tabs>
        <w:tab w:val="center" w:pos="4680"/>
        <w:tab w:val="right" w:pos="9360"/>
      </w:tabs>
      <w:spacing w:line="240" w:lineRule="auto"/>
    </w:pPr>
  </w:style>
  <w:style w:type="character" w:customStyle="1" w:styleId="af6">
    <w:name w:val="Долен колонтитул Знак"/>
    <w:basedOn w:val="a0"/>
    <w:link w:val="af5"/>
    <w:uiPriority w:val="99"/>
    <w:rsid w:val="00775F72"/>
    <w:rPr>
      <w:rFonts w:ascii="Times New Roman" w:hAnsi="Times New Roman" w:cs="Times New Roman"/>
      <w:kern w:val="0"/>
      <w:sz w:val="24"/>
      <w:szCs w:val="20"/>
      <w:lang w:val="en-GB"/>
    </w:rPr>
  </w:style>
  <w:style w:type="table" w:customStyle="1" w:styleId="af7">
    <w:basedOn w:val="a1"/>
    <w:pPr>
      <w:spacing w:line="240" w:lineRule="auto"/>
    </w:pPr>
    <w:tblPr>
      <w:tblStyleRowBandSize w:val="1"/>
      <w:tblStyleColBandSize w:val="1"/>
      <w:tblInd w:w="0" w:type="dxa"/>
      <w:tblCellMar>
        <w:top w:w="0" w:type="dxa"/>
        <w:left w:w="108" w:type="dxa"/>
        <w:bottom w:w="0" w:type="dxa"/>
        <w:right w:w="108" w:type="dxa"/>
      </w:tblCellMar>
    </w:tblPr>
  </w:style>
  <w:style w:type="table" w:customStyle="1" w:styleId="af8">
    <w:basedOn w:val="a1"/>
    <w:pPr>
      <w:spacing w:line="240" w:lineRule="auto"/>
    </w:pPr>
    <w:tblPr>
      <w:tblStyleRowBandSize w:val="1"/>
      <w:tblStyleColBandSize w:val="1"/>
      <w:tblInd w:w="0" w:type="dxa"/>
      <w:tblCellMar>
        <w:top w:w="0" w:type="dxa"/>
        <w:left w:w="108" w:type="dxa"/>
        <w:bottom w:w="0" w:type="dxa"/>
        <w:right w:w="108" w:type="dxa"/>
      </w:tblCellMar>
    </w:tblPr>
  </w:style>
  <w:style w:type="paragraph" w:styleId="af9">
    <w:name w:val="annotation text"/>
    <w:basedOn w:val="a"/>
    <w:link w:val="afa"/>
    <w:uiPriority w:val="99"/>
    <w:semiHidden/>
    <w:unhideWhenUsed/>
    <w:pPr>
      <w:spacing w:line="240" w:lineRule="auto"/>
    </w:pPr>
    <w:rPr>
      <w:sz w:val="20"/>
    </w:rPr>
  </w:style>
  <w:style w:type="character" w:customStyle="1" w:styleId="afa">
    <w:name w:val="Текст на коментар Знак"/>
    <w:basedOn w:val="a0"/>
    <w:link w:val="af9"/>
    <w:uiPriority w:val="99"/>
    <w:semiHidden/>
    <w:rPr>
      <w:sz w:val="20"/>
      <w:szCs w:val="20"/>
    </w:rPr>
  </w:style>
  <w:style w:type="character" w:styleId="afb">
    <w:name w:val="annotation reference"/>
    <w:basedOn w:val="a0"/>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marriott.gcs-web.com/news-releases/news-release-details/marriott-international-announces-ambition-go-net-zero" TargetMode="External"/><Relationship Id="rId4" Type="http://schemas.microsoft.com/office/2007/relationships/stylesWithEffects" Target="stylesWithEffects.xml"/><Relationship Id="rId9" Type="http://schemas.openxmlformats.org/officeDocument/2006/relationships/hyperlink" Target="https://www.ihg.com/content/gb/en/support/green-engage?msockid=042c89140bbe6a48231d9a7c0a0c6b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6NVkSYBKF1aEDe108SqVS+LsGw==">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3972</Words>
  <Characters>22642</Characters>
  <Application>Microsoft Office Word</Application>
  <DocSecurity>0</DocSecurity>
  <Lines>188</Lines>
  <Paragraphs>53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26561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Asus</cp:lastModifiedBy>
  <cp:revision>4</cp:revision>
  <dcterms:created xsi:type="dcterms:W3CDTF">2025-05-22T08:33:00Z</dcterms:created>
  <dcterms:modified xsi:type="dcterms:W3CDTF">2025-05-22T10:10:00Z</dcterms:modified>
</cp:coreProperties>
</file>