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F7AAB" w14:textId="549B16DC" w:rsidR="00DB2537" w:rsidRPr="0023160A" w:rsidRDefault="0023160A" w:rsidP="0023160A">
      <w:pPr>
        <w:rPr>
          <w:rFonts w:ascii="Arial" w:hAnsi="Arial" w:cs="Arial"/>
          <w:b/>
          <w:bCs/>
          <w:sz w:val="32"/>
        </w:rPr>
      </w:pPr>
      <w:r>
        <w:rPr>
          <w:rFonts w:ascii="Arial" w:hAnsi="Arial" w:cs="Arial"/>
          <w:b/>
          <w:bCs/>
          <w:sz w:val="32"/>
        </w:rPr>
        <w:t xml:space="preserve">               </w:t>
      </w:r>
      <w:r w:rsidR="00F56309" w:rsidRPr="0023160A">
        <w:rPr>
          <w:rFonts w:ascii="Arial" w:hAnsi="Arial" w:cs="Arial"/>
          <w:b/>
          <w:bCs/>
          <w:sz w:val="32"/>
        </w:rPr>
        <w:t>Assignment Title: Common Law</w:t>
      </w:r>
    </w:p>
    <w:p w14:paraId="044DB779" w14:textId="39F45029" w:rsidR="0023160A" w:rsidRPr="0023160A" w:rsidRDefault="0023160A" w:rsidP="00F56309">
      <w:pPr>
        <w:jc w:val="center"/>
        <w:rPr>
          <w:rFonts w:ascii="Arial" w:hAnsi="Arial" w:cs="Arial"/>
          <w:b/>
          <w:bCs/>
          <w:sz w:val="32"/>
        </w:rPr>
      </w:pPr>
      <w:r w:rsidRPr="0023160A">
        <w:rPr>
          <w:rFonts w:ascii="Arial" w:hAnsi="Arial" w:cs="Arial"/>
          <w:b/>
          <w:bCs/>
          <w:sz w:val="32"/>
        </w:rPr>
        <w:t>Module</w:t>
      </w:r>
      <w:r w:rsidRPr="0023160A">
        <w:rPr>
          <w:rFonts w:ascii="Arial" w:hAnsi="Arial" w:cs="Arial"/>
          <w:b/>
          <w:bCs/>
          <w:sz w:val="36"/>
          <w:szCs w:val="36"/>
        </w:rPr>
        <w:t xml:space="preserve">: </w:t>
      </w:r>
      <w:r w:rsidRPr="0023160A">
        <w:rPr>
          <w:rFonts w:ascii="Arial" w:hAnsi="Arial" w:cs="Arial"/>
          <w:b/>
          <w:bCs/>
          <w:sz w:val="36"/>
          <w:szCs w:val="36"/>
        </w:rPr>
        <w:t>Legal Process</w:t>
      </w:r>
    </w:p>
    <w:p w14:paraId="04852409" w14:textId="77777777" w:rsidR="0023160A" w:rsidRDefault="0023160A" w:rsidP="00CD0944">
      <w:pPr>
        <w:spacing w:line="360" w:lineRule="auto"/>
        <w:jc w:val="center"/>
        <w:rPr>
          <w:rFonts w:ascii="Arial" w:hAnsi="Arial" w:cs="Arial"/>
          <w:b/>
          <w:bCs/>
          <w:sz w:val="32"/>
        </w:rPr>
      </w:pPr>
      <w:r>
        <w:rPr>
          <w:rFonts w:ascii="Arial" w:hAnsi="Arial" w:cs="Arial"/>
          <w:b/>
          <w:bCs/>
          <w:sz w:val="32"/>
        </w:rPr>
        <w:t xml:space="preserve">  </w:t>
      </w:r>
      <w:r w:rsidR="00F56309" w:rsidRPr="0023160A">
        <w:rPr>
          <w:rFonts w:ascii="Arial" w:hAnsi="Arial" w:cs="Arial"/>
          <w:b/>
          <w:bCs/>
          <w:sz w:val="32"/>
        </w:rPr>
        <w:t>Module code: BMPL4005, BMLW4006</w:t>
      </w:r>
    </w:p>
    <w:p w14:paraId="77C2074F" w14:textId="77777777" w:rsidR="0023160A" w:rsidRDefault="0023160A" w:rsidP="00CD0944">
      <w:pPr>
        <w:spacing w:line="360" w:lineRule="auto"/>
        <w:jc w:val="center"/>
        <w:rPr>
          <w:rFonts w:ascii="Arial" w:hAnsi="Arial" w:cs="Arial"/>
          <w:b/>
          <w:sz w:val="32"/>
          <w:szCs w:val="32"/>
        </w:rPr>
      </w:pPr>
      <w:r>
        <w:rPr>
          <w:rFonts w:ascii="Arial" w:hAnsi="Arial" w:cs="Arial"/>
          <w:b/>
          <w:bCs/>
          <w:sz w:val="32"/>
        </w:rPr>
        <w:t>Lecturer:</w:t>
      </w:r>
      <w:r w:rsidRPr="0023160A">
        <w:rPr>
          <w:rFonts w:ascii="Arial" w:hAnsi="Arial" w:cs="Arial"/>
          <w:b/>
        </w:rPr>
        <w:t xml:space="preserve"> </w:t>
      </w:r>
      <w:r w:rsidRPr="0023160A">
        <w:rPr>
          <w:rFonts w:ascii="Arial" w:hAnsi="Arial" w:cs="Arial"/>
          <w:b/>
          <w:sz w:val="32"/>
          <w:szCs w:val="32"/>
        </w:rPr>
        <w:t>Zita Draper and Sian Turvey</w:t>
      </w:r>
    </w:p>
    <w:p w14:paraId="08245B8B" w14:textId="77777777" w:rsidR="0023160A" w:rsidRDefault="0023160A" w:rsidP="00CD0944">
      <w:pPr>
        <w:spacing w:line="360" w:lineRule="auto"/>
        <w:jc w:val="center"/>
        <w:rPr>
          <w:rFonts w:ascii="Arial" w:hAnsi="Arial" w:cs="Arial"/>
          <w:b/>
          <w:sz w:val="32"/>
          <w:szCs w:val="32"/>
        </w:rPr>
      </w:pPr>
      <w:r>
        <w:rPr>
          <w:rFonts w:ascii="Arial" w:hAnsi="Arial" w:cs="Arial"/>
          <w:b/>
          <w:sz w:val="32"/>
          <w:szCs w:val="32"/>
        </w:rPr>
        <w:t>Student: Elena Diana Balan</w:t>
      </w:r>
    </w:p>
    <w:p w14:paraId="4891D04E" w14:textId="23EB2612" w:rsidR="0058734D" w:rsidRDefault="0023160A" w:rsidP="0023160A">
      <w:pPr>
        <w:spacing w:line="360" w:lineRule="auto"/>
        <w:rPr>
          <w:rFonts w:ascii="Arial" w:hAnsi="Arial" w:cs="Arial"/>
          <w:sz w:val="32"/>
        </w:rPr>
      </w:pPr>
      <w:r>
        <w:rPr>
          <w:rFonts w:ascii="Arial" w:hAnsi="Arial" w:cs="Arial"/>
          <w:b/>
          <w:sz w:val="32"/>
          <w:szCs w:val="32"/>
        </w:rPr>
        <w:t xml:space="preserve">                                       ID:2132762</w:t>
      </w:r>
      <w:r w:rsidR="0058734D">
        <w:rPr>
          <w:rFonts w:ascii="Arial" w:hAnsi="Arial" w:cs="Arial"/>
          <w:sz w:val="32"/>
        </w:rPr>
        <w:br w:type="page"/>
      </w:r>
    </w:p>
    <w:p w14:paraId="1CF1268A" w14:textId="77777777" w:rsidR="00F56309" w:rsidRPr="00F56309" w:rsidRDefault="00F56309" w:rsidP="00CD0944">
      <w:pPr>
        <w:spacing w:line="360" w:lineRule="auto"/>
        <w:jc w:val="center"/>
        <w:rPr>
          <w:rFonts w:ascii="Arial" w:hAnsi="Arial" w:cs="Arial"/>
          <w:sz w:val="32"/>
        </w:rPr>
        <w:sectPr w:rsidR="00F56309" w:rsidRPr="00F56309" w:rsidSect="0058734D">
          <w:headerReference w:type="even" r:id="rId6"/>
          <w:headerReference w:type="default" r:id="rId7"/>
          <w:footerReference w:type="even" r:id="rId8"/>
          <w:footerReference w:type="default" r:id="rId9"/>
          <w:headerReference w:type="first" r:id="rId10"/>
          <w:footerReference w:type="first" r:id="rId11"/>
          <w:pgSz w:w="12240" w:h="15840" w:code="1"/>
          <w:pgMar w:top="1440" w:right="1440" w:bottom="1440" w:left="1440" w:header="720" w:footer="720" w:gutter="0"/>
          <w:pgNumType w:start="1"/>
          <w:cols w:space="720"/>
          <w:vAlign w:val="center"/>
          <w:docGrid w:linePitch="360"/>
        </w:sectPr>
      </w:pPr>
    </w:p>
    <w:sdt>
      <w:sdtPr>
        <w:rPr>
          <w:rFonts w:asciiTheme="minorHAnsi" w:eastAsiaTheme="minorHAnsi" w:hAnsiTheme="minorHAnsi" w:cstheme="minorBidi"/>
          <w:color w:val="auto"/>
          <w:sz w:val="22"/>
          <w:szCs w:val="22"/>
        </w:rPr>
        <w:id w:val="-1895418421"/>
        <w:docPartObj>
          <w:docPartGallery w:val="Table of Contents"/>
          <w:docPartUnique/>
        </w:docPartObj>
      </w:sdtPr>
      <w:sdtEndPr>
        <w:rPr>
          <w:b/>
          <w:bCs/>
          <w:noProof/>
        </w:rPr>
      </w:sdtEndPr>
      <w:sdtContent>
        <w:p w14:paraId="6A604CAE" w14:textId="77777777" w:rsidR="0058734D" w:rsidRDefault="0058734D" w:rsidP="0058734D">
          <w:pPr>
            <w:pStyle w:val="TOCHeading"/>
            <w:jc w:val="center"/>
          </w:pPr>
          <w:r>
            <w:t>Table of Contents</w:t>
          </w:r>
        </w:p>
        <w:p w14:paraId="0B6A932B" w14:textId="77777777" w:rsidR="00CB7BF2" w:rsidRDefault="0058734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8160254" w:history="1">
            <w:r w:rsidR="00CB7BF2" w:rsidRPr="00E37D5F">
              <w:rPr>
                <w:rStyle w:val="Hyperlink"/>
                <w:rFonts w:ascii="Arial" w:hAnsi="Arial" w:cs="Arial"/>
                <w:noProof/>
              </w:rPr>
              <w:t>Introduction</w:t>
            </w:r>
            <w:r w:rsidR="00CB7BF2">
              <w:rPr>
                <w:noProof/>
                <w:webHidden/>
              </w:rPr>
              <w:tab/>
            </w:r>
            <w:r w:rsidR="00CB7BF2">
              <w:rPr>
                <w:noProof/>
                <w:webHidden/>
              </w:rPr>
              <w:fldChar w:fldCharType="begin"/>
            </w:r>
            <w:r w:rsidR="00CB7BF2">
              <w:rPr>
                <w:noProof/>
                <w:webHidden/>
              </w:rPr>
              <w:instrText xml:space="preserve"> PAGEREF _Toc128160254 \h </w:instrText>
            </w:r>
            <w:r w:rsidR="00CB7BF2">
              <w:rPr>
                <w:noProof/>
                <w:webHidden/>
              </w:rPr>
            </w:r>
            <w:r w:rsidR="00CB7BF2">
              <w:rPr>
                <w:noProof/>
                <w:webHidden/>
              </w:rPr>
              <w:fldChar w:fldCharType="separate"/>
            </w:r>
            <w:r w:rsidR="00CB7BF2">
              <w:rPr>
                <w:noProof/>
                <w:webHidden/>
              </w:rPr>
              <w:t>1</w:t>
            </w:r>
            <w:r w:rsidR="00CB7BF2">
              <w:rPr>
                <w:noProof/>
                <w:webHidden/>
              </w:rPr>
              <w:fldChar w:fldCharType="end"/>
            </w:r>
          </w:hyperlink>
        </w:p>
        <w:p w14:paraId="129C97F0" w14:textId="77777777" w:rsidR="00CB7BF2" w:rsidRDefault="00D51D6F">
          <w:pPr>
            <w:pStyle w:val="TOC1"/>
            <w:tabs>
              <w:tab w:val="right" w:leader="dot" w:pos="9350"/>
            </w:tabs>
            <w:rPr>
              <w:rFonts w:eastAsiaTheme="minorEastAsia"/>
              <w:noProof/>
            </w:rPr>
          </w:pPr>
          <w:hyperlink w:anchor="_Toc128160255" w:history="1">
            <w:r w:rsidR="00CB7BF2" w:rsidRPr="00E37D5F">
              <w:rPr>
                <w:rStyle w:val="Hyperlink"/>
                <w:rFonts w:ascii="Arial" w:hAnsi="Arial" w:cs="Arial"/>
                <w:noProof/>
              </w:rPr>
              <w:t>Common Law</w:t>
            </w:r>
            <w:r w:rsidR="00CB7BF2">
              <w:rPr>
                <w:noProof/>
                <w:webHidden/>
              </w:rPr>
              <w:tab/>
            </w:r>
            <w:r w:rsidR="00CB7BF2">
              <w:rPr>
                <w:noProof/>
                <w:webHidden/>
              </w:rPr>
              <w:fldChar w:fldCharType="begin"/>
            </w:r>
            <w:r w:rsidR="00CB7BF2">
              <w:rPr>
                <w:noProof/>
                <w:webHidden/>
              </w:rPr>
              <w:instrText xml:space="preserve"> PAGEREF _Toc128160255 \h </w:instrText>
            </w:r>
            <w:r w:rsidR="00CB7BF2">
              <w:rPr>
                <w:noProof/>
                <w:webHidden/>
              </w:rPr>
            </w:r>
            <w:r w:rsidR="00CB7BF2">
              <w:rPr>
                <w:noProof/>
                <w:webHidden/>
              </w:rPr>
              <w:fldChar w:fldCharType="separate"/>
            </w:r>
            <w:r w:rsidR="00CB7BF2">
              <w:rPr>
                <w:noProof/>
                <w:webHidden/>
              </w:rPr>
              <w:t>1</w:t>
            </w:r>
            <w:r w:rsidR="00CB7BF2">
              <w:rPr>
                <w:noProof/>
                <w:webHidden/>
              </w:rPr>
              <w:fldChar w:fldCharType="end"/>
            </w:r>
          </w:hyperlink>
        </w:p>
        <w:p w14:paraId="1C7D9853" w14:textId="77777777" w:rsidR="00CB7BF2" w:rsidRDefault="00D51D6F">
          <w:pPr>
            <w:pStyle w:val="TOC1"/>
            <w:tabs>
              <w:tab w:val="right" w:leader="dot" w:pos="9350"/>
            </w:tabs>
            <w:rPr>
              <w:rFonts w:eastAsiaTheme="minorEastAsia"/>
              <w:noProof/>
            </w:rPr>
          </w:pPr>
          <w:hyperlink w:anchor="_Toc128160256" w:history="1">
            <w:r w:rsidR="00CB7BF2" w:rsidRPr="00E37D5F">
              <w:rPr>
                <w:rStyle w:val="Hyperlink"/>
                <w:rFonts w:ascii="Arial" w:hAnsi="Arial" w:cs="Arial"/>
                <w:noProof/>
              </w:rPr>
              <w:t>Civil Law</w:t>
            </w:r>
            <w:r w:rsidR="00CB7BF2">
              <w:rPr>
                <w:noProof/>
                <w:webHidden/>
              </w:rPr>
              <w:tab/>
            </w:r>
            <w:r w:rsidR="00CB7BF2">
              <w:rPr>
                <w:noProof/>
                <w:webHidden/>
              </w:rPr>
              <w:fldChar w:fldCharType="begin"/>
            </w:r>
            <w:r w:rsidR="00CB7BF2">
              <w:rPr>
                <w:noProof/>
                <w:webHidden/>
              </w:rPr>
              <w:instrText xml:space="preserve"> PAGEREF _Toc128160256 \h </w:instrText>
            </w:r>
            <w:r w:rsidR="00CB7BF2">
              <w:rPr>
                <w:noProof/>
                <w:webHidden/>
              </w:rPr>
            </w:r>
            <w:r w:rsidR="00CB7BF2">
              <w:rPr>
                <w:noProof/>
                <w:webHidden/>
              </w:rPr>
              <w:fldChar w:fldCharType="separate"/>
            </w:r>
            <w:r w:rsidR="00CB7BF2">
              <w:rPr>
                <w:noProof/>
                <w:webHidden/>
              </w:rPr>
              <w:t>2</w:t>
            </w:r>
            <w:r w:rsidR="00CB7BF2">
              <w:rPr>
                <w:noProof/>
                <w:webHidden/>
              </w:rPr>
              <w:fldChar w:fldCharType="end"/>
            </w:r>
          </w:hyperlink>
        </w:p>
        <w:p w14:paraId="19495C3B" w14:textId="77777777" w:rsidR="00CB7BF2" w:rsidRDefault="00D51D6F">
          <w:pPr>
            <w:pStyle w:val="TOC1"/>
            <w:tabs>
              <w:tab w:val="right" w:leader="dot" w:pos="9350"/>
            </w:tabs>
            <w:rPr>
              <w:rFonts w:eastAsiaTheme="minorEastAsia"/>
              <w:noProof/>
            </w:rPr>
          </w:pPr>
          <w:hyperlink w:anchor="_Toc128160257" w:history="1">
            <w:r w:rsidR="00CB7BF2" w:rsidRPr="00E37D5F">
              <w:rPr>
                <w:rStyle w:val="Hyperlink"/>
                <w:rFonts w:ascii="Arial" w:hAnsi="Arial" w:cs="Arial"/>
                <w:noProof/>
              </w:rPr>
              <w:t>Contrast between common law and civil law</w:t>
            </w:r>
            <w:r w:rsidR="00CB7BF2">
              <w:rPr>
                <w:noProof/>
                <w:webHidden/>
              </w:rPr>
              <w:tab/>
            </w:r>
            <w:r w:rsidR="00CB7BF2">
              <w:rPr>
                <w:noProof/>
                <w:webHidden/>
              </w:rPr>
              <w:fldChar w:fldCharType="begin"/>
            </w:r>
            <w:r w:rsidR="00CB7BF2">
              <w:rPr>
                <w:noProof/>
                <w:webHidden/>
              </w:rPr>
              <w:instrText xml:space="preserve"> PAGEREF _Toc128160257 \h </w:instrText>
            </w:r>
            <w:r w:rsidR="00CB7BF2">
              <w:rPr>
                <w:noProof/>
                <w:webHidden/>
              </w:rPr>
            </w:r>
            <w:r w:rsidR="00CB7BF2">
              <w:rPr>
                <w:noProof/>
                <w:webHidden/>
              </w:rPr>
              <w:fldChar w:fldCharType="separate"/>
            </w:r>
            <w:r w:rsidR="00CB7BF2">
              <w:rPr>
                <w:noProof/>
                <w:webHidden/>
              </w:rPr>
              <w:t>2</w:t>
            </w:r>
            <w:r w:rsidR="00CB7BF2">
              <w:rPr>
                <w:noProof/>
                <w:webHidden/>
              </w:rPr>
              <w:fldChar w:fldCharType="end"/>
            </w:r>
          </w:hyperlink>
        </w:p>
        <w:p w14:paraId="2E640020" w14:textId="77777777" w:rsidR="00CB7BF2" w:rsidRDefault="00D51D6F">
          <w:pPr>
            <w:pStyle w:val="TOC1"/>
            <w:tabs>
              <w:tab w:val="right" w:leader="dot" w:pos="9350"/>
            </w:tabs>
            <w:rPr>
              <w:rFonts w:eastAsiaTheme="minorEastAsia"/>
              <w:noProof/>
            </w:rPr>
          </w:pPr>
          <w:hyperlink w:anchor="_Toc128160258" w:history="1">
            <w:r w:rsidR="00CB7BF2" w:rsidRPr="00E37D5F">
              <w:rPr>
                <w:rStyle w:val="Hyperlink"/>
                <w:rFonts w:ascii="Arial" w:hAnsi="Arial" w:cs="Arial"/>
                <w:noProof/>
              </w:rPr>
              <w:t>English legal system based on common law</w:t>
            </w:r>
            <w:r w:rsidR="00CB7BF2">
              <w:rPr>
                <w:noProof/>
                <w:webHidden/>
              </w:rPr>
              <w:tab/>
            </w:r>
            <w:r w:rsidR="00CB7BF2">
              <w:rPr>
                <w:noProof/>
                <w:webHidden/>
              </w:rPr>
              <w:fldChar w:fldCharType="begin"/>
            </w:r>
            <w:r w:rsidR="00CB7BF2">
              <w:rPr>
                <w:noProof/>
                <w:webHidden/>
              </w:rPr>
              <w:instrText xml:space="preserve"> PAGEREF _Toc128160258 \h </w:instrText>
            </w:r>
            <w:r w:rsidR="00CB7BF2">
              <w:rPr>
                <w:noProof/>
                <w:webHidden/>
              </w:rPr>
            </w:r>
            <w:r w:rsidR="00CB7BF2">
              <w:rPr>
                <w:noProof/>
                <w:webHidden/>
              </w:rPr>
              <w:fldChar w:fldCharType="separate"/>
            </w:r>
            <w:r w:rsidR="00CB7BF2">
              <w:rPr>
                <w:noProof/>
                <w:webHidden/>
              </w:rPr>
              <w:t>3</w:t>
            </w:r>
            <w:r w:rsidR="00CB7BF2">
              <w:rPr>
                <w:noProof/>
                <w:webHidden/>
              </w:rPr>
              <w:fldChar w:fldCharType="end"/>
            </w:r>
          </w:hyperlink>
        </w:p>
        <w:p w14:paraId="4D65AA69" w14:textId="77777777" w:rsidR="00CB7BF2" w:rsidRDefault="00D51D6F">
          <w:pPr>
            <w:pStyle w:val="TOC1"/>
            <w:tabs>
              <w:tab w:val="right" w:leader="dot" w:pos="9350"/>
            </w:tabs>
            <w:rPr>
              <w:rFonts w:eastAsiaTheme="minorEastAsia"/>
              <w:noProof/>
            </w:rPr>
          </w:pPr>
          <w:hyperlink w:anchor="_Toc128160259" w:history="1">
            <w:r w:rsidR="00CB7BF2" w:rsidRPr="00E37D5F">
              <w:rPr>
                <w:rStyle w:val="Hyperlink"/>
                <w:rFonts w:ascii="Arial" w:hAnsi="Arial" w:cs="Arial"/>
                <w:noProof/>
              </w:rPr>
              <w:t>Conclusion</w:t>
            </w:r>
            <w:r w:rsidR="00CB7BF2">
              <w:rPr>
                <w:noProof/>
                <w:webHidden/>
              </w:rPr>
              <w:tab/>
            </w:r>
            <w:r w:rsidR="00CB7BF2">
              <w:rPr>
                <w:noProof/>
                <w:webHidden/>
              </w:rPr>
              <w:fldChar w:fldCharType="begin"/>
            </w:r>
            <w:r w:rsidR="00CB7BF2">
              <w:rPr>
                <w:noProof/>
                <w:webHidden/>
              </w:rPr>
              <w:instrText xml:space="preserve"> PAGEREF _Toc128160259 \h </w:instrText>
            </w:r>
            <w:r w:rsidR="00CB7BF2">
              <w:rPr>
                <w:noProof/>
                <w:webHidden/>
              </w:rPr>
            </w:r>
            <w:r w:rsidR="00CB7BF2">
              <w:rPr>
                <w:noProof/>
                <w:webHidden/>
              </w:rPr>
              <w:fldChar w:fldCharType="separate"/>
            </w:r>
            <w:r w:rsidR="00CB7BF2">
              <w:rPr>
                <w:noProof/>
                <w:webHidden/>
              </w:rPr>
              <w:t>4</w:t>
            </w:r>
            <w:r w:rsidR="00CB7BF2">
              <w:rPr>
                <w:noProof/>
                <w:webHidden/>
              </w:rPr>
              <w:fldChar w:fldCharType="end"/>
            </w:r>
          </w:hyperlink>
        </w:p>
        <w:p w14:paraId="50474F5E" w14:textId="77777777" w:rsidR="00CB7BF2" w:rsidRDefault="00D51D6F">
          <w:pPr>
            <w:pStyle w:val="TOC1"/>
            <w:tabs>
              <w:tab w:val="right" w:leader="dot" w:pos="9350"/>
            </w:tabs>
            <w:rPr>
              <w:rFonts w:eastAsiaTheme="minorEastAsia"/>
              <w:noProof/>
            </w:rPr>
          </w:pPr>
          <w:hyperlink w:anchor="_Toc128160260" w:history="1">
            <w:r w:rsidR="00CB7BF2" w:rsidRPr="00E37D5F">
              <w:rPr>
                <w:rStyle w:val="Hyperlink"/>
                <w:rFonts w:ascii="Arial" w:hAnsi="Arial" w:cs="Arial"/>
                <w:noProof/>
              </w:rPr>
              <w:t>Reference</w:t>
            </w:r>
            <w:r w:rsidR="00CB7BF2">
              <w:rPr>
                <w:noProof/>
                <w:webHidden/>
              </w:rPr>
              <w:tab/>
            </w:r>
            <w:r w:rsidR="00CB7BF2">
              <w:rPr>
                <w:noProof/>
                <w:webHidden/>
              </w:rPr>
              <w:fldChar w:fldCharType="begin"/>
            </w:r>
            <w:r w:rsidR="00CB7BF2">
              <w:rPr>
                <w:noProof/>
                <w:webHidden/>
              </w:rPr>
              <w:instrText xml:space="preserve"> PAGEREF _Toc128160260 \h </w:instrText>
            </w:r>
            <w:r w:rsidR="00CB7BF2">
              <w:rPr>
                <w:noProof/>
                <w:webHidden/>
              </w:rPr>
            </w:r>
            <w:r w:rsidR="00CB7BF2">
              <w:rPr>
                <w:noProof/>
                <w:webHidden/>
              </w:rPr>
              <w:fldChar w:fldCharType="separate"/>
            </w:r>
            <w:r w:rsidR="00CB7BF2">
              <w:rPr>
                <w:noProof/>
                <w:webHidden/>
              </w:rPr>
              <w:t>5</w:t>
            </w:r>
            <w:r w:rsidR="00CB7BF2">
              <w:rPr>
                <w:noProof/>
                <w:webHidden/>
              </w:rPr>
              <w:fldChar w:fldCharType="end"/>
            </w:r>
          </w:hyperlink>
        </w:p>
        <w:p w14:paraId="5ABC9F17" w14:textId="77777777" w:rsidR="0058734D" w:rsidRDefault="0058734D" w:rsidP="0058734D">
          <w:pPr>
            <w:sectPr w:rsidR="0058734D" w:rsidSect="00F56309">
              <w:headerReference w:type="default" r:id="rId12"/>
              <w:footerReference w:type="default" r:id="rId13"/>
              <w:pgSz w:w="12240" w:h="15840" w:code="1"/>
              <w:pgMar w:top="1440" w:right="1440" w:bottom="1440" w:left="1440" w:header="720" w:footer="720" w:gutter="0"/>
              <w:cols w:space="720"/>
              <w:docGrid w:linePitch="360"/>
            </w:sectPr>
          </w:pPr>
          <w:r>
            <w:rPr>
              <w:b/>
              <w:bCs/>
              <w:noProof/>
            </w:rPr>
            <w:fldChar w:fldCharType="end"/>
          </w:r>
        </w:p>
      </w:sdtContent>
    </w:sdt>
    <w:p w14:paraId="11301C4F" w14:textId="77777777" w:rsidR="0058734D" w:rsidRPr="0058734D" w:rsidRDefault="0058734D" w:rsidP="0058734D">
      <w:pPr>
        <w:pStyle w:val="Heading1"/>
        <w:spacing w:line="360" w:lineRule="auto"/>
        <w:rPr>
          <w:rFonts w:ascii="Arial" w:hAnsi="Arial" w:cs="Arial"/>
        </w:rPr>
      </w:pPr>
      <w:bookmarkStart w:id="0" w:name="_Toc128160254"/>
      <w:r w:rsidRPr="0058734D">
        <w:rPr>
          <w:rFonts w:ascii="Arial" w:hAnsi="Arial" w:cs="Arial"/>
          <w:color w:val="auto"/>
        </w:rPr>
        <w:lastRenderedPageBreak/>
        <w:t>Introduction</w:t>
      </w:r>
      <w:bookmarkEnd w:id="0"/>
    </w:p>
    <w:p w14:paraId="7DBACC33" w14:textId="77777777" w:rsidR="0058734D" w:rsidRDefault="0058734D" w:rsidP="0058734D">
      <w:pPr>
        <w:spacing w:line="360" w:lineRule="auto"/>
        <w:jc w:val="both"/>
        <w:rPr>
          <w:rFonts w:ascii="Arial" w:hAnsi="Arial" w:cs="Arial"/>
          <w:sz w:val="24"/>
        </w:rPr>
      </w:pPr>
      <w:r w:rsidRPr="00CC0188">
        <w:rPr>
          <w:rFonts w:ascii="Arial" w:hAnsi="Arial" w:cs="Arial"/>
          <w:sz w:val="24"/>
        </w:rPr>
        <w:t>The precedent-setting principle underlies common law, which bases decisions on previous instances. Hence, the law adapts to new circumstances. Common law is created by judges when they apply existing laws to specific situations</w:t>
      </w:r>
      <w:r>
        <w:rPr>
          <w:rFonts w:ascii="Arial" w:hAnsi="Arial" w:cs="Arial"/>
          <w:sz w:val="24"/>
        </w:rPr>
        <w:t xml:space="preserve"> (Pound, 1907)</w:t>
      </w:r>
      <w:r w:rsidR="00B80B55">
        <w:rPr>
          <w:rFonts w:ascii="Arial" w:hAnsi="Arial" w:cs="Arial"/>
          <w:sz w:val="24"/>
        </w:rPr>
        <w:t xml:space="preserve">. </w:t>
      </w:r>
      <w:r w:rsidR="00B80B55" w:rsidRPr="00B80B55">
        <w:rPr>
          <w:rFonts w:ascii="Arial" w:hAnsi="Arial" w:cs="Arial"/>
          <w:sz w:val="24"/>
        </w:rPr>
        <w:t xml:space="preserve">The core tenets of common law include the notion that everyone is entitled to a fair trial and is on an equal footing before the law. Judges are required to make judgements based on the facts of each case rather than their own prejudices or personal convictions. Common law relies heavily on precedent because it makes legal results consistent and </w:t>
      </w:r>
      <w:r w:rsidR="0079336C" w:rsidRPr="00B80B55">
        <w:rPr>
          <w:rFonts w:ascii="Arial" w:hAnsi="Arial" w:cs="Arial"/>
          <w:sz w:val="24"/>
        </w:rPr>
        <w:t>predictable.</w:t>
      </w:r>
      <w:r w:rsidR="0079336C" w:rsidRPr="00CC0188">
        <w:rPr>
          <w:rFonts w:ascii="Arial" w:hAnsi="Arial" w:cs="Arial"/>
          <w:sz w:val="24"/>
        </w:rPr>
        <w:t xml:space="preserve"> Civil</w:t>
      </w:r>
      <w:r w:rsidRPr="00CC0188">
        <w:rPr>
          <w:rFonts w:ascii="Arial" w:hAnsi="Arial" w:cs="Arial"/>
          <w:sz w:val="24"/>
        </w:rPr>
        <w:t xml:space="preserve"> law, unlike common law, does not use judicial precedents to create new laws. Codified laws define it. In code-based legal systems, civil law is built on codifying legal principles and regulations</w:t>
      </w:r>
      <w:r>
        <w:rPr>
          <w:rFonts w:ascii="Arial" w:hAnsi="Arial" w:cs="Arial"/>
          <w:sz w:val="24"/>
        </w:rPr>
        <w:t xml:space="preserve"> (</w:t>
      </w:r>
      <w:proofErr w:type="spellStart"/>
      <w:r>
        <w:rPr>
          <w:rFonts w:ascii="Arial" w:hAnsi="Arial" w:cs="Arial"/>
          <w:sz w:val="24"/>
        </w:rPr>
        <w:t>Pejovic</w:t>
      </w:r>
      <w:proofErr w:type="spellEnd"/>
      <w:r>
        <w:rPr>
          <w:rFonts w:ascii="Arial" w:hAnsi="Arial" w:cs="Arial"/>
          <w:sz w:val="24"/>
        </w:rPr>
        <w:t>, 2001)</w:t>
      </w:r>
      <w:r w:rsidRPr="00CC0188">
        <w:rPr>
          <w:rFonts w:ascii="Arial" w:hAnsi="Arial" w:cs="Arial"/>
          <w:sz w:val="24"/>
        </w:rPr>
        <w:t>.</w:t>
      </w:r>
    </w:p>
    <w:p w14:paraId="0238C800" w14:textId="77777777" w:rsidR="0058734D" w:rsidRPr="00CB3815" w:rsidRDefault="0058734D" w:rsidP="0058734D">
      <w:pPr>
        <w:spacing w:line="360" w:lineRule="auto"/>
        <w:jc w:val="both"/>
        <w:rPr>
          <w:rFonts w:ascii="Arial" w:hAnsi="Arial" w:cs="Arial"/>
          <w:sz w:val="24"/>
        </w:rPr>
      </w:pPr>
      <w:r w:rsidRPr="00CB3815">
        <w:rPr>
          <w:rFonts w:ascii="Arial" w:hAnsi="Arial" w:cs="Arial"/>
          <w:sz w:val="24"/>
        </w:rPr>
        <w:t>One of the most significant legal systems in the world is the English Law System, which is founded on common law ideas. A legal system known as common law is one that bases new legislation on judicial rulings and precedents</w:t>
      </w:r>
      <w:r>
        <w:rPr>
          <w:rFonts w:ascii="Arial" w:hAnsi="Arial" w:cs="Arial"/>
          <w:sz w:val="24"/>
        </w:rPr>
        <w:t xml:space="preserve"> (Partington, </w:t>
      </w:r>
      <w:r w:rsidRPr="00793E20">
        <w:rPr>
          <w:rFonts w:ascii="Arial" w:hAnsi="Arial" w:cs="Arial"/>
          <w:sz w:val="24"/>
        </w:rPr>
        <w:t>2021</w:t>
      </w:r>
      <w:r>
        <w:rPr>
          <w:rFonts w:ascii="Arial" w:hAnsi="Arial" w:cs="Arial"/>
          <w:sz w:val="24"/>
        </w:rPr>
        <w:t>)</w:t>
      </w:r>
      <w:r w:rsidRPr="00CB3815">
        <w:rPr>
          <w:rFonts w:ascii="Arial" w:hAnsi="Arial" w:cs="Arial"/>
          <w:sz w:val="24"/>
        </w:rPr>
        <w:t xml:space="preserve">. Judges in England made judgements based on earlier cases and established precedents for cases to come, which </w:t>
      </w:r>
      <w:r w:rsidR="00192299">
        <w:rPr>
          <w:rFonts w:ascii="Arial" w:hAnsi="Arial" w:cs="Arial"/>
          <w:sz w:val="24"/>
        </w:rPr>
        <w:t>pushed towards the</w:t>
      </w:r>
      <w:r w:rsidRPr="00CB3815">
        <w:rPr>
          <w:rFonts w:ascii="Arial" w:hAnsi="Arial" w:cs="Arial"/>
          <w:sz w:val="24"/>
        </w:rPr>
        <w:t xml:space="preserve"> development of common law. The United States and Australia are two nations that have adopted this technique of establishing legislation through judicial rulings. </w:t>
      </w:r>
    </w:p>
    <w:p w14:paraId="575D6B0F" w14:textId="77777777" w:rsidR="0058734D" w:rsidRPr="00CB3815" w:rsidRDefault="0058734D" w:rsidP="0058734D">
      <w:pPr>
        <w:spacing w:line="360" w:lineRule="auto"/>
        <w:jc w:val="both"/>
        <w:rPr>
          <w:rFonts w:ascii="Arial" w:hAnsi="Arial" w:cs="Arial"/>
          <w:sz w:val="24"/>
        </w:rPr>
      </w:pPr>
      <w:r w:rsidRPr="00CB3815">
        <w:rPr>
          <w:rFonts w:ascii="Arial" w:hAnsi="Arial" w:cs="Arial"/>
          <w:sz w:val="24"/>
        </w:rPr>
        <w:t>This means that English Legal System is based on common law principles and this system has been very influential in the growth of judicial systems all around the world.</w:t>
      </w:r>
    </w:p>
    <w:p w14:paraId="35E10E18" w14:textId="77777777" w:rsidR="0058734D" w:rsidRPr="002D03BA" w:rsidRDefault="0058734D" w:rsidP="0058734D">
      <w:pPr>
        <w:pStyle w:val="Heading1"/>
        <w:spacing w:line="360" w:lineRule="auto"/>
        <w:rPr>
          <w:rFonts w:ascii="Arial" w:hAnsi="Arial" w:cs="Arial"/>
          <w:color w:val="auto"/>
        </w:rPr>
      </w:pPr>
      <w:bookmarkStart w:id="1" w:name="_Toc128160255"/>
      <w:r w:rsidRPr="002D03BA">
        <w:rPr>
          <w:rFonts w:ascii="Arial" w:hAnsi="Arial" w:cs="Arial"/>
          <w:color w:val="auto"/>
        </w:rPr>
        <w:t>Common Law</w:t>
      </w:r>
      <w:bookmarkEnd w:id="1"/>
    </w:p>
    <w:p w14:paraId="15E691ED" w14:textId="77777777" w:rsidR="0058734D" w:rsidRPr="0058734D" w:rsidRDefault="009C3330" w:rsidP="00B07ECA">
      <w:pPr>
        <w:spacing w:line="360" w:lineRule="auto"/>
        <w:jc w:val="both"/>
        <w:sectPr w:rsidR="0058734D" w:rsidRPr="0058734D" w:rsidSect="0058734D">
          <w:footerReference w:type="default" r:id="rId14"/>
          <w:pgSz w:w="12240" w:h="15840" w:code="1"/>
          <w:pgMar w:top="1440" w:right="1440" w:bottom="1440" w:left="1440" w:header="720" w:footer="720" w:gutter="0"/>
          <w:pgNumType w:start="1"/>
          <w:cols w:space="720"/>
          <w:docGrid w:linePitch="360"/>
        </w:sectPr>
      </w:pPr>
      <w:r w:rsidRPr="009C3330">
        <w:rPr>
          <w:rFonts w:ascii="Arial" w:hAnsi="Arial" w:cs="Arial"/>
          <w:sz w:val="24"/>
          <w:szCs w:val="24"/>
        </w:rPr>
        <w:t xml:space="preserve">The common law system that </w:t>
      </w:r>
      <w:r w:rsidR="009B7C4E" w:rsidRPr="009C3330">
        <w:rPr>
          <w:rFonts w:ascii="Arial" w:hAnsi="Arial" w:cs="Arial"/>
          <w:sz w:val="24"/>
          <w:szCs w:val="24"/>
        </w:rPr>
        <w:t>invented</w:t>
      </w:r>
      <w:r w:rsidRPr="009C3330">
        <w:rPr>
          <w:rFonts w:ascii="Arial" w:hAnsi="Arial" w:cs="Arial"/>
          <w:sz w:val="24"/>
          <w:szCs w:val="24"/>
        </w:rPr>
        <w:t xml:space="preserve"> in England has been adopted by many countries, including the United States, Canada, and </w:t>
      </w:r>
      <w:r w:rsidR="00B834EC" w:rsidRPr="009C3330">
        <w:rPr>
          <w:rFonts w:ascii="Arial" w:hAnsi="Arial" w:cs="Arial"/>
          <w:sz w:val="24"/>
          <w:szCs w:val="24"/>
        </w:rPr>
        <w:t>Australia.</w:t>
      </w:r>
      <w:r w:rsidR="00B834EC">
        <w:rPr>
          <w:rFonts w:ascii="Arial" w:hAnsi="Arial" w:cs="Arial"/>
          <w:sz w:val="24"/>
          <w:szCs w:val="24"/>
        </w:rPr>
        <w:t xml:space="preserve"> It</w:t>
      </w:r>
      <w:r w:rsidR="003333FC">
        <w:rPr>
          <w:rFonts w:ascii="Arial" w:hAnsi="Arial" w:cs="Arial"/>
          <w:sz w:val="24"/>
          <w:szCs w:val="24"/>
        </w:rPr>
        <w:t xml:space="preserve"> </w:t>
      </w:r>
      <w:r w:rsidR="00331095">
        <w:rPr>
          <w:rFonts w:ascii="Arial" w:hAnsi="Arial" w:cs="Arial"/>
          <w:sz w:val="24"/>
          <w:szCs w:val="24"/>
        </w:rPr>
        <w:t>has now extended in</w:t>
      </w:r>
      <w:r w:rsidR="0058734D" w:rsidRPr="00100236">
        <w:rPr>
          <w:rFonts w:ascii="Arial" w:hAnsi="Arial" w:cs="Arial"/>
          <w:sz w:val="24"/>
          <w:szCs w:val="24"/>
        </w:rPr>
        <w:t xml:space="preserve"> many other nations. </w:t>
      </w:r>
      <w:r w:rsidR="000C1F52" w:rsidRPr="000C1F52">
        <w:rPr>
          <w:rFonts w:ascii="Arial" w:hAnsi="Arial" w:cs="Arial"/>
          <w:sz w:val="24"/>
          <w:szCs w:val="24"/>
        </w:rPr>
        <w:t>Common law is the body of rules created by judges and drawn from precedent and prior rulings</w:t>
      </w:r>
      <w:r w:rsidR="00CC669B">
        <w:rPr>
          <w:rFonts w:ascii="Arial" w:hAnsi="Arial" w:cs="Arial"/>
          <w:sz w:val="24"/>
          <w:szCs w:val="24"/>
        </w:rPr>
        <w:t xml:space="preserve"> </w:t>
      </w:r>
      <w:r w:rsidR="00547F7A">
        <w:rPr>
          <w:rFonts w:ascii="Arial" w:hAnsi="Arial" w:cs="Arial"/>
          <w:sz w:val="24"/>
          <w:szCs w:val="24"/>
        </w:rPr>
        <w:t>(</w:t>
      </w:r>
      <w:proofErr w:type="spellStart"/>
      <w:r w:rsidR="0058734D">
        <w:rPr>
          <w:rFonts w:ascii="Arial" w:hAnsi="Arial" w:cs="Arial"/>
          <w:sz w:val="24"/>
          <w:szCs w:val="24"/>
        </w:rPr>
        <w:t>Caenegem</w:t>
      </w:r>
      <w:proofErr w:type="spellEnd"/>
      <w:r w:rsidR="0058734D">
        <w:rPr>
          <w:rFonts w:ascii="Arial" w:hAnsi="Arial" w:cs="Arial"/>
          <w:sz w:val="24"/>
          <w:szCs w:val="24"/>
        </w:rPr>
        <w:t xml:space="preserve"> and Caenegem.1988</w:t>
      </w:r>
      <w:r w:rsidR="00004EEC" w:rsidRPr="00004EEC">
        <w:rPr>
          <w:rFonts w:ascii="Arial" w:hAnsi="Arial" w:cs="Arial"/>
          <w:sz w:val="24"/>
          <w:szCs w:val="24"/>
        </w:rPr>
        <w:t>.</w:t>
      </w:r>
      <w:r w:rsidR="009B7C4E">
        <w:rPr>
          <w:rFonts w:ascii="Arial" w:hAnsi="Arial" w:cs="Arial"/>
          <w:sz w:val="24"/>
          <w:szCs w:val="24"/>
        </w:rPr>
        <w:t xml:space="preserve"> The common law system was used initially in King Henry II’s judicial systems </w:t>
      </w:r>
      <w:proofErr w:type="gramStart"/>
      <w:r w:rsidR="009B7C4E">
        <w:rPr>
          <w:rFonts w:ascii="Arial" w:hAnsi="Arial" w:cs="Arial"/>
          <w:sz w:val="24"/>
          <w:szCs w:val="24"/>
        </w:rPr>
        <w:t>and also</w:t>
      </w:r>
      <w:proofErr w:type="gramEnd"/>
      <w:r w:rsidR="009B7C4E">
        <w:rPr>
          <w:rFonts w:ascii="Arial" w:hAnsi="Arial" w:cs="Arial"/>
          <w:sz w:val="24"/>
          <w:szCs w:val="24"/>
        </w:rPr>
        <w:t xml:space="preserve"> it was given the game common because it was used in every university in the </w:t>
      </w:r>
      <w:r w:rsidR="00EB08F0">
        <w:rPr>
          <w:rFonts w:ascii="Arial" w:hAnsi="Arial" w:cs="Arial"/>
          <w:sz w:val="24"/>
          <w:szCs w:val="24"/>
        </w:rPr>
        <w:t>country</w:t>
      </w:r>
      <w:r w:rsidR="003F5AB5">
        <w:rPr>
          <w:rFonts w:ascii="Arial" w:hAnsi="Arial" w:cs="Arial"/>
          <w:sz w:val="24"/>
          <w:szCs w:val="24"/>
        </w:rPr>
        <w:t>.</w:t>
      </w:r>
      <w:r w:rsidR="00004EEC" w:rsidRPr="00100236">
        <w:rPr>
          <w:rFonts w:ascii="Arial" w:hAnsi="Arial" w:cs="Arial"/>
          <w:sz w:val="24"/>
          <w:szCs w:val="24"/>
        </w:rPr>
        <w:t xml:space="preserve"> </w:t>
      </w:r>
      <w:r w:rsidR="003F5AB5">
        <w:rPr>
          <w:rFonts w:ascii="Arial" w:hAnsi="Arial" w:cs="Arial"/>
          <w:sz w:val="24"/>
          <w:szCs w:val="24"/>
        </w:rPr>
        <w:t>I</w:t>
      </w:r>
      <w:r w:rsidR="00EB08F0" w:rsidRPr="00100236">
        <w:rPr>
          <w:rFonts w:ascii="Arial" w:hAnsi="Arial" w:cs="Arial"/>
          <w:sz w:val="24"/>
          <w:szCs w:val="24"/>
        </w:rPr>
        <w:t>n</w:t>
      </w:r>
      <w:r w:rsidR="0058734D" w:rsidRPr="00100236">
        <w:rPr>
          <w:rFonts w:ascii="Arial" w:hAnsi="Arial" w:cs="Arial"/>
          <w:sz w:val="24"/>
          <w:szCs w:val="24"/>
        </w:rPr>
        <w:t xml:space="preserve"> this system, judges had the authority to enact new laws and amend existing ones in accordance with the notions of justice and fairness. These judgments were documented and added to a body of law that </w:t>
      </w:r>
    </w:p>
    <w:p w14:paraId="4978F774" w14:textId="77777777" w:rsidR="0096439A" w:rsidRPr="00100236" w:rsidRDefault="00A2108E" w:rsidP="00100236">
      <w:pPr>
        <w:spacing w:line="360" w:lineRule="auto"/>
        <w:jc w:val="both"/>
        <w:rPr>
          <w:rFonts w:ascii="Arial" w:hAnsi="Arial" w:cs="Arial"/>
          <w:sz w:val="24"/>
          <w:szCs w:val="24"/>
        </w:rPr>
      </w:pPr>
      <w:r w:rsidRPr="00100236">
        <w:rPr>
          <w:rFonts w:ascii="Arial" w:hAnsi="Arial" w:cs="Arial"/>
          <w:sz w:val="24"/>
          <w:szCs w:val="24"/>
        </w:rPr>
        <w:lastRenderedPageBreak/>
        <w:t xml:space="preserve">served as a guide for subsequent trials. </w:t>
      </w:r>
      <w:r>
        <w:rPr>
          <w:rFonts w:ascii="Arial" w:hAnsi="Arial" w:cs="Arial"/>
          <w:sz w:val="24"/>
          <w:szCs w:val="24"/>
        </w:rPr>
        <w:t xml:space="preserve">One of the </w:t>
      </w:r>
      <w:proofErr w:type="gramStart"/>
      <w:r>
        <w:rPr>
          <w:rFonts w:ascii="Arial" w:hAnsi="Arial" w:cs="Arial"/>
          <w:sz w:val="24"/>
          <w:szCs w:val="24"/>
        </w:rPr>
        <w:t>benefit</w:t>
      </w:r>
      <w:proofErr w:type="gramEnd"/>
      <w:r>
        <w:rPr>
          <w:rFonts w:ascii="Arial" w:hAnsi="Arial" w:cs="Arial"/>
          <w:sz w:val="24"/>
          <w:szCs w:val="24"/>
        </w:rPr>
        <w:t xml:space="preserve"> of English common law is that it provides certainty.</w:t>
      </w:r>
      <w:r w:rsidRPr="00100236">
        <w:rPr>
          <w:rFonts w:ascii="Arial" w:hAnsi="Arial" w:cs="Arial"/>
          <w:sz w:val="24"/>
          <w:szCs w:val="24"/>
        </w:rPr>
        <w:t xml:space="preserve"> </w:t>
      </w:r>
      <w:r>
        <w:rPr>
          <w:rFonts w:ascii="Arial" w:hAnsi="Arial" w:cs="Arial"/>
          <w:sz w:val="24"/>
          <w:szCs w:val="24"/>
        </w:rPr>
        <w:t>So</w:t>
      </w:r>
      <w:r w:rsidRPr="00100236">
        <w:rPr>
          <w:rFonts w:ascii="Arial" w:hAnsi="Arial" w:cs="Arial"/>
          <w:sz w:val="24"/>
          <w:szCs w:val="24"/>
        </w:rPr>
        <w:t xml:space="preserve">, based on similar cases, </w:t>
      </w:r>
      <w:r>
        <w:rPr>
          <w:rFonts w:ascii="Arial" w:hAnsi="Arial" w:cs="Arial"/>
          <w:sz w:val="24"/>
          <w:szCs w:val="24"/>
        </w:rPr>
        <w:t xml:space="preserve">anyone can get a transparent picture about their case and what will happen in their case.  </w:t>
      </w:r>
      <w:r w:rsidRPr="00E24454">
        <w:rPr>
          <w:rFonts w:ascii="Arial" w:hAnsi="Arial" w:cs="Arial"/>
          <w:sz w:val="24"/>
          <w:szCs w:val="24"/>
        </w:rPr>
        <w:t>The common la</w:t>
      </w:r>
      <w:r>
        <w:rPr>
          <w:rFonts w:ascii="Arial" w:hAnsi="Arial" w:cs="Arial"/>
          <w:sz w:val="24"/>
          <w:szCs w:val="24"/>
        </w:rPr>
        <w:t>w upholds the idea of certainty</w:t>
      </w:r>
      <w:r w:rsidRPr="00E24454">
        <w:rPr>
          <w:rFonts w:ascii="Arial" w:hAnsi="Arial" w:cs="Arial"/>
          <w:sz w:val="24"/>
          <w:szCs w:val="24"/>
        </w:rPr>
        <w:t xml:space="preserve"> </w:t>
      </w:r>
      <w:r>
        <w:rPr>
          <w:rFonts w:ascii="Arial" w:hAnsi="Arial" w:cs="Arial"/>
          <w:sz w:val="24"/>
          <w:szCs w:val="24"/>
        </w:rPr>
        <w:t>(Winfield, 1928)</w:t>
      </w:r>
      <w:r w:rsidRPr="00100236">
        <w:rPr>
          <w:rFonts w:ascii="Arial" w:hAnsi="Arial" w:cs="Arial"/>
          <w:sz w:val="24"/>
          <w:szCs w:val="24"/>
        </w:rPr>
        <w:t xml:space="preserve">. Another major </w:t>
      </w:r>
      <w:proofErr w:type="gramStart"/>
      <w:r w:rsidRPr="00100236">
        <w:rPr>
          <w:rFonts w:ascii="Arial" w:hAnsi="Arial" w:cs="Arial"/>
          <w:sz w:val="24"/>
          <w:szCs w:val="24"/>
        </w:rPr>
        <w:t>benefits</w:t>
      </w:r>
      <w:proofErr w:type="gramEnd"/>
      <w:r>
        <w:rPr>
          <w:rFonts w:ascii="Arial" w:hAnsi="Arial" w:cs="Arial"/>
          <w:sz w:val="24"/>
          <w:szCs w:val="24"/>
        </w:rPr>
        <w:t xml:space="preserve"> of common law Is </w:t>
      </w:r>
      <w:r w:rsidRPr="00100236">
        <w:rPr>
          <w:rFonts w:ascii="Arial" w:hAnsi="Arial" w:cs="Arial"/>
          <w:sz w:val="24"/>
          <w:szCs w:val="24"/>
        </w:rPr>
        <w:t>it is a flexible</w:t>
      </w:r>
      <w:r>
        <w:rPr>
          <w:rFonts w:ascii="Arial" w:hAnsi="Arial" w:cs="Arial"/>
          <w:sz w:val="24"/>
          <w:szCs w:val="24"/>
        </w:rPr>
        <w:t xml:space="preserve"> legal </w:t>
      </w:r>
      <w:r w:rsidR="00CC107D">
        <w:rPr>
          <w:rFonts w:ascii="Arial" w:hAnsi="Arial" w:cs="Arial"/>
          <w:sz w:val="24"/>
          <w:szCs w:val="24"/>
        </w:rPr>
        <w:t>s</w:t>
      </w:r>
      <w:r w:rsidR="00B07ECA" w:rsidRPr="00100236">
        <w:rPr>
          <w:rFonts w:ascii="Arial" w:hAnsi="Arial" w:cs="Arial"/>
          <w:sz w:val="24"/>
          <w:szCs w:val="24"/>
        </w:rPr>
        <w:t>ystem</w:t>
      </w:r>
      <w:r w:rsidR="00D96113" w:rsidRPr="00100236">
        <w:rPr>
          <w:rFonts w:ascii="Arial" w:hAnsi="Arial" w:cs="Arial"/>
          <w:sz w:val="24"/>
          <w:szCs w:val="24"/>
        </w:rPr>
        <w:t xml:space="preserve">. </w:t>
      </w:r>
      <w:proofErr w:type="gramStart"/>
      <w:r w:rsidR="00E97841" w:rsidRPr="00100236">
        <w:rPr>
          <w:rFonts w:ascii="Arial" w:hAnsi="Arial" w:cs="Arial"/>
          <w:sz w:val="24"/>
          <w:szCs w:val="24"/>
        </w:rPr>
        <w:t>In order to</w:t>
      </w:r>
      <w:proofErr w:type="gramEnd"/>
      <w:r w:rsidR="00E97841" w:rsidRPr="00100236">
        <w:rPr>
          <w:rFonts w:ascii="Arial" w:hAnsi="Arial" w:cs="Arial"/>
          <w:sz w:val="24"/>
          <w:szCs w:val="24"/>
        </w:rPr>
        <w:t xml:space="preserve"> respond to the changing requirements of society and reflect shifting socio-politica</w:t>
      </w:r>
      <w:r w:rsidR="00235280" w:rsidRPr="00100236">
        <w:rPr>
          <w:rFonts w:ascii="Arial" w:hAnsi="Arial" w:cs="Arial"/>
          <w:sz w:val="24"/>
          <w:szCs w:val="24"/>
        </w:rPr>
        <w:t xml:space="preserve">l norms and values, judges can </w:t>
      </w:r>
      <w:r w:rsidR="00E97841" w:rsidRPr="00100236">
        <w:rPr>
          <w:rFonts w:ascii="Arial" w:hAnsi="Arial" w:cs="Arial"/>
          <w:sz w:val="24"/>
          <w:szCs w:val="24"/>
        </w:rPr>
        <w:t>develop the common law on an individual basis.</w:t>
      </w:r>
      <w:r w:rsidR="0096439A" w:rsidRPr="00100236">
        <w:rPr>
          <w:rFonts w:ascii="Arial" w:hAnsi="Arial" w:cs="Arial"/>
          <w:sz w:val="24"/>
          <w:szCs w:val="24"/>
        </w:rPr>
        <w:t xml:space="preserve"> </w:t>
      </w:r>
    </w:p>
    <w:p w14:paraId="40BA0C7C" w14:textId="77777777" w:rsidR="001E4555" w:rsidRPr="002D03BA" w:rsidRDefault="007C30AE" w:rsidP="00F75912">
      <w:pPr>
        <w:pStyle w:val="Heading1"/>
        <w:spacing w:line="360" w:lineRule="auto"/>
        <w:rPr>
          <w:rFonts w:ascii="Arial" w:hAnsi="Arial" w:cs="Arial"/>
          <w:color w:val="auto"/>
        </w:rPr>
      </w:pPr>
      <w:bookmarkStart w:id="2" w:name="_Toc128160256"/>
      <w:r w:rsidRPr="002D03BA">
        <w:rPr>
          <w:rFonts w:ascii="Arial" w:hAnsi="Arial" w:cs="Arial"/>
          <w:color w:val="auto"/>
        </w:rPr>
        <w:t>Civil Law</w:t>
      </w:r>
      <w:bookmarkEnd w:id="2"/>
    </w:p>
    <w:p w14:paraId="3C7DC7BD" w14:textId="77777777" w:rsidR="007C30AE" w:rsidRDefault="007C30AE" w:rsidP="007C30AE">
      <w:pPr>
        <w:spacing w:line="360" w:lineRule="auto"/>
        <w:jc w:val="both"/>
        <w:rPr>
          <w:rFonts w:ascii="Arial" w:hAnsi="Arial" w:cs="Arial"/>
          <w:sz w:val="24"/>
          <w:szCs w:val="24"/>
        </w:rPr>
      </w:pPr>
      <w:r w:rsidRPr="007C30AE">
        <w:rPr>
          <w:rFonts w:ascii="Arial" w:hAnsi="Arial" w:cs="Arial"/>
          <w:sz w:val="24"/>
          <w:szCs w:val="24"/>
        </w:rPr>
        <w:t xml:space="preserve">Roman law laid the groundwork for civil law, which is based on written codes of laws. According to the Legal Information Center at Cornell Law School, </w:t>
      </w:r>
      <w:r w:rsidR="00E3158A" w:rsidRPr="00E3158A">
        <w:rPr>
          <w:rFonts w:ascii="Arial" w:hAnsi="Arial" w:cs="Arial"/>
          <w:sz w:val="24"/>
          <w:szCs w:val="24"/>
        </w:rPr>
        <w:t>Civil law systems determine judicial processes, penalties, and what may and cannot be brought before a court based on continuously revised legislation and oth</w:t>
      </w:r>
      <w:r w:rsidR="00E3158A">
        <w:rPr>
          <w:rFonts w:ascii="Arial" w:hAnsi="Arial" w:cs="Arial"/>
          <w:sz w:val="24"/>
          <w:szCs w:val="24"/>
        </w:rPr>
        <w:t xml:space="preserve">er legal regulations </w:t>
      </w:r>
      <w:r w:rsidRPr="007C30AE">
        <w:rPr>
          <w:rFonts w:ascii="Arial" w:hAnsi="Arial" w:cs="Arial"/>
          <w:sz w:val="24"/>
          <w:szCs w:val="24"/>
        </w:rPr>
        <w:t xml:space="preserve">(Legal Information Institute, 2020). Civil law provides inhabitants with an accessible, comprehensive, and unambiguous set of rules and standards. Civil law also strengthens legal equality. Civil law regimes are fair because they apply the same laws to everyone, regardless of social status or political power. </w:t>
      </w:r>
      <w:r w:rsidR="00A60846" w:rsidRPr="00A60846">
        <w:rPr>
          <w:rFonts w:ascii="Arial" w:hAnsi="Arial" w:cs="Arial"/>
          <w:sz w:val="24"/>
          <w:szCs w:val="24"/>
        </w:rPr>
        <w:t xml:space="preserve">This might increase </w:t>
      </w:r>
      <w:r w:rsidR="001C742A">
        <w:rPr>
          <w:rFonts w:ascii="Arial" w:hAnsi="Arial" w:cs="Arial"/>
          <w:sz w:val="24"/>
          <w:szCs w:val="24"/>
        </w:rPr>
        <w:t xml:space="preserve">general people confidence in the legal system. </w:t>
      </w:r>
    </w:p>
    <w:p w14:paraId="40647D92" w14:textId="77777777" w:rsidR="001E4555" w:rsidRPr="002D03BA" w:rsidRDefault="007C30AE" w:rsidP="00F75912">
      <w:pPr>
        <w:pStyle w:val="Heading1"/>
        <w:spacing w:line="360" w:lineRule="auto"/>
        <w:rPr>
          <w:rFonts w:ascii="Arial" w:hAnsi="Arial" w:cs="Arial"/>
          <w:color w:val="auto"/>
        </w:rPr>
      </w:pPr>
      <w:bookmarkStart w:id="3" w:name="_Toc128160257"/>
      <w:r w:rsidRPr="002D03BA">
        <w:rPr>
          <w:rFonts w:ascii="Arial" w:hAnsi="Arial" w:cs="Arial"/>
          <w:color w:val="auto"/>
        </w:rPr>
        <w:t>Contrast between common law and civil law</w:t>
      </w:r>
      <w:bookmarkEnd w:id="3"/>
    </w:p>
    <w:p w14:paraId="6A3210B2" w14:textId="77777777" w:rsidR="00100236" w:rsidRDefault="005B7BF4" w:rsidP="005B7BF4">
      <w:pPr>
        <w:spacing w:line="360" w:lineRule="auto"/>
        <w:jc w:val="both"/>
        <w:rPr>
          <w:rFonts w:ascii="Arial" w:hAnsi="Arial" w:cs="Arial"/>
          <w:sz w:val="24"/>
        </w:rPr>
      </w:pPr>
      <w:r w:rsidRPr="005B7BF4">
        <w:rPr>
          <w:rFonts w:ascii="Arial" w:hAnsi="Arial" w:cs="Arial"/>
          <w:sz w:val="24"/>
        </w:rPr>
        <w:t>The function of judges is one of the primary distinctions between common law and civil law. In contrast to civil law systems, where judges are expected to strictly apply the law as it is written in the codes, common law systems provide judges more latitude in how they interpret and apply the law</w:t>
      </w:r>
      <w:r w:rsidR="00D578FF">
        <w:rPr>
          <w:rFonts w:ascii="Arial" w:hAnsi="Arial" w:cs="Arial"/>
          <w:sz w:val="24"/>
        </w:rPr>
        <w:t xml:space="preserve"> (</w:t>
      </w:r>
      <w:proofErr w:type="spellStart"/>
      <w:r w:rsidR="00D578FF">
        <w:rPr>
          <w:rFonts w:ascii="Arial" w:hAnsi="Arial" w:cs="Arial"/>
          <w:sz w:val="24"/>
        </w:rPr>
        <w:t>Pejovic</w:t>
      </w:r>
      <w:proofErr w:type="spellEnd"/>
      <w:r w:rsidR="00D578FF">
        <w:rPr>
          <w:rFonts w:ascii="Arial" w:hAnsi="Arial" w:cs="Arial"/>
          <w:sz w:val="24"/>
        </w:rPr>
        <w:t>, 2001)</w:t>
      </w:r>
      <w:r w:rsidRPr="005B7BF4">
        <w:rPr>
          <w:rFonts w:ascii="Arial" w:hAnsi="Arial" w:cs="Arial"/>
          <w:sz w:val="24"/>
        </w:rPr>
        <w:t xml:space="preserve">. Moreover, civil law systems are frequently more inquisitorial, with judges participating more actively in the procedures, whereas common law systems are frequently more adversarial in nature, with lawyers and parties presenting evidence and arguments to a court or jury. Use of precedent is another </w:t>
      </w:r>
      <w:r w:rsidR="00E21BEC" w:rsidRPr="005B7BF4">
        <w:rPr>
          <w:rFonts w:ascii="Arial" w:hAnsi="Arial" w:cs="Arial"/>
          <w:sz w:val="24"/>
        </w:rPr>
        <w:t>distinction</w:t>
      </w:r>
      <w:r w:rsidR="00E21BEC">
        <w:rPr>
          <w:rFonts w:ascii="Arial" w:hAnsi="Arial" w:cs="Arial"/>
          <w:sz w:val="24"/>
        </w:rPr>
        <w:t xml:space="preserve"> (Graff, M., 2008)</w:t>
      </w:r>
      <w:r w:rsidRPr="005B7BF4">
        <w:rPr>
          <w:rFonts w:ascii="Arial" w:hAnsi="Arial" w:cs="Arial"/>
          <w:sz w:val="24"/>
        </w:rPr>
        <w:t xml:space="preserve">. </w:t>
      </w:r>
      <w:proofErr w:type="gramStart"/>
      <w:r w:rsidRPr="005B7BF4">
        <w:rPr>
          <w:rFonts w:ascii="Arial" w:hAnsi="Arial" w:cs="Arial"/>
          <w:sz w:val="24"/>
        </w:rPr>
        <w:t>For the purpose of</w:t>
      </w:r>
      <w:proofErr w:type="gramEnd"/>
      <w:r w:rsidRPr="005B7BF4">
        <w:rPr>
          <w:rFonts w:ascii="Arial" w:hAnsi="Arial" w:cs="Arial"/>
          <w:sz w:val="24"/>
        </w:rPr>
        <w:t xml:space="preserve"> establishing legal principles and offering direction for upcoming cases, common law systems mainly rely on prior court decisions. Contrarily, civil law systems rely more on written regulations and statutes and place less weight on precedent.</w:t>
      </w:r>
    </w:p>
    <w:p w14:paraId="1DB76185" w14:textId="77777777" w:rsidR="001405C0" w:rsidRDefault="001405C0" w:rsidP="005B7BF4">
      <w:pPr>
        <w:spacing w:line="360" w:lineRule="auto"/>
        <w:jc w:val="both"/>
        <w:rPr>
          <w:rFonts w:ascii="Arial" w:hAnsi="Arial" w:cs="Arial"/>
          <w:sz w:val="24"/>
        </w:rPr>
      </w:pPr>
    </w:p>
    <w:p w14:paraId="1F24F187" w14:textId="77777777" w:rsidR="00B13A9E" w:rsidRPr="002D03BA" w:rsidRDefault="005E4701" w:rsidP="00F75912">
      <w:pPr>
        <w:pStyle w:val="Heading1"/>
        <w:spacing w:line="360" w:lineRule="auto"/>
        <w:rPr>
          <w:rFonts w:ascii="Arial" w:hAnsi="Arial" w:cs="Arial"/>
          <w:color w:val="auto"/>
        </w:rPr>
      </w:pPr>
      <w:bookmarkStart w:id="4" w:name="_Toc128160258"/>
      <w:r>
        <w:rPr>
          <w:rFonts w:ascii="Arial" w:hAnsi="Arial" w:cs="Arial"/>
          <w:color w:val="auto"/>
        </w:rPr>
        <w:t xml:space="preserve">English legal system based on common </w:t>
      </w:r>
      <w:proofErr w:type="gramStart"/>
      <w:r>
        <w:rPr>
          <w:rFonts w:ascii="Arial" w:hAnsi="Arial" w:cs="Arial"/>
          <w:color w:val="auto"/>
        </w:rPr>
        <w:t>law</w:t>
      </w:r>
      <w:bookmarkEnd w:id="4"/>
      <w:proofErr w:type="gramEnd"/>
    </w:p>
    <w:p w14:paraId="67528316" w14:textId="77777777" w:rsidR="00D22934" w:rsidRDefault="00816C8B" w:rsidP="000B0643">
      <w:pPr>
        <w:spacing w:line="360" w:lineRule="auto"/>
        <w:jc w:val="both"/>
        <w:rPr>
          <w:rFonts w:ascii="Arial" w:hAnsi="Arial" w:cs="Arial"/>
          <w:sz w:val="24"/>
        </w:rPr>
      </w:pPr>
      <w:r>
        <w:rPr>
          <w:rFonts w:ascii="Arial" w:hAnsi="Arial" w:cs="Arial"/>
          <w:sz w:val="24"/>
        </w:rPr>
        <w:t>T</w:t>
      </w:r>
      <w:r w:rsidR="000B0643" w:rsidRPr="000B0643">
        <w:rPr>
          <w:rFonts w:ascii="Arial" w:hAnsi="Arial" w:cs="Arial"/>
          <w:sz w:val="24"/>
        </w:rPr>
        <w:t>he English legal system mainly relies on court precedent and judgements rather than statutory law or written regulations</w:t>
      </w:r>
      <w:r>
        <w:rPr>
          <w:rFonts w:ascii="Arial" w:hAnsi="Arial" w:cs="Arial"/>
          <w:sz w:val="24"/>
        </w:rPr>
        <w:t xml:space="preserve"> as it is built on common law</w:t>
      </w:r>
      <w:r w:rsidR="000B0643" w:rsidRPr="000B0643">
        <w:rPr>
          <w:rFonts w:ascii="Arial" w:hAnsi="Arial" w:cs="Arial"/>
          <w:sz w:val="24"/>
        </w:rPr>
        <w:t>. The common law system originated in England over a long period of time and has now expanded to numerous other nations, including</w:t>
      </w:r>
      <w:r w:rsidR="000B0643">
        <w:rPr>
          <w:rFonts w:ascii="Arial" w:hAnsi="Arial" w:cs="Arial"/>
          <w:sz w:val="24"/>
        </w:rPr>
        <w:t xml:space="preserve"> the US, Canada, and Australia</w:t>
      </w:r>
      <w:r w:rsidR="00B83FAC">
        <w:rPr>
          <w:rFonts w:ascii="Arial" w:hAnsi="Arial" w:cs="Arial"/>
          <w:sz w:val="24"/>
        </w:rPr>
        <w:t xml:space="preserve"> (Goodhart, 1929)</w:t>
      </w:r>
      <w:r w:rsidR="000B0643">
        <w:rPr>
          <w:rFonts w:ascii="Arial" w:hAnsi="Arial" w:cs="Arial"/>
          <w:sz w:val="24"/>
        </w:rPr>
        <w:t>.</w:t>
      </w:r>
      <w:r w:rsidR="00B13A9E">
        <w:rPr>
          <w:rFonts w:ascii="Arial" w:hAnsi="Arial" w:cs="Arial"/>
          <w:sz w:val="24"/>
        </w:rPr>
        <w:t xml:space="preserve"> </w:t>
      </w:r>
    </w:p>
    <w:p w14:paraId="637BC1ED" w14:textId="77777777" w:rsidR="00D22934" w:rsidRDefault="000B0643" w:rsidP="000B0643">
      <w:pPr>
        <w:spacing w:line="360" w:lineRule="auto"/>
        <w:jc w:val="both"/>
        <w:rPr>
          <w:rFonts w:ascii="Arial" w:hAnsi="Arial" w:cs="Arial"/>
          <w:sz w:val="24"/>
        </w:rPr>
      </w:pPr>
      <w:r w:rsidRPr="000B0643">
        <w:rPr>
          <w:rFonts w:ascii="Arial" w:hAnsi="Arial" w:cs="Arial"/>
          <w:sz w:val="24"/>
        </w:rPr>
        <w:t xml:space="preserve">This is accurate, because the common law system permits the legal system to be flexible and adaptable. Judges in the common law system are free to interpret and apply existing rules to new and changing situations rather than being constrained by fixed statutory laws. Because judges can now </w:t>
      </w:r>
      <w:proofErr w:type="gramStart"/>
      <w:r w:rsidRPr="000B0643">
        <w:rPr>
          <w:rFonts w:ascii="Arial" w:hAnsi="Arial" w:cs="Arial"/>
          <w:sz w:val="24"/>
        </w:rPr>
        <w:t>take into account</w:t>
      </w:r>
      <w:proofErr w:type="gramEnd"/>
      <w:r w:rsidRPr="000B0643">
        <w:rPr>
          <w:rFonts w:ascii="Arial" w:hAnsi="Arial" w:cs="Arial"/>
          <w:sz w:val="24"/>
        </w:rPr>
        <w:t xml:space="preserve"> the unique facts and circumstances of each case, legal issues can now be approached in a more n</w:t>
      </w:r>
      <w:r>
        <w:rPr>
          <w:rFonts w:ascii="Arial" w:hAnsi="Arial" w:cs="Arial"/>
          <w:sz w:val="24"/>
        </w:rPr>
        <w:t>uanced and personalized manner.</w:t>
      </w:r>
      <w:r w:rsidR="00A234DA">
        <w:rPr>
          <w:rFonts w:ascii="Arial" w:hAnsi="Arial" w:cs="Arial"/>
          <w:sz w:val="24"/>
        </w:rPr>
        <w:t xml:space="preserve"> For example,</w:t>
      </w:r>
      <w:r w:rsidR="00F520F9">
        <w:rPr>
          <w:rFonts w:ascii="Arial" w:hAnsi="Arial" w:cs="Arial"/>
          <w:sz w:val="24"/>
        </w:rPr>
        <w:t xml:space="preserve"> </w:t>
      </w:r>
      <w:r w:rsidR="00F520F9" w:rsidRPr="00F520F9">
        <w:rPr>
          <w:rFonts w:ascii="Arial" w:hAnsi="Arial" w:cs="Arial"/>
          <w:sz w:val="24"/>
        </w:rPr>
        <w:t>Adams-</w:t>
      </w:r>
      <w:proofErr w:type="spellStart"/>
      <w:r w:rsidR="00F520F9" w:rsidRPr="00F520F9">
        <w:rPr>
          <w:rFonts w:ascii="Arial" w:hAnsi="Arial" w:cs="Arial"/>
          <w:sz w:val="24"/>
        </w:rPr>
        <w:t>Prassl</w:t>
      </w:r>
      <w:proofErr w:type="spellEnd"/>
      <w:r w:rsidR="00F520F9" w:rsidRPr="00F520F9">
        <w:rPr>
          <w:rFonts w:ascii="Arial" w:hAnsi="Arial" w:cs="Arial"/>
          <w:sz w:val="24"/>
        </w:rPr>
        <w:t xml:space="preserve"> </w:t>
      </w:r>
      <w:r w:rsidR="00447DEC">
        <w:rPr>
          <w:rFonts w:ascii="Arial" w:hAnsi="Arial" w:cs="Arial"/>
          <w:sz w:val="24"/>
        </w:rPr>
        <w:t>(</w:t>
      </w:r>
      <w:r w:rsidR="00F520F9" w:rsidRPr="00F520F9">
        <w:rPr>
          <w:rFonts w:ascii="Arial" w:hAnsi="Arial" w:cs="Arial"/>
          <w:sz w:val="24"/>
        </w:rPr>
        <w:t>2023</w:t>
      </w:r>
      <w:r w:rsidR="00447DEC">
        <w:rPr>
          <w:rFonts w:ascii="Arial" w:hAnsi="Arial" w:cs="Arial"/>
          <w:sz w:val="24"/>
        </w:rPr>
        <w:t>)</w:t>
      </w:r>
      <w:r w:rsidR="00A234DA" w:rsidRPr="00F520F9">
        <w:rPr>
          <w:rFonts w:ascii="Arial" w:hAnsi="Arial" w:cs="Arial"/>
          <w:sz w:val="28"/>
        </w:rPr>
        <w:t xml:space="preserve"> </w:t>
      </w:r>
      <w:r w:rsidR="00F520F9">
        <w:rPr>
          <w:rFonts w:ascii="Arial" w:hAnsi="Arial" w:cs="Arial"/>
          <w:sz w:val="24"/>
        </w:rPr>
        <w:t xml:space="preserve">states that </w:t>
      </w:r>
      <w:r w:rsidR="00A234DA" w:rsidRPr="00A234DA">
        <w:rPr>
          <w:rFonts w:ascii="Arial" w:hAnsi="Arial" w:cs="Arial"/>
          <w:sz w:val="24"/>
        </w:rPr>
        <w:t xml:space="preserve">The UK Supreme Court determined in the case of Uber BV v. Aslam (2021) that Uber drivers are "workers" rather than independent contractors, giving them the right to certain employment benefits like minimum wage and holiday pay. The court's interpretation of current employment rules in light of the particular connection between Uber and its drivers formed the basis for this decision. This decision shows the common law system's flexibility in reacting to new and emerging concerns, and it marks a significant advancement in the application of employment law in the gig </w:t>
      </w:r>
      <w:r w:rsidR="00D22934" w:rsidRPr="00A234DA">
        <w:rPr>
          <w:rFonts w:ascii="Arial" w:hAnsi="Arial" w:cs="Arial"/>
          <w:sz w:val="24"/>
        </w:rPr>
        <w:t>economy.</w:t>
      </w:r>
      <w:r w:rsidR="00D22934" w:rsidRPr="000B0643">
        <w:rPr>
          <w:rFonts w:ascii="Arial" w:hAnsi="Arial" w:cs="Arial"/>
          <w:sz w:val="24"/>
        </w:rPr>
        <w:t xml:space="preserve"> </w:t>
      </w:r>
    </w:p>
    <w:p w14:paraId="1DCB8042" w14:textId="77777777" w:rsidR="000B0643" w:rsidRDefault="00D22934" w:rsidP="000B0643">
      <w:pPr>
        <w:spacing w:line="360" w:lineRule="auto"/>
        <w:jc w:val="both"/>
        <w:rPr>
          <w:rFonts w:ascii="Arial" w:hAnsi="Arial" w:cs="Arial"/>
          <w:sz w:val="24"/>
        </w:rPr>
      </w:pPr>
      <w:r w:rsidRPr="000B0643">
        <w:rPr>
          <w:rFonts w:ascii="Arial" w:hAnsi="Arial" w:cs="Arial"/>
          <w:sz w:val="24"/>
        </w:rPr>
        <w:t>The</w:t>
      </w:r>
      <w:r w:rsidR="000B0643" w:rsidRPr="000B0643">
        <w:rPr>
          <w:rFonts w:ascii="Arial" w:hAnsi="Arial" w:cs="Arial"/>
          <w:sz w:val="24"/>
        </w:rPr>
        <w:t xml:space="preserve"> importance of judges in the legal system is another reason why the English Law Sys</w:t>
      </w:r>
      <w:r w:rsidR="000B0643">
        <w:rPr>
          <w:rFonts w:ascii="Arial" w:hAnsi="Arial" w:cs="Arial"/>
          <w:sz w:val="24"/>
        </w:rPr>
        <w:t>tem is built on common law principles</w:t>
      </w:r>
      <w:r w:rsidR="00C76F49">
        <w:rPr>
          <w:rFonts w:ascii="Arial" w:hAnsi="Arial" w:cs="Arial"/>
          <w:sz w:val="24"/>
        </w:rPr>
        <w:t xml:space="preserve"> (</w:t>
      </w:r>
      <w:r w:rsidR="00C76F49" w:rsidRPr="00C76F49">
        <w:rPr>
          <w:rFonts w:ascii="Arial" w:hAnsi="Arial" w:cs="Arial"/>
          <w:sz w:val="24"/>
        </w:rPr>
        <w:t>Sl</w:t>
      </w:r>
      <w:r w:rsidR="00C76F49">
        <w:rPr>
          <w:rFonts w:ascii="Arial" w:hAnsi="Arial" w:cs="Arial"/>
          <w:sz w:val="24"/>
        </w:rPr>
        <w:t>apper and Kelly, 2003)</w:t>
      </w:r>
      <w:r w:rsidR="000B0643" w:rsidRPr="000B0643">
        <w:rPr>
          <w:rFonts w:ascii="Arial" w:hAnsi="Arial" w:cs="Arial"/>
          <w:sz w:val="24"/>
        </w:rPr>
        <w:t>. Judges are thought of as being fairness- and justice-oriented, impartial, and autonomous decision-makers. They are supposed to apply the law impartially and base their judgments on the evidence presented in the case as well as the law, as opposed to being swayed by their own biases or externa</w:t>
      </w:r>
      <w:r w:rsidR="000B0643">
        <w:rPr>
          <w:rFonts w:ascii="Arial" w:hAnsi="Arial" w:cs="Arial"/>
          <w:sz w:val="24"/>
        </w:rPr>
        <w:t>l pressures.</w:t>
      </w:r>
      <w:r w:rsidR="00B13A9E">
        <w:rPr>
          <w:rFonts w:ascii="Arial" w:hAnsi="Arial" w:cs="Arial"/>
          <w:sz w:val="24"/>
        </w:rPr>
        <w:t xml:space="preserve"> </w:t>
      </w:r>
      <w:r w:rsidR="000B0643" w:rsidRPr="000B0643">
        <w:rPr>
          <w:rFonts w:ascii="Arial" w:hAnsi="Arial" w:cs="Arial"/>
          <w:sz w:val="24"/>
        </w:rPr>
        <w:t xml:space="preserve">The common law system also recognizes the significance of precedent, which implies that rulings rendered by judges in earlier instances serve as a model for decisions in newer cases. As a result, the body of law is continually changing and adjusting to new situations. As parties to a legal dispute can reasonably anticipate how a case is likely to be determined based on comparable cases that have gone before, </w:t>
      </w:r>
      <w:r w:rsidR="000B0643" w:rsidRPr="000B0643">
        <w:rPr>
          <w:rFonts w:ascii="Arial" w:hAnsi="Arial" w:cs="Arial"/>
          <w:sz w:val="24"/>
        </w:rPr>
        <w:lastRenderedPageBreak/>
        <w:t>precedent allows for consistency and pre</w:t>
      </w:r>
      <w:r w:rsidR="000B0643">
        <w:rPr>
          <w:rFonts w:ascii="Arial" w:hAnsi="Arial" w:cs="Arial"/>
          <w:sz w:val="24"/>
        </w:rPr>
        <w:t>dictability in legal decisions.</w:t>
      </w:r>
      <w:r w:rsidR="00605E76">
        <w:rPr>
          <w:rFonts w:ascii="Arial" w:hAnsi="Arial" w:cs="Arial"/>
          <w:sz w:val="24"/>
        </w:rPr>
        <w:t xml:space="preserve"> There are many cases where UK has used common law, for instance,</w:t>
      </w:r>
      <w:r w:rsidR="00AA5CA0">
        <w:rPr>
          <w:rFonts w:ascii="Arial" w:hAnsi="Arial" w:cs="Arial"/>
          <w:sz w:val="24"/>
        </w:rPr>
        <w:t xml:space="preserve"> according to </w:t>
      </w:r>
      <w:r w:rsidR="00AA5CA0" w:rsidRPr="00AA5CA0">
        <w:rPr>
          <w:rFonts w:ascii="Arial" w:hAnsi="Arial" w:cs="Arial"/>
          <w:sz w:val="24"/>
        </w:rPr>
        <w:t>Collins et al. (2019)</w:t>
      </w:r>
      <w:r w:rsidR="00AA5CA0" w:rsidRPr="00AA5CA0">
        <w:rPr>
          <w:sz w:val="24"/>
        </w:rPr>
        <w:t xml:space="preserve"> </w:t>
      </w:r>
      <w:r w:rsidR="00605E76" w:rsidRPr="001363F2">
        <w:rPr>
          <w:rFonts w:ascii="Arial" w:hAnsi="Arial" w:cs="Arial"/>
          <w:sz w:val="24"/>
        </w:rPr>
        <w:t>the legislation of compensation for sleep-in shifts for</w:t>
      </w:r>
      <w:r w:rsidR="00E7741F">
        <w:rPr>
          <w:rFonts w:ascii="Arial" w:hAnsi="Arial" w:cs="Arial"/>
          <w:sz w:val="24"/>
        </w:rPr>
        <w:t xml:space="preserve"> care workers was clarified by the judge in the case</w:t>
      </w:r>
      <w:r w:rsidR="00605E76" w:rsidRPr="001363F2">
        <w:rPr>
          <w:rFonts w:ascii="Arial" w:hAnsi="Arial" w:cs="Arial"/>
          <w:sz w:val="24"/>
        </w:rPr>
        <w:t xml:space="preserve"> Royal Mencap Society v. Tomlinson-Blake (2018). The worker in question was a care provider, and she argued that because she worked a sleep-in shift, </w:t>
      </w:r>
      <w:r w:rsidR="00B66791" w:rsidRPr="00B66791">
        <w:rPr>
          <w:rFonts w:ascii="Arial" w:hAnsi="Arial" w:cs="Arial"/>
          <w:sz w:val="24"/>
        </w:rPr>
        <w:t>she had a right to r</w:t>
      </w:r>
      <w:r w:rsidR="00A41324">
        <w:rPr>
          <w:rFonts w:ascii="Arial" w:hAnsi="Arial" w:cs="Arial"/>
          <w:sz w:val="24"/>
        </w:rPr>
        <w:t>eceive the federal minimum wage</w:t>
      </w:r>
      <w:r w:rsidR="00B66791" w:rsidRPr="00B66791">
        <w:rPr>
          <w:rFonts w:ascii="Arial" w:hAnsi="Arial" w:cs="Arial"/>
          <w:sz w:val="24"/>
        </w:rPr>
        <w:t xml:space="preserve"> </w:t>
      </w:r>
      <w:r w:rsidR="00605E76" w:rsidRPr="001363F2">
        <w:rPr>
          <w:rFonts w:ascii="Arial" w:hAnsi="Arial" w:cs="Arial"/>
          <w:sz w:val="24"/>
        </w:rPr>
        <w:t>for the period she was asleep. According to the Court of Appeal, employees who are scheduled to sleep during their shift are only eligible for payment of the national minimum wage when they are awake and working.</w:t>
      </w:r>
      <w:r w:rsidR="00605E76">
        <w:rPr>
          <w:rFonts w:ascii="Arial" w:hAnsi="Arial" w:cs="Arial"/>
          <w:sz w:val="24"/>
        </w:rPr>
        <w:t xml:space="preserve"> </w:t>
      </w:r>
    </w:p>
    <w:p w14:paraId="230431AE" w14:textId="77777777" w:rsidR="007B4298" w:rsidRPr="002D03BA" w:rsidRDefault="007B4298" w:rsidP="0003158B">
      <w:pPr>
        <w:pStyle w:val="Heading1"/>
        <w:spacing w:line="360" w:lineRule="auto"/>
        <w:rPr>
          <w:rFonts w:ascii="Arial" w:hAnsi="Arial" w:cs="Arial"/>
          <w:color w:val="auto"/>
        </w:rPr>
      </w:pPr>
      <w:bookmarkStart w:id="5" w:name="_Toc128160259"/>
      <w:r w:rsidRPr="002D03BA">
        <w:rPr>
          <w:rFonts w:ascii="Arial" w:hAnsi="Arial" w:cs="Arial"/>
          <w:color w:val="auto"/>
        </w:rPr>
        <w:t>Conclusion</w:t>
      </w:r>
      <w:bookmarkEnd w:id="5"/>
    </w:p>
    <w:p w14:paraId="72F2A18C" w14:textId="77777777" w:rsidR="00443345" w:rsidRDefault="002D4D8B" w:rsidP="002D4D8B">
      <w:pPr>
        <w:spacing w:line="360" w:lineRule="auto"/>
        <w:jc w:val="both"/>
      </w:pPr>
      <w:r w:rsidRPr="002D4D8B">
        <w:rPr>
          <w:rFonts w:ascii="Arial" w:hAnsi="Arial" w:cs="Arial"/>
          <w:sz w:val="24"/>
        </w:rPr>
        <w:t xml:space="preserve">From the 12th century, the United States of America, Canada, and Australia have all employed common law. Because of this tactic, judges </w:t>
      </w:r>
      <w:proofErr w:type="gramStart"/>
      <w:r w:rsidRPr="002D4D8B">
        <w:rPr>
          <w:rFonts w:ascii="Arial" w:hAnsi="Arial" w:cs="Arial"/>
          <w:sz w:val="24"/>
        </w:rPr>
        <w:t>are able to</w:t>
      </w:r>
      <w:proofErr w:type="gramEnd"/>
      <w:r w:rsidRPr="002D4D8B">
        <w:rPr>
          <w:rFonts w:ascii="Arial" w:hAnsi="Arial" w:cs="Arial"/>
          <w:sz w:val="24"/>
        </w:rPr>
        <w:t xml:space="preserve"> draw inferences from prior instances, which results in the judicial system being more definite and predictable. Yet, social mores and ideas have the potential to influence common law. The fact that the common law system is still in use today is evidence of the success it has had in maintaining justice and fairness within the legal system. The English legal system has been able to adapt to new legal difficulties and shifting social norms because to the principles of common law, the precedents established by the courts, and judicial interpretation. The ability of judges to render judgements in an unbiased manner, </w:t>
      </w:r>
      <w:proofErr w:type="gramStart"/>
      <w:r w:rsidRPr="002D4D8B">
        <w:rPr>
          <w:rFonts w:ascii="Arial" w:hAnsi="Arial" w:cs="Arial"/>
          <w:sz w:val="24"/>
        </w:rPr>
        <w:t>taking into account</w:t>
      </w:r>
      <w:proofErr w:type="gramEnd"/>
      <w:r w:rsidRPr="002D4D8B">
        <w:rPr>
          <w:rFonts w:ascii="Arial" w:hAnsi="Arial" w:cs="Arial"/>
          <w:sz w:val="24"/>
        </w:rPr>
        <w:t xml:space="preserve"> both the specifics of each case and previous rulings in related areas, is essential to this system. In contrast to judicial interpretation, the use of precedent results in legal judgements that are stable and predictable. Cases like Uber and sleep-in shift compensation show how the common law may adapt to new challenges while still protecting justice and fairness.</w:t>
      </w:r>
    </w:p>
    <w:p w14:paraId="612C60AF" w14:textId="77777777" w:rsidR="00C2210A" w:rsidRDefault="00C2210A" w:rsidP="00443345"/>
    <w:p w14:paraId="7E85F7E8" w14:textId="77777777" w:rsidR="00C2210A" w:rsidRDefault="00C2210A" w:rsidP="00443345"/>
    <w:p w14:paraId="7484736B" w14:textId="77777777" w:rsidR="00C2210A" w:rsidRDefault="00C2210A" w:rsidP="00443345"/>
    <w:p w14:paraId="184CBEB1" w14:textId="77777777" w:rsidR="00C2210A" w:rsidRDefault="00C2210A" w:rsidP="00443345"/>
    <w:p w14:paraId="533C58A7" w14:textId="77777777" w:rsidR="00C2210A" w:rsidRDefault="00C2210A" w:rsidP="00443345"/>
    <w:p w14:paraId="4D21DC07" w14:textId="77777777" w:rsidR="00C2210A" w:rsidRDefault="00C2210A" w:rsidP="00443345"/>
    <w:p w14:paraId="2702DED2" w14:textId="77777777" w:rsidR="00C2210A" w:rsidRDefault="00C2210A" w:rsidP="00443345"/>
    <w:p w14:paraId="342AF5CE" w14:textId="77777777" w:rsidR="00C2210A" w:rsidRDefault="00C2210A" w:rsidP="00443345"/>
    <w:p w14:paraId="6F24BFAB" w14:textId="77777777" w:rsidR="00C2210A" w:rsidRDefault="00C2210A" w:rsidP="00443345"/>
    <w:p w14:paraId="6FD9E92C" w14:textId="77777777" w:rsidR="00FB1288" w:rsidRPr="00C2210A" w:rsidRDefault="00FB1288" w:rsidP="00C2210A">
      <w:pPr>
        <w:pStyle w:val="Heading1"/>
        <w:spacing w:line="360" w:lineRule="auto"/>
        <w:rPr>
          <w:rFonts w:ascii="Arial" w:hAnsi="Arial" w:cs="Arial"/>
        </w:rPr>
      </w:pPr>
      <w:bookmarkStart w:id="6" w:name="_Toc128160260"/>
      <w:r w:rsidRPr="00C2210A">
        <w:rPr>
          <w:rFonts w:ascii="Arial" w:hAnsi="Arial" w:cs="Arial"/>
        </w:rPr>
        <w:t>Reference</w:t>
      </w:r>
      <w:bookmarkEnd w:id="6"/>
    </w:p>
    <w:p w14:paraId="15D3261D" w14:textId="77777777" w:rsidR="00C2210A" w:rsidRPr="00C2210A" w:rsidRDefault="00C2210A" w:rsidP="00C2210A">
      <w:pPr>
        <w:ind w:left="720" w:hanging="720"/>
        <w:rPr>
          <w:rFonts w:ascii="Arial" w:hAnsi="Arial" w:cs="Arial"/>
          <w:sz w:val="24"/>
          <w:szCs w:val="24"/>
        </w:rPr>
      </w:pPr>
      <w:r w:rsidRPr="00C2210A">
        <w:rPr>
          <w:rFonts w:ascii="Arial" w:hAnsi="Arial" w:cs="Arial"/>
          <w:sz w:val="24"/>
          <w:szCs w:val="24"/>
        </w:rPr>
        <w:t>Adams-</w:t>
      </w:r>
      <w:proofErr w:type="spellStart"/>
      <w:r w:rsidRPr="00C2210A">
        <w:rPr>
          <w:rFonts w:ascii="Arial" w:hAnsi="Arial" w:cs="Arial"/>
          <w:sz w:val="24"/>
          <w:szCs w:val="24"/>
        </w:rPr>
        <w:t>Prassl</w:t>
      </w:r>
      <w:proofErr w:type="spellEnd"/>
      <w:r w:rsidRPr="00C2210A">
        <w:rPr>
          <w:rFonts w:ascii="Arial" w:hAnsi="Arial" w:cs="Arial"/>
          <w:sz w:val="24"/>
          <w:szCs w:val="24"/>
        </w:rPr>
        <w:t xml:space="preserve">, J., 2023. Uber BV v </w:t>
      </w:r>
      <w:proofErr w:type="gramStart"/>
      <w:r w:rsidRPr="00C2210A">
        <w:rPr>
          <w:rFonts w:ascii="Arial" w:hAnsi="Arial" w:cs="Arial"/>
          <w:sz w:val="24"/>
          <w:szCs w:val="24"/>
        </w:rPr>
        <w:t>Aslam:‘</w:t>
      </w:r>
      <w:proofErr w:type="gramEnd"/>
      <w:r w:rsidRPr="00C2210A">
        <w:rPr>
          <w:rFonts w:ascii="Arial" w:hAnsi="Arial" w:cs="Arial"/>
          <w:sz w:val="24"/>
          <w:szCs w:val="24"/>
        </w:rPr>
        <w:t xml:space="preserve">[W] </w:t>
      </w:r>
      <w:proofErr w:type="spellStart"/>
      <w:r w:rsidRPr="00C2210A">
        <w:rPr>
          <w:rFonts w:ascii="Arial" w:hAnsi="Arial" w:cs="Arial"/>
          <w:sz w:val="24"/>
          <w:szCs w:val="24"/>
        </w:rPr>
        <w:t>ork</w:t>
      </w:r>
      <w:proofErr w:type="spellEnd"/>
      <w:r w:rsidRPr="00C2210A">
        <w:rPr>
          <w:rFonts w:ascii="Arial" w:hAnsi="Arial" w:cs="Arial"/>
          <w:sz w:val="24"/>
          <w:szCs w:val="24"/>
        </w:rPr>
        <w:t xml:space="preserve"> relations… cannot safely be left to contractual regulation’. Industrial Law Journal.</w:t>
      </w:r>
    </w:p>
    <w:p w14:paraId="6069D404" w14:textId="77777777" w:rsidR="00C2210A" w:rsidRPr="00C2210A" w:rsidRDefault="00C2210A" w:rsidP="00C2210A">
      <w:pPr>
        <w:ind w:left="720" w:hanging="720"/>
        <w:rPr>
          <w:rFonts w:ascii="Arial" w:hAnsi="Arial" w:cs="Arial"/>
          <w:sz w:val="24"/>
          <w:szCs w:val="24"/>
        </w:rPr>
      </w:pPr>
      <w:r w:rsidRPr="00C2210A">
        <w:rPr>
          <w:rFonts w:ascii="Arial" w:hAnsi="Arial" w:cs="Arial"/>
          <w:sz w:val="24"/>
          <w:szCs w:val="24"/>
        </w:rPr>
        <w:t xml:space="preserve">Collins, H., Ewing, K. and McColgan, A., 2019. </w:t>
      </w:r>
      <w:proofErr w:type="spellStart"/>
      <w:r w:rsidRPr="00C2210A">
        <w:rPr>
          <w:rFonts w:ascii="Arial" w:hAnsi="Arial" w:cs="Arial"/>
          <w:sz w:val="24"/>
          <w:szCs w:val="24"/>
        </w:rPr>
        <w:t>Labour</w:t>
      </w:r>
      <w:proofErr w:type="spellEnd"/>
      <w:r w:rsidRPr="00C2210A">
        <w:rPr>
          <w:rFonts w:ascii="Arial" w:hAnsi="Arial" w:cs="Arial"/>
          <w:sz w:val="24"/>
          <w:szCs w:val="24"/>
        </w:rPr>
        <w:t xml:space="preserve"> law. Cambridge University Press.</w:t>
      </w:r>
    </w:p>
    <w:p w14:paraId="56F7811B" w14:textId="77777777" w:rsidR="00C2210A" w:rsidRPr="00C2210A" w:rsidRDefault="00C2210A" w:rsidP="00C2210A">
      <w:pPr>
        <w:ind w:left="720" w:hanging="720"/>
        <w:rPr>
          <w:rFonts w:ascii="Arial" w:hAnsi="Arial" w:cs="Arial"/>
          <w:color w:val="222222"/>
          <w:sz w:val="24"/>
          <w:szCs w:val="24"/>
          <w:shd w:val="clear" w:color="auto" w:fill="FFFFFF"/>
        </w:rPr>
      </w:pPr>
      <w:proofErr w:type="spellStart"/>
      <w:r w:rsidRPr="00C2210A">
        <w:rPr>
          <w:rFonts w:ascii="Arial" w:hAnsi="Arial" w:cs="Arial"/>
          <w:color w:val="222222"/>
          <w:sz w:val="24"/>
          <w:szCs w:val="24"/>
          <w:shd w:val="clear" w:color="auto" w:fill="FFFFFF"/>
        </w:rPr>
        <w:t>Caenegem</w:t>
      </w:r>
      <w:proofErr w:type="spellEnd"/>
      <w:r w:rsidRPr="00C2210A">
        <w:rPr>
          <w:rFonts w:ascii="Arial" w:hAnsi="Arial" w:cs="Arial"/>
          <w:color w:val="222222"/>
          <w:sz w:val="24"/>
          <w:szCs w:val="24"/>
          <w:shd w:val="clear" w:color="auto" w:fill="FFFFFF"/>
        </w:rPr>
        <w:t xml:space="preserve">, R.C. and van </w:t>
      </w:r>
      <w:proofErr w:type="spellStart"/>
      <w:r w:rsidRPr="00C2210A">
        <w:rPr>
          <w:rFonts w:ascii="Arial" w:hAnsi="Arial" w:cs="Arial"/>
          <w:color w:val="222222"/>
          <w:sz w:val="24"/>
          <w:szCs w:val="24"/>
          <w:shd w:val="clear" w:color="auto" w:fill="FFFFFF"/>
        </w:rPr>
        <w:t>Caenegem</w:t>
      </w:r>
      <w:proofErr w:type="spellEnd"/>
      <w:r w:rsidRPr="00C2210A">
        <w:rPr>
          <w:rFonts w:ascii="Arial" w:hAnsi="Arial" w:cs="Arial"/>
          <w:color w:val="222222"/>
          <w:sz w:val="24"/>
          <w:szCs w:val="24"/>
          <w:shd w:val="clear" w:color="auto" w:fill="FFFFFF"/>
        </w:rPr>
        <w:t>, R.C., (1988). ‘</w:t>
      </w:r>
      <w:r w:rsidRPr="00C2210A">
        <w:rPr>
          <w:rFonts w:ascii="Arial" w:hAnsi="Arial" w:cs="Arial"/>
          <w:i/>
          <w:iCs/>
          <w:color w:val="222222"/>
          <w:sz w:val="24"/>
          <w:szCs w:val="24"/>
          <w:shd w:val="clear" w:color="auto" w:fill="FFFFFF"/>
        </w:rPr>
        <w:t>The birth of the English common law</w:t>
      </w:r>
      <w:r w:rsidRPr="00C2210A">
        <w:rPr>
          <w:rFonts w:ascii="Arial" w:hAnsi="Arial" w:cs="Arial"/>
          <w:color w:val="222222"/>
          <w:sz w:val="24"/>
          <w:szCs w:val="24"/>
          <w:shd w:val="clear" w:color="auto" w:fill="FFFFFF"/>
        </w:rPr>
        <w:t>.’ Cambridge University Press.</w:t>
      </w:r>
    </w:p>
    <w:p w14:paraId="7020D8F9" w14:textId="77777777" w:rsidR="00C2210A" w:rsidRPr="00C2210A" w:rsidRDefault="00C2210A" w:rsidP="00C2210A">
      <w:pPr>
        <w:ind w:left="720" w:hanging="720"/>
        <w:rPr>
          <w:rFonts w:ascii="Arial" w:hAnsi="Arial" w:cs="Arial"/>
          <w:color w:val="222222"/>
          <w:sz w:val="24"/>
          <w:szCs w:val="24"/>
          <w:shd w:val="clear" w:color="auto" w:fill="FFFFFF"/>
        </w:rPr>
      </w:pPr>
      <w:r w:rsidRPr="00C2210A">
        <w:rPr>
          <w:rFonts w:ascii="Arial" w:hAnsi="Arial" w:cs="Arial"/>
          <w:color w:val="222222"/>
          <w:sz w:val="24"/>
          <w:szCs w:val="24"/>
          <w:shd w:val="clear" w:color="auto" w:fill="FFFFFF"/>
        </w:rPr>
        <w:t xml:space="preserve">Graff, M., (2008). ‘Law and finance: Common law and civil law countries compared—An empirical critique.’ </w:t>
      </w:r>
      <w:proofErr w:type="spellStart"/>
      <w:r w:rsidRPr="00C2210A">
        <w:rPr>
          <w:rFonts w:ascii="Arial" w:hAnsi="Arial" w:cs="Arial"/>
          <w:color w:val="222222"/>
          <w:sz w:val="24"/>
          <w:szCs w:val="24"/>
          <w:shd w:val="clear" w:color="auto" w:fill="FFFFFF"/>
        </w:rPr>
        <w:t>Economica</w:t>
      </w:r>
      <w:proofErr w:type="spellEnd"/>
      <w:r w:rsidRPr="00C2210A">
        <w:rPr>
          <w:rFonts w:ascii="Arial" w:hAnsi="Arial" w:cs="Arial"/>
          <w:color w:val="222222"/>
          <w:sz w:val="24"/>
          <w:szCs w:val="24"/>
          <w:shd w:val="clear" w:color="auto" w:fill="FFFFFF"/>
        </w:rPr>
        <w:t>, 75(297), pp.60-83.</w:t>
      </w:r>
    </w:p>
    <w:p w14:paraId="3730C570" w14:textId="77777777" w:rsidR="00C2210A" w:rsidRPr="00C2210A" w:rsidRDefault="00C2210A" w:rsidP="00333EF1">
      <w:pPr>
        <w:ind w:left="720" w:hanging="720"/>
        <w:rPr>
          <w:rFonts w:ascii="Arial" w:hAnsi="Arial" w:cs="Arial"/>
          <w:sz w:val="24"/>
          <w:szCs w:val="24"/>
        </w:rPr>
      </w:pPr>
      <w:r w:rsidRPr="00C2210A">
        <w:rPr>
          <w:rFonts w:ascii="Arial" w:hAnsi="Arial" w:cs="Arial"/>
          <w:color w:val="222222"/>
          <w:sz w:val="24"/>
          <w:szCs w:val="24"/>
          <w:shd w:val="clear" w:color="auto" w:fill="FFFFFF"/>
        </w:rPr>
        <w:t>Goodhart, A.L., (1929). ‘Case law in England and America.’ Cornell LQ, 15, pp.173.</w:t>
      </w:r>
    </w:p>
    <w:p w14:paraId="651332A0" w14:textId="77777777" w:rsidR="001F40F3" w:rsidRPr="00C2210A" w:rsidRDefault="00C2210A" w:rsidP="00C2210A">
      <w:pPr>
        <w:ind w:left="720" w:hanging="720"/>
        <w:rPr>
          <w:rFonts w:ascii="Arial" w:hAnsi="Arial" w:cs="Arial"/>
          <w:sz w:val="24"/>
          <w:szCs w:val="24"/>
        </w:rPr>
      </w:pPr>
      <w:r w:rsidRPr="00C2210A">
        <w:rPr>
          <w:rFonts w:ascii="Arial" w:hAnsi="Arial" w:cs="Arial"/>
          <w:sz w:val="24"/>
          <w:szCs w:val="24"/>
        </w:rPr>
        <w:t xml:space="preserve">Legal Information Institute </w:t>
      </w:r>
      <w:r w:rsidR="00FF2ADC" w:rsidRPr="00C2210A">
        <w:rPr>
          <w:rFonts w:ascii="Arial" w:hAnsi="Arial" w:cs="Arial"/>
          <w:sz w:val="24"/>
          <w:szCs w:val="24"/>
        </w:rPr>
        <w:t>(2020) Civil law.</w:t>
      </w:r>
      <w:r w:rsidR="00BE6D77" w:rsidRPr="00C2210A">
        <w:rPr>
          <w:rFonts w:ascii="Arial" w:hAnsi="Arial" w:cs="Arial"/>
          <w:sz w:val="24"/>
          <w:szCs w:val="24"/>
        </w:rPr>
        <w:t xml:space="preserve"> Available at: </w:t>
      </w:r>
      <w:hyperlink r:id="rId15" w:history="1">
        <w:r w:rsidR="00FF2ADC" w:rsidRPr="00C2210A">
          <w:rPr>
            <w:rStyle w:val="Hyperlink"/>
            <w:rFonts w:ascii="Arial" w:hAnsi="Arial" w:cs="Arial"/>
            <w:sz w:val="24"/>
            <w:szCs w:val="24"/>
          </w:rPr>
          <w:t>https://www.law.cornell.edu/wex/civil</w:t>
        </w:r>
      </w:hyperlink>
      <w:r w:rsidR="00FF2ADC" w:rsidRPr="00C2210A">
        <w:rPr>
          <w:rFonts w:ascii="Arial" w:hAnsi="Arial" w:cs="Arial"/>
          <w:sz w:val="24"/>
          <w:szCs w:val="24"/>
        </w:rPr>
        <w:t xml:space="preserve"> </w:t>
      </w:r>
      <w:r w:rsidR="00BE6D77" w:rsidRPr="00C2210A">
        <w:rPr>
          <w:rFonts w:ascii="Arial" w:hAnsi="Arial" w:cs="Arial"/>
          <w:sz w:val="24"/>
          <w:szCs w:val="24"/>
        </w:rPr>
        <w:t>_law (Accessed: February 23, 2023).</w:t>
      </w:r>
    </w:p>
    <w:p w14:paraId="2C8A1545" w14:textId="77777777" w:rsidR="001F40F3" w:rsidRPr="00C2210A" w:rsidRDefault="001F40F3" w:rsidP="00C2210A">
      <w:pPr>
        <w:ind w:left="720" w:hanging="720"/>
        <w:rPr>
          <w:rFonts w:ascii="Arial" w:hAnsi="Arial" w:cs="Arial"/>
          <w:sz w:val="24"/>
          <w:szCs w:val="24"/>
        </w:rPr>
      </w:pPr>
      <w:r w:rsidRPr="00C2210A">
        <w:rPr>
          <w:rFonts w:ascii="Arial" w:hAnsi="Arial" w:cs="Arial"/>
          <w:sz w:val="24"/>
          <w:szCs w:val="24"/>
        </w:rPr>
        <w:t>Pound, R., (1907). ‘Common law and legislation.’ Harv. L. Rev., 21, pp.383.</w:t>
      </w:r>
    </w:p>
    <w:p w14:paraId="485EB62F" w14:textId="77777777" w:rsidR="001F40F3" w:rsidRPr="00C2210A" w:rsidRDefault="001F40F3" w:rsidP="00C2210A">
      <w:pPr>
        <w:ind w:left="720" w:hanging="720"/>
        <w:rPr>
          <w:rFonts w:ascii="Arial" w:hAnsi="Arial" w:cs="Arial"/>
          <w:color w:val="222222"/>
          <w:sz w:val="24"/>
          <w:szCs w:val="24"/>
          <w:shd w:val="clear" w:color="auto" w:fill="FFFFFF"/>
        </w:rPr>
      </w:pPr>
      <w:proofErr w:type="spellStart"/>
      <w:r w:rsidRPr="00C2210A">
        <w:rPr>
          <w:rFonts w:ascii="Arial" w:hAnsi="Arial" w:cs="Arial"/>
          <w:color w:val="222222"/>
          <w:sz w:val="24"/>
          <w:szCs w:val="24"/>
          <w:shd w:val="clear" w:color="auto" w:fill="FFFFFF"/>
        </w:rPr>
        <w:t>Pejovic</w:t>
      </w:r>
      <w:proofErr w:type="spellEnd"/>
      <w:r w:rsidRPr="00C2210A">
        <w:rPr>
          <w:rFonts w:ascii="Arial" w:hAnsi="Arial" w:cs="Arial"/>
          <w:color w:val="222222"/>
          <w:sz w:val="24"/>
          <w:szCs w:val="24"/>
          <w:shd w:val="clear" w:color="auto" w:fill="FFFFFF"/>
        </w:rPr>
        <w:t>, C., (2001). ‘Civil law and common law: Two different paths leading to the same goal.’ </w:t>
      </w:r>
      <w:proofErr w:type="spellStart"/>
      <w:r w:rsidRPr="00C2210A">
        <w:rPr>
          <w:rFonts w:ascii="Arial" w:hAnsi="Arial" w:cs="Arial"/>
          <w:i/>
          <w:iCs/>
          <w:color w:val="222222"/>
          <w:sz w:val="24"/>
          <w:szCs w:val="24"/>
          <w:shd w:val="clear" w:color="auto" w:fill="FFFFFF"/>
        </w:rPr>
        <w:t>Poredbeno</w:t>
      </w:r>
      <w:proofErr w:type="spellEnd"/>
      <w:r w:rsidRPr="00C2210A">
        <w:rPr>
          <w:rFonts w:ascii="Arial" w:hAnsi="Arial" w:cs="Arial"/>
          <w:i/>
          <w:iCs/>
          <w:color w:val="222222"/>
          <w:sz w:val="24"/>
          <w:szCs w:val="24"/>
          <w:shd w:val="clear" w:color="auto" w:fill="FFFFFF"/>
        </w:rPr>
        <w:t xml:space="preserve"> </w:t>
      </w:r>
      <w:proofErr w:type="spellStart"/>
      <w:r w:rsidRPr="00C2210A">
        <w:rPr>
          <w:rFonts w:ascii="Arial" w:hAnsi="Arial" w:cs="Arial"/>
          <w:i/>
          <w:iCs/>
          <w:color w:val="222222"/>
          <w:sz w:val="24"/>
          <w:szCs w:val="24"/>
          <w:shd w:val="clear" w:color="auto" w:fill="FFFFFF"/>
        </w:rPr>
        <w:t>Pomorsko</w:t>
      </w:r>
      <w:proofErr w:type="spellEnd"/>
      <w:r w:rsidRPr="00C2210A">
        <w:rPr>
          <w:rFonts w:ascii="Arial" w:hAnsi="Arial" w:cs="Arial"/>
          <w:i/>
          <w:iCs/>
          <w:color w:val="222222"/>
          <w:sz w:val="24"/>
          <w:szCs w:val="24"/>
          <w:shd w:val="clear" w:color="auto" w:fill="FFFFFF"/>
        </w:rPr>
        <w:t xml:space="preserve"> </w:t>
      </w:r>
      <w:proofErr w:type="spellStart"/>
      <w:r w:rsidRPr="00C2210A">
        <w:rPr>
          <w:rFonts w:ascii="Arial" w:hAnsi="Arial" w:cs="Arial"/>
          <w:i/>
          <w:iCs/>
          <w:color w:val="222222"/>
          <w:sz w:val="24"/>
          <w:szCs w:val="24"/>
          <w:shd w:val="clear" w:color="auto" w:fill="FFFFFF"/>
        </w:rPr>
        <w:t>Pravo</w:t>
      </w:r>
      <w:proofErr w:type="spellEnd"/>
      <w:r w:rsidRPr="00C2210A">
        <w:rPr>
          <w:rFonts w:ascii="Arial" w:hAnsi="Arial" w:cs="Arial"/>
          <w:color w:val="222222"/>
          <w:sz w:val="24"/>
          <w:szCs w:val="24"/>
          <w:shd w:val="clear" w:color="auto" w:fill="FFFFFF"/>
        </w:rPr>
        <w:t>, </w:t>
      </w:r>
      <w:r w:rsidRPr="00C2210A">
        <w:rPr>
          <w:rFonts w:ascii="Arial" w:hAnsi="Arial" w:cs="Arial"/>
          <w:i/>
          <w:iCs/>
          <w:color w:val="222222"/>
          <w:sz w:val="24"/>
          <w:szCs w:val="24"/>
          <w:shd w:val="clear" w:color="auto" w:fill="FFFFFF"/>
        </w:rPr>
        <w:t>155</w:t>
      </w:r>
      <w:r w:rsidRPr="00C2210A">
        <w:rPr>
          <w:rFonts w:ascii="Arial" w:hAnsi="Arial" w:cs="Arial"/>
          <w:color w:val="222222"/>
          <w:sz w:val="24"/>
          <w:szCs w:val="24"/>
          <w:shd w:val="clear" w:color="auto" w:fill="FFFFFF"/>
        </w:rPr>
        <w:t>, pp.7.</w:t>
      </w:r>
    </w:p>
    <w:p w14:paraId="747FF2CD" w14:textId="77777777" w:rsidR="00793E20" w:rsidRPr="00C2210A" w:rsidRDefault="00793E20" w:rsidP="00C2210A">
      <w:pPr>
        <w:ind w:left="720" w:hanging="720"/>
        <w:rPr>
          <w:rFonts w:ascii="Arial" w:hAnsi="Arial" w:cs="Arial"/>
          <w:color w:val="222222"/>
          <w:sz w:val="24"/>
          <w:szCs w:val="24"/>
          <w:shd w:val="clear" w:color="auto" w:fill="FFFFFF"/>
        </w:rPr>
      </w:pPr>
      <w:r w:rsidRPr="00C2210A">
        <w:rPr>
          <w:rFonts w:ascii="Arial" w:hAnsi="Arial" w:cs="Arial"/>
          <w:color w:val="222222"/>
          <w:sz w:val="24"/>
          <w:szCs w:val="24"/>
          <w:shd w:val="clear" w:color="auto" w:fill="FFFFFF"/>
        </w:rPr>
        <w:t>Partington, M., (2021). ‘</w:t>
      </w:r>
      <w:r w:rsidRPr="00C2210A">
        <w:rPr>
          <w:rFonts w:ascii="Arial" w:hAnsi="Arial" w:cs="Arial"/>
          <w:i/>
          <w:iCs/>
          <w:color w:val="222222"/>
          <w:sz w:val="24"/>
          <w:szCs w:val="24"/>
          <w:shd w:val="clear" w:color="auto" w:fill="FFFFFF"/>
        </w:rPr>
        <w:t>Introduction to the English legal system</w:t>
      </w:r>
      <w:r w:rsidRPr="00C2210A">
        <w:rPr>
          <w:rFonts w:ascii="Arial" w:hAnsi="Arial" w:cs="Arial"/>
          <w:color w:val="222222"/>
          <w:sz w:val="24"/>
          <w:szCs w:val="24"/>
          <w:shd w:val="clear" w:color="auto" w:fill="FFFFFF"/>
        </w:rPr>
        <w:t>.’ Oxford University Press.</w:t>
      </w:r>
    </w:p>
    <w:p w14:paraId="6B92987B" w14:textId="77777777" w:rsidR="00D578FF" w:rsidRPr="00C2210A" w:rsidRDefault="00D578FF" w:rsidP="00C2210A">
      <w:pPr>
        <w:ind w:left="720" w:hanging="720"/>
        <w:rPr>
          <w:rFonts w:ascii="Arial" w:hAnsi="Arial" w:cs="Arial"/>
          <w:color w:val="222222"/>
          <w:sz w:val="24"/>
          <w:szCs w:val="24"/>
          <w:shd w:val="clear" w:color="auto" w:fill="FFFFFF"/>
        </w:rPr>
      </w:pPr>
      <w:proofErr w:type="spellStart"/>
      <w:r w:rsidRPr="00C2210A">
        <w:rPr>
          <w:rFonts w:ascii="Arial" w:hAnsi="Arial" w:cs="Arial"/>
          <w:color w:val="222222"/>
          <w:sz w:val="24"/>
          <w:szCs w:val="24"/>
          <w:shd w:val="clear" w:color="auto" w:fill="FFFFFF"/>
        </w:rPr>
        <w:t>Pejovic</w:t>
      </w:r>
      <w:proofErr w:type="spellEnd"/>
      <w:r w:rsidRPr="00C2210A">
        <w:rPr>
          <w:rFonts w:ascii="Arial" w:hAnsi="Arial" w:cs="Arial"/>
          <w:color w:val="222222"/>
          <w:sz w:val="24"/>
          <w:szCs w:val="24"/>
          <w:shd w:val="clear" w:color="auto" w:fill="FFFFFF"/>
        </w:rPr>
        <w:t xml:space="preserve">, C., (2001). ‘Civil law and common law: Two different paths leading to the same goal.’ </w:t>
      </w:r>
      <w:proofErr w:type="spellStart"/>
      <w:r w:rsidRPr="00C2210A">
        <w:rPr>
          <w:rFonts w:ascii="Arial" w:hAnsi="Arial" w:cs="Arial"/>
          <w:color w:val="222222"/>
          <w:sz w:val="24"/>
          <w:szCs w:val="24"/>
          <w:shd w:val="clear" w:color="auto" w:fill="FFFFFF"/>
        </w:rPr>
        <w:t>Poredbeno</w:t>
      </w:r>
      <w:proofErr w:type="spellEnd"/>
      <w:r w:rsidRPr="00C2210A">
        <w:rPr>
          <w:rFonts w:ascii="Arial" w:hAnsi="Arial" w:cs="Arial"/>
          <w:color w:val="222222"/>
          <w:sz w:val="24"/>
          <w:szCs w:val="24"/>
          <w:shd w:val="clear" w:color="auto" w:fill="FFFFFF"/>
        </w:rPr>
        <w:t xml:space="preserve"> </w:t>
      </w:r>
      <w:proofErr w:type="spellStart"/>
      <w:r w:rsidRPr="00C2210A">
        <w:rPr>
          <w:rFonts w:ascii="Arial" w:hAnsi="Arial" w:cs="Arial"/>
          <w:color w:val="222222"/>
          <w:sz w:val="24"/>
          <w:szCs w:val="24"/>
          <w:shd w:val="clear" w:color="auto" w:fill="FFFFFF"/>
        </w:rPr>
        <w:t>Pomorsko</w:t>
      </w:r>
      <w:proofErr w:type="spellEnd"/>
      <w:r w:rsidRPr="00C2210A">
        <w:rPr>
          <w:rFonts w:ascii="Arial" w:hAnsi="Arial" w:cs="Arial"/>
          <w:color w:val="222222"/>
          <w:sz w:val="24"/>
          <w:szCs w:val="24"/>
          <w:shd w:val="clear" w:color="auto" w:fill="FFFFFF"/>
        </w:rPr>
        <w:t xml:space="preserve"> </w:t>
      </w:r>
      <w:proofErr w:type="spellStart"/>
      <w:r w:rsidRPr="00C2210A">
        <w:rPr>
          <w:rFonts w:ascii="Arial" w:hAnsi="Arial" w:cs="Arial"/>
          <w:color w:val="222222"/>
          <w:sz w:val="24"/>
          <w:szCs w:val="24"/>
          <w:shd w:val="clear" w:color="auto" w:fill="FFFFFF"/>
        </w:rPr>
        <w:t>Pravo</w:t>
      </w:r>
      <w:proofErr w:type="spellEnd"/>
      <w:r w:rsidRPr="00C2210A">
        <w:rPr>
          <w:rFonts w:ascii="Arial" w:hAnsi="Arial" w:cs="Arial"/>
          <w:color w:val="222222"/>
          <w:sz w:val="24"/>
          <w:szCs w:val="24"/>
          <w:shd w:val="clear" w:color="auto" w:fill="FFFFFF"/>
        </w:rPr>
        <w:t>, 155, pp.7.</w:t>
      </w:r>
    </w:p>
    <w:p w14:paraId="71F0AA2E" w14:textId="77777777" w:rsidR="00201935" w:rsidRPr="00C2210A" w:rsidRDefault="00201935" w:rsidP="00C2210A">
      <w:pPr>
        <w:ind w:left="720" w:hanging="720"/>
        <w:rPr>
          <w:rFonts w:ascii="Arial" w:hAnsi="Arial" w:cs="Arial"/>
          <w:color w:val="222222"/>
          <w:sz w:val="24"/>
          <w:szCs w:val="24"/>
          <w:shd w:val="clear" w:color="auto" w:fill="FFFFFF"/>
        </w:rPr>
      </w:pPr>
      <w:r w:rsidRPr="00C2210A">
        <w:rPr>
          <w:rFonts w:ascii="Arial" w:hAnsi="Arial" w:cs="Arial"/>
          <w:color w:val="222222"/>
          <w:sz w:val="24"/>
          <w:szCs w:val="24"/>
          <w:shd w:val="clear" w:color="auto" w:fill="FFFFFF"/>
        </w:rPr>
        <w:t>Slapper, G. and Kelly, D., (2003). </w:t>
      </w:r>
      <w:r w:rsidR="00C76F49" w:rsidRPr="00C2210A">
        <w:rPr>
          <w:rFonts w:ascii="Arial" w:hAnsi="Arial" w:cs="Arial"/>
          <w:color w:val="222222"/>
          <w:sz w:val="24"/>
          <w:szCs w:val="24"/>
          <w:shd w:val="clear" w:color="auto" w:fill="FFFFFF"/>
        </w:rPr>
        <w:t>‘</w:t>
      </w:r>
      <w:r w:rsidRPr="00C2210A">
        <w:rPr>
          <w:rFonts w:ascii="Arial" w:hAnsi="Arial" w:cs="Arial"/>
          <w:i/>
          <w:iCs/>
          <w:color w:val="222222"/>
          <w:sz w:val="24"/>
          <w:szCs w:val="24"/>
          <w:shd w:val="clear" w:color="auto" w:fill="FFFFFF"/>
        </w:rPr>
        <w:t>The English legal system</w:t>
      </w:r>
      <w:r w:rsidRPr="00C2210A">
        <w:rPr>
          <w:rFonts w:ascii="Arial" w:hAnsi="Arial" w:cs="Arial"/>
          <w:color w:val="222222"/>
          <w:sz w:val="24"/>
          <w:szCs w:val="24"/>
          <w:shd w:val="clear" w:color="auto" w:fill="FFFFFF"/>
        </w:rPr>
        <w:t>. Routledge-Cavendish.</w:t>
      </w:r>
      <w:r w:rsidR="00C76F49" w:rsidRPr="00C2210A">
        <w:rPr>
          <w:rFonts w:ascii="Arial" w:hAnsi="Arial" w:cs="Arial"/>
          <w:color w:val="222222"/>
          <w:sz w:val="24"/>
          <w:szCs w:val="24"/>
          <w:shd w:val="clear" w:color="auto" w:fill="FFFFFF"/>
        </w:rPr>
        <w:t>’</w:t>
      </w:r>
    </w:p>
    <w:p w14:paraId="38BD9E86" w14:textId="77777777" w:rsidR="005A16E2" w:rsidRPr="00C2210A" w:rsidRDefault="005A16E2" w:rsidP="00C2210A">
      <w:pPr>
        <w:ind w:left="720" w:hanging="720"/>
        <w:rPr>
          <w:rFonts w:ascii="Arial" w:hAnsi="Arial" w:cs="Arial"/>
          <w:sz w:val="24"/>
          <w:szCs w:val="24"/>
        </w:rPr>
      </w:pPr>
      <w:r w:rsidRPr="00C2210A">
        <w:rPr>
          <w:rFonts w:ascii="Arial" w:hAnsi="Arial" w:cs="Arial"/>
          <w:sz w:val="24"/>
          <w:szCs w:val="24"/>
        </w:rPr>
        <w:t>Winfield, P.H., (1928). ‘Public policy in the English common law.’ Harv. L. Rev., 42, pp.76.</w:t>
      </w:r>
    </w:p>
    <w:sectPr w:rsidR="005A16E2" w:rsidRPr="00C2210A" w:rsidSect="00F56309">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2E57C" w14:textId="77777777" w:rsidR="00264DF8" w:rsidRDefault="00264DF8" w:rsidP="0058734D">
      <w:pPr>
        <w:spacing w:after="0" w:line="240" w:lineRule="auto"/>
      </w:pPr>
      <w:r>
        <w:separator/>
      </w:r>
    </w:p>
  </w:endnote>
  <w:endnote w:type="continuationSeparator" w:id="0">
    <w:p w14:paraId="1B3A2D5F" w14:textId="77777777" w:rsidR="00264DF8" w:rsidRDefault="00264DF8" w:rsidP="00587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4D2AE" w14:textId="77777777" w:rsidR="002242F4" w:rsidRDefault="002242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82B1D" w14:textId="77777777" w:rsidR="002242F4" w:rsidRDefault="002242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5A01E" w14:textId="77777777" w:rsidR="002242F4" w:rsidRDefault="002242F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CC177" w14:textId="77777777" w:rsidR="0058734D" w:rsidRDefault="0058734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AFE96" w14:textId="77777777" w:rsidR="0058734D" w:rsidRPr="002242F4" w:rsidRDefault="0058734D" w:rsidP="00224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73F3D" w14:textId="77777777" w:rsidR="00264DF8" w:rsidRDefault="00264DF8" w:rsidP="0058734D">
      <w:pPr>
        <w:spacing w:after="0" w:line="240" w:lineRule="auto"/>
      </w:pPr>
      <w:r>
        <w:separator/>
      </w:r>
    </w:p>
  </w:footnote>
  <w:footnote w:type="continuationSeparator" w:id="0">
    <w:p w14:paraId="2409A15A" w14:textId="77777777" w:rsidR="00264DF8" w:rsidRDefault="00264DF8" w:rsidP="005873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8155B" w14:textId="77777777" w:rsidR="002242F4" w:rsidRDefault="002242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CC6D9" w14:textId="77777777" w:rsidR="002242F4" w:rsidRDefault="002242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9EA7D" w14:textId="77777777" w:rsidR="002242F4" w:rsidRDefault="002242F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6E3A5" w14:textId="77777777" w:rsidR="0058734D" w:rsidRDefault="005873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5D3F"/>
    <w:rsid w:val="00004EEC"/>
    <w:rsid w:val="00005895"/>
    <w:rsid w:val="00020E8A"/>
    <w:rsid w:val="00030A90"/>
    <w:rsid w:val="0003158B"/>
    <w:rsid w:val="0008053E"/>
    <w:rsid w:val="000B0643"/>
    <w:rsid w:val="000C1F52"/>
    <w:rsid w:val="00100236"/>
    <w:rsid w:val="00115D3F"/>
    <w:rsid w:val="001363F2"/>
    <w:rsid w:val="001405C0"/>
    <w:rsid w:val="00192299"/>
    <w:rsid w:val="00192682"/>
    <w:rsid w:val="001C742A"/>
    <w:rsid w:val="001E4555"/>
    <w:rsid w:val="001F40F3"/>
    <w:rsid w:val="00201935"/>
    <w:rsid w:val="0022411E"/>
    <w:rsid w:val="002242F4"/>
    <w:rsid w:val="0023160A"/>
    <w:rsid w:val="00234817"/>
    <w:rsid w:val="00235280"/>
    <w:rsid w:val="00264DF8"/>
    <w:rsid w:val="002856D1"/>
    <w:rsid w:val="002C2EBD"/>
    <w:rsid w:val="002D00D3"/>
    <w:rsid w:val="002D03BA"/>
    <w:rsid w:val="002D3FF7"/>
    <w:rsid w:val="002D4D8B"/>
    <w:rsid w:val="002E4A97"/>
    <w:rsid w:val="00316078"/>
    <w:rsid w:val="003302B8"/>
    <w:rsid w:val="00331095"/>
    <w:rsid w:val="003333FC"/>
    <w:rsid w:val="00333EF1"/>
    <w:rsid w:val="003445A8"/>
    <w:rsid w:val="003A1862"/>
    <w:rsid w:val="003F5AB5"/>
    <w:rsid w:val="00435AC0"/>
    <w:rsid w:val="00440367"/>
    <w:rsid w:val="00443345"/>
    <w:rsid w:val="00447DEC"/>
    <w:rsid w:val="00471881"/>
    <w:rsid w:val="004D0E5E"/>
    <w:rsid w:val="005103F5"/>
    <w:rsid w:val="005240D2"/>
    <w:rsid w:val="0052625F"/>
    <w:rsid w:val="00547F7A"/>
    <w:rsid w:val="00577610"/>
    <w:rsid w:val="0058734D"/>
    <w:rsid w:val="005A16E2"/>
    <w:rsid w:val="005B7BF4"/>
    <w:rsid w:val="005C25FF"/>
    <w:rsid w:val="005E4701"/>
    <w:rsid w:val="005E6038"/>
    <w:rsid w:val="005F0A74"/>
    <w:rsid w:val="00605E76"/>
    <w:rsid w:val="00614B45"/>
    <w:rsid w:val="00615826"/>
    <w:rsid w:val="0065585E"/>
    <w:rsid w:val="006E47CA"/>
    <w:rsid w:val="0076646C"/>
    <w:rsid w:val="0079336C"/>
    <w:rsid w:val="00793E20"/>
    <w:rsid w:val="007B4298"/>
    <w:rsid w:val="007C30AE"/>
    <w:rsid w:val="00816C8B"/>
    <w:rsid w:val="00893D79"/>
    <w:rsid w:val="008F1602"/>
    <w:rsid w:val="00930428"/>
    <w:rsid w:val="009475E4"/>
    <w:rsid w:val="0096439A"/>
    <w:rsid w:val="00977375"/>
    <w:rsid w:val="009A5CEB"/>
    <w:rsid w:val="009B7C4E"/>
    <w:rsid w:val="009C3330"/>
    <w:rsid w:val="009F0E17"/>
    <w:rsid w:val="00A2108E"/>
    <w:rsid w:val="00A234DA"/>
    <w:rsid w:val="00A3249F"/>
    <w:rsid w:val="00A41324"/>
    <w:rsid w:val="00A60846"/>
    <w:rsid w:val="00A859E3"/>
    <w:rsid w:val="00AA5CA0"/>
    <w:rsid w:val="00B07ECA"/>
    <w:rsid w:val="00B13A9E"/>
    <w:rsid w:val="00B47771"/>
    <w:rsid w:val="00B6602D"/>
    <w:rsid w:val="00B66791"/>
    <w:rsid w:val="00B80B55"/>
    <w:rsid w:val="00B834EC"/>
    <w:rsid w:val="00B83FAC"/>
    <w:rsid w:val="00BD6830"/>
    <w:rsid w:val="00BD74A2"/>
    <w:rsid w:val="00BE6D77"/>
    <w:rsid w:val="00C11967"/>
    <w:rsid w:val="00C14747"/>
    <w:rsid w:val="00C1538E"/>
    <w:rsid w:val="00C2210A"/>
    <w:rsid w:val="00C232D6"/>
    <w:rsid w:val="00C76F49"/>
    <w:rsid w:val="00C9400B"/>
    <w:rsid w:val="00CB3815"/>
    <w:rsid w:val="00CB7BF2"/>
    <w:rsid w:val="00CC0188"/>
    <w:rsid w:val="00CC107D"/>
    <w:rsid w:val="00CC669B"/>
    <w:rsid w:val="00CD0944"/>
    <w:rsid w:val="00D0165D"/>
    <w:rsid w:val="00D22934"/>
    <w:rsid w:val="00D30E7E"/>
    <w:rsid w:val="00D578FF"/>
    <w:rsid w:val="00D7691A"/>
    <w:rsid w:val="00D96113"/>
    <w:rsid w:val="00DD1698"/>
    <w:rsid w:val="00E21BEC"/>
    <w:rsid w:val="00E24454"/>
    <w:rsid w:val="00E3158A"/>
    <w:rsid w:val="00E543DD"/>
    <w:rsid w:val="00E7741F"/>
    <w:rsid w:val="00E97841"/>
    <w:rsid w:val="00EB08F0"/>
    <w:rsid w:val="00F00DEA"/>
    <w:rsid w:val="00F520F9"/>
    <w:rsid w:val="00F56309"/>
    <w:rsid w:val="00F60CD4"/>
    <w:rsid w:val="00F75912"/>
    <w:rsid w:val="00FB1288"/>
    <w:rsid w:val="00FB790C"/>
    <w:rsid w:val="00FE76BD"/>
    <w:rsid w:val="00FF2ADC"/>
    <w:rsid w:val="00FF52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E4AD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4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46C"/>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FF2ADC"/>
    <w:rPr>
      <w:color w:val="0563C1" w:themeColor="hyperlink"/>
      <w:u w:val="single"/>
    </w:rPr>
  </w:style>
  <w:style w:type="paragraph" w:styleId="TOCHeading">
    <w:name w:val="TOC Heading"/>
    <w:basedOn w:val="Heading1"/>
    <w:next w:val="Normal"/>
    <w:uiPriority w:val="39"/>
    <w:unhideWhenUsed/>
    <w:qFormat/>
    <w:rsid w:val="0058734D"/>
    <w:pPr>
      <w:outlineLvl w:val="9"/>
    </w:pPr>
  </w:style>
  <w:style w:type="paragraph" w:styleId="TOC1">
    <w:name w:val="toc 1"/>
    <w:basedOn w:val="Normal"/>
    <w:next w:val="Normal"/>
    <w:autoRedefine/>
    <w:uiPriority w:val="39"/>
    <w:unhideWhenUsed/>
    <w:rsid w:val="0058734D"/>
    <w:pPr>
      <w:spacing w:after="100"/>
    </w:pPr>
  </w:style>
  <w:style w:type="paragraph" w:styleId="Header">
    <w:name w:val="header"/>
    <w:basedOn w:val="Normal"/>
    <w:link w:val="HeaderChar"/>
    <w:uiPriority w:val="99"/>
    <w:unhideWhenUsed/>
    <w:rsid w:val="005873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734D"/>
  </w:style>
  <w:style w:type="paragraph" w:styleId="Footer">
    <w:name w:val="footer"/>
    <w:basedOn w:val="Normal"/>
    <w:link w:val="FooterChar"/>
    <w:uiPriority w:val="99"/>
    <w:unhideWhenUsed/>
    <w:rsid w:val="005873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06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eader" Target="header4.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law.cornell.edu/wex/civil" TargetMode="Externa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1614</Words>
  <Characters>9200</Characters>
  <Application>Microsoft Office Word</Application>
  <DocSecurity>0</DocSecurity>
  <Lines>76</Lines>
  <Paragraphs>21</Paragraphs>
  <ScaleCrop>false</ScaleCrop>
  <Company/>
  <LinksUpToDate>false</LinksUpToDate>
  <CharactersWithSpaces>10793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2023-03-03T18:27:00Z</dcterms:created>
  <dcterms:modified xsi:type="dcterms:W3CDTF">2023-03-03T18:27:00Z</dcterms:modified>
</cp:coreProperties>
</file>