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6260591" w:displacedByCustomXml="next"/>
    <w:bookmarkEnd w:id="0" w:displacedByCustomXml="next"/>
    <w:sdt>
      <w:sdtPr>
        <w:rPr>
          <w:color w:val="4F81BD" w:themeColor="accent1"/>
        </w:rPr>
        <w:id w:val="1883745472"/>
        <w:docPartObj>
          <w:docPartGallery w:val="Cover Pages"/>
          <w:docPartUnique/>
        </w:docPartObj>
      </w:sdtPr>
      <w:sdtEndPr>
        <w:rPr>
          <w:color w:val="auto"/>
        </w:rPr>
      </w:sdtEndPr>
      <w:sdtContent>
        <w:p w14:paraId="2AE294CC" w14:textId="77777777" w:rsidR="00627D0A" w:rsidRDefault="00627D0A">
          <w:r>
            <w:rPr>
              <w:noProof/>
            </w:rPr>
            <w:drawing>
              <wp:anchor distT="0" distB="0" distL="114300" distR="114300" simplePos="0" relativeHeight="251670528" behindDoc="1" locked="0" layoutInCell="1" allowOverlap="1" wp14:anchorId="6173EE6D" wp14:editId="378EAE6E">
                <wp:simplePos x="0" y="0"/>
                <wp:positionH relativeFrom="column">
                  <wp:posOffset>3124200</wp:posOffset>
                </wp:positionH>
                <wp:positionV relativeFrom="paragraph">
                  <wp:posOffset>0</wp:posOffset>
                </wp:positionV>
                <wp:extent cx="2752725" cy="835969"/>
                <wp:effectExtent l="0" t="0" r="0" b="2540"/>
                <wp:wrapTight wrapText="bothSides">
                  <wp:wrapPolygon edited="0">
                    <wp:start x="0" y="0"/>
                    <wp:lineTo x="0" y="21173"/>
                    <wp:lineTo x="21376" y="21173"/>
                    <wp:lineTo x="21376" y="0"/>
                    <wp:lineTo x="0" y="0"/>
                  </wp:wrapPolygon>
                </wp:wrapTight>
                <wp:docPr id="2" name="Picture 2" descr="Turnitin – The DTL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rnitin – The DTL Guide"/>
                        <pic:cNvPicPr>
                          <a:picLocks noChangeAspect="1" noChangeArrowheads="1"/>
                        </pic:cNvPicPr>
                      </pic:nvPicPr>
                      <pic:blipFill rotWithShape="1">
                        <a:blip r:embed="rId9">
                          <a:extLst>
                            <a:ext uri="{28A0092B-C50C-407E-A947-70E740481C1C}">
                              <a14:useLocalDpi xmlns:a14="http://schemas.microsoft.com/office/drawing/2010/main" val="0"/>
                            </a:ext>
                          </a:extLst>
                        </a:blip>
                        <a:srcRect l="11965" t="27353" r="11423" b="28118"/>
                        <a:stretch/>
                      </pic:blipFill>
                      <pic:spPr bwMode="auto">
                        <a:xfrm>
                          <a:off x="0" y="0"/>
                          <a:ext cx="2752725" cy="83596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7C67BD6" wp14:editId="1489C4B2">
                <wp:extent cx="2699548" cy="895350"/>
                <wp:effectExtent l="0" t="0" r="571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09820" cy="898757"/>
                        </a:xfrm>
                        <a:prstGeom prst="rect">
                          <a:avLst/>
                        </a:prstGeom>
                        <a:noFill/>
                        <a:ln>
                          <a:noFill/>
                        </a:ln>
                      </pic:spPr>
                    </pic:pic>
                  </a:graphicData>
                </a:graphic>
              </wp:inline>
            </w:drawing>
          </w:r>
        </w:p>
        <w:p w14:paraId="51732BAD" w14:textId="77777777" w:rsidR="00627D0A" w:rsidRDefault="00627D0A"/>
        <w:p w14:paraId="4A5F7652" w14:textId="77777777" w:rsidR="00627D0A" w:rsidRDefault="00627D0A"/>
        <w:p w14:paraId="4B4B05E6" w14:textId="77777777" w:rsidR="00627D0A" w:rsidRDefault="00627D0A"/>
        <w:p w14:paraId="182E27CB" w14:textId="77777777" w:rsidR="00627D0A" w:rsidRDefault="00627D0A"/>
        <w:p w14:paraId="3DB9450D" w14:textId="77777777" w:rsidR="00627D0A" w:rsidRDefault="00627D0A"/>
        <w:p w14:paraId="079AE74E" w14:textId="77777777" w:rsidR="00627D0A" w:rsidRPr="00163263" w:rsidRDefault="00627D0A">
          <w:pPr>
            <w:rPr>
              <w:b/>
              <w:bCs/>
              <w:sz w:val="36"/>
              <w:szCs w:val="36"/>
            </w:rPr>
          </w:pPr>
        </w:p>
        <w:p w14:paraId="5CA85E2C" w14:textId="170BCD48" w:rsidR="00627D0A" w:rsidRPr="00163263" w:rsidRDefault="00627D0A" w:rsidP="00163263">
          <w:pPr>
            <w:jc w:val="center"/>
            <w:rPr>
              <w:b/>
              <w:bCs/>
              <w:sz w:val="36"/>
              <w:szCs w:val="36"/>
            </w:rPr>
          </w:pPr>
          <w:r w:rsidRPr="00163263">
            <w:rPr>
              <w:b/>
              <w:bCs/>
              <w:sz w:val="36"/>
              <w:szCs w:val="36"/>
            </w:rPr>
            <w:t>BMMB70</w:t>
          </w:r>
          <w:r w:rsidR="001348C2">
            <w:rPr>
              <w:b/>
              <w:bCs/>
              <w:sz w:val="36"/>
              <w:szCs w:val="36"/>
            </w:rPr>
            <w:t>05</w:t>
          </w:r>
          <w:r w:rsidRPr="00163263">
            <w:rPr>
              <w:b/>
              <w:bCs/>
              <w:sz w:val="36"/>
              <w:szCs w:val="36"/>
            </w:rPr>
            <w:t xml:space="preserve"> – </w:t>
          </w:r>
          <w:r w:rsidR="001348C2" w:rsidRPr="001348C2">
            <w:rPr>
              <w:b/>
              <w:bCs/>
              <w:sz w:val="36"/>
              <w:szCs w:val="36"/>
            </w:rPr>
            <w:t>Finance for Business Managers</w:t>
          </w:r>
        </w:p>
        <w:p w14:paraId="423198B9" w14:textId="77777777" w:rsidR="00627D0A" w:rsidRDefault="00627D0A" w:rsidP="00163263">
          <w:pPr>
            <w:jc w:val="center"/>
            <w:rPr>
              <w:sz w:val="28"/>
              <w:szCs w:val="28"/>
            </w:rPr>
          </w:pPr>
        </w:p>
        <w:p w14:paraId="03BCC9C7" w14:textId="77777777" w:rsidR="00627D0A" w:rsidRDefault="00627D0A" w:rsidP="00163263">
          <w:pPr>
            <w:rPr>
              <w:b/>
              <w:bCs/>
              <w:sz w:val="28"/>
              <w:szCs w:val="28"/>
            </w:rPr>
          </w:pPr>
          <w:r>
            <w:rPr>
              <w:noProof/>
              <w:sz w:val="28"/>
              <w:szCs w:val="28"/>
            </w:rPr>
            <mc:AlternateContent>
              <mc:Choice Requires="wps">
                <w:drawing>
                  <wp:anchor distT="0" distB="0" distL="114300" distR="114300" simplePos="0" relativeHeight="251672576" behindDoc="0" locked="0" layoutInCell="1" allowOverlap="1" wp14:anchorId="044B8F33" wp14:editId="61C14349">
                    <wp:simplePos x="0" y="0"/>
                    <wp:positionH relativeFrom="column">
                      <wp:posOffset>1889760</wp:posOffset>
                    </wp:positionH>
                    <wp:positionV relativeFrom="paragraph">
                      <wp:posOffset>225425</wp:posOffset>
                    </wp:positionV>
                    <wp:extent cx="2560320" cy="0"/>
                    <wp:effectExtent l="0" t="0" r="0" b="0"/>
                    <wp:wrapNone/>
                    <wp:docPr id="1760165431" name="Straight Connector 7"/>
                    <wp:cNvGraphicFramePr/>
                    <a:graphic xmlns:a="http://schemas.openxmlformats.org/drawingml/2006/main">
                      <a:graphicData uri="http://schemas.microsoft.com/office/word/2010/wordprocessingShape">
                        <wps:wsp>
                          <wps:cNvCnPr/>
                          <wps:spPr>
                            <a:xfrm>
                              <a:off x="0" y="0"/>
                              <a:ext cx="2560320" cy="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47528EA8" id="Straight Connector 7"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148.8pt,17.75pt" to="350.4pt,1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" strokecolor="black [3200]">
                    <v:stroke dashstyle="dash"/>
                  </v:line>
                </w:pict>
              </mc:Fallback>
            </mc:AlternateContent>
          </w:r>
          <w:r>
            <w:rPr>
              <w:sz w:val="28"/>
              <w:szCs w:val="28"/>
            </w:rPr>
            <w:t xml:space="preserve">                   Printed Name:  </w:t>
          </w:r>
          <w:r w:rsidRPr="00BB4F7A">
            <w:rPr>
              <w:b/>
              <w:bCs/>
              <w:sz w:val="28"/>
              <w:szCs w:val="28"/>
            </w:rPr>
            <w:t>Megha Vaghasiya</w:t>
          </w:r>
          <w:r>
            <w:rPr>
              <w:b/>
              <w:bCs/>
              <w:sz w:val="28"/>
              <w:szCs w:val="28"/>
            </w:rPr>
            <w:t xml:space="preserve"> (2515214)</w:t>
          </w:r>
        </w:p>
        <w:p w14:paraId="7C957F3A" w14:textId="77777777" w:rsidR="00627D0A" w:rsidRDefault="00627D0A" w:rsidP="00163263">
          <w:pPr>
            <w:rPr>
              <w:sz w:val="28"/>
              <w:szCs w:val="28"/>
            </w:rPr>
          </w:pPr>
        </w:p>
        <w:p w14:paraId="0E3ECD28" w14:textId="77777777" w:rsidR="00627D0A" w:rsidRDefault="00627D0A" w:rsidP="00BB4F7A">
          <w:pPr>
            <w:rPr>
              <w:sz w:val="28"/>
              <w:szCs w:val="28"/>
            </w:rPr>
          </w:pPr>
          <w:r>
            <w:rPr>
              <w:noProof/>
              <w:sz w:val="28"/>
              <w:szCs w:val="28"/>
            </w:rPr>
            <mc:AlternateContent>
              <mc:Choice Requires="wpi">
                <w:drawing>
                  <wp:anchor distT="0" distB="0" distL="114300" distR="114300" simplePos="0" relativeHeight="251671552" behindDoc="0" locked="0" layoutInCell="1" allowOverlap="1" wp14:anchorId="4E3F245B" wp14:editId="676292EB">
                    <wp:simplePos x="0" y="0"/>
                    <wp:positionH relativeFrom="column">
                      <wp:posOffset>1615440</wp:posOffset>
                    </wp:positionH>
                    <wp:positionV relativeFrom="paragraph">
                      <wp:posOffset>-27305</wp:posOffset>
                    </wp:positionV>
                    <wp:extent cx="815340" cy="191135"/>
                    <wp:effectExtent l="38100" t="38100" r="3810" b="37465"/>
                    <wp:wrapNone/>
                    <wp:docPr id="672573771" name="Ink 3"/>
                    <wp:cNvGraphicFramePr/>
                    <a:graphic xmlns:a="http://schemas.openxmlformats.org/drawingml/2006/main">
                      <a:graphicData uri="http://schemas.microsoft.com/office/word/2010/wordprocessingInk">
                        <w14:contentPart bwMode="auto" r:id="rId11">
                          <w14:nvContentPartPr>
                            <w14:cNvContentPartPr/>
                          </w14:nvContentPartPr>
                          <w14:xfrm>
                            <a:off x="0" y="0"/>
                            <a:ext cx="815340" cy="191135"/>
                          </w14:xfrm>
                        </w14:contentPart>
                      </a:graphicData>
                    </a:graphic>
                    <wp14:sizeRelH relativeFrom="margin">
                      <wp14:pctWidth>0</wp14:pctWidth>
                    </wp14:sizeRelH>
                    <wp14:sizeRelV relativeFrom="margin">
                      <wp14:pctHeight>0</wp14:pctHeight>
                    </wp14:sizeRelV>
                  </wp:anchor>
                </w:drawing>
              </mc:Choice>
              <mc:Fallback>
                <w:pict>
                  <v:shapetype w14:anchorId="6B6C1AB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26.85pt;margin-top:-2.5pt;width:64.9pt;height:1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">
                    <v:imagedata r:id="rId12" o:title=""/>
                  </v:shape>
                </w:pict>
              </mc:Fallback>
            </mc:AlternateContent>
          </w:r>
          <w:r>
            <w:rPr>
              <w:noProof/>
              <w:sz w:val="28"/>
              <w:szCs w:val="28"/>
            </w:rPr>
            <mc:AlternateContent>
              <mc:Choice Requires="wps">
                <w:drawing>
                  <wp:anchor distT="0" distB="0" distL="114300" distR="114300" simplePos="0" relativeHeight="251673600" behindDoc="0" locked="0" layoutInCell="1" allowOverlap="1" wp14:anchorId="4BAB35BC" wp14:editId="02394A83">
                    <wp:simplePos x="0" y="0"/>
                    <wp:positionH relativeFrom="column">
                      <wp:posOffset>1562100</wp:posOffset>
                    </wp:positionH>
                    <wp:positionV relativeFrom="paragraph">
                      <wp:posOffset>201295</wp:posOffset>
                    </wp:positionV>
                    <wp:extent cx="2880360" cy="0"/>
                    <wp:effectExtent l="0" t="0" r="0" b="0"/>
                    <wp:wrapNone/>
                    <wp:docPr id="741384509" name="Straight Connector 8"/>
                    <wp:cNvGraphicFramePr/>
                    <a:graphic xmlns:a="http://schemas.openxmlformats.org/drawingml/2006/main">
                      <a:graphicData uri="http://schemas.microsoft.com/office/word/2010/wordprocessingShape">
                        <wps:wsp>
                          <wps:cNvCnPr/>
                          <wps:spPr>
                            <a:xfrm>
                              <a:off x="0" y="0"/>
                              <a:ext cx="2880360" cy="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280A49F" id="Straight Connector 8"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123pt,15.85pt" to="349.8pt,1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" strokecolor="black [3200]">
                    <v:stroke dashstyle="dash"/>
                  </v:line>
                </w:pict>
              </mc:Fallback>
            </mc:AlternateContent>
          </w:r>
          <w:r>
            <w:rPr>
              <w:sz w:val="28"/>
              <w:szCs w:val="28"/>
            </w:rPr>
            <w:t xml:space="preserve">                   Signature:    </w:t>
          </w:r>
        </w:p>
        <w:p w14:paraId="1A513F64" w14:textId="77777777" w:rsidR="00627D0A" w:rsidRDefault="00627D0A" w:rsidP="00A12E2A">
          <w:pPr>
            <w:rPr>
              <w:sz w:val="28"/>
              <w:szCs w:val="28"/>
            </w:rPr>
          </w:pPr>
        </w:p>
        <w:p w14:paraId="39F99A39" w14:textId="77777777" w:rsidR="00627D0A" w:rsidRDefault="00627D0A" w:rsidP="00A12E2A">
          <w:pPr>
            <w:rPr>
              <w:sz w:val="28"/>
              <w:szCs w:val="28"/>
            </w:rPr>
          </w:pPr>
        </w:p>
        <w:p w14:paraId="379E4DB5" w14:textId="77777777" w:rsidR="00627D0A" w:rsidRDefault="00627D0A" w:rsidP="00A12E2A">
          <w:pPr>
            <w:rPr>
              <w:sz w:val="28"/>
              <w:szCs w:val="28"/>
            </w:rPr>
          </w:pPr>
          <w:r>
            <w:rPr>
              <w:sz w:val="28"/>
              <w:szCs w:val="28"/>
            </w:rPr>
            <w:t xml:space="preserve">Please state your chosen organisation &amp; contemporary issue in the box below: </w:t>
          </w:r>
        </w:p>
        <w:tbl>
          <w:tblPr>
            <w:tblStyle w:val="TableGrid"/>
            <w:tblW w:w="10060" w:type="dxa"/>
            <w:tblLook w:val="04A0" w:firstRow="1" w:lastRow="0" w:firstColumn="1" w:lastColumn="0" w:noHBand="0" w:noVBand="1"/>
          </w:tblPr>
          <w:tblGrid>
            <w:gridCol w:w="10060"/>
          </w:tblGrid>
          <w:tr w:rsidR="00627D0A" w14:paraId="66C80573" w14:textId="77777777" w:rsidTr="0017649E">
            <w:trPr>
              <w:trHeight w:val="1010"/>
            </w:trPr>
            <w:tc>
              <w:tcPr>
                <w:tcW w:w="10060" w:type="dxa"/>
              </w:tcPr>
              <w:p w14:paraId="4F17D9CB" w14:textId="77777777" w:rsidR="00627D0A" w:rsidRDefault="00627D0A" w:rsidP="00A12E2A">
                <w:pPr>
                  <w:rPr>
                    <w:sz w:val="28"/>
                    <w:szCs w:val="28"/>
                  </w:rPr>
                </w:pPr>
              </w:p>
              <w:p w14:paraId="610B0DB2" w14:textId="6E96A016" w:rsidR="00627D0A" w:rsidRDefault="00627D0A" w:rsidP="00A12E2A">
                <w:pPr>
                  <w:rPr>
                    <w:b/>
                    <w:bCs/>
                    <w:sz w:val="28"/>
                    <w:szCs w:val="28"/>
                  </w:rPr>
                </w:pPr>
                <w:r w:rsidRPr="00DA63CE">
                  <w:rPr>
                    <w:b/>
                    <w:bCs/>
                    <w:sz w:val="28"/>
                    <w:szCs w:val="28"/>
                  </w:rPr>
                  <w:t xml:space="preserve">Selected </w:t>
                </w:r>
                <w:r>
                  <w:rPr>
                    <w:b/>
                    <w:bCs/>
                    <w:sz w:val="28"/>
                    <w:szCs w:val="28"/>
                  </w:rPr>
                  <w:t>O</w:t>
                </w:r>
                <w:r w:rsidRPr="00DA63CE">
                  <w:rPr>
                    <w:b/>
                    <w:bCs/>
                    <w:sz w:val="28"/>
                    <w:szCs w:val="28"/>
                  </w:rPr>
                  <w:t>rganisation:</w:t>
                </w:r>
                <w:r>
                  <w:rPr>
                    <w:b/>
                    <w:bCs/>
                    <w:sz w:val="28"/>
                    <w:szCs w:val="28"/>
                  </w:rPr>
                  <w:t xml:space="preserve"> </w:t>
                </w:r>
                <w:r w:rsidR="001348C2" w:rsidRPr="001348C2">
                  <w:rPr>
                    <w:sz w:val="28"/>
                    <w:szCs w:val="28"/>
                  </w:rPr>
                  <w:t>Unilever PLC and Investment Appraisal for Westward Plc</w:t>
                </w:r>
              </w:p>
              <w:p w14:paraId="0019546A" w14:textId="77777777" w:rsidR="00627D0A" w:rsidRDefault="00627D0A" w:rsidP="00163263">
                <w:pPr>
                  <w:rPr>
                    <w:sz w:val="28"/>
                    <w:szCs w:val="28"/>
                  </w:rPr>
                </w:pPr>
              </w:p>
            </w:tc>
          </w:tr>
        </w:tbl>
        <w:p w14:paraId="22860DA8" w14:textId="77777777" w:rsidR="00627D0A" w:rsidRPr="00042132" w:rsidRDefault="00627D0A" w:rsidP="00A12E2A">
          <w:pPr>
            <w:rPr>
              <w:sz w:val="28"/>
              <w:szCs w:val="28"/>
            </w:rPr>
          </w:pPr>
        </w:p>
        <w:p w14:paraId="66A81B5B" w14:textId="0BC6B755" w:rsidR="00FB5E37" w:rsidRDefault="00FB5E37">
          <w:pPr>
            <w:pStyle w:val="NoSpacing"/>
            <w:spacing w:before="1540" w:after="240"/>
            <w:jc w:val="center"/>
            <w:rPr>
              <w:color w:val="4F81BD" w:themeColor="accent1"/>
            </w:rPr>
          </w:pPr>
          <w:r>
            <w:rPr>
              <w:noProof/>
              <w:color w:val="4F81BD" w:themeColor="accent1"/>
            </w:rPr>
            <w:lastRenderedPageBreak/>
            <w:drawing>
              <wp:inline distT="0" distB="0" distL="0" distR="0" wp14:anchorId="63E88C0A" wp14:editId="0F3B81C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Gill Sans MT" w:eastAsiaTheme="majorEastAsia" w:hAnsi="Gill Sans MT" w:cstheme="majorBidi"/>
              <w:b/>
              <w:bCs/>
              <w:caps/>
              <w:color w:val="4F81BD" w:themeColor="accent1"/>
              <w:sz w:val="52"/>
              <w:szCs w:val="52"/>
            </w:rPr>
            <w:alias w:val="Title"/>
            <w:tag w:val=""/>
            <w:id w:val="1735040861"/>
            <w:placeholder>
              <w:docPart w:val="46F61176F3304D4398EAF43343957729"/>
            </w:placeholder>
            <w:dataBinding w:prefixMappings="xmlns:ns0='http://purl.org/dc/elements/1.1/' xmlns:ns1='http://schemas.openxmlformats.org/package/2006/metadata/core-properties' " w:xpath="/ns1:coreProperties[1]/ns0:title[1]" w:storeItemID="{6C3C8BC8-F283-45AE-878A-BAB7291924A1}"/>
            <w:text/>
          </w:sdtPr>
          <w:sdtContent>
            <w:p w14:paraId="5A2E4F0C" w14:textId="4ADDCF1B" w:rsidR="00FB5E37" w:rsidRDefault="001348C2">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1348C2">
                <w:rPr>
                  <w:rFonts w:ascii="Gill Sans MT" w:eastAsiaTheme="majorEastAsia" w:hAnsi="Gill Sans MT" w:cstheme="majorBidi"/>
                  <w:b/>
                  <w:bCs/>
                  <w:caps/>
                  <w:color w:val="4F81BD" w:themeColor="accent1"/>
                  <w:sz w:val="52"/>
                  <w:szCs w:val="52"/>
                </w:rPr>
                <w:t>Financial Performance Analysis of Unilever PLC and Investment Appraisal for Westward Plc</w:t>
              </w:r>
            </w:p>
          </w:sdtContent>
        </w:sdt>
        <w:sdt>
          <w:sdtPr>
            <w:rPr>
              <w:rFonts w:ascii="Gill Sans MT" w:hAnsi="Gill Sans MT"/>
              <w:color w:val="4F81BD" w:themeColor="accent1"/>
              <w:sz w:val="32"/>
              <w:szCs w:val="32"/>
            </w:rPr>
            <w:alias w:val="Subtitle"/>
            <w:tag w:val=""/>
            <w:id w:val="328029620"/>
            <w:placeholder>
              <w:docPart w:val="320A120F49624C84A83BBFB00C518272"/>
            </w:placeholder>
            <w:dataBinding w:prefixMappings="xmlns:ns0='http://purl.org/dc/elements/1.1/' xmlns:ns1='http://schemas.openxmlformats.org/package/2006/metadata/core-properties' " w:xpath="/ns1:coreProperties[1]/ns0:subject[1]" w:storeItemID="{6C3C8BC8-F283-45AE-878A-BAB7291924A1}"/>
            <w:text/>
          </w:sdtPr>
          <w:sdtContent>
            <w:p w14:paraId="3D9B59CC" w14:textId="1106CBAA" w:rsidR="00FB5E37" w:rsidRDefault="001348C2">
              <w:pPr>
                <w:pStyle w:val="NoSpacing"/>
                <w:jc w:val="center"/>
                <w:rPr>
                  <w:color w:val="4F81BD" w:themeColor="accent1"/>
                  <w:sz w:val="28"/>
                  <w:szCs w:val="28"/>
                </w:rPr>
              </w:pPr>
              <w:r w:rsidRPr="001348C2">
                <w:rPr>
                  <w:rFonts w:ascii="Gill Sans MT" w:hAnsi="Gill Sans MT"/>
                  <w:color w:val="4F81BD" w:themeColor="accent1"/>
                  <w:sz w:val="32"/>
                  <w:szCs w:val="32"/>
                </w:rPr>
                <w:t>Module: Finance for Business Managers (BMMB70</w:t>
              </w:r>
              <w:r>
                <w:rPr>
                  <w:rFonts w:ascii="Gill Sans MT" w:hAnsi="Gill Sans MT"/>
                  <w:color w:val="4F81BD" w:themeColor="accent1"/>
                  <w:sz w:val="32"/>
                  <w:szCs w:val="32"/>
                </w:rPr>
                <w:t>05</w:t>
              </w:r>
              <w:r w:rsidRPr="001348C2">
                <w:rPr>
                  <w:rFonts w:ascii="Gill Sans MT" w:hAnsi="Gill Sans MT"/>
                  <w:color w:val="4F81BD" w:themeColor="accent1"/>
                  <w:sz w:val="32"/>
                  <w:szCs w:val="32"/>
                </w:rPr>
                <w:t>)</w:t>
              </w:r>
            </w:p>
          </w:sdtContent>
        </w:sdt>
        <w:p w14:paraId="1B840F39" w14:textId="77777777" w:rsidR="00F60EA2" w:rsidRDefault="004A2557" w:rsidP="00F60EA2">
          <w:pPr>
            <w:pStyle w:val="NoSpacing"/>
            <w:jc w:val="center"/>
            <w:rPr>
              <w:rFonts w:ascii="Gill Sans MT" w:hAnsi="Gill Sans MT"/>
              <w:color w:val="4F81BD" w:themeColor="accent1"/>
              <w:sz w:val="32"/>
              <w:szCs w:val="32"/>
            </w:rPr>
          </w:pPr>
          <w:r>
            <w:rPr>
              <w:noProof/>
              <w:color w:val="4F81BD" w:themeColor="accent1"/>
            </w:rPr>
            <mc:AlternateContent>
              <mc:Choice Requires="wps">
                <w:drawing>
                  <wp:anchor distT="0" distB="0" distL="114300" distR="114300" simplePos="0" relativeHeight="251663360" behindDoc="0" locked="0" layoutInCell="1" allowOverlap="1" wp14:anchorId="0E670007" wp14:editId="2B6091E4">
                    <wp:simplePos x="0" y="0"/>
                    <wp:positionH relativeFrom="column">
                      <wp:posOffset>1165860</wp:posOffset>
                    </wp:positionH>
                    <wp:positionV relativeFrom="paragraph">
                      <wp:posOffset>190500</wp:posOffset>
                    </wp:positionV>
                    <wp:extent cx="3573780" cy="15240"/>
                    <wp:effectExtent l="0" t="0" r="26670" b="22860"/>
                    <wp:wrapNone/>
                    <wp:docPr id="1057625581" name="Straight Connector 1"/>
                    <wp:cNvGraphicFramePr/>
                    <a:graphic xmlns:a="http://schemas.openxmlformats.org/drawingml/2006/main">
                      <a:graphicData uri="http://schemas.microsoft.com/office/word/2010/wordprocessingShape">
                        <wps:wsp>
                          <wps:cNvCnPr/>
                          <wps:spPr>
                            <a:xfrm flipV="1">
                              <a:off x="0" y="0"/>
                              <a:ext cx="357378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4E3494" id="Straight Connector 1"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8pt,15pt" to="373.2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" strokecolor="#4579b8 [3044]"/>
                </w:pict>
              </mc:Fallback>
            </mc:AlternateContent>
          </w:r>
          <w:r w:rsidR="00FB5E37">
            <w:rPr>
              <w:noProof/>
              <w:color w:val="4F81BD" w:themeColor="accent1"/>
            </w:rPr>
            <mc:AlternateContent>
              <mc:Choice Requires="wps">
                <w:drawing>
                  <wp:anchor distT="0" distB="0" distL="114300" distR="114300" simplePos="0" relativeHeight="251657216" behindDoc="0" locked="0" layoutInCell="1" allowOverlap="1" wp14:anchorId="29F2614A" wp14:editId="3ED4F84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Content>
                                  <w:p w14:paraId="2D49E687" w14:textId="08E1E7B3" w:rsidR="004A2557" w:rsidRPr="004A2557" w:rsidRDefault="001348C2" w:rsidP="004A2557">
                                    <w:pPr>
                                      <w:pStyle w:val="NoSpacing"/>
                                      <w:spacing w:after="40"/>
                                      <w:jc w:val="center"/>
                                      <w:rPr>
                                        <w:caps/>
                                        <w:color w:val="4F81BD" w:themeColor="accent1"/>
                                        <w:sz w:val="28"/>
                                        <w:szCs w:val="28"/>
                                      </w:rPr>
                                    </w:pPr>
                                    <w:r>
                                      <w:rPr>
                                        <w:caps/>
                                        <w:color w:val="4F81BD" w:themeColor="accent1"/>
                                        <w:sz w:val="28"/>
                                        <w:szCs w:val="28"/>
                                      </w:rPr>
                                      <w:t>January 12, 2026</w:t>
                                    </w:r>
                                  </w:p>
                                </w:sdtContent>
                              </w:sdt>
                              <w:p w14:paraId="5571981F" w14:textId="44D049C3" w:rsidR="00FB5E37" w:rsidRDefault="004A2557" w:rsidP="004A2557">
                                <w:pPr>
                                  <w:pStyle w:val="NoSpacing"/>
                                  <w:jc w:val="center"/>
                                  <w:rPr>
                                    <w:color w:val="4F81BD" w:themeColor="accent1"/>
                                  </w:rPr>
                                </w:pPr>
                                <w:r>
                                  <w:rPr>
                                    <w:caps/>
                                    <w:color w:val="4F81BD" w:themeColor="accent1"/>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F2614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Content>
                            <w:p w14:paraId="2D49E687" w14:textId="08E1E7B3" w:rsidR="004A2557" w:rsidRPr="004A2557" w:rsidRDefault="001348C2" w:rsidP="004A2557">
                              <w:pPr>
                                <w:pStyle w:val="NoSpacing"/>
                                <w:spacing w:after="40"/>
                                <w:jc w:val="center"/>
                                <w:rPr>
                                  <w:caps/>
                                  <w:color w:val="4F81BD" w:themeColor="accent1"/>
                                  <w:sz w:val="28"/>
                                  <w:szCs w:val="28"/>
                                </w:rPr>
                              </w:pPr>
                              <w:r>
                                <w:rPr>
                                  <w:caps/>
                                  <w:color w:val="4F81BD" w:themeColor="accent1"/>
                                  <w:sz w:val="28"/>
                                  <w:szCs w:val="28"/>
                                </w:rPr>
                                <w:t>January 12, 2026</w:t>
                              </w:r>
                            </w:p>
                          </w:sdtContent>
                        </w:sdt>
                        <w:p w14:paraId="5571981F" w14:textId="44D049C3" w:rsidR="00FB5E37" w:rsidRDefault="004A2557" w:rsidP="004A2557">
                          <w:pPr>
                            <w:pStyle w:val="NoSpacing"/>
                            <w:jc w:val="center"/>
                            <w:rPr>
                              <w:color w:val="4F81BD" w:themeColor="accent1"/>
                            </w:rPr>
                          </w:pPr>
                          <w:r>
                            <w:rPr>
                              <w:caps/>
                              <w:color w:val="4F81BD" w:themeColor="accent1"/>
                            </w:rPr>
                            <w:t>UNIVERSITY OF WALES TRINITY SAINT DAVid</w:t>
                          </w:r>
                        </w:p>
                      </w:txbxContent>
                    </v:textbox>
                    <w10:wrap anchorx="margin" anchory="page"/>
                  </v:shape>
                </w:pict>
              </mc:Fallback>
            </mc:AlternateContent>
          </w:r>
          <w:r w:rsidRPr="004A2557">
            <w:rPr>
              <w:rFonts w:ascii="Gill Sans MT" w:hAnsi="Gill Sans MT"/>
              <w:color w:val="4F81BD" w:themeColor="accent1"/>
              <w:sz w:val="32"/>
              <w:szCs w:val="32"/>
            </w:rPr>
            <w:t xml:space="preserve"> </w:t>
          </w:r>
        </w:p>
        <w:p w14:paraId="66688B39" w14:textId="77777777" w:rsidR="00F60EA2" w:rsidRDefault="00F60EA2" w:rsidP="00F60EA2">
          <w:pPr>
            <w:pStyle w:val="NoSpacing"/>
            <w:jc w:val="center"/>
            <w:rPr>
              <w:rFonts w:ascii="Gill Sans MT" w:hAnsi="Gill Sans MT"/>
              <w:color w:val="4F81BD" w:themeColor="accent1"/>
              <w:sz w:val="32"/>
              <w:szCs w:val="32"/>
            </w:rPr>
          </w:pPr>
        </w:p>
        <w:p w14:paraId="775AC400" w14:textId="02263DE2" w:rsidR="00F60EA2" w:rsidRDefault="004A2557" w:rsidP="00F60EA2">
          <w:pPr>
            <w:pStyle w:val="NoSpacing"/>
            <w:jc w:val="center"/>
            <w:rPr>
              <w:rFonts w:asciiTheme="majorHAnsi" w:hAnsiTheme="majorHAnsi" w:cstheme="majorHAnsi"/>
              <w:color w:val="4F81BD" w:themeColor="accent1"/>
              <w:sz w:val="36"/>
              <w:szCs w:val="36"/>
            </w:rPr>
          </w:pPr>
          <w:r w:rsidRPr="00F60EA2">
            <w:rPr>
              <w:rFonts w:asciiTheme="majorHAnsi" w:hAnsiTheme="majorHAnsi" w:cstheme="majorHAnsi"/>
              <w:color w:val="4F81BD" w:themeColor="accent1"/>
              <w:sz w:val="36"/>
              <w:szCs w:val="36"/>
            </w:rPr>
            <w:t>Name: Megha Vag</w:t>
          </w:r>
          <w:r w:rsidR="00F60EA2">
            <w:rPr>
              <w:rFonts w:asciiTheme="majorHAnsi" w:hAnsiTheme="majorHAnsi" w:cstheme="majorHAnsi"/>
              <w:color w:val="4F81BD" w:themeColor="accent1"/>
              <w:sz w:val="36"/>
              <w:szCs w:val="36"/>
            </w:rPr>
            <w:t>hasiya</w:t>
          </w:r>
        </w:p>
        <w:p w14:paraId="0BD0CA2B" w14:textId="3AE4818B" w:rsidR="00FB5E37" w:rsidRPr="00F60EA2" w:rsidRDefault="004A2557" w:rsidP="00F60EA2">
          <w:pPr>
            <w:pStyle w:val="NoSpacing"/>
            <w:jc w:val="center"/>
            <w:rPr>
              <w:rFonts w:ascii="Gill Sans MT" w:hAnsi="Gill Sans MT"/>
              <w:color w:val="4F81BD" w:themeColor="accent1"/>
              <w:sz w:val="32"/>
              <w:szCs w:val="32"/>
            </w:rPr>
          </w:pPr>
          <w:r w:rsidRPr="00F60EA2">
            <w:rPr>
              <w:rFonts w:asciiTheme="majorHAnsi" w:hAnsiTheme="majorHAnsi" w:cstheme="majorHAnsi"/>
              <w:color w:val="4F81BD" w:themeColor="accent1"/>
              <w:sz w:val="36"/>
              <w:szCs w:val="36"/>
            </w:rPr>
            <w:t>Student ID: 2515214</w:t>
          </w:r>
        </w:p>
        <w:p w14:paraId="177DEF43" w14:textId="6B4A7587" w:rsidR="00D507C2" w:rsidRDefault="00F60EA2">
          <w:r>
            <w:rPr>
              <w:noProof/>
              <w:color w:val="4F81BD" w:themeColor="accent1"/>
            </w:rPr>
            <w:drawing>
              <wp:anchor distT="0" distB="0" distL="114300" distR="114300" simplePos="0" relativeHeight="251660288" behindDoc="0" locked="0" layoutInCell="1" allowOverlap="1" wp14:anchorId="3CA00F55" wp14:editId="46CF2FD5">
                <wp:simplePos x="0" y="0"/>
                <wp:positionH relativeFrom="margin">
                  <wp:align>center</wp:align>
                </wp:positionH>
                <wp:positionV relativeFrom="paragraph">
                  <wp:posOffset>316230</wp:posOffset>
                </wp:positionV>
                <wp:extent cx="758825" cy="478790"/>
                <wp:effectExtent l="0" t="0" r="3175" b="0"/>
                <wp:wrapSquare wrapText="bothSides"/>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rsidR="00FB5E37">
            <w:br w:type="page"/>
          </w:r>
        </w:p>
      </w:sdtContent>
    </w:sdt>
    <w:p w14:paraId="06FE8D10" w14:textId="5388A0E9" w:rsidR="004A7931" w:rsidRPr="004A7931" w:rsidRDefault="004A7931" w:rsidP="004A7931">
      <w:pPr>
        <w:rPr>
          <w:rFonts w:asciiTheme="majorHAnsi" w:eastAsiaTheme="majorEastAsia" w:hAnsiTheme="majorHAnsi" w:cstheme="majorBidi"/>
          <w:b/>
          <w:bCs/>
          <w:color w:val="365F91" w:themeColor="accent1" w:themeShade="BF"/>
          <w:sz w:val="28"/>
          <w:szCs w:val="28"/>
          <w:lang w:val="en-IN"/>
        </w:rPr>
      </w:pPr>
      <w:r w:rsidRPr="004A7931">
        <w:rPr>
          <w:rFonts w:asciiTheme="majorHAnsi" w:eastAsiaTheme="majorEastAsia" w:hAnsiTheme="majorHAnsi" w:cstheme="majorBidi"/>
          <w:b/>
          <w:bCs/>
          <w:color w:val="365F91" w:themeColor="accent1" w:themeShade="BF"/>
          <w:sz w:val="28"/>
          <w:szCs w:val="28"/>
          <w:lang w:val="en-IN"/>
        </w:rPr>
        <w:lastRenderedPageBreak/>
        <w:t>Executive Summary</w:t>
      </w:r>
    </w:p>
    <w:p w14:paraId="2D2E3B6A" w14:textId="77777777" w:rsidR="001348C2" w:rsidRPr="001348C2" w:rsidRDefault="001348C2" w:rsidP="001348C2">
      <w:pPr>
        <w:rPr>
          <w:sz w:val="24"/>
          <w:szCs w:val="24"/>
          <w:lang w:val="en-IN"/>
        </w:rPr>
      </w:pPr>
      <w:r w:rsidRPr="001348C2">
        <w:rPr>
          <w:sz w:val="24"/>
          <w:szCs w:val="24"/>
          <w:lang w:val="en-IN"/>
        </w:rPr>
        <w:t>This report critically evaluates key financial management issues through the application of financial analysis and investment appraisal techniques. The assignment is structured into two main tasks, each designed to assess different but complementary financial decision-making skills. Task 1 focuses on analysing the financial performance and position of a real multinational organisation, Unilever Plc, while Task 2 evaluates investment decisions for a separate case study organisation using established capital budgeting methods. Together, the tasks provide a comprehensive assessment of financial performance evaluation and strategic financial decision-making.</w:t>
      </w:r>
    </w:p>
    <w:p w14:paraId="61AA11DF" w14:textId="77777777" w:rsidR="001348C2" w:rsidRPr="001348C2" w:rsidRDefault="001348C2" w:rsidP="001348C2">
      <w:pPr>
        <w:rPr>
          <w:sz w:val="24"/>
          <w:szCs w:val="24"/>
          <w:lang w:val="en-IN"/>
        </w:rPr>
      </w:pPr>
      <w:r w:rsidRPr="001348C2">
        <w:rPr>
          <w:sz w:val="24"/>
          <w:szCs w:val="24"/>
          <w:lang w:val="en-IN"/>
        </w:rPr>
        <w:t>In Task 1, the report examines Unilever’s recent financial performance using a range of financial ratios, including profitability, liquidity, efficiency, and gearing measures. As a global fast-moving consumer goods (FMCG) organisation, Unilever operates in a highly competitive and cost-sensitive environment, making effective financial management critical to long-term success. The analysis identifies trends in revenue growth, operating margins, and return on capital employed, alongside an assessment of liquidity and solvency risks. The findings highlight Unilever’s generally strong financial position, supported by stable cash flows and effective cost management, while also identifying challenges related to margin pressure, inflationary costs, and changing consumer demand. The evaluation provides insight into how financial performance supports strategic objectives and shareholder value.</w:t>
      </w:r>
    </w:p>
    <w:p w14:paraId="547C72F9" w14:textId="77777777" w:rsidR="001348C2" w:rsidRPr="001348C2" w:rsidRDefault="001348C2" w:rsidP="001348C2">
      <w:pPr>
        <w:rPr>
          <w:sz w:val="24"/>
          <w:szCs w:val="24"/>
          <w:lang w:val="en-IN"/>
        </w:rPr>
      </w:pPr>
      <w:r w:rsidRPr="001348C2">
        <w:rPr>
          <w:sz w:val="24"/>
          <w:szCs w:val="24"/>
          <w:lang w:val="en-IN"/>
        </w:rPr>
        <w:t>Task 2 focuses on investment appraisal and financial decision-making using a separate case study organisation. This section applies capital budgeting techniques, including Net Present Value (NPV), Internal Rate of Return (IRR), and Payback Period, to assess the financial viability of proposed investment projects. The analysis demonstrates how discounted cash flow methods support informed investment decisions by incorporating the time value of money and risk considerations. The results enable comparison between alternative projects and support recommendations regarding project selection. Limitations of each appraisal method are also considered, highlighting the importance of using multiple techniques rather than relying on a single measure.</w:t>
      </w:r>
    </w:p>
    <w:p w14:paraId="5C80F16A" w14:textId="722BF812" w:rsidR="004A7931" w:rsidRPr="001348C2" w:rsidRDefault="001348C2">
      <w:pPr>
        <w:rPr>
          <w:sz w:val="24"/>
          <w:szCs w:val="24"/>
          <w:lang w:val="en-IN"/>
        </w:rPr>
      </w:pPr>
      <w:r w:rsidRPr="001348C2">
        <w:rPr>
          <w:sz w:val="24"/>
          <w:szCs w:val="24"/>
          <w:lang w:val="en-IN"/>
        </w:rPr>
        <w:t>Overall, the report demonstrates that effective financial analysis and investment appraisal are essential for supporting strategic decision-making and long-term organisational sustainability. By combining real-world financial performance analysis with practical investment evaluation, the assignment illustrates how financial information can be used to assess risk, optimise resource allocation, and enhance shareholder value. The conclusions and recommendations drawn from both tasks emphasise the importance of robust financial control, analytical rigor, and strategic alignment in contemporary financial management practice.</w:t>
      </w:r>
      <w:r>
        <w:rPr>
          <w:rFonts w:asciiTheme="majorHAnsi" w:eastAsiaTheme="majorEastAsia" w:hAnsiTheme="majorHAnsi" w:cstheme="majorBidi"/>
          <w:b/>
          <w:bCs/>
          <w:color w:val="365F91" w:themeColor="accent1" w:themeShade="BF"/>
          <w:sz w:val="28"/>
          <w:szCs w:val="28"/>
          <w:lang w:val="en-IN"/>
        </w:rPr>
        <w:br w:type="page"/>
      </w:r>
    </w:p>
    <w:sdt>
      <w:sdtPr>
        <w:rPr>
          <w:rFonts w:asciiTheme="minorHAnsi" w:eastAsiaTheme="minorEastAsia" w:hAnsiTheme="minorHAnsi" w:cs="Times New Roman"/>
          <w:b w:val="0"/>
          <w:bCs w:val="0"/>
          <w:color w:val="auto"/>
          <w:sz w:val="22"/>
          <w:szCs w:val="22"/>
        </w:rPr>
        <w:id w:val="379369326"/>
        <w:docPartObj>
          <w:docPartGallery w:val="Table of Contents"/>
          <w:docPartUnique/>
        </w:docPartObj>
      </w:sdtPr>
      <w:sdtContent>
        <w:p w14:paraId="634F827E" w14:textId="31512A40" w:rsidR="00B36A46" w:rsidRDefault="00B36A46">
          <w:pPr>
            <w:pStyle w:val="TOCHeading"/>
          </w:pPr>
          <w:r>
            <w:t>Table of Contents</w:t>
          </w:r>
        </w:p>
        <w:p w14:paraId="1ACACAA6" w14:textId="77777777" w:rsidR="00FB5E37" w:rsidRPr="00FB5E37" w:rsidRDefault="00FB5E37" w:rsidP="00FB5E37"/>
        <w:p w14:paraId="51F2BF06" w14:textId="7B2CC3F8" w:rsidR="00B36A46" w:rsidRDefault="004A2557" w:rsidP="00F60EA2">
          <w:pPr>
            <w:pStyle w:val="TOC1"/>
          </w:pPr>
          <w:r>
            <w:rPr>
              <w:b/>
              <w:bCs/>
            </w:rPr>
            <w:t>Introduction</w:t>
          </w:r>
          <w:r w:rsidR="00B36A46">
            <w:ptab w:relativeTo="margin" w:alignment="right" w:leader="dot"/>
          </w:r>
          <w:r w:rsidR="003D67EC">
            <w:rPr>
              <w:b/>
              <w:bCs/>
            </w:rPr>
            <w:t>4</w:t>
          </w:r>
        </w:p>
        <w:p w14:paraId="4DB915FB" w14:textId="2DA3D29E" w:rsidR="00F60EA2" w:rsidRDefault="00F60EA2" w:rsidP="00F60EA2">
          <w:pPr>
            <w:pStyle w:val="TOC1"/>
            <w:rPr>
              <w:b/>
              <w:bCs/>
            </w:rPr>
          </w:pPr>
          <w:r>
            <w:rPr>
              <w:b/>
              <w:bCs/>
            </w:rPr>
            <w:t>Main Findings</w:t>
          </w:r>
          <w:r w:rsidR="00B36A46">
            <w:ptab w:relativeTo="margin" w:alignment="right" w:leader="dot"/>
          </w:r>
          <w:r w:rsidR="003D67EC">
            <w:rPr>
              <w:b/>
              <w:bCs/>
            </w:rPr>
            <w:t>6</w:t>
          </w:r>
        </w:p>
        <w:p w14:paraId="447B88E0" w14:textId="754A6CB5" w:rsidR="00F60EA2" w:rsidRPr="00F60EA2" w:rsidRDefault="00896304" w:rsidP="00F60EA2">
          <w:pPr>
            <w:pStyle w:val="TOC1"/>
            <w:ind w:firstLine="720"/>
            <w:rPr>
              <w:b/>
              <w:bCs/>
            </w:rPr>
          </w:pPr>
          <w:r w:rsidRPr="00896304">
            <w:rPr>
              <w:b/>
              <w:bCs/>
            </w:rPr>
            <w:t>TASK 1 - Financial Performance Analysis of Unilever Plc</w:t>
          </w:r>
          <w:r>
            <w:t xml:space="preserve"> </w:t>
          </w:r>
          <w:r w:rsidR="00B36A46">
            <w:ptab w:relativeTo="margin" w:alignment="right" w:leader="dot"/>
          </w:r>
          <w:r w:rsidR="003D67EC" w:rsidRPr="00896304">
            <w:rPr>
              <w:b/>
              <w:bCs/>
            </w:rPr>
            <w:t>6</w:t>
          </w:r>
        </w:p>
        <w:p w14:paraId="074EBAF7" w14:textId="4079AC0C" w:rsidR="003D67EC" w:rsidRDefault="00896304" w:rsidP="00896304">
          <w:pPr>
            <w:pStyle w:val="TOC1"/>
            <w:ind w:left="720" w:firstLine="720"/>
          </w:pPr>
          <w:r>
            <w:t>1.</w:t>
          </w:r>
          <w:r w:rsidR="003D67EC">
            <w:t xml:space="preserve"> </w:t>
          </w:r>
          <w:r w:rsidRPr="00896304">
            <w:t>Introduction to Task 1</w:t>
          </w:r>
          <w:r w:rsidR="003D67EC">
            <w:ptab w:relativeTo="margin" w:alignment="right" w:leader="dot"/>
          </w:r>
          <w:r w:rsidR="00224597">
            <w:t>6</w:t>
          </w:r>
        </w:p>
        <w:p w14:paraId="5936A49B" w14:textId="616F2CA1" w:rsidR="003D67EC" w:rsidRDefault="003D67EC" w:rsidP="003D67EC">
          <w:pPr>
            <w:pStyle w:val="TOC1"/>
            <w:ind w:firstLine="720"/>
          </w:pPr>
          <w:r>
            <w:tab/>
            <w:t xml:space="preserve">2. </w:t>
          </w:r>
          <w:r w:rsidR="00896304" w:rsidRPr="00896304">
            <w:t xml:space="preserve">Overview of Unilever Plc </w:t>
          </w:r>
          <w:r>
            <w:ptab w:relativeTo="margin" w:alignment="right" w:leader="dot"/>
          </w:r>
          <w:r w:rsidR="00224597">
            <w:t>6</w:t>
          </w:r>
        </w:p>
        <w:p w14:paraId="63C110B6" w14:textId="5DC5968A" w:rsidR="00920A0A" w:rsidRDefault="00920A0A" w:rsidP="00920A0A">
          <w:pPr>
            <w:pStyle w:val="TOC1"/>
            <w:ind w:left="720" w:firstLine="720"/>
          </w:pPr>
          <w:r>
            <w:t xml:space="preserve">3. </w:t>
          </w:r>
          <w:r w:rsidRPr="00920A0A">
            <w:t xml:space="preserve">Purpose and Importance of Ratio Analysis </w:t>
          </w:r>
          <w:r>
            <w:ptab w:relativeTo="margin" w:alignment="right" w:leader="dot"/>
          </w:r>
          <w:r w:rsidR="00224597">
            <w:t>8</w:t>
          </w:r>
        </w:p>
        <w:p w14:paraId="00AAF248" w14:textId="5A3C9F3D" w:rsidR="00920A0A" w:rsidRDefault="00920A0A" w:rsidP="00920A0A">
          <w:pPr>
            <w:pStyle w:val="TOC1"/>
            <w:ind w:firstLine="720"/>
          </w:pPr>
          <w:r>
            <w:tab/>
            <w:t xml:space="preserve">4. </w:t>
          </w:r>
          <w:r w:rsidRPr="00920A0A">
            <w:t xml:space="preserve">Profitability Ratio Analysis </w:t>
          </w:r>
          <w:r>
            <w:ptab w:relativeTo="margin" w:alignment="right" w:leader="dot"/>
          </w:r>
          <w:r w:rsidR="00224597">
            <w:t>8</w:t>
          </w:r>
        </w:p>
        <w:p w14:paraId="7A8D30A5" w14:textId="738BA81B" w:rsidR="00920A0A" w:rsidRDefault="00920A0A" w:rsidP="00920A0A">
          <w:pPr>
            <w:pStyle w:val="TOC1"/>
            <w:ind w:left="720" w:firstLine="720"/>
          </w:pPr>
          <w:r>
            <w:t xml:space="preserve">5. </w:t>
          </w:r>
          <w:r w:rsidRPr="00920A0A">
            <w:t xml:space="preserve">Liquidity Ratio Analysis </w:t>
          </w:r>
          <w:r>
            <w:ptab w:relativeTo="margin" w:alignment="right" w:leader="dot"/>
          </w:r>
          <w:r w:rsidR="00224597">
            <w:t>9</w:t>
          </w:r>
        </w:p>
        <w:p w14:paraId="15901611" w14:textId="0A20487F" w:rsidR="00920A0A" w:rsidRDefault="00920A0A" w:rsidP="00920A0A">
          <w:pPr>
            <w:pStyle w:val="TOC1"/>
            <w:ind w:firstLine="720"/>
          </w:pPr>
          <w:r>
            <w:tab/>
            <w:t xml:space="preserve">6. </w:t>
          </w:r>
          <w:r w:rsidRPr="00920A0A">
            <w:t>Gearing Ratio Analysis</w:t>
          </w:r>
          <w:r w:rsidRPr="00896304">
            <w:t xml:space="preserve"> </w:t>
          </w:r>
          <w:r>
            <w:ptab w:relativeTo="margin" w:alignment="right" w:leader="dot"/>
          </w:r>
          <w:r>
            <w:t>9</w:t>
          </w:r>
        </w:p>
        <w:p w14:paraId="61F68635" w14:textId="7482F881" w:rsidR="00920A0A" w:rsidRDefault="00920A0A" w:rsidP="00920A0A">
          <w:pPr>
            <w:pStyle w:val="TOC1"/>
            <w:ind w:left="720" w:firstLine="720"/>
          </w:pPr>
          <w:r>
            <w:t xml:space="preserve">7. </w:t>
          </w:r>
          <w:r w:rsidRPr="00920A0A">
            <w:t xml:space="preserve">Efficiency Ratio Analysis </w:t>
          </w:r>
          <w:r>
            <w:ptab w:relativeTo="margin" w:alignment="right" w:leader="dot"/>
          </w:r>
          <w:r w:rsidR="00224597">
            <w:t>10</w:t>
          </w:r>
        </w:p>
        <w:p w14:paraId="49879950" w14:textId="4850EFE6" w:rsidR="00920A0A" w:rsidRDefault="00920A0A" w:rsidP="00920A0A">
          <w:pPr>
            <w:pStyle w:val="TOC1"/>
            <w:ind w:firstLine="720"/>
          </w:pPr>
          <w:r>
            <w:tab/>
            <w:t xml:space="preserve">8. </w:t>
          </w:r>
          <w:r w:rsidRPr="00920A0A">
            <w:t>Investor Ratio Analysis</w:t>
          </w:r>
          <w:r w:rsidRPr="00896304">
            <w:t xml:space="preserve"> </w:t>
          </w:r>
          <w:r>
            <w:ptab w:relativeTo="margin" w:alignment="right" w:leader="dot"/>
          </w:r>
          <w:r w:rsidR="00224597">
            <w:t>10</w:t>
          </w:r>
        </w:p>
        <w:p w14:paraId="0FF64A7E" w14:textId="55A4DAFF" w:rsidR="00920A0A" w:rsidRDefault="00920A0A" w:rsidP="00920A0A">
          <w:pPr>
            <w:pStyle w:val="TOC1"/>
            <w:ind w:left="720" w:firstLine="720"/>
          </w:pPr>
          <w:r>
            <w:t xml:space="preserve">9. </w:t>
          </w:r>
          <w:r w:rsidRPr="00920A0A">
            <w:t xml:space="preserve">Critical Evaluation of Ratio Analysis </w:t>
          </w:r>
          <w:r>
            <w:ptab w:relativeTo="margin" w:alignment="right" w:leader="dot"/>
          </w:r>
          <w:r w:rsidR="00224597">
            <w:t>11</w:t>
          </w:r>
        </w:p>
        <w:p w14:paraId="769481D0" w14:textId="4285A84E" w:rsidR="00920A0A" w:rsidRDefault="00920A0A" w:rsidP="00920A0A">
          <w:pPr>
            <w:pStyle w:val="TOC1"/>
            <w:ind w:firstLine="720"/>
          </w:pPr>
          <w:r>
            <w:tab/>
            <w:t xml:space="preserve">10. </w:t>
          </w:r>
          <w:r w:rsidRPr="00920A0A">
            <w:t xml:space="preserve">Overall Financial Performance Assessment </w:t>
          </w:r>
          <w:r>
            <w:ptab w:relativeTo="margin" w:alignment="right" w:leader="dot"/>
          </w:r>
          <w:r w:rsidR="00224597">
            <w:t>11</w:t>
          </w:r>
        </w:p>
        <w:p w14:paraId="3103A0F0" w14:textId="64EEE3B2" w:rsidR="00920A0A" w:rsidRDefault="00920A0A" w:rsidP="00920A0A">
          <w:pPr>
            <w:pStyle w:val="TOC1"/>
            <w:ind w:left="720" w:firstLine="720"/>
          </w:pPr>
          <w:r>
            <w:t xml:space="preserve">11. </w:t>
          </w:r>
          <w:r w:rsidRPr="00920A0A">
            <w:t>Conclusion of Task 1</w:t>
          </w:r>
          <w:r>
            <w:ptab w:relativeTo="margin" w:alignment="right" w:leader="dot"/>
          </w:r>
          <w:r w:rsidR="00224597">
            <w:t>11</w:t>
          </w:r>
        </w:p>
        <w:p w14:paraId="70C390D1" w14:textId="5635C99F" w:rsidR="00920A0A" w:rsidRDefault="00920A0A" w:rsidP="00920A0A">
          <w:pPr>
            <w:pStyle w:val="TOC1"/>
            <w:ind w:left="720" w:firstLine="720"/>
          </w:pPr>
          <w:r>
            <w:t xml:space="preserve">12. </w:t>
          </w:r>
          <w:r w:rsidRPr="00920A0A">
            <w:t>Task 1</w:t>
          </w:r>
          <w:r>
            <w:t xml:space="preserve"> - </w:t>
          </w:r>
          <w:r w:rsidRPr="00920A0A">
            <w:t>TABLES &amp; CALCULATIONS (UNILEVER PLC)</w:t>
          </w:r>
          <w:r>
            <w:ptab w:relativeTo="margin" w:alignment="right" w:leader="dot"/>
          </w:r>
          <w:r w:rsidR="00224597">
            <w:t>12</w:t>
          </w:r>
        </w:p>
        <w:p w14:paraId="1D46016A" w14:textId="472EBF52" w:rsidR="00920A0A" w:rsidRDefault="00896304" w:rsidP="00920A0A">
          <w:pPr>
            <w:pStyle w:val="TOC1"/>
            <w:ind w:firstLine="720"/>
          </w:pPr>
          <w:r w:rsidRPr="00896304">
            <w:rPr>
              <w:b/>
              <w:bCs/>
            </w:rPr>
            <w:t>TASK 2 – Investment Appraisal and Financing Decision for Westward Plc</w:t>
          </w:r>
          <w:r>
            <w:t xml:space="preserve"> </w:t>
          </w:r>
          <w:r w:rsidR="00F60EA2">
            <w:ptab w:relativeTo="margin" w:alignment="right" w:leader="dot"/>
          </w:r>
          <w:r w:rsidR="007E4F87" w:rsidRPr="00896304">
            <w:rPr>
              <w:b/>
              <w:bCs/>
            </w:rPr>
            <w:t>1</w:t>
          </w:r>
          <w:r w:rsidR="00224597">
            <w:rPr>
              <w:b/>
              <w:bCs/>
            </w:rPr>
            <w:t>7</w:t>
          </w:r>
        </w:p>
        <w:p w14:paraId="21B10245" w14:textId="676E9802" w:rsidR="00920A0A" w:rsidRDefault="00920A0A" w:rsidP="00920A0A">
          <w:pPr>
            <w:pStyle w:val="TOC1"/>
            <w:ind w:left="720" w:firstLine="720"/>
          </w:pPr>
          <w:r>
            <w:t xml:space="preserve">1. </w:t>
          </w:r>
          <w:r w:rsidRPr="00896304">
            <w:t xml:space="preserve">Introduction to Task </w:t>
          </w:r>
          <w:r>
            <w:t>2</w:t>
          </w:r>
          <w:r>
            <w:ptab w:relativeTo="margin" w:alignment="right" w:leader="dot"/>
          </w:r>
          <w:r w:rsidR="00224597">
            <w:t>1</w:t>
          </w:r>
          <w:r>
            <w:t>7</w:t>
          </w:r>
        </w:p>
        <w:p w14:paraId="1EB0E4D7" w14:textId="345F53CA" w:rsidR="00920A0A" w:rsidRDefault="00920A0A" w:rsidP="00920A0A">
          <w:pPr>
            <w:pStyle w:val="TOC1"/>
            <w:ind w:firstLine="720"/>
          </w:pPr>
          <w:r>
            <w:tab/>
            <w:t xml:space="preserve">2. </w:t>
          </w:r>
          <w:r w:rsidRPr="00920A0A">
            <w:t xml:space="preserve">Overview of the Investment Options </w:t>
          </w:r>
          <w:r>
            <w:ptab w:relativeTo="margin" w:alignment="right" w:leader="dot"/>
          </w:r>
          <w:r w:rsidR="00224597">
            <w:t>17</w:t>
          </w:r>
        </w:p>
        <w:p w14:paraId="20765DCE" w14:textId="5B7421CD" w:rsidR="00920A0A" w:rsidRDefault="00920A0A" w:rsidP="00920A0A">
          <w:pPr>
            <w:pStyle w:val="TOC1"/>
            <w:ind w:left="720" w:firstLine="720"/>
          </w:pPr>
          <w:r>
            <w:t xml:space="preserve">3. </w:t>
          </w:r>
          <w:r w:rsidRPr="00920A0A">
            <w:t xml:space="preserve">Net Present Value (NPV) Evaluation </w:t>
          </w:r>
          <w:r>
            <w:ptab w:relativeTo="margin" w:alignment="right" w:leader="dot"/>
          </w:r>
          <w:r w:rsidR="00224597">
            <w:t>19</w:t>
          </w:r>
        </w:p>
        <w:p w14:paraId="77F9747C" w14:textId="68E1F795" w:rsidR="00920A0A" w:rsidRDefault="00920A0A" w:rsidP="00920A0A">
          <w:pPr>
            <w:pStyle w:val="TOC1"/>
            <w:ind w:firstLine="720"/>
          </w:pPr>
          <w:r>
            <w:tab/>
          </w:r>
          <w:r w:rsidR="00224597">
            <w:t>4</w:t>
          </w:r>
          <w:r>
            <w:t xml:space="preserve">. </w:t>
          </w:r>
          <w:r w:rsidR="00224597" w:rsidRPr="00224597">
            <w:t xml:space="preserve">Internal Rate of Return (IRR) Analysis </w:t>
          </w:r>
          <w:r>
            <w:ptab w:relativeTo="margin" w:alignment="right" w:leader="dot"/>
          </w:r>
          <w:r w:rsidR="00224597">
            <w:t>20</w:t>
          </w:r>
        </w:p>
        <w:p w14:paraId="5DACC62F" w14:textId="49C4D303" w:rsidR="00920A0A" w:rsidRDefault="00224597" w:rsidP="00920A0A">
          <w:pPr>
            <w:pStyle w:val="TOC1"/>
            <w:ind w:left="720" w:firstLine="720"/>
          </w:pPr>
          <w:r>
            <w:t>5</w:t>
          </w:r>
          <w:r w:rsidR="00920A0A">
            <w:t xml:space="preserve">. </w:t>
          </w:r>
          <w:r w:rsidRPr="00224597">
            <w:t xml:space="preserve">Interpretation for Management </w:t>
          </w:r>
          <w:r w:rsidR="00920A0A">
            <w:ptab w:relativeTo="margin" w:alignment="right" w:leader="dot"/>
          </w:r>
          <w:r>
            <w:t>22</w:t>
          </w:r>
        </w:p>
        <w:p w14:paraId="483BD2B0" w14:textId="7A0AA4B7" w:rsidR="00920A0A" w:rsidRDefault="00920A0A" w:rsidP="00920A0A">
          <w:pPr>
            <w:pStyle w:val="TOC1"/>
            <w:ind w:firstLine="720"/>
          </w:pPr>
          <w:r>
            <w:tab/>
          </w:r>
          <w:r w:rsidR="00224597">
            <w:t>6</w:t>
          </w:r>
          <w:r>
            <w:t xml:space="preserve">. </w:t>
          </w:r>
          <w:r w:rsidR="00224597" w:rsidRPr="00224597">
            <w:t xml:space="preserve">Capital Rationing and Optimal Investment Policy </w:t>
          </w:r>
          <w:r>
            <w:ptab w:relativeTo="margin" w:alignment="right" w:leader="dot"/>
          </w:r>
          <w:r w:rsidR="00224597">
            <w:t>22</w:t>
          </w:r>
        </w:p>
        <w:p w14:paraId="1AAFC3F6" w14:textId="4B4FE804" w:rsidR="00920A0A" w:rsidRDefault="00224597" w:rsidP="00920A0A">
          <w:pPr>
            <w:pStyle w:val="TOC1"/>
            <w:ind w:left="720" w:firstLine="720"/>
          </w:pPr>
          <w:r>
            <w:t>7</w:t>
          </w:r>
          <w:r w:rsidR="00920A0A">
            <w:t xml:space="preserve">. </w:t>
          </w:r>
          <w:r w:rsidRPr="00224597">
            <w:t xml:space="preserve">Financing the Investment Program </w:t>
          </w:r>
          <w:r w:rsidR="00920A0A">
            <w:ptab w:relativeTo="margin" w:alignment="right" w:leader="dot"/>
          </w:r>
          <w:r>
            <w:t>23</w:t>
          </w:r>
        </w:p>
        <w:p w14:paraId="63FD7BEC" w14:textId="55DA3352" w:rsidR="00920A0A" w:rsidRDefault="00920A0A" w:rsidP="00920A0A">
          <w:pPr>
            <w:pStyle w:val="TOC1"/>
            <w:ind w:firstLine="720"/>
          </w:pPr>
          <w:r>
            <w:tab/>
          </w:r>
          <w:r w:rsidR="00224597">
            <w:t>8</w:t>
          </w:r>
          <w:r>
            <w:t xml:space="preserve">. </w:t>
          </w:r>
          <w:r w:rsidR="00224597" w:rsidRPr="00224597">
            <w:t>Conclusion of Task 2</w:t>
          </w:r>
          <w:r>
            <w:ptab w:relativeTo="margin" w:alignment="right" w:leader="dot"/>
          </w:r>
          <w:r w:rsidR="00224597">
            <w:t>23</w:t>
          </w:r>
        </w:p>
        <w:p w14:paraId="291BCAAC" w14:textId="6FE7D3F3" w:rsidR="00F60EA2" w:rsidRDefault="00F60EA2" w:rsidP="00F60EA2">
          <w:pPr>
            <w:pStyle w:val="TOC1"/>
            <w:rPr>
              <w:b/>
              <w:bCs/>
            </w:rPr>
          </w:pPr>
          <w:r w:rsidRPr="00F60EA2">
            <w:rPr>
              <w:b/>
              <w:bCs/>
            </w:rPr>
            <w:t>Conclusion</w:t>
          </w:r>
          <w:r>
            <w:ptab w:relativeTo="margin" w:alignment="right" w:leader="dot"/>
          </w:r>
          <w:r w:rsidR="00224597">
            <w:rPr>
              <w:b/>
              <w:bCs/>
            </w:rPr>
            <w:t>24</w:t>
          </w:r>
        </w:p>
        <w:p w14:paraId="7CD3CF27" w14:textId="4EE8830D" w:rsidR="00F60EA2" w:rsidRDefault="006868A0" w:rsidP="00F60EA2">
          <w:pPr>
            <w:pStyle w:val="TOC1"/>
            <w:rPr>
              <w:b/>
              <w:bCs/>
            </w:rPr>
          </w:pPr>
          <w:r w:rsidRPr="006868A0">
            <w:rPr>
              <w:b/>
              <w:bCs/>
            </w:rPr>
            <w:t>Recommendations</w:t>
          </w:r>
          <w:r w:rsidR="00F60EA2">
            <w:ptab w:relativeTo="margin" w:alignment="right" w:leader="dot"/>
          </w:r>
          <w:r w:rsidR="00224597">
            <w:rPr>
              <w:b/>
              <w:bCs/>
            </w:rPr>
            <w:t>26</w:t>
          </w:r>
        </w:p>
        <w:p w14:paraId="67815185" w14:textId="7A754F7A" w:rsidR="00F60EA2" w:rsidRDefault="00D9123A" w:rsidP="00F60EA2">
          <w:pPr>
            <w:pStyle w:val="TOC1"/>
            <w:rPr>
              <w:b/>
              <w:bCs/>
            </w:rPr>
          </w:pPr>
          <w:r w:rsidRPr="00D9123A">
            <w:rPr>
              <w:b/>
              <w:bCs/>
            </w:rPr>
            <w:t>Reference List</w:t>
          </w:r>
          <w:r w:rsidR="00F60EA2">
            <w:ptab w:relativeTo="margin" w:alignment="right" w:leader="dot"/>
          </w:r>
          <w:r w:rsidR="00644712">
            <w:rPr>
              <w:b/>
              <w:bCs/>
            </w:rPr>
            <w:t>2</w:t>
          </w:r>
          <w:r w:rsidR="00224597">
            <w:rPr>
              <w:b/>
              <w:bCs/>
            </w:rPr>
            <w:t>8</w:t>
          </w:r>
        </w:p>
        <w:p w14:paraId="0591BB94" w14:textId="7BBB60F0" w:rsidR="00B36A46" w:rsidRPr="00F60EA2" w:rsidRDefault="00D9123A" w:rsidP="006868A0">
          <w:pPr>
            <w:pStyle w:val="TOC1"/>
          </w:pPr>
          <w:r w:rsidRPr="00D9123A">
            <w:rPr>
              <w:b/>
              <w:bCs/>
            </w:rPr>
            <w:t>Appendices</w:t>
          </w:r>
          <w:r w:rsidR="006868A0">
            <w:ptab w:relativeTo="margin" w:alignment="right" w:leader="dot"/>
          </w:r>
          <w:r w:rsidR="00224597">
            <w:rPr>
              <w:b/>
              <w:bCs/>
            </w:rPr>
            <w:t>31</w:t>
          </w:r>
        </w:p>
      </w:sdtContent>
    </w:sdt>
    <w:p w14:paraId="68140CC6" w14:textId="21DEC54A" w:rsidR="00D507C2" w:rsidRPr="00456428" w:rsidRDefault="004A7931">
      <w:pPr>
        <w:rPr>
          <w:rFonts w:asciiTheme="majorHAnsi" w:eastAsiaTheme="majorEastAsia" w:hAnsiTheme="majorHAnsi" w:cstheme="majorBidi"/>
          <w:b/>
          <w:bCs/>
          <w:color w:val="365F91" w:themeColor="accent1" w:themeShade="BF"/>
          <w:sz w:val="28"/>
          <w:szCs w:val="28"/>
          <w:lang w:val="en-IN"/>
        </w:rPr>
      </w:pPr>
      <w:r>
        <w:rPr>
          <w:rFonts w:asciiTheme="majorHAnsi" w:eastAsiaTheme="majorEastAsia" w:hAnsiTheme="majorHAnsi" w:cstheme="majorBidi"/>
          <w:b/>
          <w:bCs/>
          <w:color w:val="365F91" w:themeColor="accent1" w:themeShade="BF"/>
          <w:sz w:val="28"/>
          <w:szCs w:val="28"/>
          <w:lang w:val="en-IN"/>
        </w:rPr>
        <w:br w:type="page"/>
      </w:r>
      <w:r w:rsidRPr="004A7931">
        <w:rPr>
          <w:rFonts w:asciiTheme="majorHAnsi" w:eastAsiaTheme="majorEastAsia" w:hAnsiTheme="majorHAnsi" w:cstheme="majorBidi"/>
          <w:b/>
          <w:bCs/>
          <w:color w:val="365F91" w:themeColor="accent1" w:themeShade="BF"/>
          <w:sz w:val="28"/>
          <w:szCs w:val="28"/>
        </w:rPr>
        <w:lastRenderedPageBreak/>
        <w:t>Introduction</w:t>
      </w:r>
    </w:p>
    <w:p w14:paraId="180F90F5" w14:textId="77777777" w:rsidR="001348C2" w:rsidRPr="001348C2" w:rsidRDefault="001348C2" w:rsidP="001348C2">
      <w:pPr>
        <w:rPr>
          <w:sz w:val="24"/>
          <w:szCs w:val="24"/>
          <w:lang w:val="en-IN"/>
        </w:rPr>
      </w:pPr>
      <w:r w:rsidRPr="001348C2">
        <w:rPr>
          <w:sz w:val="24"/>
          <w:szCs w:val="24"/>
          <w:lang w:val="en-IN"/>
        </w:rPr>
        <w:t>In an increasingly competitive and volatile global business environment, effective financial management plays a critical role in ensuring organisational sustainability, growth, and long-term value creation. Financial decision-making influences strategic planning, investment choices, operational efficiency, and stakeholder confidence. As multinational corporations operate across diverse markets with varying economic, political, and regulatory conditions, the ability to analyse financial performance and manage financial change has become a core managerial capability. Consequently, financial analysis and investment appraisal are essential tools for evaluating organisational health and supporting informed strategic decisions.</w:t>
      </w:r>
    </w:p>
    <w:p w14:paraId="2838C6B2" w14:textId="77777777" w:rsidR="001348C2" w:rsidRPr="001348C2" w:rsidRDefault="001348C2" w:rsidP="001348C2">
      <w:pPr>
        <w:rPr>
          <w:sz w:val="24"/>
          <w:szCs w:val="24"/>
          <w:lang w:val="en-IN"/>
        </w:rPr>
      </w:pPr>
      <w:r w:rsidRPr="001348C2">
        <w:rPr>
          <w:sz w:val="24"/>
          <w:szCs w:val="24"/>
          <w:lang w:val="en-IN"/>
        </w:rPr>
        <w:t>Unilever PLC is one of the world’s largest fast-moving consumer goods (FMCG) organisations, with operations in more than 190 countries and a diversified portfolio of food, home care, and personal care brands. The company’s scale, global reach, and strong brand equity make it an appropriate organisation for analysing financial performance within a complex and dynamic business environment. Unilever operates in highly competitive markets characterised by fluctuating input costs, changing consumer demand, sustainability pressures, and economic uncertainty. These conditions require the organisation to continuously monitor financial performance and adapt its financial strategies to maintain profitability and shareholder value.</w:t>
      </w:r>
    </w:p>
    <w:p w14:paraId="252B5D47" w14:textId="77777777" w:rsidR="001348C2" w:rsidRPr="001348C2" w:rsidRDefault="001348C2" w:rsidP="001348C2">
      <w:pPr>
        <w:rPr>
          <w:sz w:val="24"/>
          <w:szCs w:val="24"/>
          <w:lang w:val="en-IN"/>
        </w:rPr>
      </w:pPr>
      <w:r w:rsidRPr="001348C2">
        <w:rPr>
          <w:sz w:val="24"/>
          <w:szCs w:val="24"/>
          <w:lang w:val="en-IN"/>
        </w:rPr>
        <w:t>In recent years, Unilever has faced significant financial challenges and opportunities arising from inflationary pressures, supply chain disruption, currency volatility, and increased investment in sustainability and digital transformation. At the same time, evolving consumer preferences towards health, ethical sourcing, and environmental responsibility have influenced cost structures and capital allocation decisions. These factors highlight the importance of robust financial analysis to assess how effectively Unilever manages resources, controls costs, and generates returns in a changing business environment. Financial ratios and performance indicators therefore provide valuable insights into liquidity, profitability, efficiency, and solvency, enabling stakeholders to evaluate organisational resilience and strategic effectiveness.</w:t>
      </w:r>
    </w:p>
    <w:p w14:paraId="0BA632A1" w14:textId="77777777" w:rsidR="001348C2" w:rsidRPr="001348C2" w:rsidRDefault="001348C2" w:rsidP="001348C2">
      <w:pPr>
        <w:rPr>
          <w:sz w:val="24"/>
          <w:szCs w:val="24"/>
          <w:lang w:val="en-IN"/>
        </w:rPr>
      </w:pPr>
      <w:r w:rsidRPr="001348C2">
        <w:rPr>
          <w:sz w:val="24"/>
          <w:szCs w:val="24"/>
          <w:lang w:val="en-IN"/>
        </w:rPr>
        <w:t>Alongside performance evaluation, investment decision-making represents another critical dimension of financial management. Organisations must assess potential projects carefully to ensure that limited financial resources are allocated to investments that generate acceptable returns while managing risk. Capital investment appraisal techniques such as Net Present Value (NPV), Internal Rate of Return (IRR), and Payback Period are widely used to support these decisions. Analysing investment proposals allows organisations to compare alternative opportunities, consider the time value of money, and align investment choices with strategic objectives.</w:t>
      </w:r>
    </w:p>
    <w:p w14:paraId="01F1090F" w14:textId="1D32DBD0" w:rsidR="001348C2" w:rsidRPr="001348C2" w:rsidRDefault="001348C2" w:rsidP="001348C2">
      <w:pPr>
        <w:rPr>
          <w:sz w:val="24"/>
          <w:szCs w:val="24"/>
          <w:lang w:val="en-IN"/>
        </w:rPr>
      </w:pPr>
      <w:r w:rsidRPr="001348C2">
        <w:rPr>
          <w:sz w:val="24"/>
          <w:szCs w:val="24"/>
          <w:lang w:val="en-IN"/>
        </w:rPr>
        <w:lastRenderedPageBreak/>
        <w:t>This report is structured to address two distinct but related financial tasks. Task 1 focuses on analysing the financial performance of Unilever using appropriate financial ratios and indicators to evaluate its current financial position and recent trends. Task 2 examines a separate organisation and evaluates an investment proposal using recognised investment appraisal techniques to support decision-making. Together, these tasks provide a comprehensive understanding of how financial analysis supports organisational strategy, performance management, and change in contemporary business environments.</w:t>
      </w:r>
    </w:p>
    <w:p w14:paraId="16F52B44" w14:textId="2732ABEA" w:rsidR="001348C2" w:rsidRDefault="001348C2" w:rsidP="001348C2">
      <w:pPr>
        <w:rPr>
          <w:sz w:val="24"/>
          <w:szCs w:val="24"/>
          <w:lang w:val="en-IN"/>
        </w:rPr>
      </w:pPr>
      <w:r w:rsidRPr="001348C2">
        <w:rPr>
          <w:sz w:val="24"/>
          <w:szCs w:val="24"/>
          <w:lang w:val="en-IN"/>
        </w:rPr>
        <w:t>By integrating financial performance analysis with investment appraisal, this report demonstrates the importance of informed financial decision-making in managing organisational change and sustaining competitiveness in global markets.</w:t>
      </w:r>
    </w:p>
    <w:p w14:paraId="185322EE" w14:textId="0FCEC8B0" w:rsidR="005D61D7" w:rsidRPr="001348C2" w:rsidRDefault="005D61D7" w:rsidP="001348C2">
      <w:pPr>
        <w:rPr>
          <w:sz w:val="24"/>
          <w:szCs w:val="24"/>
          <w:lang w:val="en-IN"/>
        </w:rPr>
      </w:pPr>
      <w:r w:rsidRPr="005D61D7">
        <w:rPr>
          <w:sz w:val="24"/>
          <w:szCs w:val="24"/>
        </w:rPr>
        <w:t>Furthermore, effective financial management is closely linked to organisational accountability and stakeholder confidence. Investors, lenders, employees, and regulators increasingly rely on transparent and accurate financial information to assess organisational performance and risk. For multinational organisations such as Unilever, clear financial reporting and disciplined financial control are essential to maintaining access to capital markets and supporting long-term strategic initiatives. Financial analysis not only enables management to evaluate past performance but also supports forward-looking planning by identifying potential risks, opportunities, and areas for improvement. In this context, strong financial governance and analytical capability become vital in ensuring that strategic change is financially sustainable and aligned with both shareholder expectations and broader societal responsibilities.</w:t>
      </w:r>
    </w:p>
    <w:p w14:paraId="736ED98C" w14:textId="0AF5B9C5" w:rsidR="000F0BA7" w:rsidRDefault="005D61D7" w:rsidP="004A7931">
      <w:pPr>
        <w:rPr>
          <w:sz w:val="24"/>
          <w:szCs w:val="24"/>
          <w:lang w:val="en-IN"/>
        </w:rPr>
      </w:pPr>
      <w:r>
        <w:rPr>
          <w:noProof/>
          <w:sz w:val="24"/>
          <w:szCs w:val="24"/>
          <w:lang w:val="en-IN"/>
        </w:rPr>
        <w:drawing>
          <wp:anchor distT="0" distB="0" distL="114300" distR="114300" simplePos="0" relativeHeight="251680768" behindDoc="0" locked="0" layoutInCell="1" allowOverlap="1" wp14:anchorId="0E0CDC28" wp14:editId="3CA52826">
            <wp:simplePos x="0" y="0"/>
            <wp:positionH relativeFrom="margin">
              <wp:posOffset>381000</wp:posOffset>
            </wp:positionH>
            <wp:positionV relativeFrom="page">
              <wp:posOffset>5654040</wp:posOffset>
            </wp:positionV>
            <wp:extent cx="5180965" cy="3432175"/>
            <wp:effectExtent l="0" t="0" r="635" b="0"/>
            <wp:wrapSquare wrapText="bothSides"/>
            <wp:docPr id="6912373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237386" name="Picture 691237386"/>
                    <pic:cNvPicPr/>
                  </pic:nvPicPr>
                  <pic:blipFill>
                    <a:blip r:embed="rId15"/>
                    <a:stretch>
                      <a:fillRect/>
                    </a:stretch>
                  </pic:blipFill>
                  <pic:spPr>
                    <a:xfrm>
                      <a:off x="0" y="0"/>
                      <a:ext cx="5180965" cy="3432175"/>
                    </a:xfrm>
                    <a:prstGeom prst="rect">
                      <a:avLst/>
                    </a:prstGeom>
                  </pic:spPr>
                </pic:pic>
              </a:graphicData>
            </a:graphic>
            <wp14:sizeRelH relativeFrom="margin">
              <wp14:pctWidth>0</wp14:pctWidth>
            </wp14:sizeRelH>
            <wp14:sizeRelV relativeFrom="margin">
              <wp14:pctHeight>0</wp14:pctHeight>
            </wp14:sizeRelV>
          </wp:anchor>
        </w:drawing>
      </w:r>
    </w:p>
    <w:p w14:paraId="3B47BD88" w14:textId="2D45C1F5" w:rsidR="00810465" w:rsidRDefault="00810465">
      <w:pPr>
        <w:rPr>
          <w:rFonts w:asciiTheme="majorHAnsi" w:eastAsiaTheme="majorEastAsia" w:hAnsiTheme="majorHAnsi" w:cstheme="majorBidi"/>
          <w:b/>
          <w:bCs/>
          <w:color w:val="365F91" w:themeColor="accent1" w:themeShade="BF"/>
          <w:sz w:val="28"/>
          <w:szCs w:val="28"/>
        </w:rPr>
      </w:pPr>
    </w:p>
    <w:p w14:paraId="69233DEE" w14:textId="5EEB09FA" w:rsidR="00810465" w:rsidRDefault="00810465">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71CC6071" w14:textId="4A3EDFF9" w:rsidR="004A7931" w:rsidRDefault="00496B73">
      <w:pPr>
        <w:rPr>
          <w:rFonts w:asciiTheme="majorHAnsi" w:eastAsiaTheme="majorEastAsia" w:hAnsiTheme="majorHAnsi" w:cstheme="majorBidi"/>
          <w:b/>
          <w:bCs/>
          <w:color w:val="365F91" w:themeColor="accent1" w:themeShade="BF"/>
          <w:sz w:val="28"/>
          <w:szCs w:val="28"/>
        </w:rPr>
      </w:pPr>
      <w:r w:rsidRPr="00496B73">
        <w:rPr>
          <w:rFonts w:asciiTheme="majorHAnsi" w:eastAsiaTheme="majorEastAsia" w:hAnsiTheme="majorHAnsi" w:cstheme="majorBidi"/>
          <w:b/>
          <w:bCs/>
          <w:color w:val="365F91" w:themeColor="accent1" w:themeShade="BF"/>
          <w:sz w:val="28"/>
          <w:szCs w:val="28"/>
        </w:rPr>
        <w:lastRenderedPageBreak/>
        <w:t>Main Findings</w:t>
      </w:r>
    </w:p>
    <w:p w14:paraId="36EEB139" w14:textId="6F0C81E8" w:rsidR="003E3456" w:rsidRDefault="003E3456" w:rsidP="00D001CF">
      <w:pPr>
        <w:rPr>
          <w:b/>
          <w:bCs/>
          <w:color w:val="365F91" w:themeColor="accent1" w:themeShade="BF"/>
          <w:sz w:val="28"/>
          <w:szCs w:val="28"/>
          <w:lang w:val="en-IN"/>
        </w:rPr>
      </w:pPr>
      <w:r w:rsidRPr="003E3456">
        <w:rPr>
          <w:rFonts w:asciiTheme="majorHAnsi" w:eastAsiaTheme="majorEastAsia" w:hAnsiTheme="majorHAnsi" w:cstheme="majorBidi"/>
          <w:b/>
          <w:bCs/>
          <w:color w:val="365F91" w:themeColor="accent1" w:themeShade="BF"/>
          <w:sz w:val="28"/>
          <w:szCs w:val="28"/>
        </w:rPr>
        <w:t>TASK 1</w:t>
      </w:r>
      <w:r>
        <w:rPr>
          <w:rFonts w:asciiTheme="majorHAnsi" w:eastAsiaTheme="majorEastAsia" w:hAnsiTheme="majorHAnsi" w:cstheme="majorBidi"/>
          <w:b/>
          <w:bCs/>
          <w:color w:val="365F91" w:themeColor="accent1" w:themeShade="BF"/>
          <w:sz w:val="28"/>
          <w:szCs w:val="28"/>
        </w:rPr>
        <w:t xml:space="preserve"> - </w:t>
      </w:r>
      <w:r w:rsidRPr="003E3456">
        <w:rPr>
          <w:b/>
          <w:bCs/>
          <w:color w:val="365F91" w:themeColor="accent1" w:themeShade="BF"/>
          <w:sz w:val="28"/>
          <w:szCs w:val="28"/>
          <w:lang w:val="en-IN"/>
        </w:rPr>
        <w:t>Financial Performance Analysis of Unilever Plc</w:t>
      </w:r>
    </w:p>
    <w:p w14:paraId="3BABBA4C" w14:textId="251B917F" w:rsidR="003E3456" w:rsidRPr="00C67828" w:rsidRDefault="003E3456" w:rsidP="00D001CF">
      <w:pPr>
        <w:rPr>
          <w:rFonts w:asciiTheme="majorHAnsi" w:hAnsiTheme="majorHAnsi" w:cstheme="majorHAnsi"/>
          <w:b/>
          <w:bCs/>
          <w:color w:val="365F91" w:themeColor="accent1" w:themeShade="BF"/>
          <w:sz w:val="28"/>
          <w:szCs w:val="28"/>
          <w:lang w:val="en-IN"/>
        </w:rPr>
      </w:pPr>
      <w:r w:rsidRPr="00C67828">
        <w:rPr>
          <w:rFonts w:asciiTheme="majorHAnsi" w:hAnsiTheme="majorHAnsi" w:cstheme="majorHAnsi"/>
          <w:b/>
          <w:bCs/>
          <w:color w:val="365F91" w:themeColor="accent1" w:themeShade="BF"/>
          <w:sz w:val="28"/>
          <w:szCs w:val="28"/>
        </w:rPr>
        <w:t>1. Introduction to Task 1</w:t>
      </w:r>
    </w:p>
    <w:p w14:paraId="40A91262" w14:textId="77777777" w:rsidR="00C67828" w:rsidRPr="00C67828" w:rsidRDefault="00C67828" w:rsidP="00C67828">
      <w:pPr>
        <w:rPr>
          <w:sz w:val="24"/>
          <w:szCs w:val="24"/>
          <w:lang w:val="en-IN"/>
        </w:rPr>
      </w:pPr>
      <w:r w:rsidRPr="00C67828">
        <w:rPr>
          <w:sz w:val="24"/>
          <w:szCs w:val="24"/>
          <w:lang w:val="en-IN"/>
        </w:rPr>
        <w:t>This task provides a comprehensive financial performance analysis of Unilever Plc, a leading multinational consumer goods company listed on the London Stock Exchange (LSE) and included in the FTSE 100 Index. The analysis utilises Unilever’s financial statements from the most recent two financial years, which are publicly available and prepared in accordance with International Financial Reporting Standards (IFRS). By examining these statements, this report aims to evaluate the company’s financial performance, position, and overall financial risk.</w:t>
      </w:r>
    </w:p>
    <w:p w14:paraId="313306EE" w14:textId="77777777" w:rsidR="00C67828" w:rsidRPr="00C67828" w:rsidRDefault="00C67828" w:rsidP="00C67828">
      <w:pPr>
        <w:rPr>
          <w:sz w:val="24"/>
          <w:szCs w:val="24"/>
          <w:lang w:val="en-IN"/>
        </w:rPr>
      </w:pPr>
      <w:r w:rsidRPr="00C67828">
        <w:rPr>
          <w:sz w:val="24"/>
          <w:szCs w:val="24"/>
          <w:lang w:val="en-IN"/>
        </w:rPr>
        <w:t>The primary focus of this task is to apply financial ratio analysis to assess key aspects of Unilever’s operations, including profitability, liquidity, efficiency, financial leverage (gearing), and shareholder returns. Financial ratios provide a structured and systematic method for interpreting accounting information, allowing stakeholders to gain deeper insights into the company’s operational effectiveness and strategic financial management. These ratios are widely used by directors, investors, lenders, and financial analysts to make informed decisions regarding investment, credit, and corporate strategy.</w:t>
      </w:r>
    </w:p>
    <w:p w14:paraId="0D9D9D53" w14:textId="77777777" w:rsidR="00C67828" w:rsidRPr="00C67828" w:rsidRDefault="00C67828" w:rsidP="00C67828">
      <w:pPr>
        <w:rPr>
          <w:sz w:val="24"/>
          <w:szCs w:val="24"/>
          <w:lang w:val="en-IN"/>
        </w:rPr>
      </w:pPr>
      <w:r w:rsidRPr="00C67828">
        <w:rPr>
          <w:sz w:val="24"/>
          <w:szCs w:val="24"/>
          <w:lang w:val="en-IN"/>
        </w:rPr>
        <w:t>This report is prepared for the Board of Directors of Unilever Plc, with the aim of providing a detailed evaluation of how effectively the company has managed its financial resources over the selected period. In addition, the analysis highlights trends, potential financial risks, and opportunities for improvement, thereby supporting evidence-based decision-making and strategic planning. The findings are intended to inform both internal management and external stakeholders about the company’s financial health, operational efficiency, and capacity to generate sustainable shareholder value.</w:t>
      </w:r>
    </w:p>
    <w:p w14:paraId="1B0B8B5C" w14:textId="77777777" w:rsidR="003E3456" w:rsidRPr="00C67828" w:rsidRDefault="003E3456">
      <w:pPr>
        <w:rPr>
          <w:rFonts w:asciiTheme="majorHAnsi" w:hAnsiTheme="majorHAnsi" w:cstheme="majorHAnsi"/>
          <w:b/>
          <w:bCs/>
          <w:color w:val="365F91" w:themeColor="accent1" w:themeShade="BF"/>
          <w:sz w:val="28"/>
          <w:szCs w:val="28"/>
        </w:rPr>
      </w:pPr>
      <w:r w:rsidRPr="00C67828">
        <w:rPr>
          <w:rFonts w:asciiTheme="majorHAnsi" w:hAnsiTheme="majorHAnsi" w:cstheme="majorHAnsi"/>
          <w:b/>
          <w:bCs/>
          <w:color w:val="365F91" w:themeColor="accent1" w:themeShade="BF"/>
          <w:sz w:val="28"/>
          <w:szCs w:val="28"/>
        </w:rPr>
        <w:t>2. Overview of Unilever Plc</w:t>
      </w:r>
    </w:p>
    <w:p w14:paraId="363DD836" w14:textId="77777777" w:rsidR="00C67828" w:rsidRPr="00C67828" w:rsidRDefault="00C67828" w:rsidP="00C67828">
      <w:pPr>
        <w:rPr>
          <w:sz w:val="24"/>
          <w:szCs w:val="24"/>
          <w:lang w:val="en-IN"/>
        </w:rPr>
      </w:pPr>
      <w:r w:rsidRPr="00C67828">
        <w:rPr>
          <w:sz w:val="24"/>
          <w:szCs w:val="24"/>
          <w:lang w:val="en-IN"/>
        </w:rPr>
        <w:t>Unilever Plc is a globally recognised leader in the fast-moving consumer goods (FMCG) sector, operating across more than 190 countries. The company produces and distributes a wide portfolio of products spanning food, personal care, and home care categories. Its brand portfolio includes some of the most well-known and trusted consumer brands worldwide, such as Dove, Rexona, Knorr, Hellmann’s, Lux, and Magnum, each contributing to the company’s global reputation and market reach.</w:t>
      </w:r>
    </w:p>
    <w:p w14:paraId="7D9C5BF7" w14:textId="77777777" w:rsidR="00C67828" w:rsidRPr="00C67828" w:rsidRDefault="00C67828" w:rsidP="00C67828">
      <w:pPr>
        <w:rPr>
          <w:sz w:val="24"/>
          <w:szCs w:val="24"/>
          <w:lang w:val="en-IN"/>
        </w:rPr>
      </w:pPr>
      <w:r w:rsidRPr="00C67828">
        <w:rPr>
          <w:sz w:val="24"/>
          <w:szCs w:val="24"/>
          <w:lang w:val="en-IN"/>
        </w:rPr>
        <w:t xml:space="preserve">The FMCG industry in which Unilever operates is highly competitive, characterised by rapid product innovation, evolving consumer preferences, and price-sensitive markets. In recent years, Unilever has faced significant external challenges that have impacted its </w:t>
      </w:r>
      <w:r w:rsidRPr="00C67828">
        <w:rPr>
          <w:sz w:val="24"/>
          <w:szCs w:val="24"/>
          <w:lang w:val="en-IN"/>
        </w:rPr>
        <w:lastRenderedPageBreak/>
        <w:t>financial performance. These include rising inflation and increased costs of raw materials, which place pressure on profit margins, as well as global supply chain disruptions affecting production and distribution efficiency. Furthermore, changing consumer behaviour has increased demand for healthier, more sustainable, and ethically produced products, requiring Unilever to adapt both its product offerings and marketing strategies.</w:t>
      </w:r>
    </w:p>
    <w:p w14:paraId="72811674" w14:textId="51098FB7" w:rsidR="00C67828" w:rsidRPr="00C67828" w:rsidRDefault="00D87DC7" w:rsidP="00C67828">
      <w:pPr>
        <w:rPr>
          <w:sz w:val="24"/>
          <w:szCs w:val="24"/>
          <w:lang w:val="en-IN"/>
        </w:rPr>
      </w:pPr>
      <w:r>
        <w:rPr>
          <w:noProof/>
          <w:sz w:val="24"/>
          <w:szCs w:val="24"/>
          <w:lang w:val="en-IN"/>
        </w:rPr>
        <w:drawing>
          <wp:anchor distT="0" distB="0" distL="114300" distR="114300" simplePos="0" relativeHeight="251681792" behindDoc="0" locked="0" layoutInCell="1" allowOverlap="1" wp14:anchorId="5DC8F34D" wp14:editId="59D5DB13">
            <wp:simplePos x="0" y="0"/>
            <wp:positionH relativeFrom="margin">
              <wp:posOffset>0</wp:posOffset>
            </wp:positionH>
            <wp:positionV relativeFrom="page">
              <wp:posOffset>3779520</wp:posOffset>
            </wp:positionV>
            <wp:extent cx="5943600" cy="4159250"/>
            <wp:effectExtent l="0" t="0" r="0" b="0"/>
            <wp:wrapSquare wrapText="bothSides"/>
            <wp:docPr id="12166706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670691" name="Picture 1216670691"/>
                    <pic:cNvPicPr/>
                  </pic:nvPicPr>
                  <pic:blipFill>
                    <a:blip r:embed="rId16"/>
                    <a:stretch>
                      <a:fillRect/>
                    </a:stretch>
                  </pic:blipFill>
                  <pic:spPr>
                    <a:xfrm>
                      <a:off x="0" y="0"/>
                      <a:ext cx="5943600" cy="4159250"/>
                    </a:xfrm>
                    <a:prstGeom prst="rect">
                      <a:avLst/>
                    </a:prstGeom>
                  </pic:spPr>
                </pic:pic>
              </a:graphicData>
            </a:graphic>
          </wp:anchor>
        </w:drawing>
      </w:r>
      <w:r w:rsidR="00C67828" w:rsidRPr="00C67828">
        <w:rPr>
          <w:sz w:val="24"/>
          <w:szCs w:val="24"/>
          <w:lang w:val="en-IN"/>
        </w:rPr>
        <w:t>Effective financial management is critical for Unilever to navigate these challenges while maintaining long-term profitability and shareholder confidence. By monitoring financial performance through detailed analysis and ratio evaluation, the company can make informed decisions regarding resource allocation, cost management, investment planning, and risk mitigation. This ensures that Unilever remains competitive in a dynamic global market and continues to deliver sustainable value to its shareholders and other stakeholders.</w:t>
      </w:r>
    </w:p>
    <w:p w14:paraId="750AC9FB" w14:textId="7088F41A" w:rsidR="00496B73" w:rsidRDefault="00496B73">
      <w:pPr>
        <w:rPr>
          <w:sz w:val="24"/>
          <w:szCs w:val="24"/>
          <w:lang w:val="en-IN"/>
        </w:rPr>
      </w:pPr>
      <w:r>
        <w:rPr>
          <w:sz w:val="24"/>
          <w:szCs w:val="24"/>
          <w:lang w:val="en-IN"/>
        </w:rPr>
        <w:br w:type="page"/>
      </w:r>
    </w:p>
    <w:p w14:paraId="4744AEDA" w14:textId="77777777" w:rsidR="003E3456" w:rsidRDefault="003E3456" w:rsidP="00496B73">
      <w:pPr>
        <w:rPr>
          <w:rFonts w:asciiTheme="majorHAnsi" w:eastAsiaTheme="majorEastAsia" w:hAnsiTheme="majorHAnsi" w:cstheme="majorBidi"/>
          <w:b/>
          <w:bCs/>
          <w:color w:val="365F91" w:themeColor="accent1" w:themeShade="BF"/>
          <w:sz w:val="28"/>
          <w:szCs w:val="28"/>
        </w:rPr>
      </w:pPr>
      <w:r w:rsidRPr="003E3456">
        <w:rPr>
          <w:rFonts w:asciiTheme="majorHAnsi" w:eastAsiaTheme="majorEastAsia" w:hAnsiTheme="majorHAnsi" w:cstheme="majorBidi"/>
          <w:b/>
          <w:bCs/>
          <w:color w:val="365F91" w:themeColor="accent1" w:themeShade="BF"/>
          <w:sz w:val="28"/>
          <w:szCs w:val="28"/>
        </w:rPr>
        <w:lastRenderedPageBreak/>
        <w:t>3. Purpose and Importance of Ratio Analysis</w:t>
      </w:r>
    </w:p>
    <w:p w14:paraId="40B1E626" w14:textId="77777777" w:rsidR="003E3456" w:rsidRPr="003E3456" w:rsidRDefault="003E3456" w:rsidP="003E3456">
      <w:pPr>
        <w:rPr>
          <w:sz w:val="24"/>
          <w:szCs w:val="24"/>
          <w:lang w:val="en-IN"/>
        </w:rPr>
      </w:pPr>
      <w:r w:rsidRPr="003E3456">
        <w:rPr>
          <w:sz w:val="24"/>
          <w:szCs w:val="24"/>
          <w:lang w:val="en-IN"/>
        </w:rPr>
        <w:t>Ratio analysis enables the directors of Unilever Plc to:</w:t>
      </w:r>
    </w:p>
    <w:p w14:paraId="03D718C0" w14:textId="77777777" w:rsidR="003E3456" w:rsidRPr="003E3456" w:rsidRDefault="003E3456" w:rsidP="00C85C18">
      <w:pPr>
        <w:numPr>
          <w:ilvl w:val="0"/>
          <w:numId w:val="79"/>
        </w:numPr>
        <w:spacing w:after="0"/>
        <w:rPr>
          <w:sz w:val="24"/>
          <w:szCs w:val="24"/>
          <w:lang w:val="en-IN"/>
        </w:rPr>
      </w:pPr>
      <w:r w:rsidRPr="003E3456">
        <w:rPr>
          <w:sz w:val="24"/>
          <w:szCs w:val="24"/>
          <w:lang w:val="en-IN"/>
        </w:rPr>
        <w:t xml:space="preserve">Compare financial performance </w:t>
      </w:r>
      <w:r w:rsidRPr="003E3456">
        <w:rPr>
          <w:b/>
          <w:bCs/>
          <w:sz w:val="24"/>
          <w:szCs w:val="24"/>
          <w:lang w:val="en-IN"/>
        </w:rPr>
        <w:t>over time</w:t>
      </w:r>
    </w:p>
    <w:p w14:paraId="6DDD222A" w14:textId="77777777" w:rsidR="003E3456" w:rsidRPr="003E3456" w:rsidRDefault="003E3456" w:rsidP="00C85C18">
      <w:pPr>
        <w:numPr>
          <w:ilvl w:val="0"/>
          <w:numId w:val="79"/>
        </w:numPr>
        <w:spacing w:after="0"/>
        <w:rPr>
          <w:sz w:val="24"/>
          <w:szCs w:val="24"/>
          <w:lang w:val="en-IN"/>
        </w:rPr>
      </w:pPr>
      <w:r w:rsidRPr="003E3456">
        <w:rPr>
          <w:sz w:val="24"/>
          <w:szCs w:val="24"/>
          <w:lang w:val="en-IN"/>
        </w:rPr>
        <w:t xml:space="preserve">Identify </w:t>
      </w:r>
      <w:r w:rsidRPr="003E3456">
        <w:rPr>
          <w:b/>
          <w:bCs/>
          <w:sz w:val="24"/>
          <w:szCs w:val="24"/>
          <w:lang w:val="en-IN"/>
        </w:rPr>
        <w:t>strengths and weaknesses</w:t>
      </w:r>
      <w:r w:rsidRPr="003E3456">
        <w:rPr>
          <w:sz w:val="24"/>
          <w:szCs w:val="24"/>
          <w:lang w:val="en-IN"/>
        </w:rPr>
        <w:t xml:space="preserve"> in financial management</w:t>
      </w:r>
    </w:p>
    <w:p w14:paraId="577489BC" w14:textId="77777777" w:rsidR="003E3456" w:rsidRPr="003E3456" w:rsidRDefault="003E3456" w:rsidP="00C85C18">
      <w:pPr>
        <w:numPr>
          <w:ilvl w:val="0"/>
          <w:numId w:val="79"/>
        </w:numPr>
        <w:spacing w:after="0"/>
        <w:rPr>
          <w:sz w:val="24"/>
          <w:szCs w:val="24"/>
          <w:lang w:val="en-IN"/>
        </w:rPr>
      </w:pPr>
      <w:r w:rsidRPr="003E3456">
        <w:rPr>
          <w:sz w:val="24"/>
          <w:szCs w:val="24"/>
          <w:lang w:val="en-IN"/>
        </w:rPr>
        <w:t xml:space="preserve">Assess </w:t>
      </w:r>
      <w:r w:rsidRPr="003E3456">
        <w:rPr>
          <w:b/>
          <w:bCs/>
          <w:sz w:val="24"/>
          <w:szCs w:val="24"/>
          <w:lang w:val="en-IN"/>
        </w:rPr>
        <w:t>financial risk and stability</w:t>
      </w:r>
    </w:p>
    <w:p w14:paraId="2CD4E177" w14:textId="77777777" w:rsidR="003E3456" w:rsidRPr="003E3456" w:rsidRDefault="003E3456" w:rsidP="00C85C18">
      <w:pPr>
        <w:numPr>
          <w:ilvl w:val="0"/>
          <w:numId w:val="79"/>
        </w:numPr>
        <w:spacing w:after="0"/>
        <w:rPr>
          <w:sz w:val="24"/>
          <w:szCs w:val="24"/>
          <w:lang w:val="en-IN"/>
        </w:rPr>
      </w:pPr>
      <w:r w:rsidRPr="003E3456">
        <w:rPr>
          <w:sz w:val="24"/>
          <w:szCs w:val="24"/>
          <w:lang w:val="en-IN"/>
        </w:rPr>
        <w:t xml:space="preserve">Support </w:t>
      </w:r>
      <w:r w:rsidRPr="003E3456">
        <w:rPr>
          <w:b/>
          <w:bCs/>
          <w:sz w:val="24"/>
          <w:szCs w:val="24"/>
          <w:lang w:val="en-IN"/>
        </w:rPr>
        <w:t>strategic planning and investment decisions</w:t>
      </w:r>
    </w:p>
    <w:p w14:paraId="5DBAEDB4" w14:textId="2181D292" w:rsidR="00C85C18" w:rsidRDefault="003E3456" w:rsidP="003E3456">
      <w:pPr>
        <w:numPr>
          <w:ilvl w:val="0"/>
          <w:numId w:val="79"/>
        </w:numPr>
        <w:spacing w:after="0"/>
        <w:rPr>
          <w:sz w:val="24"/>
          <w:szCs w:val="24"/>
          <w:lang w:val="en-IN"/>
        </w:rPr>
      </w:pPr>
      <w:r w:rsidRPr="003E3456">
        <w:rPr>
          <w:sz w:val="24"/>
          <w:szCs w:val="24"/>
          <w:lang w:val="en-IN"/>
        </w:rPr>
        <w:t>Communicate performance clearly to shareholders and stakeholders</w:t>
      </w:r>
    </w:p>
    <w:p w14:paraId="6E3E5882" w14:textId="77777777" w:rsidR="00C85C18" w:rsidRPr="00C85C18" w:rsidRDefault="00C85C18" w:rsidP="00C85C18">
      <w:pPr>
        <w:spacing w:after="0"/>
        <w:ind w:left="720"/>
        <w:rPr>
          <w:sz w:val="24"/>
          <w:szCs w:val="24"/>
          <w:lang w:val="en-IN"/>
        </w:rPr>
      </w:pPr>
    </w:p>
    <w:p w14:paraId="3EF525C6" w14:textId="258440E9" w:rsidR="003E3456" w:rsidRPr="003E3456" w:rsidRDefault="003E3456" w:rsidP="003E3456">
      <w:pPr>
        <w:rPr>
          <w:sz w:val="24"/>
          <w:szCs w:val="24"/>
          <w:lang w:val="en-IN"/>
        </w:rPr>
      </w:pPr>
      <w:r w:rsidRPr="003E3456">
        <w:rPr>
          <w:sz w:val="24"/>
          <w:szCs w:val="24"/>
          <w:lang w:val="en-IN"/>
        </w:rPr>
        <w:t xml:space="preserve">In this report, ratios are analysed across </w:t>
      </w:r>
      <w:r w:rsidRPr="003E3456">
        <w:rPr>
          <w:b/>
          <w:bCs/>
          <w:sz w:val="24"/>
          <w:szCs w:val="24"/>
          <w:lang w:val="en-IN"/>
        </w:rPr>
        <w:t>five key categories</w:t>
      </w:r>
      <w:r w:rsidRPr="003E3456">
        <w:rPr>
          <w:sz w:val="24"/>
          <w:szCs w:val="24"/>
          <w:lang w:val="en-IN"/>
        </w:rPr>
        <w:t>:</w:t>
      </w:r>
    </w:p>
    <w:p w14:paraId="5DB6E7C8" w14:textId="77777777" w:rsidR="003E3456" w:rsidRPr="003E3456" w:rsidRDefault="003E3456" w:rsidP="00C85C18">
      <w:pPr>
        <w:numPr>
          <w:ilvl w:val="0"/>
          <w:numId w:val="80"/>
        </w:numPr>
        <w:spacing w:after="0"/>
        <w:rPr>
          <w:sz w:val="24"/>
          <w:szCs w:val="24"/>
          <w:lang w:val="en-IN"/>
        </w:rPr>
      </w:pPr>
      <w:r w:rsidRPr="003E3456">
        <w:rPr>
          <w:sz w:val="24"/>
          <w:szCs w:val="24"/>
          <w:lang w:val="en-IN"/>
        </w:rPr>
        <w:t>Profitability</w:t>
      </w:r>
    </w:p>
    <w:p w14:paraId="4CE6CF1A" w14:textId="77777777" w:rsidR="003E3456" w:rsidRPr="003E3456" w:rsidRDefault="003E3456" w:rsidP="00C85C18">
      <w:pPr>
        <w:numPr>
          <w:ilvl w:val="0"/>
          <w:numId w:val="80"/>
        </w:numPr>
        <w:spacing w:after="0"/>
        <w:rPr>
          <w:sz w:val="24"/>
          <w:szCs w:val="24"/>
          <w:lang w:val="en-IN"/>
        </w:rPr>
      </w:pPr>
      <w:r w:rsidRPr="003E3456">
        <w:rPr>
          <w:sz w:val="24"/>
          <w:szCs w:val="24"/>
          <w:lang w:val="en-IN"/>
        </w:rPr>
        <w:t>Liquidity</w:t>
      </w:r>
    </w:p>
    <w:p w14:paraId="4DA4046B" w14:textId="77777777" w:rsidR="003E3456" w:rsidRPr="003E3456" w:rsidRDefault="003E3456" w:rsidP="00C85C18">
      <w:pPr>
        <w:numPr>
          <w:ilvl w:val="0"/>
          <w:numId w:val="80"/>
        </w:numPr>
        <w:spacing w:after="0"/>
        <w:rPr>
          <w:sz w:val="24"/>
          <w:szCs w:val="24"/>
          <w:lang w:val="en-IN"/>
        </w:rPr>
      </w:pPr>
      <w:r w:rsidRPr="003E3456">
        <w:rPr>
          <w:sz w:val="24"/>
          <w:szCs w:val="24"/>
          <w:lang w:val="en-IN"/>
        </w:rPr>
        <w:t>Gearing</w:t>
      </w:r>
    </w:p>
    <w:p w14:paraId="284A4CE5" w14:textId="77777777" w:rsidR="003E3456" w:rsidRPr="003E3456" w:rsidRDefault="003E3456" w:rsidP="00C85C18">
      <w:pPr>
        <w:numPr>
          <w:ilvl w:val="0"/>
          <w:numId w:val="80"/>
        </w:numPr>
        <w:spacing w:after="0"/>
        <w:rPr>
          <w:sz w:val="24"/>
          <w:szCs w:val="24"/>
          <w:lang w:val="en-IN"/>
        </w:rPr>
      </w:pPr>
      <w:r w:rsidRPr="003E3456">
        <w:rPr>
          <w:sz w:val="24"/>
          <w:szCs w:val="24"/>
          <w:lang w:val="en-IN"/>
        </w:rPr>
        <w:t>Efficiency</w:t>
      </w:r>
    </w:p>
    <w:p w14:paraId="2B69745B" w14:textId="57552883" w:rsidR="003E3456" w:rsidRDefault="003E3456" w:rsidP="00C85C18">
      <w:pPr>
        <w:numPr>
          <w:ilvl w:val="0"/>
          <w:numId w:val="80"/>
        </w:numPr>
        <w:spacing w:after="0"/>
        <w:rPr>
          <w:sz w:val="24"/>
          <w:szCs w:val="24"/>
          <w:lang w:val="en-IN"/>
        </w:rPr>
      </w:pPr>
      <w:r w:rsidRPr="003E3456">
        <w:rPr>
          <w:sz w:val="24"/>
          <w:szCs w:val="24"/>
          <w:lang w:val="en-IN"/>
        </w:rPr>
        <w:t>Investor ratios</w:t>
      </w:r>
    </w:p>
    <w:p w14:paraId="134AE536" w14:textId="77777777" w:rsidR="00C85C18" w:rsidRPr="00C85C18" w:rsidRDefault="00C85C18" w:rsidP="00C85C18">
      <w:pPr>
        <w:spacing w:after="0"/>
        <w:ind w:left="720"/>
        <w:rPr>
          <w:sz w:val="24"/>
          <w:szCs w:val="24"/>
          <w:lang w:val="en-IN"/>
        </w:rPr>
      </w:pPr>
    </w:p>
    <w:p w14:paraId="59E67FEE" w14:textId="117549BB" w:rsidR="003E3456" w:rsidRPr="003E3456" w:rsidRDefault="003E3456" w:rsidP="003E3456">
      <w:pPr>
        <w:rPr>
          <w:rFonts w:asciiTheme="majorHAnsi" w:eastAsiaTheme="majorEastAsia" w:hAnsiTheme="majorHAnsi" w:cstheme="majorBidi"/>
          <w:b/>
          <w:bCs/>
          <w:color w:val="365F91" w:themeColor="accent1" w:themeShade="BF"/>
          <w:sz w:val="28"/>
          <w:szCs w:val="28"/>
        </w:rPr>
      </w:pPr>
      <w:r w:rsidRPr="003E3456">
        <w:rPr>
          <w:rFonts w:asciiTheme="majorHAnsi" w:eastAsiaTheme="majorEastAsia" w:hAnsiTheme="majorHAnsi" w:cstheme="majorBidi"/>
          <w:b/>
          <w:bCs/>
          <w:color w:val="365F91" w:themeColor="accent1" w:themeShade="BF"/>
          <w:sz w:val="28"/>
          <w:szCs w:val="28"/>
        </w:rPr>
        <w:t>4. Profitability Ratio Analysis</w:t>
      </w:r>
    </w:p>
    <w:p w14:paraId="5987370C" w14:textId="77777777" w:rsidR="003E3456" w:rsidRPr="003E3456" w:rsidRDefault="003E3456" w:rsidP="003E3456">
      <w:pPr>
        <w:rPr>
          <w:lang w:val="en-IN"/>
        </w:rPr>
      </w:pPr>
      <w:r w:rsidRPr="003E3456">
        <w:rPr>
          <w:lang w:val="en-IN"/>
        </w:rPr>
        <w:t>Profitability ratios assess the company’s ability to generate earnings relative to sales, assets, and capital employed. Strong profitability is essential for long-term sustainability, reinvestment, and dividend payments.</w:t>
      </w:r>
    </w:p>
    <w:p w14:paraId="3357B1FC" w14:textId="77777777" w:rsidR="003E3456" w:rsidRPr="003E3456" w:rsidRDefault="003E3456" w:rsidP="003E3456">
      <w:pPr>
        <w:rPr>
          <w:b/>
          <w:bCs/>
          <w:lang w:val="en-IN"/>
        </w:rPr>
      </w:pPr>
      <w:r w:rsidRPr="003E3456">
        <w:rPr>
          <w:b/>
          <w:bCs/>
          <w:lang w:val="en-IN"/>
        </w:rPr>
        <w:t>4.1 Gross Profit Margin</w:t>
      </w:r>
    </w:p>
    <w:p w14:paraId="4653D63B" w14:textId="77777777" w:rsidR="003E3456" w:rsidRPr="003E3456" w:rsidRDefault="003E3456" w:rsidP="003E3456">
      <w:pPr>
        <w:rPr>
          <w:lang w:val="en-IN"/>
        </w:rPr>
      </w:pPr>
      <w:r w:rsidRPr="003E3456">
        <w:rPr>
          <w:b/>
          <w:bCs/>
          <w:lang w:val="en-IN"/>
        </w:rPr>
        <w:t>Formula:</w:t>
      </w:r>
      <w:r w:rsidRPr="003E3456">
        <w:rPr>
          <w:lang w:val="en-IN"/>
        </w:rPr>
        <w:br/>
        <w:t>Gross Profit ÷ Revenue × 100</w:t>
      </w:r>
    </w:p>
    <w:p w14:paraId="194E6C6E" w14:textId="77777777" w:rsidR="003E3456" w:rsidRPr="003E3456" w:rsidRDefault="003E3456" w:rsidP="003E3456">
      <w:pPr>
        <w:rPr>
          <w:lang w:val="en-IN"/>
        </w:rPr>
      </w:pPr>
      <w:r w:rsidRPr="003E3456">
        <w:rPr>
          <w:lang w:val="en-IN"/>
        </w:rPr>
        <w:t>The gross profit margin measures how efficiently Unilever controls production and purchasing costs. Over the two-year period, Unilever’s gross margin shows relative stability, indicating effective cost management despite inflationary pressures on raw materials and logistics.</w:t>
      </w:r>
    </w:p>
    <w:p w14:paraId="311C1BF6" w14:textId="68D67680" w:rsidR="003E3456" w:rsidRPr="003E3456" w:rsidRDefault="003E3456" w:rsidP="003E3456">
      <w:pPr>
        <w:rPr>
          <w:lang w:val="en-IN"/>
        </w:rPr>
      </w:pPr>
      <w:r w:rsidRPr="003E3456">
        <w:rPr>
          <w:lang w:val="en-IN"/>
        </w:rPr>
        <w:t>Any minor decline in margin can be attributed to increased commodity prices and higher energy costs. However, Unilever’s strong brand positioning allows partial cost pass-through to consumers, helping to protect margins.</w:t>
      </w:r>
    </w:p>
    <w:p w14:paraId="1D023057" w14:textId="77777777" w:rsidR="003E3456" w:rsidRPr="003E3456" w:rsidRDefault="003E3456" w:rsidP="003E3456">
      <w:pPr>
        <w:rPr>
          <w:b/>
          <w:bCs/>
          <w:lang w:val="en-IN"/>
        </w:rPr>
      </w:pPr>
      <w:r w:rsidRPr="003E3456">
        <w:rPr>
          <w:b/>
          <w:bCs/>
          <w:lang w:val="en-IN"/>
        </w:rPr>
        <w:t>4.2 Operating Profit Margin</w:t>
      </w:r>
    </w:p>
    <w:p w14:paraId="780538B1" w14:textId="77777777" w:rsidR="003E3456" w:rsidRPr="003E3456" w:rsidRDefault="003E3456" w:rsidP="003E3456">
      <w:pPr>
        <w:rPr>
          <w:lang w:val="en-IN"/>
        </w:rPr>
      </w:pPr>
      <w:r w:rsidRPr="003E3456">
        <w:rPr>
          <w:b/>
          <w:bCs/>
          <w:lang w:val="en-IN"/>
        </w:rPr>
        <w:t>Formula:</w:t>
      </w:r>
      <w:r w:rsidRPr="003E3456">
        <w:rPr>
          <w:lang w:val="en-IN"/>
        </w:rPr>
        <w:br/>
        <w:t>Operating Profit ÷ Revenue × 100</w:t>
      </w:r>
    </w:p>
    <w:p w14:paraId="7B5CDC40" w14:textId="77777777" w:rsidR="003E3456" w:rsidRPr="003E3456" w:rsidRDefault="003E3456" w:rsidP="003E3456">
      <w:pPr>
        <w:rPr>
          <w:lang w:val="en-IN"/>
        </w:rPr>
      </w:pPr>
      <w:r w:rsidRPr="003E3456">
        <w:rPr>
          <w:lang w:val="en-IN"/>
        </w:rPr>
        <w:t xml:space="preserve">The operating profit margin reflects the efficiency of core operations after accounting for marketing, distribution, and administrative costs. The analysis indicates that operating margins </w:t>
      </w:r>
      <w:r w:rsidRPr="003E3456">
        <w:rPr>
          <w:lang w:val="en-IN"/>
        </w:rPr>
        <w:lastRenderedPageBreak/>
        <w:t>have come under pressure, largely due to increased investment in marketing, sustainability initiatives, and restructuring costs.</w:t>
      </w:r>
    </w:p>
    <w:p w14:paraId="347A907E" w14:textId="77777777" w:rsidR="003E3456" w:rsidRPr="003E3456" w:rsidRDefault="003E3456" w:rsidP="003E3456">
      <w:pPr>
        <w:rPr>
          <w:lang w:val="en-IN"/>
        </w:rPr>
      </w:pPr>
      <w:r w:rsidRPr="003E3456">
        <w:rPr>
          <w:lang w:val="en-IN"/>
        </w:rPr>
        <w:t>Despite this, Unilever continues to demonstrate resilience, suggesting effective operational control and strategic prioritisation of long-term growth over short-term profitability.</w:t>
      </w:r>
    </w:p>
    <w:p w14:paraId="487D3FCC" w14:textId="26393897" w:rsidR="003E3456" w:rsidRPr="003E3456" w:rsidRDefault="003E3456" w:rsidP="003E3456">
      <w:pPr>
        <w:rPr>
          <w:b/>
          <w:bCs/>
          <w:lang w:val="en-IN"/>
        </w:rPr>
      </w:pPr>
      <w:r w:rsidRPr="003E3456">
        <w:rPr>
          <w:b/>
          <w:bCs/>
          <w:lang w:val="en-IN"/>
        </w:rPr>
        <w:t>4.3 Return on Capital Employed (ROCE)</w:t>
      </w:r>
    </w:p>
    <w:p w14:paraId="08055A0B" w14:textId="77777777" w:rsidR="003E3456" w:rsidRPr="003E3456" w:rsidRDefault="003E3456" w:rsidP="003E3456">
      <w:pPr>
        <w:rPr>
          <w:lang w:val="en-IN"/>
        </w:rPr>
      </w:pPr>
      <w:r w:rsidRPr="003E3456">
        <w:rPr>
          <w:b/>
          <w:bCs/>
          <w:lang w:val="en-IN"/>
        </w:rPr>
        <w:t>Formula:</w:t>
      </w:r>
      <w:r w:rsidRPr="003E3456">
        <w:rPr>
          <w:lang w:val="en-IN"/>
        </w:rPr>
        <w:br/>
        <w:t>Operating Profit ÷ Capital Employed × 100</w:t>
      </w:r>
    </w:p>
    <w:p w14:paraId="505BFECF" w14:textId="77777777" w:rsidR="003E3456" w:rsidRPr="003E3456" w:rsidRDefault="003E3456" w:rsidP="003E3456">
      <w:pPr>
        <w:rPr>
          <w:lang w:val="en-IN"/>
        </w:rPr>
      </w:pPr>
      <w:r w:rsidRPr="003E3456">
        <w:rPr>
          <w:lang w:val="en-IN"/>
        </w:rPr>
        <w:t>ROCE measures how efficiently Unilever uses long-term capital to generate profits. The ratio remains strong relative to industry benchmarks, indicating effective utilisation of both equity and debt financing.</w:t>
      </w:r>
    </w:p>
    <w:p w14:paraId="744B287B" w14:textId="77777777" w:rsidR="003E3456" w:rsidRDefault="003E3456" w:rsidP="003E3456">
      <w:pPr>
        <w:rPr>
          <w:lang w:val="en-IN"/>
        </w:rPr>
      </w:pPr>
      <w:r w:rsidRPr="003E3456">
        <w:rPr>
          <w:lang w:val="en-IN"/>
        </w:rPr>
        <w:t>A slight decline in ROCE may reflect increased capital investment and restructuring activity, which could yield future operational benefits. Overall, Unilever’s ROCE suggests sound strategic capital allocation.</w:t>
      </w:r>
    </w:p>
    <w:p w14:paraId="11BB2EFB" w14:textId="378E2777" w:rsidR="003E3456" w:rsidRPr="003E3456" w:rsidRDefault="003E3456" w:rsidP="003E3456">
      <w:pPr>
        <w:rPr>
          <w:lang w:val="en-IN"/>
        </w:rPr>
      </w:pPr>
      <w:r w:rsidRPr="003E3456">
        <w:rPr>
          <w:rFonts w:asciiTheme="majorHAnsi" w:eastAsiaTheme="majorEastAsia" w:hAnsiTheme="majorHAnsi" w:cstheme="majorBidi"/>
          <w:b/>
          <w:bCs/>
          <w:color w:val="365F91" w:themeColor="accent1" w:themeShade="BF"/>
          <w:sz w:val="28"/>
          <w:szCs w:val="28"/>
        </w:rPr>
        <w:t>5. Liquidity Ratio Analysis</w:t>
      </w:r>
    </w:p>
    <w:p w14:paraId="739E77B9" w14:textId="54D95E80" w:rsidR="003E3456" w:rsidRPr="003E3456" w:rsidRDefault="003E3456" w:rsidP="003E3456">
      <w:pPr>
        <w:rPr>
          <w:lang w:val="en-IN"/>
        </w:rPr>
      </w:pPr>
      <w:r w:rsidRPr="003E3456">
        <w:rPr>
          <w:lang w:val="en-IN"/>
        </w:rPr>
        <w:t>Liquidity ratios assess the company’s ability to meet short-term obligations as they fall due. Adequate liquidity is critical for operational continuity and financial stability.</w:t>
      </w:r>
    </w:p>
    <w:p w14:paraId="2163EA85" w14:textId="77777777" w:rsidR="003E3456" w:rsidRPr="003E3456" w:rsidRDefault="003E3456" w:rsidP="003E3456">
      <w:pPr>
        <w:rPr>
          <w:b/>
          <w:bCs/>
          <w:lang w:val="en-IN"/>
        </w:rPr>
      </w:pPr>
      <w:r w:rsidRPr="003E3456">
        <w:rPr>
          <w:b/>
          <w:bCs/>
          <w:lang w:val="en-IN"/>
        </w:rPr>
        <w:t>5.1 Current Ratio</w:t>
      </w:r>
    </w:p>
    <w:p w14:paraId="1128C2F7" w14:textId="77777777" w:rsidR="003E3456" w:rsidRPr="003E3456" w:rsidRDefault="003E3456" w:rsidP="003E3456">
      <w:pPr>
        <w:rPr>
          <w:lang w:val="en-IN"/>
        </w:rPr>
      </w:pPr>
      <w:r w:rsidRPr="003E3456">
        <w:rPr>
          <w:b/>
          <w:bCs/>
          <w:lang w:val="en-IN"/>
        </w:rPr>
        <w:t>Formula:</w:t>
      </w:r>
      <w:r w:rsidRPr="003E3456">
        <w:rPr>
          <w:lang w:val="en-IN"/>
        </w:rPr>
        <w:br/>
        <w:t>Current Assets ÷ Current Liabilities</w:t>
      </w:r>
    </w:p>
    <w:p w14:paraId="744DB6A2" w14:textId="64645FA8" w:rsidR="003E3456" w:rsidRDefault="003E3456" w:rsidP="003E3456">
      <w:pPr>
        <w:rPr>
          <w:lang w:val="en-IN"/>
        </w:rPr>
      </w:pPr>
      <w:r w:rsidRPr="003E3456">
        <w:rPr>
          <w:lang w:val="en-IN"/>
        </w:rPr>
        <w:t>Unilever’s current ratio remains below the conventional benchmark of 2:1, which is typical for FMCG companies with strong cash flows and efficient inventory turnover. The stable ratio suggests that Unilever effectively manages working capital without holding excessive idle assets.</w:t>
      </w:r>
    </w:p>
    <w:p w14:paraId="4C425AEA" w14:textId="320B3DC7" w:rsidR="003E3456" w:rsidRPr="003E3456" w:rsidRDefault="003E3456" w:rsidP="003E3456">
      <w:pPr>
        <w:rPr>
          <w:b/>
          <w:bCs/>
          <w:lang w:val="en-IN"/>
        </w:rPr>
      </w:pPr>
      <w:r w:rsidRPr="003E3456">
        <w:rPr>
          <w:b/>
          <w:bCs/>
          <w:lang w:val="en-IN"/>
        </w:rPr>
        <w:t>5.2 Quick Ratio</w:t>
      </w:r>
    </w:p>
    <w:p w14:paraId="28A6ADEF" w14:textId="77777777" w:rsidR="003E3456" w:rsidRPr="003E3456" w:rsidRDefault="003E3456" w:rsidP="003E3456">
      <w:pPr>
        <w:rPr>
          <w:lang w:val="en-IN"/>
        </w:rPr>
      </w:pPr>
      <w:r w:rsidRPr="003E3456">
        <w:rPr>
          <w:b/>
          <w:bCs/>
          <w:lang w:val="en-IN"/>
        </w:rPr>
        <w:t>Formula:</w:t>
      </w:r>
      <w:r w:rsidRPr="003E3456">
        <w:rPr>
          <w:lang w:val="en-IN"/>
        </w:rPr>
        <w:br/>
        <w:t>(Current Assets – Inventory) ÷ Current Liabilities</w:t>
      </w:r>
    </w:p>
    <w:p w14:paraId="1D6B6505" w14:textId="77777777" w:rsidR="003E3456" w:rsidRDefault="003E3456" w:rsidP="003E3456">
      <w:pPr>
        <w:rPr>
          <w:lang w:val="en-IN"/>
        </w:rPr>
      </w:pPr>
      <w:r w:rsidRPr="003E3456">
        <w:rPr>
          <w:lang w:val="en-IN"/>
        </w:rPr>
        <w:t>The quick ratio provides a more conservative view of liquidity. Unilever’s quick ratio indicates reliance on inventory turnover and consistent cash inflows rather than liquid assets. While this increases short-term risk, it is acceptable given Unilever’s predictable demand and strong market presence.</w:t>
      </w:r>
    </w:p>
    <w:p w14:paraId="6EEA529B" w14:textId="27B6AD77" w:rsidR="003E3456" w:rsidRPr="003E3456" w:rsidRDefault="003E3456" w:rsidP="003E3456">
      <w:pPr>
        <w:rPr>
          <w:lang w:val="en-IN"/>
        </w:rPr>
      </w:pPr>
      <w:r w:rsidRPr="003E3456">
        <w:rPr>
          <w:rFonts w:asciiTheme="majorHAnsi" w:eastAsiaTheme="majorEastAsia" w:hAnsiTheme="majorHAnsi" w:cstheme="majorBidi"/>
          <w:b/>
          <w:bCs/>
          <w:color w:val="365F91" w:themeColor="accent1" w:themeShade="BF"/>
          <w:sz w:val="28"/>
          <w:szCs w:val="28"/>
        </w:rPr>
        <w:t>6. Gearing Ratio Analysis</w:t>
      </w:r>
    </w:p>
    <w:p w14:paraId="5ADA106B" w14:textId="77777777" w:rsidR="003E3456" w:rsidRPr="003E3456" w:rsidRDefault="003E3456" w:rsidP="003E3456">
      <w:pPr>
        <w:rPr>
          <w:lang w:val="en-IN"/>
        </w:rPr>
      </w:pPr>
      <w:r w:rsidRPr="003E3456">
        <w:rPr>
          <w:lang w:val="en-IN"/>
        </w:rPr>
        <w:t>Gearing ratios assess the level of financial risk associated with debt financing.</w:t>
      </w:r>
    </w:p>
    <w:p w14:paraId="7AB4CF2E" w14:textId="77777777" w:rsidR="003E3456" w:rsidRPr="003E3456" w:rsidRDefault="003E3456" w:rsidP="003E3456">
      <w:pPr>
        <w:rPr>
          <w:b/>
          <w:bCs/>
          <w:lang w:val="en-IN"/>
        </w:rPr>
      </w:pPr>
      <w:r w:rsidRPr="003E3456">
        <w:rPr>
          <w:b/>
          <w:bCs/>
          <w:lang w:val="en-IN"/>
        </w:rPr>
        <w:t>6.1 Debt-to-Equity Ratio</w:t>
      </w:r>
    </w:p>
    <w:p w14:paraId="057D10A6" w14:textId="77777777" w:rsidR="003E3456" w:rsidRPr="003E3456" w:rsidRDefault="003E3456" w:rsidP="003E3456">
      <w:pPr>
        <w:rPr>
          <w:lang w:val="en-IN"/>
        </w:rPr>
      </w:pPr>
      <w:r w:rsidRPr="003E3456">
        <w:rPr>
          <w:b/>
          <w:bCs/>
          <w:lang w:val="en-IN"/>
        </w:rPr>
        <w:lastRenderedPageBreak/>
        <w:t>Formula:</w:t>
      </w:r>
      <w:r w:rsidRPr="003E3456">
        <w:rPr>
          <w:lang w:val="en-IN"/>
        </w:rPr>
        <w:br/>
        <w:t>Total Debt ÷ Total Equity</w:t>
      </w:r>
    </w:p>
    <w:p w14:paraId="29F46A60" w14:textId="77777777" w:rsidR="003E3456" w:rsidRPr="003E3456" w:rsidRDefault="003E3456" w:rsidP="003E3456">
      <w:pPr>
        <w:rPr>
          <w:lang w:val="en-IN"/>
        </w:rPr>
      </w:pPr>
      <w:r w:rsidRPr="003E3456">
        <w:rPr>
          <w:lang w:val="en-IN"/>
        </w:rPr>
        <w:t>Unilever demonstrates a moderate level of gearing, reflecting a balanced capital structure. The use of debt financing enhances returns to shareholders but increases exposure to interest rate fluctuations.</w:t>
      </w:r>
    </w:p>
    <w:p w14:paraId="20A1B5F3" w14:textId="77777777" w:rsidR="003E3456" w:rsidRPr="003E3456" w:rsidRDefault="003E3456" w:rsidP="003E3456">
      <w:pPr>
        <w:rPr>
          <w:lang w:val="en-IN"/>
        </w:rPr>
      </w:pPr>
      <w:r w:rsidRPr="003E3456">
        <w:rPr>
          <w:lang w:val="en-IN"/>
        </w:rPr>
        <w:t>The company’s stable earnings and strong cash flows support this level of leverage, suggesting manageable financial risk.</w:t>
      </w:r>
    </w:p>
    <w:p w14:paraId="55FB0059" w14:textId="77777777" w:rsidR="003E3456" w:rsidRPr="003E3456" w:rsidRDefault="003E3456" w:rsidP="003E3456">
      <w:pPr>
        <w:rPr>
          <w:b/>
          <w:bCs/>
          <w:lang w:val="en-IN"/>
        </w:rPr>
      </w:pPr>
      <w:r w:rsidRPr="003E3456">
        <w:rPr>
          <w:b/>
          <w:bCs/>
          <w:lang w:val="en-IN"/>
        </w:rPr>
        <w:t>6.2 Interest Cover</w:t>
      </w:r>
    </w:p>
    <w:p w14:paraId="19494574" w14:textId="77777777" w:rsidR="003E3456" w:rsidRPr="003E3456" w:rsidRDefault="003E3456" w:rsidP="003E3456">
      <w:pPr>
        <w:rPr>
          <w:lang w:val="en-IN"/>
        </w:rPr>
      </w:pPr>
      <w:r w:rsidRPr="003E3456">
        <w:rPr>
          <w:b/>
          <w:bCs/>
          <w:lang w:val="en-IN"/>
        </w:rPr>
        <w:t>Formula:</w:t>
      </w:r>
      <w:r w:rsidRPr="003E3456">
        <w:rPr>
          <w:lang w:val="en-IN"/>
        </w:rPr>
        <w:br/>
        <w:t>Operating Profit ÷ Finance Costs</w:t>
      </w:r>
    </w:p>
    <w:p w14:paraId="2AFA34EE" w14:textId="77777777" w:rsidR="003E3456" w:rsidRPr="003E3456" w:rsidRDefault="003E3456" w:rsidP="003E3456">
      <w:pPr>
        <w:rPr>
          <w:lang w:val="en-IN"/>
        </w:rPr>
      </w:pPr>
      <w:r w:rsidRPr="003E3456">
        <w:rPr>
          <w:lang w:val="en-IN"/>
        </w:rPr>
        <w:t>Unilever maintains a strong interest cover ratio, indicating that operating profits comfortably exceed interest obligations. This reassures lenders and investors about the company’s ability to service debt even under adverse conditions.</w:t>
      </w:r>
    </w:p>
    <w:p w14:paraId="39CF289F" w14:textId="3B49E1CC" w:rsidR="003E3456" w:rsidRDefault="00066622" w:rsidP="003E3456">
      <w:pPr>
        <w:rPr>
          <w:rFonts w:asciiTheme="majorHAnsi" w:eastAsiaTheme="majorEastAsia" w:hAnsiTheme="majorHAnsi" w:cstheme="majorBidi"/>
          <w:b/>
          <w:bCs/>
          <w:color w:val="365F91" w:themeColor="accent1" w:themeShade="BF"/>
          <w:sz w:val="28"/>
          <w:szCs w:val="28"/>
        </w:rPr>
      </w:pPr>
      <w:r w:rsidRPr="00066622">
        <w:rPr>
          <w:rFonts w:asciiTheme="majorHAnsi" w:eastAsiaTheme="majorEastAsia" w:hAnsiTheme="majorHAnsi" w:cstheme="majorBidi"/>
          <w:b/>
          <w:bCs/>
          <w:color w:val="365F91" w:themeColor="accent1" w:themeShade="BF"/>
          <w:sz w:val="28"/>
          <w:szCs w:val="28"/>
        </w:rPr>
        <w:t>7. Efficiency Ratio Analysis</w:t>
      </w:r>
    </w:p>
    <w:p w14:paraId="352D5CE9" w14:textId="77777777" w:rsidR="00066622" w:rsidRPr="00066622" w:rsidRDefault="00066622" w:rsidP="00066622">
      <w:pPr>
        <w:rPr>
          <w:lang w:val="en-IN"/>
        </w:rPr>
      </w:pPr>
      <w:r w:rsidRPr="00066622">
        <w:rPr>
          <w:lang w:val="en-IN"/>
        </w:rPr>
        <w:t>Efficiency ratios evaluate how effectively Unilever manages assets and working capital.</w:t>
      </w:r>
    </w:p>
    <w:p w14:paraId="28522CE4" w14:textId="77777777" w:rsidR="00066622" w:rsidRPr="00066622" w:rsidRDefault="00066622" w:rsidP="00066622">
      <w:pPr>
        <w:rPr>
          <w:b/>
          <w:bCs/>
          <w:lang w:val="en-IN"/>
        </w:rPr>
      </w:pPr>
      <w:r w:rsidRPr="00066622">
        <w:rPr>
          <w:b/>
          <w:bCs/>
          <w:lang w:val="en-IN"/>
        </w:rPr>
        <w:t>7.1 Inventory Turnover</w:t>
      </w:r>
    </w:p>
    <w:p w14:paraId="7390DCEC" w14:textId="77777777" w:rsidR="00066622" w:rsidRPr="00066622" w:rsidRDefault="00066622" w:rsidP="00066622">
      <w:pPr>
        <w:rPr>
          <w:lang w:val="en-IN"/>
        </w:rPr>
      </w:pPr>
      <w:r w:rsidRPr="00066622">
        <w:rPr>
          <w:b/>
          <w:bCs/>
          <w:lang w:val="en-IN"/>
        </w:rPr>
        <w:t>Formula:</w:t>
      </w:r>
      <w:r w:rsidRPr="00066622">
        <w:rPr>
          <w:lang w:val="en-IN"/>
        </w:rPr>
        <w:br/>
        <w:t>Cost of Sales ÷ Average Inventory</w:t>
      </w:r>
    </w:p>
    <w:p w14:paraId="17784F7C" w14:textId="77777777" w:rsidR="00066622" w:rsidRPr="00066622" w:rsidRDefault="00066622" w:rsidP="00066622">
      <w:pPr>
        <w:rPr>
          <w:lang w:val="en-IN"/>
        </w:rPr>
      </w:pPr>
      <w:r w:rsidRPr="00066622">
        <w:rPr>
          <w:lang w:val="en-IN"/>
        </w:rPr>
        <w:t>High inventory turnover reflects efficient supply chain management and strong demand forecasting. Unilever’s turnover remains strong, consistent with the FMCG sector, where rapid inventory movement is essential.</w:t>
      </w:r>
    </w:p>
    <w:p w14:paraId="4C4A4617" w14:textId="77777777" w:rsidR="00066622" w:rsidRPr="00066622" w:rsidRDefault="00066622" w:rsidP="00066622">
      <w:pPr>
        <w:rPr>
          <w:b/>
          <w:bCs/>
          <w:lang w:val="en-IN"/>
        </w:rPr>
      </w:pPr>
      <w:r w:rsidRPr="00066622">
        <w:rPr>
          <w:b/>
          <w:bCs/>
          <w:lang w:val="en-IN"/>
        </w:rPr>
        <w:t>7.2 Receivables Collection Period</w:t>
      </w:r>
    </w:p>
    <w:p w14:paraId="586FC62F" w14:textId="77777777" w:rsidR="00066622" w:rsidRPr="00066622" w:rsidRDefault="00066622" w:rsidP="00066622">
      <w:pPr>
        <w:rPr>
          <w:lang w:val="en-IN"/>
        </w:rPr>
      </w:pPr>
      <w:r w:rsidRPr="00066622">
        <w:rPr>
          <w:b/>
          <w:bCs/>
          <w:lang w:val="en-IN"/>
        </w:rPr>
        <w:t>Formula:</w:t>
      </w:r>
      <w:r w:rsidRPr="00066622">
        <w:rPr>
          <w:lang w:val="en-IN"/>
        </w:rPr>
        <w:br/>
        <w:t>Trade Receivables ÷ Revenue × 365</w:t>
      </w:r>
    </w:p>
    <w:p w14:paraId="5312CD25" w14:textId="77777777" w:rsidR="00066622" w:rsidRPr="00066622" w:rsidRDefault="00066622" w:rsidP="00066622">
      <w:pPr>
        <w:rPr>
          <w:lang w:val="en-IN"/>
        </w:rPr>
      </w:pPr>
      <w:r w:rsidRPr="00066622">
        <w:rPr>
          <w:lang w:val="en-IN"/>
        </w:rPr>
        <w:t>Unilever maintains effective credit control, with a stable receivables period. This supports healthy cash flows and reduces the risk of bad debts.</w:t>
      </w:r>
    </w:p>
    <w:p w14:paraId="77697E1F" w14:textId="6729C16C" w:rsidR="00066622" w:rsidRDefault="00066622" w:rsidP="003E3456">
      <w:r w:rsidRPr="00066622">
        <w:rPr>
          <w:rFonts w:asciiTheme="majorHAnsi" w:eastAsiaTheme="majorEastAsia" w:hAnsiTheme="majorHAnsi" w:cstheme="majorBidi"/>
          <w:b/>
          <w:bCs/>
          <w:color w:val="365F91" w:themeColor="accent1" w:themeShade="BF"/>
          <w:sz w:val="28"/>
          <w:szCs w:val="28"/>
        </w:rPr>
        <w:t>8. Investor Ratio Analysis</w:t>
      </w:r>
    </w:p>
    <w:p w14:paraId="241F1167" w14:textId="3CB1B32A" w:rsidR="00066622" w:rsidRPr="00066622" w:rsidRDefault="00066622" w:rsidP="00066622">
      <w:pPr>
        <w:rPr>
          <w:lang w:val="en-IN"/>
        </w:rPr>
      </w:pPr>
      <w:r w:rsidRPr="00066622">
        <w:rPr>
          <w:lang w:val="en-IN"/>
        </w:rPr>
        <w:t>Investor ratios assess returns and value delivered to shareholders.</w:t>
      </w:r>
    </w:p>
    <w:p w14:paraId="56EB53CA" w14:textId="77777777" w:rsidR="00066622" w:rsidRPr="00066622" w:rsidRDefault="00066622" w:rsidP="00066622">
      <w:pPr>
        <w:rPr>
          <w:b/>
          <w:bCs/>
          <w:lang w:val="en-IN"/>
        </w:rPr>
      </w:pPr>
      <w:r w:rsidRPr="00066622">
        <w:rPr>
          <w:b/>
          <w:bCs/>
          <w:lang w:val="en-IN"/>
        </w:rPr>
        <w:t>8.1 Earnings per Share (EPS)</w:t>
      </w:r>
    </w:p>
    <w:p w14:paraId="1CFA4F24" w14:textId="77777777" w:rsidR="00066622" w:rsidRPr="00066622" w:rsidRDefault="00066622" w:rsidP="00066622">
      <w:pPr>
        <w:rPr>
          <w:lang w:val="en-IN"/>
        </w:rPr>
      </w:pPr>
      <w:r w:rsidRPr="00066622">
        <w:rPr>
          <w:lang w:val="en-IN"/>
        </w:rPr>
        <w:t>EPS shows moderate growth, reflecting stable profitability despite challenging economic conditions. This demonstrates Unilever’s ability to protect shareholder value.</w:t>
      </w:r>
    </w:p>
    <w:p w14:paraId="206FFD9E" w14:textId="77777777" w:rsidR="00066622" w:rsidRPr="00066622" w:rsidRDefault="00066622" w:rsidP="00066622">
      <w:pPr>
        <w:rPr>
          <w:b/>
          <w:bCs/>
          <w:lang w:val="en-IN"/>
        </w:rPr>
      </w:pPr>
      <w:r w:rsidRPr="00066622">
        <w:rPr>
          <w:b/>
          <w:bCs/>
          <w:lang w:val="en-IN"/>
        </w:rPr>
        <w:lastRenderedPageBreak/>
        <w:t>8.2 Dividend Yield</w:t>
      </w:r>
    </w:p>
    <w:p w14:paraId="03616AD9" w14:textId="77777777" w:rsidR="00066622" w:rsidRDefault="00066622" w:rsidP="00066622">
      <w:pPr>
        <w:rPr>
          <w:lang w:val="en-IN"/>
        </w:rPr>
      </w:pPr>
      <w:r w:rsidRPr="00066622">
        <w:rPr>
          <w:lang w:val="en-IN"/>
        </w:rPr>
        <w:t>Unilever continues to pay consistent dividends, reinforcing its reputation as a reliable income-generating investment. Stable dividends enhance investor confidence and support share price stability.</w:t>
      </w:r>
    </w:p>
    <w:p w14:paraId="7205BD83" w14:textId="11782287" w:rsidR="00066622" w:rsidRPr="00066622" w:rsidRDefault="00066622" w:rsidP="00066622">
      <w:pPr>
        <w:rPr>
          <w:lang w:val="en-IN"/>
        </w:rPr>
      </w:pPr>
      <w:r w:rsidRPr="00066622">
        <w:rPr>
          <w:rFonts w:asciiTheme="majorHAnsi" w:eastAsiaTheme="majorEastAsia" w:hAnsiTheme="majorHAnsi" w:cstheme="majorBidi"/>
          <w:b/>
          <w:bCs/>
          <w:color w:val="365F91" w:themeColor="accent1" w:themeShade="BF"/>
          <w:sz w:val="28"/>
          <w:szCs w:val="28"/>
        </w:rPr>
        <w:t>9. Critical Evaluation of Ratio Analysis</w:t>
      </w:r>
    </w:p>
    <w:p w14:paraId="40995119" w14:textId="77777777" w:rsidR="00066622" w:rsidRPr="00066622" w:rsidRDefault="00066622" w:rsidP="00066622">
      <w:pPr>
        <w:rPr>
          <w:lang w:val="en-IN"/>
        </w:rPr>
      </w:pPr>
      <w:r w:rsidRPr="00066622">
        <w:rPr>
          <w:lang w:val="en-IN"/>
        </w:rPr>
        <w:t>While ratio analysis provides valuable insights, it has limitations:</w:t>
      </w:r>
    </w:p>
    <w:p w14:paraId="54C9156E" w14:textId="77777777" w:rsidR="00066622" w:rsidRPr="00066622" w:rsidRDefault="00066622" w:rsidP="00C85C18">
      <w:pPr>
        <w:numPr>
          <w:ilvl w:val="0"/>
          <w:numId w:val="81"/>
        </w:numPr>
        <w:spacing w:after="0"/>
        <w:rPr>
          <w:lang w:val="en-IN"/>
        </w:rPr>
      </w:pPr>
      <w:r w:rsidRPr="00066622">
        <w:rPr>
          <w:lang w:val="en-IN"/>
        </w:rPr>
        <w:t xml:space="preserve">Ratios are based on </w:t>
      </w:r>
      <w:r w:rsidRPr="00066622">
        <w:rPr>
          <w:b/>
          <w:bCs/>
          <w:lang w:val="en-IN"/>
        </w:rPr>
        <w:t>historical data</w:t>
      </w:r>
    </w:p>
    <w:p w14:paraId="414805A3" w14:textId="77777777" w:rsidR="00066622" w:rsidRPr="00066622" w:rsidRDefault="00066622" w:rsidP="00C85C18">
      <w:pPr>
        <w:numPr>
          <w:ilvl w:val="0"/>
          <w:numId w:val="81"/>
        </w:numPr>
        <w:spacing w:after="0"/>
        <w:rPr>
          <w:lang w:val="en-IN"/>
        </w:rPr>
      </w:pPr>
      <w:r w:rsidRPr="00066622">
        <w:rPr>
          <w:lang w:val="en-IN"/>
        </w:rPr>
        <w:t>Accounting policies may affect comparability</w:t>
      </w:r>
    </w:p>
    <w:p w14:paraId="030D0E8B" w14:textId="77777777" w:rsidR="00066622" w:rsidRPr="00066622" w:rsidRDefault="00066622" w:rsidP="00C85C18">
      <w:pPr>
        <w:numPr>
          <w:ilvl w:val="0"/>
          <w:numId w:val="81"/>
        </w:numPr>
        <w:spacing w:after="0"/>
        <w:rPr>
          <w:lang w:val="en-IN"/>
        </w:rPr>
      </w:pPr>
      <w:r w:rsidRPr="00066622">
        <w:rPr>
          <w:lang w:val="en-IN"/>
        </w:rPr>
        <w:t>Inflation can distort asset values</w:t>
      </w:r>
    </w:p>
    <w:p w14:paraId="26F3932F" w14:textId="77777777" w:rsidR="00066622" w:rsidRDefault="00066622" w:rsidP="00C85C18">
      <w:pPr>
        <w:numPr>
          <w:ilvl w:val="0"/>
          <w:numId w:val="81"/>
        </w:numPr>
        <w:spacing w:after="0"/>
        <w:rPr>
          <w:lang w:val="en-IN"/>
        </w:rPr>
      </w:pPr>
      <w:r w:rsidRPr="00066622">
        <w:rPr>
          <w:lang w:val="en-IN"/>
        </w:rPr>
        <w:t>Ratios ignore qualitative factors such as brand strength and management capability</w:t>
      </w:r>
    </w:p>
    <w:p w14:paraId="05532A6E" w14:textId="77777777" w:rsidR="00C85C18" w:rsidRPr="00066622" w:rsidRDefault="00C85C18" w:rsidP="00C85C18">
      <w:pPr>
        <w:spacing w:after="0"/>
        <w:ind w:left="720"/>
        <w:rPr>
          <w:lang w:val="en-IN"/>
        </w:rPr>
      </w:pPr>
    </w:p>
    <w:p w14:paraId="69623DC0" w14:textId="77777777" w:rsidR="00066622" w:rsidRDefault="00066622" w:rsidP="00066622">
      <w:pPr>
        <w:rPr>
          <w:lang w:val="en-IN"/>
        </w:rPr>
      </w:pPr>
      <w:r w:rsidRPr="00066622">
        <w:rPr>
          <w:lang w:val="en-IN"/>
        </w:rPr>
        <w:t>Therefore, ratios should be interpreted alongside strategic and market analysis.</w:t>
      </w:r>
    </w:p>
    <w:p w14:paraId="6BEC9FEA" w14:textId="1794A612" w:rsidR="00066622" w:rsidRPr="00066622" w:rsidRDefault="00066622" w:rsidP="00066622">
      <w:pPr>
        <w:rPr>
          <w:lang w:val="en-IN"/>
        </w:rPr>
      </w:pPr>
      <w:r w:rsidRPr="00066622">
        <w:rPr>
          <w:rFonts w:asciiTheme="majorHAnsi" w:eastAsiaTheme="majorEastAsia" w:hAnsiTheme="majorHAnsi" w:cstheme="majorBidi"/>
          <w:b/>
          <w:bCs/>
          <w:color w:val="365F91" w:themeColor="accent1" w:themeShade="BF"/>
          <w:sz w:val="28"/>
          <w:szCs w:val="28"/>
        </w:rPr>
        <w:t>10. Overall Financial Performance Assessment</w:t>
      </w:r>
    </w:p>
    <w:p w14:paraId="22FF45DA" w14:textId="6A0DCDA9" w:rsidR="00066622" w:rsidRPr="00066622" w:rsidRDefault="00066622" w:rsidP="00066622">
      <w:pPr>
        <w:rPr>
          <w:lang w:val="en-IN"/>
        </w:rPr>
      </w:pPr>
      <w:r w:rsidRPr="00066622">
        <w:rPr>
          <w:lang w:val="en-IN"/>
        </w:rPr>
        <w:t>Overall, Unilever Plc demonstrates:</w:t>
      </w:r>
    </w:p>
    <w:p w14:paraId="36276E8C" w14:textId="77777777" w:rsidR="00066622" w:rsidRPr="00066622" w:rsidRDefault="00066622" w:rsidP="00C85C18">
      <w:pPr>
        <w:numPr>
          <w:ilvl w:val="0"/>
          <w:numId w:val="82"/>
        </w:numPr>
        <w:spacing w:after="0"/>
        <w:rPr>
          <w:lang w:val="en-IN"/>
        </w:rPr>
      </w:pPr>
      <w:r w:rsidRPr="00066622">
        <w:rPr>
          <w:lang w:val="en-IN"/>
        </w:rPr>
        <w:t>Strong profitability resilience</w:t>
      </w:r>
    </w:p>
    <w:p w14:paraId="21C8CD19" w14:textId="77777777" w:rsidR="00066622" w:rsidRPr="00066622" w:rsidRDefault="00066622" w:rsidP="00C85C18">
      <w:pPr>
        <w:numPr>
          <w:ilvl w:val="0"/>
          <w:numId w:val="82"/>
        </w:numPr>
        <w:spacing w:after="0"/>
        <w:rPr>
          <w:lang w:val="en-IN"/>
        </w:rPr>
      </w:pPr>
      <w:r w:rsidRPr="00066622">
        <w:rPr>
          <w:lang w:val="en-IN"/>
        </w:rPr>
        <w:t>Acceptable liquidity levels</w:t>
      </w:r>
    </w:p>
    <w:p w14:paraId="2F710290" w14:textId="77777777" w:rsidR="00066622" w:rsidRPr="00066622" w:rsidRDefault="00066622" w:rsidP="00C85C18">
      <w:pPr>
        <w:numPr>
          <w:ilvl w:val="0"/>
          <w:numId w:val="82"/>
        </w:numPr>
        <w:spacing w:after="0"/>
        <w:rPr>
          <w:lang w:val="en-IN"/>
        </w:rPr>
      </w:pPr>
      <w:r w:rsidRPr="00066622">
        <w:rPr>
          <w:lang w:val="en-IN"/>
        </w:rPr>
        <w:t>Moderate and controlled gearing</w:t>
      </w:r>
    </w:p>
    <w:p w14:paraId="1D7C16EC" w14:textId="77777777" w:rsidR="00066622" w:rsidRPr="00066622" w:rsidRDefault="00066622" w:rsidP="00C85C18">
      <w:pPr>
        <w:numPr>
          <w:ilvl w:val="0"/>
          <w:numId w:val="82"/>
        </w:numPr>
        <w:spacing w:after="0"/>
        <w:rPr>
          <w:lang w:val="en-IN"/>
        </w:rPr>
      </w:pPr>
      <w:r w:rsidRPr="00066622">
        <w:rPr>
          <w:lang w:val="en-IN"/>
        </w:rPr>
        <w:t>Efficient asset management</w:t>
      </w:r>
    </w:p>
    <w:p w14:paraId="3C880F96" w14:textId="77777777" w:rsidR="00066622" w:rsidRDefault="00066622" w:rsidP="00C85C18">
      <w:pPr>
        <w:numPr>
          <w:ilvl w:val="0"/>
          <w:numId w:val="82"/>
        </w:numPr>
        <w:spacing w:after="0"/>
        <w:rPr>
          <w:lang w:val="en-IN"/>
        </w:rPr>
      </w:pPr>
      <w:r w:rsidRPr="00066622">
        <w:rPr>
          <w:lang w:val="en-IN"/>
        </w:rPr>
        <w:t>Consistent shareholder returns</w:t>
      </w:r>
    </w:p>
    <w:p w14:paraId="376552EE" w14:textId="77777777" w:rsidR="00C85C18" w:rsidRPr="00066622" w:rsidRDefault="00C85C18" w:rsidP="00C85C18">
      <w:pPr>
        <w:spacing w:after="0"/>
        <w:ind w:left="720"/>
        <w:rPr>
          <w:lang w:val="en-IN"/>
        </w:rPr>
      </w:pPr>
    </w:p>
    <w:p w14:paraId="2C15A143" w14:textId="77777777" w:rsidR="00D87DC7" w:rsidRDefault="00066622" w:rsidP="00D001CF">
      <w:pPr>
        <w:rPr>
          <w:lang w:val="en-IN"/>
        </w:rPr>
      </w:pPr>
      <w:r w:rsidRPr="00066622">
        <w:rPr>
          <w:lang w:val="en-IN"/>
        </w:rPr>
        <w:t>Despite external pressures, the company maintains financial stability and strategic flexibility.</w:t>
      </w:r>
    </w:p>
    <w:p w14:paraId="29A39C5F" w14:textId="276A1789" w:rsidR="00066622" w:rsidRDefault="00066622" w:rsidP="00D001CF">
      <w:r w:rsidRPr="00066622">
        <w:rPr>
          <w:rFonts w:asciiTheme="majorHAnsi" w:eastAsiaTheme="majorEastAsia" w:hAnsiTheme="majorHAnsi" w:cstheme="majorBidi"/>
          <w:b/>
          <w:bCs/>
          <w:color w:val="365F91" w:themeColor="accent1" w:themeShade="BF"/>
          <w:sz w:val="28"/>
          <w:szCs w:val="28"/>
        </w:rPr>
        <w:t>1</w:t>
      </w:r>
      <w:r>
        <w:rPr>
          <w:rFonts w:asciiTheme="majorHAnsi" w:eastAsiaTheme="majorEastAsia" w:hAnsiTheme="majorHAnsi" w:cstheme="majorBidi"/>
          <w:b/>
          <w:bCs/>
          <w:color w:val="365F91" w:themeColor="accent1" w:themeShade="BF"/>
          <w:sz w:val="28"/>
          <w:szCs w:val="28"/>
        </w:rPr>
        <w:t>1</w:t>
      </w:r>
      <w:r w:rsidRPr="00066622">
        <w:rPr>
          <w:rFonts w:asciiTheme="majorHAnsi" w:eastAsiaTheme="majorEastAsia" w:hAnsiTheme="majorHAnsi" w:cstheme="majorBidi"/>
          <w:b/>
          <w:bCs/>
          <w:color w:val="365F91" w:themeColor="accent1" w:themeShade="BF"/>
          <w:sz w:val="28"/>
          <w:szCs w:val="28"/>
        </w:rPr>
        <w:t>. Conclusion of Task 1</w:t>
      </w:r>
    </w:p>
    <w:p w14:paraId="46BA8B9C" w14:textId="77777777" w:rsidR="00066622" w:rsidRPr="00066622" w:rsidRDefault="00066622" w:rsidP="00066622">
      <w:pPr>
        <w:rPr>
          <w:sz w:val="24"/>
          <w:szCs w:val="24"/>
          <w:lang w:val="en-IN"/>
        </w:rPr>
      </w:pPr>
      <w:r w:rsidRPr="00066622">
        <w:rPr>
          <w:sz w:val="24"/>
          <w:szCs w:val="24"/>
          <w:lang w:val="en-IN"/>
        </w:rPr>
        <w:t>This financial ratio analysis indicates that Unilever Plc remains financially strong and well-managed. While margins face pressure from inflation and competitive dynamics, effective cost control, efficient operations, and prudent capital management support long-term sustainability.</w:t>
      </w:r>
    </w:p>
    <w:p w14:paraId="06535F2C" w14:textId="452B3C78" w:rsidR="00066622" w:rsidRDefault="00066622" w:rsidP="00066622">
      <w:pPr>
        <w:rPr>
          <w:sz w:val="24"/>
          <w:szCs w:val="24"/>
          <w:lang w:val="en-IN"/>
        </w:rPr>
      </w:pPr>
      <w:r w:rsidRPr="00066622">
        <w:rPr>
          <w:sz w:val="24"/>
          <w:szCs w:val="24"/>
          <w:lang w:val="en-IN"/>
        </w:rPr>
        <w:t xml:space="preserve">The findings of Task 1 provide a robust foundation for </w:t>
      </w:r>
      <w:r w:rsidRPr="00066622">
        <w:rPr>
          <w:b/>
          <w:bCs/>
          <w:sz w:val="24"/>
          <w:szCs w:val="24"/>
          <w:lang w:val="en-IN"/>
        </w:rPr>
        <w:t>financial recommendations</w:t>
      </w:r>
      <w:r w:rsidRPr="00066622">
        <w:rPr>
          <w:sz w:val="24"/>
          <w:szCs w:val="24"/>
          <w:lang w:val="en-IN"/>
        </w:rPr>
        <w:t xml:space="preserve">, which are presented in </w:t>
      </w:r>
      <w:r w:rsidRPr="00066622">
        <w:rPr>
          <w:b/>
          <w:bCs/>
          <w:sz w:val="24"/>
          <w:szCs w:val="24"/>
          <w:lang w:val="en-IN"/>
        </w:rPr>
        <w:t>Task 2</w:t>
      </w:r>
      <w:r w:rsidRPr="00066622">
        <w:rPr>
          <w:sz w:val="24"/>
          <w:szCs w:val="24"/>
          <w:lang w:val="en-IN"/>
        </w:rPr>
        <w:t>.</w:t>
      </w:r>
    </w:p>
    <w:p w14:paraId="04A06E5B" w14:textId="77777777" w:rsidR="00C85C18" w:rsidRDefault="00C85C18" w:rsidP="00066622">
      <w:pPr>
        <w:rPr>
          <w:sz w:val="24"/>
          <w:szCs w:val="24"/>
          <w:lang w:val="en-IN"/>
        </w:rPr>
      </w:pPr>
    </w:p>
    <w:p w14:paraId="0923D545" w14:textId="77777777" w:rsidR="00D87DC7" w:rsidRDefault="00D87DC7" w:rsidP="00066622">
      <w:pPr>
        <w:rPr>
          <w:sz w:val="24"/>
          <w:szCs w:val="24"/>
          <w:lang w:val="en-IN"/>
        </w:rPr>
      </w:pPr>
    </w:p>
    <w:p w14:paraId="6B22FC5F" w14:textId="77777777" w:rsidR="00D87DC7" w:rsidRDefault="00D87DC7" w:rsidP="00066622">
      <w:pPr>
        <w:rPr>
          <w:sz w:val="24"/>
          <w:szCs w:val="24"/>
          <w:lang w:val="en-IN"/>
        </w:rPr>
      </w:pPr>
    </w:p>
    <w:p w14:paraId="73A73B2D" w14:textId="77777777" w:rsidR="00D87DC7" w:rsidRPr="00066622" w:rsidRDefault="00D87DC7" w:rsidP="00066622">
      <w:pPr>
        <w:rPr>
          <w:sz w:val="24"/>
          <w:szCs w:val="24"/>
          <w:lang w:val="en-IN"/>
        </w:rPr>
      </w:pPr>
    </w:p>
    <w:p w14:paraId="2C578E4C" w14:textId="5F49F167" w:rsidR="00D001CF" w:rsidRDefault="00066622" w:rsidP="00066622">
      <w:pPr>
        <w:rPr>
          <w:rFonts w:asciiTheme="majorHAnsi" w:eastAsiaTheme="majorEastAsia" w:hAnsiTheme="majorHAnsi" w:cstheme="majorBidi"/>
          <w:b/>
          <w:bCs/>
          <w:color w:val="365F91" w:themeColor="accent1" w:themeShade="BF"/>
          <w:sz w:val="28"/>
          <w:szCs w:val="28"/>
        </w:rPr>
      </w:pPr>
      <w:r w:rsidRPr="00066622">
        <w:rPr>
          <w:rFonts w:asciiTheme="majorHAnsi" w:eastAsiaTheme="majorEastAsia" w:hAnsiTheme="majorHAnsi" w:cstheme="majorBidi"/>
          <w:b/>
          <w:bCs/>
          <w:color w:val="365F91" w:themeColor="accent1" w:themeShade="BF"/>
          <w:sz w:val="28"/>
          <w:szCs w:val="28"/>
        </w:rPr>
        <w:lastRenderedPageBreak/>
        <w:t>TASK 1 – TABLES &amp; CALCULATIONS (UNILEVER PLC)</w:t>
      </w:r>
    </w:p>
    <w:p w14:paraId="74622D6A" w14:textId="0395CBC6" w:rsidR="00066622" w:rsidRPr="00066622" w:rsidRDefault="00066622" w:rsidP="00066622">
      <w:pPr>
        <w:rPr>
          <w:rFonts w:asciiTheme="majorHAnsi" w:eastAsiaTheme="majorEastAsia" w:hAnsiTheme="majorHAnsi" w:cstheme="majorBidi"/>
          <w:b/>
          <w:bCs/>
          <w:color w:val="365F91" w:themeColor="accent1" w:themeShade="BF"/>
          <w:sz w:val="28"/>
          <w:szCs w:val="28"/>
        </w:rPr>
      </w:pPr>
      <w:r w:rsidRPr="00066622">
        <w:rPr>
          <w:rFonts w:asciiTheme="majorHAnsi" w:eastAsiaTheme="majorEastAsia" w:hAnsiTheme="majorHAnsi" w:cstheme="majorBidi"/>
          <w:b/>
          <w:bCs/>
          <w:color w:val="365F91" w:themeColor="accent1" w:themeShade="BF"/>
          <w:sz w:val="28"/>
          <w:szCs w:val="28"/>
        </w:rPr>
        <w:t>Table 1: Summary of Key Financial Data</w:t>
      </w:r>
    </w:p>
    <w:tbl>
      <w:tblPr>
        <w:tblStyle w:val="GridTable4-Accent1"/>
        <w:tblW w:w="0" w:type="auto"/>
        <w:tblLook w:val="04A0" w:firstRow="1" w:lastRow="0" w:firstColumn="1" w:lastColumn="0" w:noHBand="0" w:noVBand="1"/>
      </w:tblPr>
      <w:tblGrid>
        <w:gridCol w:w="3223"/>
        <w:gridCol w:w="1592"/>
        <w:gridCol w:w="1701"/>
      </w:tblGrid>
      <w:tr w:rsidR="00066622" w:rsidRPr="00066622" w14:paraId="2217F6B2" w14:textId="77777777" w:rsidTr="000666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B6F655" w14:textId="77777777" w:rsidR="00066622" w:rsidRPr="00066622" w:rsidRDefault="00066622" w:rsidP="00066622">
            <w:pPr>
              <w:spacing w:after="200" w:line="276" w:lineRule="auto"/>
              <w:rPr>
                <w:sz w:val="24"/>
                <w:szCs w:val="24"/>
                <w:lang w:val="en-IN"/>
              </w:rPr>
            </w:pPr>
            <w:r w:rsidRPr="00066622">
              <w:rPr>
                <w:sz w:val="24"/>
                <w:szCs w:val="24"/>
                <w:lang w:val="en-IN"/>
              </w:rPr>
              <w:t>(£ million)</w:t>
            </w:r>
          </w:p>
        </w:tc>
        <w:tc>
          <w:tcPr>
            <w:tcW w:w="1592" w:type="dxa"/>
            <w:hideMark/>
          </w:tcPr>
          <w:p w14:paraId="7514FEC1" w14:textId="338E1C0F" w:rsidR="00066622" w:rsidRPr="00066622" w:rsidRDefault="00BA6F39" w:rsidP="00066622">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Pr>
                <w:sz w:val="24"/>
                <w:szCs w:val="24"/>
                <w:lang w:val="en-IN"/>
              </w:rPr>
              <w:t>2023</w:t>
            </w:r>
          </w:p>
        </w:tc>
        <w:tc>
          <w:tcPr>
            <w:tcW w:w="1701" w:type="dxa"/>
            <w:hideMark/>
          </w:tcPr>
          <w:p w14:paraId="417E3730" w14:textId="5E7A911E" w:rsidR="00066622" w:rsidRPr="00066622" w:rsidRDefault="00BA6F39" w:rsidP="00066622">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Pr>
                <w:sz w:val="24"/>
                <w:szCs w:val="24"/>
                <w:lang w:val="en-IN"/>
              </w:rPr>
              <w:t>2024</w:t>
            </w:r>
          </w:p>
        </w:tc>
      </w:tr>
      <w:tr w:rsidR="00066622" w:rsidRPr="00066622" w14:paraId="522902E9" w14:textId="77777777" w:rsidTr="000666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5FBE5E" w14:textId="77777777" w:rsidR="00066622" w:rsidRPr="00066622" w:rsidRDefault="00066622" w:rsidP="00066622">
            <w:pPr>
              <w:spacing w:after="200" w:line="276" w:lineRule="auto"/>
              <w:rPr>
                <w:sz w:val="24"/>
                <w:szCs w:val="24"/>
                <w:lang w:val="en-IN"/>
              </w:rPr>
            </w:pPr>
            <w:r w:rsidRPr="00066622">
              <w:rPr>
                <w:sz w:val="24"/>
                <w:szCs w:val="24"/>
                <w:lang w:val="en-IN"/>
              </w:rPr>
              <w:t>Revenue</w:t>
            </w:r>
          </w:p>
        </w:tc>
        <w:tc>
          <w:tcPr>
            <w:tcW w:w="1592" w:type="dxa"/>
            <w:hideMark/>
          </w:tcPr>
          <w:p w14:paraId="5016DC5D"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60,073</w:t>
            </w:r>
          </w:p>
        </w:tc>
        <w:tc>
          <w:tcPr>
            <w:tcW w:w="1701" w:type="dxa"/>
            <w:hideMark/>
          </w:tcPr>
          <w:p w14:paraId="1810A8D0"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59,604</w:t>
            </w:r>
          </w:p>
        </w:tc>
      </w:tr>
      <w:tr w:rsidR="00066622" w:rsidRPr="00066622" w14:paraId="20A6E921" w14:textId="77777777" w:rsidTr="00066622">
        <w:tc>
          <w:tcPr>
            <w:cnfStyle w:val="001000000000" w:firstRow="0" w:lastRow="0" w:firstColumn="1" w:lastColumn="0" w:oddVBand="0" w:evenVBand="0" w:oddHBand="0" w:evenHBand="0" w:firstRowFirstColumn="0" w:firstRowLastColumn="0" w:lastRowFirstColumn="0" w:lastRowLastColumn="0"/>
            <w:tcW w:w="0" w:type="auto"/>
            <w:hideMark/>
          </w:tcPr>
          <w:p w14:paraId="0A618C33" w14:textId="77777777" w:rsidR="00066622" w:rsidRPr="00066622" w:rsidRDefault="00066622" w:rsidP="00066622">
            <w:pPr>
              <w:spacing w:after="200" w:line="276" w:lineRule="auto"/>
              <w:rPr>
                <w:sz w:val="24"/>
                <w:szCs w:val="24"/>
                <w:lang w:val="en-IN"/>
              </w:rPr>
            </w:pPr>
            <w:r w:rsidRPr="00066622">
              <w:rPr>
                <w:sz w:val="24"/>
                <w:szCs w:val="24"/>
                <w:lang w:val="en-IN"/>
              </w:rPr>
              <w:t>Gross Profit</w:t>
            </w:r>
          </w:p>
        </w:tc>
        <w:tc>
          <w:tcPr>
            <w:tcW w:w="1592" w:type="dxa"/>
            <w:hideMark/>
          </w:tcPr>
          <w:p w14:paraId="5B4C350D"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26,800</w:t>
            </w:r>
          </w:p>
        </w:tc>
        <w:tc>
          <w:tcPr>
            <w:tcW w:w="1701" w:type="dxa"/>
            <w:hideMark/>
          </w:tcPr>
          <w:p w14:paraId="159C1A3A"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26,200</w:t>
            </w:r>
          </w:p>
        </w:tc>
      </w:tr>
      <w:tr w:rsidR="00066622" w:rsidRPr="00066622" w14:paraId="0C2C6E82" w14:textId="77777777" w:rsidTr="000666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4A6A75" w14:textId="77777777" w:rsidR="00066622" w:rsidRPr="00066622" w:rsidRDefault="00066622" w:rsidP="00066622">
            <w:pPr>
              <w:spacing w:after="200" w:line="276" w:lineRule="auto"/>
              <w:rPr>
                <w:sz w:val="24"/>
                <w:szCs w:val="24"/>
                <w:lang w:val="en-IN"/>
              </w:rPr>
            </w:pPr>
            <w:r w:rsidRPr="00066622">
              <w:rPr>
                <w:sz w:val="24"/>
                <w:szCs w:val="24"/>
                <w:lang w:val="en-IN"/>
              </w:rPr>
              <w:t>Operating Profit</w:t>
            </w:r>
          </w:p>
        </w:tc>
        <w:tc>
          <w:tcPr>
            <w:tcW w:w="1592" w:type="dxa"/>
            <w:hideMark/>
          </w:tcPr>
          <w:p w14:paraId="47E2F1AE"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9,700</w:t>
            </w:r>
          </w:p>
        </w:tc>
        <w:tc>
          <w:tcPr>
            <w:tcW w:w="1701" w:type="dxa"/>
            <w:hideMark/>
          </w:tcPr>
          <w:p w14:paraId="685E7E9E"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9,300</w:t>
            </w:r>
          </w:p>
        </w:tc>
      </w:tr>
      <w:tr w:rsidR="00066622" w:rsidRPr="00066622" w14:paraId="60A87055" w14:textId="77777777" w:rsidTr="00066622">
        <w:tc>
          <w:tcPr>
            <w:cnfStyle w:val="001000000000" w:firstRow="0" w:lastRow="0" w:firstColumn="1" w:lastColumn="0" w:oddVBand="0" w:evenVBand="0" w:oddHBand="0" w:evenHBand="0" w:firstRowFirstColumn="0" w:firstRowLastColumn="0" w:lastRowFirstColumn="0" w:lastRowLastColumn="0"/>
            <w:tcW w:w="0" w:type="auto"/>
            <w:hideMark/>
          </w:tcPr>
          <w:p w14:paraId="1F98356A" w14:textId="77777777" w:rsidR="00066622" w:rsidRPr="00066622" w:rsidRDefault="00066622" w:rsidP="00066622">
            <w:pPr>
              <w:spacing w:after="200" w:line="276" w:lineRule="auto"/>
              <w:rPr>
                <w:sz w:val="24"/>
                <w:szCs w:val="24"/>
                <w:lang w:val="en-IN"/>
              </w:rPr>
            </w:pPr>
            <w:r w:rsidRPr="00066622">
              <w:rPr>
                <w:sz w:val="24"/>
                <w:szCs w:val="24"/>
                <w:lang w:val="en-IN"/>
              </w:rPr>
              <w:t>Profit After Tax</w:t>
            </w:r>
          </w:p>
        </w:tc>
        <w:tc>
          <w:tcPr>
            <w:tcW w:w="1592" w:type="dxa"/>
            <w:hideMark/>
          </w:tcPr>
          <w:p w14:paraId="2D45E239"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7,600</w:t>
            </w:r>
          </w:p>
        </w:tc>
        <w:tc>
          <w:tcPr>
            <w:tcW w:w="1701" w:type="dxa"/>
            <w:hideMark/>
          </w:tcPr>
          <w:p w14:paraId="6D047FD1"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7,200</w:t>
            </w:r>
          </w:p>
        </w:tc>
      </w:tr>
      <w:tr w:rsidR="00066622" w:rsidRPr="00066622" w14:paraId="78B2AE39" w14:textId="77777777" w:rsidTr="000666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EA4D03" w14:textId="77777777" w:rsidR="00066622" w:rsidRPr="00066622" w:rsidRDefault="00066622" w:rsidP="00066622">
            <w:pPr>
              <w:spacing w:after="200" w:line="276" w:lineRule="auto"/>
              <w:rPr>
                <w:sz w:val="24"/>
                <w:szCs w:val="24"/>
                <w:lang w:val="en-IN"/>
              </w:rPr>
            </w:pPr>
            <w:r w:rsidRPr="00066622">
              <w:rPr>
                <w:sz w:val="24"/>
                <w:szCs w:val="24"/>
                <w:lang w:val="en-IN"/>
              </w:rPr>
              <w:t>Current Assets</w:t>
            </w:r>
          </w:p>
        </w:tc>
        <w:tc>
          <w:tcPr>
            <w:tcW w:w="1592" w:type="dxa"/>
            <w:hideMark/>
          </w:tcPr>
          <w:p w14:paraId="0F9947A8"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20,500</w:t>
            </w:r>
          </w:p>
        </w:tc>
        <w:tc>
          <w:tcPr>
            <w:tcW w:w="1701" w:type="dxa"/>
            <w:hideMark/>
          </w:tcPr>
          <w:p w14:paraId="065EAA2A"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19,800</w:t>
            </w:r>
          </w:p>
        </w:tc>
      </w:tr>
      <w:tr w:rsidR="00066622" w:rsidRPr="00066622" w14:paraId="3468C9CD" w14:textId="77777777" w:rsidTr="00066622">
        <w:tc>
          <w:tcPr>
            <w:cnfStyle w:val="001000000000" w:firstRow="0" w:lastRow="0" w:firstColumn="1" w:lastColumn="0" w:oddVBand="0" w:evenVBand="0" w:oddHBand="0" w:evenHBand="0" w:firstRowFirstColumn="0" w:firstRowLastColumn="0" w:lastRowFirstColumn="0" w:lastRowLastColumn="0"/>
            <w:tcW w:w="0" w:type="auto"/>
            <w:hideMark/>
          </w:tcPr>
          <w:p w14:paraId="79D2BDE9" w14:textId="77777777" w:rsidR="00066622" w:rsidRPr="00066622" w:rsidRDefault="00066622" w:rsidP="00066622">
            <w:pPr>
              <w:spacing w:after="200" w:line="276" w:lineRule="auto"/>
              <w:rPr>
                <w:sz w:val="24"/>
                <w:szCs w:val="24"/>
                <w:lang w:val="en-IN"/>
              </w:rPr>
            </w:pPr>
            <w:r w:rsidRPr="00066622">
              <w:rPr>
                <w:sz w:val="24"/>
                <w:szCs w:val="24"/>
                <w:lang w:val="en-IN"/>
              </w:rPr>
              <w:t>Inventory</w:t>
            </w:r>
          </w:p>
        </w:tc>
        <w:tc>
          <w:tcPr>
            <w:tcW w:w="1592" w:type="dxa"/>
            <w:hideMark/>
          </w:tcPr>
          <w:p w14:paraId="24CC8191"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7,100</w:t>
            </w:r>
          </w:p>
        </w:tc>
        <w:tc>
          <w:tcPr>
            <w:tcW w:w="1701" w:type="dxa"/>
            <w:hideMark/>
          </w:tcPr>
          <w:p w14:paraId="54935D22"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6,800</w:t>
            </w:r>
          </w:p>
        </w:tc>
      </w:tr>
      <w:tr w:rsidR="00066622" w:rsidRPr="00066622" w14:paraId="3049E5BB" w14:textId="77777777" w:rsidTr="000666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129F41" w14:textId="77777777" w:rsidR="00066622" w:rsidRPr="00066622" w:rsidRDefault="00066622" w:rsidP="00066622">
            <w:pPr>
              <w:spacing w:after="200" w:line="276" w:lineRule="auto"/>
              <w:rPr>
                <w:sz w:val="24"/>
                <w:szCs w:val="24"/>
                <w:lang w:val="en-IN"/>
              </w:rPr>
            </w:pPr>
            <w:r w:rsidRPr="00066622">
              <w:rPr>
                <w:sz w:val="24"/>
                <w:szCs w:val="24"/>
                <w:lang w:val="en-IN"/>
              </w:rPr>
              <w:t>Current Liabilities</w:t>
            </w:r>
          </w:p>
        </w:tc>
        <w:tc>
          <w:tcPr>
            <w:tcW w:w="1592" w:type="dxa"/>
            <w:hideMark/>
          </w:tcPr>
          <w:p w14:paraId="6C745C06"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24,600</w:t>
            </w:r>
          </w:p>
        </w:tc>
        <w:tc>
          <w:tcPr>
            <w:tcW w:w="1701" w:type="dxa"/>
            <w:hideMark/>
          </w:tcPr>
          <w:p w14:paraId="46FB4319"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23,900</w:t>
            </w:r>
          </w:p>
        </w:tc>
      </w:tr>
      <w:tr w:rsidR="00066622" w:rsidRPr="00066622" w14:paraId="5A46B82F" w14:textId="77777777" w:rsidTr="00066622">
        <w:tc>
          <w:tcPr>
            <w:cnfStyle w:val="001000000000" w:firstRow="0" w:lastRow="0" w:firstColumn="1" w:lastColumn="0" w:oddVBand="0" w:evenVBand="0" w:oddHBand="0" w:evenHBand="0" w:firstRowFirstColumn="0" w:firstRowLastColumn="0" w:lastRowFirstColumn="0" w:lastRowLastColumn="0"/>
            <w:tcW w:w="0" w:type="auto"/>
            <w:hideMark/>
          </w:tcPr>
          <w:p w14:paraId="1DFF13FF" w14:textId="77777777" w:rsidR="00066622" w:rsidRPr="00066622" w:rsidRDefault="00066622" w:rsidP="00066622">
            <w:pPr>
              <w:spacing w:after="200" w:line="276" w:lineRule="auto"/>
              <w:rPr>
                <w:sz w:val="24"/>
                <w:szCs w:val="24"/>
                <w:lang w:val="en-IN"/>
              </w:rPr>
            </w:pPr>
            <w:r w:rsidRPr="00066622">
              <w:rPr>
                <w:sz w:val="24"/>
                <w:szCs w:val="24"/>
                <w:lang w:val="en-IN"/>
              </w:rPr>
              <w:t>Total Debt</w:t>
            </w:r>
          </w:p>
        </w:tc>
        <w:tc>
          <w:tcPr>
            <w:tcW w:w="1592" w:type="dxa"/>
            <w:hideMark/>
          </w:tcPr>
          <w:p w14:paraId="5DAEE80A"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29,400</w:t>
            </w:r>
          </w:p>
        </w:tc>
        <w:tc>
          <w:tcPr>
            <w:tcW w:w="1701" w:type="dxa"/>
            <w:hideMark/>
          </w:tcPr>
          <w:p w14:paraId="1A08AFA3"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30,100</w:t>
            </w:r>
          </w:p>
        </w:tc>
      </w:tr>
      <w:tr w:rsidR="00066622" w:rsidRPr="00066622" w14:paraId="3AABB358" w14:textId="77777777" w:rsidTr="000666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14D736" w14:textId="77777777" w:rsidR="00066622" w:rsidRPr="00066622" w:rsidRDefault="00066622" w:rsidP="00066622">
            <w:pPr>
              <w:spacing w:after="200" w:line="276" w:lineRule="auto"/>
              <w:rPr>
                <w:sz w:val="24"/>
                <w:szCs w:val="24"/>
                <w:lang w:val="en-IN"/>
              </w:rPr>
            </w:pPr>
            <w:r w:rsidRPr="00066622">
              <w:rPr>
                <w:sz w:val="24"/>
                <w:szCs w:val="24"/>
                <w:lang w:val="en-IN"/>
              </w:rPr>
              <w:t>Total Equity</w:t>
            </w:r>
          </w:p>
        </w:tc>
        <w:tc>
          <w:tcPr>
            <w:tcW w:w="1592" w:type="dxa"/>
            <w:hideMark/>
          </w:tcPr>
          <w:p w14:paraId="48912149"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18,200</w:t>
            </w:r>
          </w:p>
        </w:tc>
        <w:tc>
          <w:tcPr>
            <w:tcW w:w="1701" w:type="dxa"/>
            <w:hideMark/>
          </w:tcPr>
          <w:p w14:paraId="02B6D23A"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17,800</w:t>
            </w:r>
          </w:p>
        </w:tc>
      </w:tr>
      <w:tr w:rsidR="00066622" w:rsidRPr="00066622" w14:paraId="37DEF70B" w14:textId="77777777" w:rsidTr="00066622">
        <w:tc>
          <w:tcPr>
            <w:cnfStyle w:val="001000000000" w:firstRow="0" w:lastRow="0" w:firstColumn="1" w:lastColumn="0" w:oddVBand="0" w:evenVBand="0" w:oddHBand="0" w:evenHBand="0" w:firstRowFirstColumn="0" w:firstRowLastColumn="0" w:lastRowFirstColumn="0" w:lastRowLastColumn="0"/>
            <w:tcW w:w="0" w:type="auto"/>
            <w:hideMark/>
          </w:tcPr>
          <w:p w14:paraId="680BFA41" w14:textId="77777777" w:rsidR="00066622" w:rsidRPr="00066622" w:rsidRDefault="00066622" w:rsidP="00066622">
            <w:pPr>
              <w:spacing w:after="200" w:line="276" w:lineRule="auto"/>
              <w:rPr>
                <w:sz w:val="24"/>
                <w:szCs w:val="24"/>
                <w:lang w:val="en-IN"/>
              </w:rPr>
            </w:pPr>
            <w:r w:rsidRPr="00066622">
              <w:rPr>
                <w:sz w:val="24"/>
                <w:szCs w:val="24"/>
                <w:lang w:val="en-IN"/>
              </w:rPr>
              <w:t>Finance Costs</w:t>
            </w:r>
          </w:p>
        </w:tc>
        <w:tc>
          <w:tcPr>
            <w:tcW w:w="1592" w:type="dxa"/>
            <w:hideMark/>
          </w:tcPr>
          <w:p w14:paraId="2E8C84CD"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1,150</w:t>
            </w:r>
          </w:p>
        </w:tc>
        <w:tc>
          <w:tcPr>
            <w:tcW w:w="1701" w:type="dxa"/>
            <w:hideMark/>
          </w:tcPr>
          <w:p w14:paraId="5FCF899B"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1,250</w:t>
            </w:r>
          </w:p>
        </w:tc>
      </w:tr>
      <w:tr w:rsidR="00066622" w:rsidRPr="00066622" w14:paraId="03118CF4" w14:textId="77777777" w:rsidTr="000666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B844DF" w14:textId="77777777" w:rsidR="00066622" w:rsidRPr="00066622" w:rsidRDefault="00066622" w:rsidP="00066622">
            <w:pPr>
              <w:spacing w:after="200" w:line="276" w:lineRule="auto"/>
              <w:rPr>
                <w:sz w:val="24"/>
                <w:szCs w:val="24"/>
                <w:lang w:val="en-IN"/>
              </w:rPr>
            </w:pPr>
            <w:r w:rsidRPr="00066622">
              <w:rPr>
                <w:sz w:val="24"/>
                <w:szCs w:val="24"/>
                <w:lang w:val="en-IN"/>
              </w:rPr>
              <w:t>Cost of Sales</w:t>
            </w:r>
          </w:p>
        </w:tc>
        <w:tc>
          <w:tcPr>
            <w:tcW w:w="1592" w:type="dxa"/>
            <w:hideMark/>
          </w:tcPr>
          <w:p w14:paraId="5B372415"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33,273</w:t>
            </w:r>
          </w:p>
        </w:tc>
        <w:tc>
          <w:tcPr>
            <w:tcW w:w="1701" w:type="dxa"/>
            <w:hideMark/>
          </w:tcPr>
          <w:p w14:paraId="6D702A3E"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33,404</w:t>
            </w:r>
          </w:p>
        </w:tc>
      </w:tr>
      <w:tr w:rsidR="00066622" w:rsidRPr="00066622" w14:paraId="3374A75C" w14:textId="77777777" w:rsidTr="00066622">
        <w:tc>
          <w:tcPr>
            <w:cnfStyle w:val="001000000000" w:firstRow="0" w:lastRow="0" w:firstColumn="1" w:lastColumn="0" w:oddVBand="0" w:evenVBand="0" w:oddHBand="0" w:evenHBand="0" w:firstRowFirstColumn="0" w:firstRowLastColumn="0" w:lastRowFirstColumn="0" w:lastRowLastColumn="0"/>
            <w:tcW w:w="0" w:type="auto"/>
            <w:hideMark/>
          </w:tcPr>
          <w:p w14:paraId="53592D01" w14:textId="77777777" w:rsidR="00066622" w:rsidRPr="00066622" w:rsidRDefault="00066622" w:rsidP="00066622">
            <w:pPr>
              <w:spacing w:after="200" w:line="276" w:lineRule="auto"/>
              <w:rPr>
                <w:sz w:val="24"/>
                <w:szCs w:val="24"/>
                <w:lang w:val="en-IN"/>
              </w:rPr>
            </w:pPr>
            <w:r w:rsidRPr="00066622">
              <w:rPr>
                <w:sz w:val="24"/>
                <w:szCs w:val="24"/>
                <w:lang w:val="en-IN"/>
              </w:rPr>
              <w:t>Trade Receivables</w:t>
            </w:r>
          </w:p>
        </w:tc>
        <w:tc>
          <w:tcPr>
            <w:tcW w:w="1592" w:type="dxa"/>
            <w:hideMark/>
          </w:tcPr>
          <w:p w14:paraId="1F205A55"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9,000</w:t>
            </w:r>
          </w:p>
        </w:tc>
        <w:tc>
          <w:tcPr>
            <w:tcW w:w="1701" w:type="dxa"/>
            <w:hideMark/>
          </w:tcPr>
          <w:p w14:paraId="373626A0"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8,600</w:t>
            </w:r>
          </w:p>
        </w:tc>
      </w:tr>
      <w:tr w:rsidR="00066622" w:rsidRPr="00066622" w14:paraId="4F537CEB" w14:textId="77777777" w:rsidTr="000666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454918" w14:textId="77777777" w:rsidR="00066622" w:rsidRPr="00066622" w:rsidRDefault="00066622" w:rsidP="00066622">
            <w:pPr>
              <w:spacing w:after="200" w:line="276" w:lineRule="auto"/>
              <w:rPr>
                <w:sz w:val="24"/>
                <w:szCs w:val="24"/>
                <w:lang w:val="en-IN"/>
              </w:rPr>
            </w:pPr>
            <w:r w:rsidRPr="00066622">
              <w:rPr>
                <w:sz w:val="24"/>
                <w:szCs w:val="24"/>
                <w:lang w:val="en-IN"/>
              </w:rPr>
              <w:t>Number of Shares (million)</w:t>
            </w:r>
          </w:p>
        </w:tc>
        <w:tc>
          <w:tcPr>
            <w:tcW w:w="1592" w:type="dxa"/>
            <w:hideMark/>
          </w:tcPr>
          <w:p w14:paraId="0611DAF0"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2,600</w:t>
            </w:r>
          </w:p>
        </w:tc>
        <w:tc>
          <w:tcPr>
            <w:tcW w:w="1701" w:type="dxa"/>
            <w:hideMark/>
          </w:tcPr>
          <w:p w14:paraId="7608EC05" w14:textId="77777777" w:rsidR="00066622" w:rsidRPr="00066622" w:rsidRDefault="00066622" w:rsidP="00066622">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66622">
              <w:rPr>
                <w:sz w:val="24"/>
                <w:szCs w:val="24"/>
                <w:lang w:val="en-IN"/>
              </w:rPr>
              <w:t>2,600</w:t>
            </w:r>
          </w:p>
        </w:tc>
      </w:tr>
      <w:tr w:rsidR="00066622" w:rsidRPr="00066622" w14:paraId="4858FA69" w14:textId="77777777" w:rsidTr="00066622">
        <w:tc>
          <w:tcPr>
            <w:cnfStyle w:val="001000000000" w:firstRow="0" w:lastRow="0" w:firstColumn="1" w:lastColumn="0" w:oddVBand="0" w:evenVBand="0" w:oddHBand="0" w:evenHBand="0" w:firstRowFirstColumn="0" w:firstRowLastColumn="0" w:lastRowFirstColumn="0" w:lastRowLastColumn="0"/>
            <w:tcW w:w="0" w:type="auto"/>
            <w:hideMark/>
          </w:tcPr>
          <w:p w14:paraId="50EC1C03" w14:textId="77777777" w:rsidR="00066622" w:rsidRPr="00066622" w:rsidRDefault="00066622" w:rsidP="00066622">
            <w:pPr>
              <w:spacing w:after="200" w:line="276" w:lineRule="auto"/>
              <w:rPr>
                <w:sz w:val="24"/>
                <w:szCs w:val="24"/>
                <w:lang w:val="en-IN"/>
              </w:rPr>
            </w:pPr>
            <w:r w:rsidRPr="00066622">
              <w:rPr>
                <w:sz w:val="24"/>
                <w:szCs w:val="24"/>
                <w:lang w:val="en-IN"/>
              </w:rPr>
              <w:t>Dividends Paid (£m)</w:t>
            </w:r>
          </w:p>
        </w:tc>
        <w:tc>
          <w:tcPr>
            <w:tcW w:w="1592" w:type="dxa"/>
            <w:hideMark/>
          </w:tcPr>
          <w:p w14:paraId="0CFB745D"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4,300</w:t>
            </w:r>
          </w:p>
        </w:tc>
        <w:tc>
          <w:tcPr>
            <w:tcW w:w="1701" w:type="dxa"/>
            <w:hideMark/>
          </w:tcPr>
          <w:p w14:paraId="25ABBC06" w14:textId="77777777" w:rsidR="00066622" w:rsidRPr="00066622" w:rsidRDefault="00066622" w:rsidP="00066622">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66622">
              <w:rPr>
                <w:sz w:val="24"/>
                <w:szCs w:val="24"/>
                <w:lang w:val="en-IN"/>
              </w:rPr>
              <w:t>4,100</w:t>
            </w:r>
          </w:p>
        </w:tc>
      </w:tr>
    </w:tbl>
    <w:p w14:paraId="0ABEEC12" w14:textId="2106E477" w:rsidR="00066622" w:rsidRDefault="00066622" w:rsidP="00066622">
      <w:pPr>
        <w:rPr>
          <w:sz w:val="24"/>
          <w:szCs w:val="24"/>
          <w:lang w:val="en-IN"/>
        </w:rPr>
      </w:pPr>
      <w:r w:rsidRPr="00066622">
        <w:rPr>
          <w:sz w:val="24"/>
          <w:szCs w:val="24"/>
          <w:lang w:val="en-IN"/>
        </w:rPr>
        <w:t xml:space="preserve"> </w:t>
      </w:r>
    </w:p>
    <w:p w14:paraId="3B1165E4" w14:textId="77777777" w:rsidR="00D87DC7" w:rsidRDefault="00D87DC7">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541B7ACC" w14:textId="36A38AD2" w:rsidR="00066622" w:rsidRDefault="00066622" w:rsidP="00066622">
      <w:pPr>
        <w:rPr>
          <w:rFonts w:asciiTheme="majorHAnsi" w:eastAsiaTheme="majorEastAsia" w:hAnsiTheme="majorHAnsi" w:cstheme="majorBidi"/>
          <w:b/>
          <w:bCs/>
          <w:color w:val="365F91" w:themeColor="accent1" w:themeShade="BF"/>
          <w:sz w:val="28"/>
          <w:szCs w:val="28"/>
        </w:rPr>
      </w:pPr>
      <w:r w:rsidRPr="00066622">
        <w:rPr>
          <w:rFonts w:asciiTheme="majorHAnsi" w:eastAsiaTheme="majorEastAsia" w:hAnsiTheme="majorHAnsi" w:cstheme="majorBidi"/>
          <w:b/>
          <w:bCs/>
          <w:color w:val="365F91" w:themeColor="accent1" w:themeShade="BF"/>
          <w:sz w:val="28"/>
          <w:szCs w:val="28"/>
        </w:rPr>
        <w:lastRenderedPageBreak/>
        <w:t>Table 2: Profitability Ratios</w:t>
      </w:r>
    </w:p>
    <w:p w14:paraId="239AE946" w14:textId="77777777" w:rsidR="008E0593" w:rsidRDefault="008E0593">
      <w:pPr>
        <w:rPr>
          <w:b/>
          <w:bCs/>
        </w:rPr>
      </w:pPr>
      <w:r w:rsidRPr="008E0593">
        <w:rPr>
          <w:b/>
          <w:bCs/>
        </w:rPr>
        <w:t>Gross Profit Margin</w:t>
      </w:r>
    </w:p>
    <w:p w14:paraId="39D69D26" w14:textId="77777777" w:rsidR="008E0593" w:rsidRDefault="008E0593">
      <w:pPr>
        <w:rPr>
          <w:b/>
          <w:bCs/>
          <w:sz w:val="24"/>
          <w:szCs w:val="24"/>
        </w:rPr>
      </w:pPr>
      <w:r w:rsidRPr="008E0593">
        <w:rPr>
          <w:b/>
          <w:bCs/>
          <w:sz w:val="24"/>
          <w:szCs w:val="24"/>
        </w:rPr>
        <w:t>Formula:</w:t>
      </w:r>
      <w:r w:rsidRPr="008E0593">
        <w:rPr>
          <w:sz w:val="24"/>
          <w:szCs w:val="24"/>
        </w:rPr>
        <w:br/>
        <w:t>Gross Profit ÷ Revenue × 100</w:t>
      </w:r>
      <w:r w:rsidRPr="008E0593">
        <w:rPr>
          <w:b/>
          <w:bCs/>
          <w:sz w:val="24"/>
          <w:szCs w:val="24"/>
        </w:rPr>
        <w:t xml:space="preserve"> </w:t>
      </w:r>
    </w:p>
    <w:tbl>
      <w:tblPr>
        <w:tblStyle w:val="GridTable4-Accent1"/>
        <w:tblW w:w="0" w:type="auto"/>
        <w:tblLook w:val="04A0" w:firstRow="1" w:lastRow="0" w:firstColumn="1" w:lastColumn="0" w:noHBand="0" w:noVBand="1"/>
      </w:tblPr>
      <w:tblGrid>
        <w:gridCol w:w="1696"/>
        <w:gridCol w:w="2835"/>
        <w:gridCol w:w="2127"/>
      </w:tblGrid>
      <w:tr w:rsidR="008E0593" w:rsidRPr="008E0593" w14:paraId="750349E5" w14:textId="77777777" w:rsidTr="008E05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1000FE71" w14:textId="77777777" w:rsidR="008E0593" w:rsidRPr="008E0593" w:rsidRDefault="008E0593" w:rsidP="008E0593">
            <w:pPr>
              <w:spacing w:after="200" w:line="276" w:lineRule="auto"/>
              <w:rPr>
                <w:sz w:val="24"/>
                <w:szCs w:val="24"/>
                <w:lang w:val="en-IN"/>
              </w:rPr>
            </w:pPr>
            <w:r w:rsidRPr="008E0593">
              <w:rPr>
                <w:sz w:val="24"/>
                <w:szCs w:val="24"/>
                <w:lang w:val="en-IN"/>
              </w:rPr>
              <w:t>Year</w:t>
            </w:r>
          </w:p>
        </w:tc>
        <w:tc>
          <w:tcPr>
            <w:tcW w:w="2835" w:type="dxa"/>
            <w:hideMark/>
          </w:tcPr>
          <w:p w14:paraId="112DE04A" w14:textId="77777777" w:rsidR="008E0593" w:rsidRPr="008E0593" w:rsidRDefault="008E0593" w:rsidP="008E059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8E0593">
              <w:rPr>
                <w:sz w:val="24"/>
                <w:szCs w:val="24"/>
                <w:lang w:val="en-IN"/>
              </w:rPr>
              <w:t>Calculation</w:t>
            </w:r>
          </w:p>
        </w:tc>
        <w:tc>
          <w:tcPr>
            <w:tcW w:w="2127" w:type="dxa"/>
            <w:hideMark/>
          </w:tcPr>
          <w:p w14:paraId="280222F1" w14:textId="77777777" w:rsidR="008E0593" w:rsidRPr="008E0593" w:rsidRDefault="008E0593" w:rsidP="008E059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8E0593">
              <w:rPr>
                <w:sz w:val="24"/>
                <w:szCs w:val="24"/>
                <w:lang w:val="en-IN"/>
              </w:rPr>
              <w:t>Result</w:t>
            </w:r>
          </w:p>
        </w:tc>
      </w:tr>
      <w:tr w:rsidR="008E0593" w:rsidRPr="008E0593" w14:paraId="0201B039" w14:textId="77777777" w:rsidTr="008E0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1A36C7EF" w14:textId="35B01999" w:rsidR="008E0593" w:rsidRPr="008E0593" w:rsidRDefault="00BA6F39" w:rsidP="008E0593">
            <w:pPr>
              <w:spacing w:after="200" w:line="276" w:lineRule="auto"/>
              <w:rPr>
                <w:sz w:val="24"/>
                <w:szCs w:val="24"/>
                <w:lang w:val="en-IN"/>
              </w:rPr>
            </w:pPr>
            <w:r>
              <w:rPr>
                <w:sz w:val="24"/>
                <w:szCs w:val="24"/>
                <w:lang w:val="en-IN"/>
              </w:rPr>
              <w:t>2023</w:t>
            </w:r>
          </w:p>
        </w:tc>
        <w:tc>
          <w:tcPr>
            <w:tcW w:w="2835" w:type="dxa"/>
            <w:hideMark/>
          </w:tcPr>
          <w:p w14:paraId="42A0EB79" w14:textId="77777777" w:rsidR="008E0593" w:rsidRPr="008E0593" w:rsidRDefault="008E0593" w:rsidP="008E059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8E0593">
              <w:rPr>
                <w:sz w:val="24"/>
                <w:szCs w:val="24"/>
                <w:lang w:val="en-IN"/>
              </w:rPr>
              <w:t>26,800 ÷ 60,073 × 100</w:t>
            </w:r>
          </w:p>
        </w:tc>
        <w:tc>
          <w:tcPr>
            <w:tcW w:w="2127" w:type="dxa"/>
            <w:hideMark/>
          </w:tcPr>
          <w:p w14:paraId="32765E05" w14:textId="77777777" w:rsidR="008E0593" w:rsidRPr="008E0593" w:rsidRDefault="008E0593" w:rsidP="008E059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8E0593">
              <w:rPr>
                <w:b/>
                <w:bCs/>
                <w:sz w:val="24"/>
                <w:szCs w:val="24"/>
                <w:lang w:val="en-IN"/>
              </w:rPr>
              <w:t>44.6%</w:t>
            </w:r>
          </w:p>
        </w:tc>
      </w:tr>
      <w:tr w:rsidR="008E0593" w:rsidRPr="008E0593" w14:paraId="2EE38924" w14:textId="77777777" w:rsidTr="008E0593">
        <w:tc>
          <w:tcPr>
            <w:cnfStyle w:val="001000000000" w:firstRow="0" w:lastRow="0" w:firstColumn="1" w:lastColumn="0" w:oddVBand="0" w:evenVBand="0" w:oddHBand="0" w:evenHBand="0" w:firstRowFirstColumn="0" w:firstRowLastColumn="0" w:lastRowFirstColumn="0" w:lastRowLastColumn="0"/>
            <w:tcW w:w="1696" w:type="dxa"/>
            <w:hideMark/>
          </w:tcPr>
          <w:p w14:paraId="15D23C59" w14:textId="66C8CF9E" w:rsidR="008E0593" w:rsidRPr="008E0593" w:rsidRDefault="00BA6F39" w:rsidP="008E0593">
            <w:pPr>
              <w:spacing w:after="200" w:line="276" w:lineRule="auto"/>
              <w:rPr>
                <w:sz w:val="24"/>
                <w:szCs w:val="24"/>
                <w:lang w:val="en-IN"/>
              </w:rPr>
            </w:pPr>
            <w:r>
              <w:rPr>
                <w:sz w:val="24"/>
                <w:szCs w:val="24"/>
                <w:lang w:val="en-IN"/>
              </w:rPr>
              <w:t>2024</w:t>
            </w:r>
          </w:p>
        </w:tc>
        <w:tc>
          <w:tcPr>
            <w:tcW w:w="2835" w:type="dxa"/>
            <w:hideMark/>
          </w:tcPr>
          <w:p w14:paraId="3D61DA4E" w14:textId="77777777" w:rsidR="008E0593" w:rsidRPr="008E0593" w:rsidRDefault="008E0593" w:rsidP="008E059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8E0593">
              <w:rPr>
                <w:sz w:val="24"/>
                <w:szCs w:val="24"/>
                <w:lang w:val="en-IN"/>
              </w:rPr>
              <w:t>26,200 ÷ 59,604 × 100</w:t>
            </w:r>
          </w:p>
        </w:tc>
        <w:tc>
          <w:tcPr>
            <w:tcW w:w="2127" w:type="dxa"/>
            <w:hideMark/>
          </w:tcPr>
          <w:p w14:paraId="6E00C71D" w14:textId="77777777" w:rsidR="008E0593" w:rsidRPr="008E0593" w:rsidRDefault="008E0593" w:rsidP="008E059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8E0593">
              <w:rPr>
                <w:b/>
                <w:bCs/>
                <w:sz w:val="24"/>
                <w:szCs w:val="24"/>
                <w:lang w:val="en-IN"/>
              </w:rPr>
              <w:t>43.9%</w:t>
            </w:r>
          </w:p>
        </w:tc>
      </w:tr>
    </w:tbl>
    <w:p w14:paraId="444B2EC6" w14:textId="77777777" w:rsidR="008E0593" w:rsidRDefault="008E0593" w:rsidP="008E0593">
      <w:pPr>
        <w:rPr>
          <w:b/>
          <w:bCs/>
          <w:sz w:val="24"/>
          <w:szCs w:val="24"/>
        </w:rPr>
      </w:pPr>
      <w:r w:rsidRPr="008E0593">
        <w:rPr>
          <w:b/>
          <w:bCs/>
          <w:sz w:val="24"/>
          <w:szCs w:val="24"/>
        </w:rPr>
        <w:t xml:space="preserve"> </w:t>
      </w:r>
    </w:p>
    <w:p w14:paraId="167C067C" w14:textId="2EA67E62" w:rsidR="008E0593" w:rsidRDefault="008E0593" w:rsidP="008E0593">
      <w:pPr>
        <w:rPr>
          <w:b/>
          <w:bCs/>
        </w:rPr>
      </w:pPr>
      <w:r w:rsidRPr="008E0593">
        <w:rPr>
          <w:b/>
          <w:bCs/>
        </w:rPr>
        <w:t>Operating Profit Margin</w:t>
      </w:r>
    </w:p>
    <w:p w14:paraId="1EA08371" w14:textId="37E9D9F4" w:rsidR="008E0593" w:rsidRPr="008E0593" w:rsidRDefault="008E0593" w:rsidP="008E0593">
      <w:pPr>
        <w:rPr>
          <w:b/>
          <w:bCs/>
          <w:sz w:val="24"/>
          <w:szCs w:val="24"/>
        </w:rPr>
      </w:pPr>
      <w:r w:rsidRPr="008E0593">
        <w:rPr>
          <w:b/>
          <w:bCs/>
          <w:sz w:val="24"/>
          <w:szCs w:val="24"/>
        </w:rPr>
        <w:t>Formula:</w:t>
      </w:r>
      <w:r w:rsidRPr="008E0593">
        <w:rPr>
          <w:sz w:val="24"/>
          <w:szCs w:val="24"/>
        </w:rPr>
        <w:br/>
        <w:t>Operating Profit ÷ Revenue × 100</w:t>
      </w:r>
      <w:r w:rsidRPr="008E0593">
        <w:rPr>
          <w:b/>
          <w:bCs/>
          <w:sz w:val="24"/>
          <w:szCs w:val="24"/>
        </w:rPr>
        <w:t xml:space="preserve"> </w:t>
      </w:r>
    </w:p>
    <w:tbl>
      <w:tblPr>
        <w:tblStyle w:val="GridTable4-Accent1"/>
        <w:tblW w:w="0" w:type="auto"/>
        <w:tblLook w:val="04A0" w:firstRow="1" w:lastRow="0" w:firstColumn="1" w:lastColumn="0" w:noHBand="0" w:noVBand="1"/>
      </w:tblPr>
      <w:tblGrid>
        <w:gridCol w:w="1696"/>
        <w:gridCol w:w="2835"/>
        <w:gridCol w:w="2127"/>
      </w:tblGrid>
      <w:tr w:rsidR="008E0593" w:rsidRPr="008E0593" w14:paraId="072DAA7A" w14:textId="77777777" w:rsidTr="008E05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37B27C99" w14:textId="77777777" w:rsidR="008E0593" w:rsidRPr="008E0593" w:rsidRDefault="008E0593" w:rsidP="008E0593">
            <w:pPr>
              <w:spacing w:after="200" w:line="276" w:lineRule="auto"/>
              <w:rPr>
                <w:sz w:val="24"/>
                <w:szCs w:val="24"/>
                <w:lang w:val="en-IN"/>
              </w:rPr>
            </w:pPr>
            <w:r w:rsidRPr="008E0593">
              <w:rPr>
                <w:sz w:val="24"/>
                <w:szCs w:val="24"/>
                <w:lang w:val="en-IN"/>
              </w:rPr>
              <w:t>Year</w:t>
            </w:r>
          </w:p>
        </w:tc>
        <w:tc>
          <w:tcPr>
            <w:tcW w:w="2835" w:type="dxa"/>
            <w:hideMark/>
          </w:tcPr>
          <w:p w14:paraId="5562C1BD" w14:textId="77777777" w:rsidR="008E0593" w:rsidRPr="008E0593" w:rsidRDefault="008E0593" w:rsidP="008E059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8E0593">
              <w:rPr>
                <w:sz w:val="24"/>
                <w:szCs w:val="24"/>
                <w:lang w:val="en-IN"/>
              </w:rPr>
              <w:t>Calculation</w:t>
            </w:r>
          </w:p>
        </w:tc>
        <w:tc>
          <w:tcPr>
            <w:tcW w:w="2127" w:type="dxa"/>
            <w:hideMark/>
          </w:tcPr>
          <w:p w14:paraId="48AF466D" w14:textId="77777777" w:rsidR="008E0593" w:rsidRPr="008E0593" w:rsidRDefault="008E0593" w:rsidP="008E059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8E0593">
              <w:rPr>
                <w:sz w:val="24"/>
                <w:szCs w:val="24"/>
                <w:lang w:val="en-IN"/>
              </w:rPr>
              <w:t>Result</w:t>
            </w:r>
          </w:p>
        </w:tc>
      </w:tr>
      <w:tr w:rsidR="008E0593" w:rsidRPr="008E0593" w14:paraId="3E3F2936" w14:textId="77777777" w:rsidTr="008E0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7DF1CCDA" w14:textId="2A633FF9" w:rsidR="008E0593" w:rsidRPr="008E0593" w:rsidRDefault="00BA6F39" w:rsidP="008E0593">
            <w:pPr>
              <w:spacing w:after="200" w:line="276" w:lineRule="auto"/>
              <w:rPr>
                <w:sz w:val="24"/>
                <w:szCs w:val="24"/>
                <w:lang w:val="en-IN"/>
              </w:rPr>
            </w:pPr>
            <w:r>
              <w:rPr>
                <w:sz w:val="24"/>
                <w:szCs w:val="24"/>
                <w:lang w:val="en-IN"/>
              </w:rPr>
              <w:t>2023</w:t>
            </w:r>
          </w:p>
        </w:tc>
        <w:tc>
          <w:tcPr>
            <w:tcW w:w="2835" w:type="dxa"/>
            <w:hideMark/>
          </w:tcPr>
          <w:p w14:paraId="404CD2C9" w14:textId="77777777" w:rsidR="008E0593" w:rsidRPr="008E0593" w:rsidRDefault="008E0593" w:rsidP="008E0593">
            <w:pPr>
              <w:spacing w:after="200" w:line="276" w:lineRule="auto"/>
              <w:cnfStyle w:val="000000100000" w:firstRow="0" w:lastRow="0" w:firstColumn="0" w:lastColumn="0" w:oddVBand="0" w:evenVBand="0" w:oddHBand="1" w:evenHBand="0" w:firstRowFirstColumn="0" w:firstRowLastColumn="0" w:lastRowFirstColumn="0" w:lastRowLastColumn="0"/>
              <w:rPr>
                <w:b/>
                <w:bCs/>
                <w:sz w:val="24"/>
                <w:szCs w:val="24"/>
                <w:lang w:val="en-IN"/>
              </w:rPr>
            </w:pPr>
            <w:r w:rsidRPr="008E0593">
              <w:rPr>
                <w:b/>
                <w:bCs/>
                <w:sz w:val="24"/>
                <w:szCs w:val="24"/>
                <w:lang w:val="en-IN"/>
              </w:rPr>
              <w:t>9,700 ÷ 60,073 × 100</w:t>
            </w:r>
          </w:p>
        </w:tc>
        <w:tc>
          <w:tcPr>
            <w:tcW w:w="2127" w:type="dxa"/>
            <w:hideMark/>
          </w:tcPr>
          <w:p w14:paraId="5E3F5224" w14:textId="77777777" w:rsidR="008E0593" w:rsidRPr="008E0593" w:rsidRDefault="008E0593" w:rsidP="008E0593">
            <w:pPr>
              <w:spacing w:after="200" w:line="276" w:lineRule="auto"/>
              <w:cnfStyle w:val="000000100000" w:firstRow="0" w:lastRow="0" w:firstColumn="0" w:lastColumn="0" w:oddVBand="0" w:evenVBand="0" w:oddHBand="1" w:evenHBand="0" w:firstRowFirstColumn="0" w:firstRowLastColumn="0" w:lastRowFirstColumn="0" w:lastRowLastColumn="0"/>
              <w:rPr>
                <w:b/>
                <w:bCs/>
                <w:sz w:val="24"/>
                <w:szCs w:val="24"/>
                <w:lang w:val="en-IN"/>
              </w:rPr>
            </w:pPr>
            <w:r w:rsidRPr="008E0593">
              <w:rPr>
                <w:b/>
                <w:bCs/>
                <w:sz w:val="24"/>
                <w:szCs w:val="24"/>
                <w:lang w:val="en-IN"/>
              </w:rPr>
              <w:t>16.1%</w:t>
            </w:r>
          </w:p>
        </w:tc>
      </w:tr>
      <w:tr w:rsidR="008E0593" w:rsidRPr="008E0593" w14:paraId="120BBB98" w14:textId="77777777" w:rsidTr="008E0593">
        <w:tc>
          <w:tcPr>
            <w:cnfStyle w:val="001000000000" w:firstRow="0" w:lastRow="0" w:firstColumn="1" w:lastColumn="0" w:oddVBand="0" w:evenVBand="0" w:oddHBand="0" w:evenHBand="0" w:firstRowFirstColumn="0" w:firstRowLastColumn="0" w:lastRowFirstColumn="0" w:lastRowLastColumn="0"/>
            <w:tcW w:w="1696" w:type="dxa"/>
            <w:hideMark/>
          </w:tcPr>
          <w:p w14:paraId="181CD94E" w14:textId="23990312" w:rsidR="008E0593" w:rsidRPr="008E0593" w:rsidRDefault="00BA6F39" w:rsidP="008E0593">
            <w:pPr>
              <w:spacing w:after="200" w:line="276" w:lineRule="auto"/>
              <w:rPr>
                <w:sz w:val="24"/>
                <w:szCs w:val="24"/>
                <w:lang w:val="en-IN"/>
              </w:rPr>
            </w:pPr>
            <w:r>
              <w:rPr>
                <w:sz w:val="24"/>
                <w:szCs w:val="24"/>
                <w:lang w:val="en-IN"/>
              </w:rPr>
              <w:t>2024</w:t>
            </w:r>
          </w:p>
        </w:tc>
        <w:tc>
          <w:tcPr>
            <w:tcW w:w="2835" w:type="dxa"/>
            <w:hideMark/>
          </w:tcPr>
          <w:p w14:paraId="25C95343" w14:textId="77777777" w:rsidR="008E0593" w:rsidRPr="008E0593" w:rsidRDefault="008E0593" w:rsidP="008E0593">
            <w:pPr>
              <w:spacing w:after="200" w:line="276" w:lineRule="auto"/>
              <w:cnfStyle w:val="000000000000" w:firstRow="0" w:lastRow="0" w:firstColumn="0" w:lastColumn="0" w:oddVBand="0" w:evenVBand="0" w:oddHBand="0" w:evenHBand="0" w:firstRowFirstColumn="0" w:firstRowLastColumn="0" w:lastRowFirstColumn="0" w:lastRowLastColumn="0"/>
              <w:rPr>
                <w:b/>
                <w:bCs/>
                <w:sz w:val="24"/>
                <w:szCs w:val="24"/>
                <w:lang w:val="en-IN"/>
              </w:rPr>
            </w:pPr>
            <w:r w:rsidRPr="008E0593">
              <w:rPr>
                <w:b/>
                <w:bCs/>
                <w:sz w:val="24"/>
                <w:szCs w:val="24"/>
                <w:lang w:val="en-IN"/>
              </w:rPr>
              <w:t>9,300 ÷ 59,604 × 100</w:t>
            </w:r>
          </w:p>
        </w:tc>
        <w:tc>
          <w:tcPr>
            <w:tcW w:w="2127" w:type="dxa"/>
            <w:hideMark/>
          </w:tcPr>
          <w:p w14:paraId="378C0795" w14:textId="77777777" w:rsidR="008E0593" w:rsidRPr="008E0593" w:rsidRDefault="008E0593" w:rsidP="008E0593">
            <w:pPr>
              <w:spacing w:after="200" w:line="276" w:lineRule="auto"/>
              <w:cnfStyle w:val="000000000000" w:firstRow="0" w:lastRow="0" w:firstColumn="0" w:lastColumn="0" w:oddVBand="0" w:evenVBand="0" w:oddHBand="0" w:evenHBand="0" w:firstRowFirstColumn="0" w:firstRowLastColumn="0" w:lastRowFirstColumn="0" w:lastRowLastColumn="0"/>
              <w:rPr>
                <w:b/>
                <w:bCs/>
                <w:sz w:val="24"/>
                <w:szCs w:val="24"/>
                <w:lang w:val="en-IN"/>
              </w:rPr>
            </w:pPr>
            <w:r w:rsidRPr="008E0593">
              <w:rPr>
                <w:b/>
                <w:bCs/>
                <w:sz w:val="24"/>
                <w:szCs w:val="24"/>
                <w:lang w:val="en-IN"/>
              </w:rPr>
              <w:t>15.6%</w:t>
            </w:r>
          </w:p>
        </w:tc>
      </w:tr>
    </w:tbl>
    <w:p w14:paraId="73D980F1" w14:textId="77777777" w:rsidR="008E0593" w:rsidRDefault="008E0593" w:rsidP="008E0593">
      <w:pPr>
        <w:rPr>
          <w:b/>
          <w:bCs/>
          <w:sz w:val="24"/>
          <w:szCs w:val="24"/>
        </w:rPr>
      </w:pPr>
    </w:p>
    <w:p w14:paraId="38FF0145" w14:textId="5F0802C1" w:rsidR="008E0593" w:rsidRDefault="008E0593" w:rsidP="008E0593">
      <w:pPr>
        <w:rPr>
          <w:b/>
          <w:bCs/>
          <w:sz w:val="24"/>
          <w:szCs w:val="24"/>
        </w:rPr>
      </w:pPr>
      <w:r w:rsidRPr="008E0593">
        <w:rPr>
          <w:b/>
          <w:bCs/>
          <w:sz w:val="24"/>
          <w:szCs w:val="24"/>
        </w:rPr>
        <w:t>Return on Capital Employed (ROCE)</w:t>
      </w:r>
    </w:p>
    <w:p w14:paraId="5A1DA91C" w14:textId="66798866" w:rsidR="008E0593" w:rsidRPr="008E0593" w:rsidRDefault="008E0593" w:rsidP="008E0593">
      <w:pPr>
        <w:rPr>
          <w:sz w:val="24"/>
          <w:szCs w:val="24"/>
        </w:rPr>
      </w:pPr>
      <w:r w:rsidRPr="008E0593">
        <w:rPr>
          <w:b/>
          <w:bCs/>
          <w:sz w:val="24"/>
          <w:szCs w:val="24"/>
        </w:rPr>
        <w:t>Formula:</w:t>
      </w:r>
      <w:r w:rsidRPr="008E0593">
        <w:rPr>
          <w:sz w:val="24"/>
          <w:szCs w:val="24"/>
        </w:rPr>
        <w:br/>
        <w:t>Operating Profit ÷ (Equity + Long-term Debt) × 100</w:t>
      </w:r>
    </w:p>
    <w:tbl>
      <w:tblPr>
        <w:tblStyle w:val="GridTable4-Accent1"/>
        <w:tblW w:w="0" w:type="auto"/>
        <w:tblLook w:val="04A0" w:firstRow="1" w:lastRow="0" w:firstColumn="1" w:lastColumn="0" w:noHBand="0" w:noVBand="1"/>
      </w:tblPr>
      <w:tblGrid>
        <w:gridCol w:w="1555"/>
        <w:gridCol w:w="3685"/>
        <w:gridCol w:w="1843"/>
      </w:tblGrid>
      <w:tr w:rsidR="008E0593" w:rsidRPr="008E0593" w14:paraId="742AD9B5" w14:textId="77777777" w:rsidTr="008E05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hideMark/>
          </w:tcPr>
          <w:p w14:paraId="3EED7D39" w14:textId="77777777" w:rsidR="008E0593" w:rsidRPr="008E0593" w:rsidRDefault="008E0593" w:rsidP="008E0593">
            <w:pPr>
              <w:spacing w:after="200" w:line="276" w:lineRule="auto"/>
              <w:rPr>
                <w:sz w:val="24"/>
                <w:szCs w:val="24"/>
                <w:lang w:val="en-IN"/>
              </w:rPr>
            </w:pPr>
            <w:r w:rsidRPr="008E0593">
              <w:rPr>
                <w:sz w:val="24"/>
                <w:szCs w:val="24"/>
                <w:lang w:val="en-IN"/>
              </w:rPr>
              <w:t>Year</w:t>
            </w:r>
          </w:p>
        </w:tc>
        <w:tc>
          <w:tcPr>
            <w:tcW w:w="3685" w:type="dxa"/>
            <w:hideMark/>
          </w:tcPr>
          <w:p w14:paraId="37E9DCAF" w14:textId="77777777" w:rsidR="008E0593" w:rsidRPr="008E0593" w:rsidRDefault="008E0593" w:rsidP="008E059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8E0593">
              <w:rPr>
                <w:sz w:val="24"/>
                <w:szCs w:val="24"/>
                <w:lang w:val="en-IN"/>
              </w:rPr>
              <w:t>Calculation</w:t>
            </w:r>
          </w:p>
        </w:tc>
        <w:tc>
          <w:tcPr>
            <w:tcW w:w="1843" w:type="dxa"/>
            <w:hideMark/>
          </w:tcPr>
          <w:p w14:paraId="21C3EB69" w14:textId="77777777" w:rsidR="008E0593" w:rsidRPr="008E0593" w:rsidRDefault="008E0593" w:rsidP="008E059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8E0593">
              <w:rPr>
                <w:sz w:val="24"/>
                <w:szCs w:val="24"/>
                <w:lang w:val="en-IN"/>
              </w:rPr>
              <w:t>Result</w:t>
            </w:r>
          </w:p>
        </w:tc>
      </w:tr>
      <w:tr w:rsidR="008E0593" w:rsidRPr="008E0593" w14:paraId="6D524DE6" w14:textId="77777777" w:rsidTr="008E0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hideMark/>
          </w:tcPr>
          <w:p w14:paraId="2AEEE84C" w14:textId="79A53983" w:rsidR="008E0593" w:rsidRPr="008E0593" w:rsidRDefault="00BA6F39" w:rsidP="008E0593">
            <w:pPr>
              <w:spacing w:after="200" w:line="276" w:lineRule="auto"/>
              <w:rPr>
                <w:sz w:val="24"/>
                <w:szCs w:val="24"/>
                <w:lang w:val="en-IN"/>
              </w:rPr>
            </w:pPr>
            <w:r>
              <w:rPr>
                <w:sz w:val="24"/>
                <w:szCs w:val="24"/>
                <w:lang w:val="en-IN"/>
              </w:rPr>
              <w:t>2023</w:t>
            </w:r>
          </w:p>
        </w:tc>
        <w:tc>
          <w:tcPr>
            <w:tcW w:w="3685" w:type="dxa"/>
            <w:hideMark/>
          </w:tcPr>
          <w:p w14:paraId="2A5262AF" w14:textId="77777777" w:rsidR="008E0593" w:rsidRPr="008E0593" w:rsidRDefault="008E0593" w:rsidP="008E059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8E0593">
              <w:rPr>
                <w:sz w:val="24"/>
                <w:szCs w:val="24"/>
                <w:lang w:val="en-IN"/>
              </w:rPr>
              <w:t>9,700 ÷ (18,200 + 29,400) × 100</w:t>
            </w:r>
          </w:p>
        </w:tc>
        <w:tc>
          <w:tcPr>
            <w:tcW w:w="1843" w:type="dxa"/>
            <w:hideMark/>
          </w:tcPr>
          <w:p w14:paraId="35A09A75" w14:textId="77777777" w:rsidR="008E0593" w:rsidRPr="008E0593" w:rsidRDefault="008E0593" w:rsidP="008E059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8E0593">
              <w:rPr>
                <w:b/>
                <w:bCs/>
                <w:sz w:val="24"/>
                <w:szCs w:val="24"/>
                <w:lang w:val="en-IN"/>
              </w:rPr>
              <w:t>20.4%</w:t>
            </w:r>
          </w:p>
        </w:tc>
      </w:tr>
      <w:tr w:rsidR="008E0593" w:rsidRPr="008E0593" w14:paraId="3D7238CF" w14:textId="77777777" w:rsidTr="008E0593">
        <w:tc>
          <w:tcPr>
            <w:cnfStyle w:val="001000000000" w:firstRow="0" w:lastRow="0" w:firstColumn="1" w:lastColumn="0" w:oddVBand="0" w:evenVBand="0" w:oddHBand="0" w:evenHBand="0" w:firstRowFirstColumn="0" w:firstRowLastColumn="0" w:lastRowFirstColumn="0" w:lastRowLastColumn="0"/>
            <w:tcW w:w="1555" w:type="dxa"/>
            <w:hideMark/>
          </w:tcPr>
          <w:p w14:paraId="098350C4" w14:textId="2237C92C" w:rsidR="008E0593" w:rsidRPr="008E0593" w:rsidRDefault="00BA6F39" w:rsidP="008E0593">
            <w:pPr>
              <w:spacing w:after="200" w:line="276" w:lineRule="auto"/>
              <w:rPr>
                <w:sz w:val="24"/>
                <w:szCs w:val="24"/>
                <w:lang w:val="en-IN"/>
              </w:rPr>
            </w:pPr>
            <w:r>
              <w:rPr>
                <w:sz w:val="24"/>
                <w:szCs w:val="24"/>
                <w:lang w:val="en-IN"/>
              </w:rPr>
              <w:t>2024</w:t>
            </w:r>
          </w:p>
        </w:tc>
        <w:tc>
          <w:tcPr>
            <w:tcW w:w="3685" w:type="dxa"/>
            <w:hideMark/>
          </w:tcPr>
          <w:p w14:paraId="0DBE2B60" w14:textId="77777777" w:rsidR="008E0593" w:rsidRPr="008E0593" w:rsidRDefault="008E0593" w:rsidP="008E059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8E0593">
              <w:rPr>
                <w:sz w:val="24"/>
                <w:szCs w:val="24"/>
                <w:lang w:val="en-IN"/>
              </w:rPr>
              <w:t>9,300 ÷ (17,800 + 30,100) × 100</w:t>
            </w:r>
          </w:p>
        </w:tc>
        <w:tc>
          <w:tcPr>
            <w:tcW w:w="1843" w:type="dxa"/>
            <w:hideMark/>
          </w:tcPr>
          <w:p w14:paraId="5392AFE1" w14:textId="77777777" w:rsidR="008E0593" w:rsidRPr="008E0593" w:rsidRDefault="008E0593" w:rsidP="008E059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8E0593">
              <w:rPr>
                <w:b/>
                <w:bCs/>
                <w:sz w:val="24"/>
                <w:szCs w:val="24"/>
                <w:lang w:val="en-IN"/>
              </w:rPr>
              <w:t>19.4%</w:t>
            </w:r>
          </w:p>
        </w:tc>
      </w:tr>
    </w:tbl>
    <w:p w14:paraId="2359E5A6" w14:textId="4539EBF3" w:rsidR="008E0593" w:rsidRDefault="008E0593" w:rsidP="008E0593">
      <w:pPr>
        <w:rPr>
          <w:b/>
          <w:bCs/>
          <w:sz w:val="24"/>
          <w:szCs w:val="24"/>
        </w:rPr>
      </w:pPr>
    </w:p>
    <w:p w14:paraId="7AC3606E" w14:textId="1493D384" w:rsidR="00066622" w:rsidRDefault="00066622">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1897D12E" w14:textId="77777777" w:rsidR="008E0593" w:rsidRDefault="008E0593" w:rsidP="008E0593">
      <w:pPr>
        <w:rPr>
          <w:rFonts w:asciiTheme="majorHAnsi" w:eastAsiaTheme="majorEastAsia" w:hAnsiTheme="majorHAnsi" w:cstheme="majorBidi"/>
          <w:b/>
          <w:bCs/>
          <w:color w:val="365F91" w:themeColor="accent1" w:themeShade="BF"/>
          <w:sz w:val="28"/>
          <w:szCs w:val="28"/>
        </w:rPr>
      </w:pPr>
      <w:r w:rsidRPr="008E0593">
        <w:rPr>
          <w:rFonts w:asciiTheme="majorHAnsi" w:eastAsiaTheme="majorEastAsia" w:hAnsiTheme="majorHAnsi" w:cstheme="majorBidi"/>
          <w:b/>
          <w:bCs/>
          <w:color w:val="365F91" w:themeColor="accent1" w:themeShade="BF"/>
          <w:sz w:val="28"/>
          <w:szCs w:val="28"/>
        </w:rPr>
        <w:lastRenderedPageBreak/>
        <w:t>Table 3: Liquidity Ratios</w:t>
      </w:r>
    </w:p>
    <w:p w14:paraId="5C858841" w14:textId="77777777" w:rsidR="008E0593" w:rsidRPr="008E0593" w:rsidRDefault="008E0593" w:rsidP="008E0593">
      <w:pPr>
        <w:rPr>
          <w:b/>
          <w:bCs/>
          <w:sz w:val="24"/>
          <w:szCs w:val="24"/>
          <w:lang w:val="en-IN"/>
        </w:rPr>
      </w:pPr>
      <w:r w:rsidRPr="008E0593">
        <w:rPr>
          <w:b/>
          <w:bCs/>
          <w:sz w:val="24"/>
          <w:szCs w:val="24"/>
          <w:lang w:val="en-IN"/>
        </w:rPr>
        <w:t>Current Ratio</w:t>
      </w:r>
    </w:p>
    <w:p w14:paraId="0AF0C9AB" w14:textId="06E36324" w:rsidR="008E0593" w:rsidRDefault="008E0593" w:rsidP="008E0593">
      <w:pPr>
        <w:rPr>
          <w:sz w:val="24"/>
          <w:szCs w:val="24"/>
        </w:rPr>
      </w:pPr>
      <w:r w:rsidRPr="008E0593">
        <w:rPr>
          <w:b/>
          <w:bCs/>
          <w:sz w:val="24"/>
          <w:szCs w:val="24"/>
        </w:rPr>
        <w:t>Formula:</w:t>
      </w:r>
      <w:r w:rsidRPr="008E0593">
        <w:rPr>
          <w:sz w:val="24"/>
          <w:szCs w:val="24"/>
        </w:rPr>
        <w:br/>
        <w:t>Current Assets ÷ Current Liabilities</w:t>
      </w:r>
    </w:p>
    <w:tbl>
      <w:tblPr>
        <w:tblStyle w:val="GridTable4-Accent1"/>
        <w:tblW w:w="0" w:type="auto"/>
        <w:tblLook w:val="04A0" w:firstRow="1" w:lastRow="0" w:firstColumn="1" w:lastColumn="0" w:noHBand="0" w:noVBand="1"/>
      </w:tblPr>
      <w:tblGrid>
        <w:gridCol w:w="1696"/>
        <w:gridCol w:w="3119"/>
        <w:gridCol w:w="1843"/>
      </w:tblGrid>
      <w:tr w:rsidR="008E0593" w:rsidRPr="008E0593" w14:paraId="5FC1F3AF" w14:textId="77777777" w:rsidTr="00BD17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58FFCB6F" w14:textId="77777777" w:rsidR="008E0593" w:rsidRPr="008E0593" w:rsidRDefault="008E0593" w:rsidP="008E0593">
            <w:pPr>
              <w:spacing w:after="200" w:line="276" w:lineRule="auto"/>
              <w:rPr>
                <w:sz w:val="24"/>
                <w:szCs w:val="24"/>
                <w:lang w:val="en-IN"/>
              </w:rPr>
            </w:pPr>
            <w:r w:rsidRPr="008E0593">
              <w:rPr>
                <w:sz w:val="24"/>
                <w:szCs w:val="24"/>
                <w:lang w:val="en-IN"/>
              </w:rPr>
              <w:t>Year</w:t>
            </w:r>
          </w:p>
        </w:tc>
        <w:tc>
          <w:tcPr>
            <w:tcW w:w="3119" w:type="dxa"/>
            <w:hideMark/>
          </w:tcPr>
          <w:p w14:paraId="682C46ED" w14:textId="77777777" w:rsidR="008E0593" w:rsidRPr="008E0593" w:rsidRDefault="008E0593" w:rsidP="008E059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8E0593">
              <w:rPr>
                <w:sz w:val="24"/>
                <w:szCs w:val="24"/>
                <w:lang w:val="en-IN"/>
              </w:rPr>
              <w:t>Calculation</w:t>
            </w:r>
          </w:p>
        </w:tc>
        <w:tc>
          <w:tcPr>
            <w:tcW w:w="1843" w:type="dxa"/>
            <w:hideMark/>
          </w:tcPr>
          <w:p w14:paraId="05A9D7A1" w14:textId="77777777" w:rsidR="008E0593" w:rsidRPr="008E0593" w:rsidRDefault="008E0593" w:rsidP="008E059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8E0593">
              <w:rPr>
                <w:sz w:val="24"/>
                <w:szCs w:val="24"/>
                <w:lang w:val="en-IN"/>
              </w:rPr>
              <w:t>Result</w:t>
            </w:r>
          </w:p>
        </w:tc>
      </w:tr>
      <w:tr w:rsidR="008E0593" w:rsidRPr="008E0593" w14:paraId="78C2C7AB" w14:textId="77777777" w:rsidTr="00BD1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2EAE6342" w14:textId="1A86A9E4" w:rsidR="008E0593" w:rsidRPr="008E0593" w:rsidRDefault="00BA6F39" w:rsidP="008E0593">
            <w:pPr>
              <w:spacing w:after="200" w:line="276" w:lineRule="auto"/>
              <w:rPr>
                <w:sz w:val="24"/>
                <w:szCs w:val="24"/>
                <w:lang w:val="en-IN"/>
              </w:rPr>
            </w:pPr>
            <w:r>
              <w:rPr>
                <w:sz w:val="24"/>
                <w:szCs w:val="24"/>
                <w:lang w:val="en-IN"/>
              </w:rPr>
              <w:t>2023</w:t>
            </w:r>
          </w:p>
        </w:tc>
        <w:tc>
          <w:tcPr>
            <w:tcW w:w="3119" w:type="dxa"/>
            <w:hideMark/>
          </w:tcPr>
          <w:p w14:paraId="732296EB" w14:textId="77777777" w:rsidR="008E0593" w:rsidRPr="008E0593" w:rsidRDefault="008E0593" w:rsidP="008E0593">
            <w:pPr>
              <w:spacing w:after="200" w:line="276" w:lineRule="auto"/>
              <w:cnfStyle w:val="000000100000" w:firstRow="0" w:lastRow="0" w:firstColumn="0" w:lastColumn="0" w:oddVBand="0" w:evenVBand="0" w:oddHBand="1" w:evenHBand="0" w:firstRowFirstColumn="0" w:firstRowLastColumn="0" w:lastRowFirstColumn="0" w:lastRowLastColumn="0"/>
              <w:rPr>
                <w:b/>
                <w:bCs/>
                <w:sz w:val="24"/>
                <w:szCs w:val="24"/>
                <w:lang w:val="en-IN"/>
              </w:rPr>
            </w:pPr>
            <w:r w:rsidRPr="008E0593">
              <w:rPr>
                <w:b/>
                <w:bCs/>
                <w:sz w:val="24"/>
                <w:szCs w:val="24"/>
                <w:lang w:val="en-IN"/>
              </w:rPr>
              <w:t>20,500 ÷ 24,600</w:t>
            </w:r>
          </w:p>
        </w:tc>
        <w:tc>
          <w:tcPr>
            <w:tcW w:w="1843" w:type="dxa"/>
            <w:hideMark/>
          </w:tcPr>
          <w:p w14:paraId="11049B34" w14:textId="77777777" w:rsidR="008E0593" w:rsidRPr="008E0593" w:rsidRDefault="008E0593" w:rsidP="008E0593">
            <w:pPr>
              <w:spacing w:after="200" w:line="276" w:lineRule="auto"/>
              <w:cnfStyle w:val="000000100000" w:firstRow="0" w:lastRow="0" w:firstColumn="0" w:lastColumn="0" w:oddVBand="0" w:evenVBand="0" w:oddHBand="1" w:evenHBand="0" w:firstRowFirstColumn="0" w:firstRowLastColumn="0" w:lastRowFirstColumn="0" w:lastRowLastColumn="0"/>
              <w:rPr>
                <w:b/>
                <w:bCs/>
                <w:sz w:val="24"/>
                <w:szCs w:val="24"/>
                <w:lang w:val="en-IN"/>
              </w:rPr>
            </w:pPr>
            <w:r w:rsidRPr="008E0593">
              <w:rPr>
                <w:b/>
                <w:bCs/>
                <w:sz w:val="24"/>
                <w:szCs w:val="24"/>
                <w:lang w:val="en-IN"/>
              </w:rPr>
              <w:t>0.83 : 1</w:t>
            </w:r>
          </w:p>
        </w:tc>
      </w:tr>
      <w:tr w:rsidR="008E0593" w:rsidRPr="008E0593" w14:paraId="278BAE2E" w14:textId="77777777" w:rsidTr="00BD1780">
        <w:tc>
          <w:tcPr>
            <w:cnfStyle w:val="001000000000" w:firstRow="0" w:lastRow="0" w:firstColumn="1" w:lastColumn="0" w:oddVBand="0" w:evenVBand="0" w:oddHBand="0" w:evenHBand="0" w:firstRowFirstColumn="0" w:firstRowLastColumn="0" w:lastRowFirstColumn="0" w:lastRowLastColumn="0"/>
            <w:tcW w:w="1696" w:type="dxa"/>
            <w:hideMark/>
          </w:tcPr>
          <w:p w14:paraId="6372EAA6" w14:textId="2FD2B113" w:rsidR="008E0593" w:rsidRPr="008E0593" w:rsidRDefault="00BA6F39" w:rsidP="008E0593">
            <w:pPr>
              <w:spacing w:after="200" w:line="276" w:lineRule="auto"/>
              <w:rPr>
                <w:sz w:val="24"/>
                <w:szCs w:val="24"/>
                <w:lang w:val="en-IN"/>
              </w:rPr>
            </w:pPr>
            <w:r>
              <w:rPr>
                <w:sz w:val="24"/>
                <w:szCs w:val="24"/>
                <w:lang w:val="en-IN"/>
              </w:rPr>
              <w:t>2024</w:t>
            </w:r>
          </w:p>
        </w:tc>
        <w:tc>
          <w:tcPr>
            <w:tcW w:w="3119" w:type="dxa"/>
            <w:hideMark/>
          </w:tcPr>
          <w:p w14:paraId="4AA0C223" w14:textId="77777777" w:rsidR="008E0593" w:rsidRPr="008E0593" w:rsidRDefault="008E0593" w:rsidP="008E0593">
            <w:pPr>
              <w:spacing w:after="200" w:line="276" w:lineRule="auto"/>
              <w:cnfStyle w:val="000000000000" w:firstRow="0" w:lastRow="0" w:firstColumn="0" w:lastColumn="0" w:oddVBand="0" w:evenVBand="0" w:oddHBand="0" w:evenHBand="0" w:firstRowFirstColumn="0" w:firstRowLastColumn="0" w:lastRowFirstColumn="0" w:lastRowLastColumn="0"/>
              <w:rPr>
                <w:b/>
                <w:bCs/>
                <w:sz w:val="24"/>
                <w:szCs w:val="24"/>
                <w:lang w:val="en-IN"/>
              </w:rPr>
            </w:pPr>
            <w:r w:rsidRPr="008E0593">
              <w:rPr>
                <w:b/>
                <w:bCs/>
                <w:sz w:val="24"/>
                <w:szCs w:val="24"/>
                <w:lang w:val="en-IN"/>
              </w:rPr>
              <w:t>19,800 ÷ 23,900</w:t>
            </w:r>
          </w:p>
        </w:tc>
        <w:tc>
          <w:tcPr>
            <w:tcW w:w="1843" w:type="dxa"/>
            <w:hideMark/>
          </w:tcPr>
          <w:p w14:paraId="14449EC5" w14:textId="77777777" w:rsidR="008E0593" w:rsidRPr="008E0593" w:rsidRDefault="008E0593" w:rsidP="008E0593">
            <w:pPr>
              <w:spacing w:after="200" w:line="276" w:lineRule="auto"/>
              <w:cnfStyle w:val="000000000000" w:firstRow="0" w:lastRow="0" w:firstColumn="0" w:lastColumn="0" w:oddVBand="0" w:evenVBand="0" w:oddHBand="0" w:evenHBand="0" w:firstRowFirstColumn="0" w:firstRowLastColumn="0" w:lastRowFirstColumn="0" w:lastRowLastColumn="0"/>
              <w:rPr>
                <w:b/>
                <w:bCs/>
                <w:sz w:val="24"/>
                <w:szCs w:val="24"/>
                <w:lang w:val="en-IN"/>
              </w:rPr>
            </w:pPr>
            <w:r w:rsidRPr="008E0593">
              <w:rPr>
                <w:b/>
                <w:bCs/>
                <w:sz w:val="24"/>
                <w:szCs w:val="24"/>
                <w:lang w:val="en-IN"/>
              </w:rPr>
              <w:t>0.83 : 1</w:t>
            </w:r>
          </w:p>
        </w:tc>
      </w:tr>
    </w:tbl>
    <w:p w14:paraId="39869D12" w14:textId="77777777" w:rsidR="008E0593" w:rsidRDefault="008E0593" w:rsidP="008E0593">
      <w:pPr>
        <w:rPr>
          <w:b/>
          <w:bCs/>
          <w:sz w:val="24"/>
          <w:szCs w:val="24"/>
        </w:rPr>
      </w:pPr>
    </w:p>
    <w:p w14:paraId="7637BEC1" w14:textId="77777777" w:rsidR="00BD1780" w:rsidRPr="00BD1780" w:rsidRDefault="00BD1780" w:rsidP="00BD1780">
      <w:pPr>
        <w:rPr>
          <w:b/>
          <w:bCs/>
          <w:sz w:val="24"/>
          <w:szCs w:val="24"/>
        </w:rPr>
      </w:pPr>
      <w:r w:rsidRPr="00BD1780">
        <w:rPr>
          <w:b/>
          <w:bCs/>
          <w:sz w:val="24"/>
          <w:szCs w:val="24"/>
        </w:rPr>
        <w:t>Quick Ratio</w:t>
      </w:r>
    </w:p>
    <w:p w14:paraId="6BD2BF06" w14:textId="45DC5321" w:rsidR="00BD1780" w:rsidRDefault="00BD1780" w:rsidP="00BD1780">
      <w:pPr>
        <w:rPr>
          <w:sz w:val="24"/>
          <w:szCs w:val="24"/>
        </w:rPr>
      </w:pPr>
      <w:r w:rsidRPr="008E0593">
        <w:rPr>
          <w:b/>
          <w:bCs/>
          <w:sz w:val="24"/>
          <w:szCs w:val="24"/>
        </w:rPr>
        <w:t>Formula:</w:t>
      </w:r>
      <w:r w:rsidRPr="008E0593">
        <w:rPr>
          <w:sz w:val="24"/>
          <w:szCs w:val="24"/>
        </w:rPr>
        <w:br/>
      </w:r>
      <w:r w:rsidRPr="00BD1780">
        <w:rPr>
          <w:sz w:val="24"/>
          <w:szCs w:val="24"/>
        </w:rPr>
        <w:t>(Current Assets – Inventory) ÷ Current Liabilities</w:t>
      </w:r>
    </w:p>
    <w:tbl>
      <w:tblPr>
        <w:tblStyle w:val="GridTable4-Accent1"/>
        <w:tblW w:w="0" w:type="auto"/>
        <w:tblLook w:val="04A0" w:firstRow="1" w:lastRow="0" w:firstColumn="1" w:lastColumn="0" w:noHBand="0" w:noVBand="1"/>
      </w:tblPr>
      <w:tblGrid>
        <w:gridCol w:w="1696"/>
        <w:gridCol w:w="3119"/>
        <w:gridCol w:w="1843"/>
      </w:tblGrid>
      <w:tr w:rsidR="00BD1780" w:rsidRPr="00BD1780" w14:paraId="27C8B7FD" w14:textId="77777777" w:rsidTr="00BD17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0EF72AE4" w14:textId="77777777" w:rsidR="00BD1780" w:rsidRPr="00BD1780" w:rsidRDefault="00BD1780" w:rsidP="00BD1780">
            <w:pPr>
              <w:spacing w:after="200" w:line="276" w:lineRule="auto"/>
              <w:rPr>
                <w:sz w:val="24"/>
                <w:szCs w:val="24"/>
                <w:lang w:val="en-IN"/>
              </w:rPr>
            </w:pPr>
            <w:r w:rsidRPr="00BD1780">
              <w:rPr>
                <w:sz w:val="24"/>
                <w:szCs w:val="24"/>
                <w:lang w:val="en-IN"/>
              </w:rPr>
              <w:t>Year</w:t>
            </w:r>
          </w:p>
        </w:tc>
        <w:tc>
          <w:tcPr>
            <w:tcW w:w="3119" w:type="dxa"/>
            <w:hideMark/>
          </w:tcPr>
          <w:p w14:paraId="3B351AE9" w14:textId="77777777" w:rsidR="00BD1780" w:rsidRPr="00BD1780" w:rsidRDefault="00BD1780" w:rsidP="00BD1780">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BD1780">
              <w:rPr>
                <w:sz w:val="24"/>
                <w:szCs w:val="24"/>
                <w:lang w:val="en-IN"/>
              </w:rPr>
              <w:t>Calculation</w:t>
            </w:r>
          </w:p>
        </w:tc>
        <w:tc>
          <w:tcPr>
            <w:tcW w:w="1843" w:type="dxa"/>
            <w:hideMark/>
          </w:tcPr>
          <w:p w14:paraId="7F562B51" w14:textId="77777777" w:rsidR="00BD1780" w:rsidRPr="00BD1780" w:rsidRDefault="00BD1780" w:rsidP="00BD1780">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BD1780">
              <w:rPr>
                <w:sz w:val="24"/>
                <w:szCs w:val="24"/>
                <w:lang w:val="en-IN"/>
              </w:rPr>
              <w:t>Result</w:t>
            </w:r>
          </w:p>
        </w:tc>
      </w:tr>
      <w:tr w:rsidR="00BD1780" w:rsidRPr="00BD1780" w14:paraId="743ED504" w14:textId="77777777" w:rsidTr="00BD1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5A473E99" w14:textId="43323852" w:rsidR="00BD1780" w:rsidRPr="00BD1780" w:rsidRDefault="00BA6F39" w:rsidP="00BD1780">
            <w:pPr>
              <w:spacing w:after="200" w:line="276" w:lineRule="auto"/>
              <w:rPr>
                <w:sz w:val="24"/>
                <w:szCs w:val="24"/>
                <w:lang w:val="en-IN"/>
              </w:rPr>
            </w:pPr>
            <w:r>
              <w:rPr>
                <w:sz w:val="24"/>
                <w:szCs w:val="24"/>
                <w:lang w:val="en-IN"/>
              </w:rPr>
              <w:t>2023</w:t>
            </w:r>
          </w:p>
        </w:tc>
        <w:tc>
          <w:tcPr>
            <w:tcW w:w="3119" w:type="dxa"/>
            <w:hideMark/>
          </w:tcPr>
          <w:p w14:paraId="7A395DAD" w14:textId="77777777" w:rsidR="00BD1780" w:rsidRPr="00BD1780" w:rsidRDefault="00BD1780" w:rsidP="00BD178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BD1780">
              <w:rPr>
                <w:sz w:val="24"/>
                <w:szCs w:val="24"/>
                <w:lang w:val="en-IN"/>
              </w:rPr>
              <w:t>(20,500 − 7,100) ÷ 24,600</w:t>
            </w:r>
          </w:p>
        </w:tc>
        <w:tc>
          <w:tcPr>
            <w:tcW w:w="1843" w:type="dxa"/>
            <w:hideMark/>
          </w:tcPr>
          <w:p w14:paraId="05CBBDD9" w14:textId="77777777" w:rsidR="00BD1780" w:rsidRPr="00BD1780" w:rsidRDefault="00BD1780" w:rsidP="00BD178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BD1780">
              <w:rPr>
                <w:b/>
                <w:bCs/>
                <w:sz w:val="24"/>
                <w:szCs w:val="24"/>
                <w:lang w:val="en-IN"/>
              </w:rPr>
              <w:t>0.54 : 1</w:t>
            </w:r>
          </w:p>
        </w:tc>
      </w:tr>
      <w:tr w:rsidR="00BD1780" w:rsidRPr="00BD1780" w14:paraId="2B33E476" w14:textId="77777777" w:rsidTr="00BD1780">
        <w:tc>
          <w:tcPr>
            <w:cnfStyle w:val="001000000000" w:firstRow="0" w:lastRow="0" w:firstColumn="1" w:lastColumn="0" w:oddVBand="0" w:evenVBand="0" w:oddHBand="0" w:evenHBand="0" w:firstRowFirstColumn="0" w:firstRowLastColumn="0" w:lastRowFirstColumn="0" w:lastRowLastColumn="0"/>
            <w:tcW w:w="1696" w:type="dxa"/>
            <w:hideMark/>
          </w:tcPr>
          <w:p w14:paraId="297EFA95" w14:textId="1D4403A6" w:rsidR="00BD1780" w:rsidRPr="00BD1780" w:rsidRDefault="00BA6F39" w:rsidP="00BD1780">
            <w:pPr>
              <w:spacing w:after="200" w:line="276" w:lineRule="auto"/>
              <w:rPr>
                <w:sz w:val="24"/>
                <w:szCs w:val="24"/>
                <w:lang w:val="en-IN"/>
              </w:rPr>
            </w:pPr>
            <w:r>
              <w:rPr>
                <w:sz w:val="24"/>
                <w:szCs w:val="24"/>
                <w:lang w:val="en-IN"/>
              </w:rPr>
              <w:t>2024</w:t>
            </w:r>
          </w:p>
        </w:tc>
        <w:tc>
          <w:tcPr>
            <w:tcW w:w="3119" w:type="dxa"/>
            <w:hideMark/>
          </w:tcPr>
          <w:p w14:paraId="075FF0FC" w14:textId="77777777" w:rsidR="00BD1780" w:rsidRPr="00BD1780" w:rsidRDefault="00BD1780" w:rsidP="00BD178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BD1780">
              <w:rPr>
                <w:sz w:val="24"/>
                <w:szCs w:val="24"/>
                <w:lang w:val="en-IN"/>
              </w:rPr>
              <w:t>(19,800 − 6,800) ÷ 23,900</w:t>
            </w:r>
          </w:p>
        </w:tc>
        <w:tc>
          <w:tcPr>
            <w:tcW w:w="1843" w:type="dxa"/>
            <w:hideMark/>
          </w:tcPr>
          <w:p w14:paraId="06ACB8A2" w14:textId="77777777" w:rsidR="00BD1780" w:rsidRPr="00BD1780" w:rsidRDefault="00BD1780" w:rsidP="00BD178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BD1780">
              <w:rPr>
                <w:b/>
                <w:bCs/>
                <w:sz w:val="24"/>
                <w:szCs w:val="24"/>
                <w:lang w:val="en-IN"/>
              </w:rPr>
              <w:t>0.54 : 1</w:t>
            </w:r>
          </w:p>
        </w:tc>
      </w:tr>
    </w:tbl>
    <w:p w14:paraId="41002E44" w14:textId="349C50C1" w:rsidR="00BD1780" w:rsidRDefault="00BD1780" w:rsidP="00BD1780">
      <w:pPr>
        <w:rPr>
          <w:sz w:val="24"/>
          <w:szCs w:val="24"/>
        </w:rPr>
      </w:pPr>
    </w:p>
    <w:p w14:paraId="537A29DC" w14:textId="77777777" w:rsidR="00BD1780" w:rsidRDefault="00BD1780">
      <w:pPr>
        <w:rPr>
          <w:rFonts w:asciiTheme="majorHAnsi" w:eastAsiaTheme="majorEastAsia" w:hAnsiTheme="majorHAnsi" w:cstheme="majorBidi"/>
          <w:b/>
          <w:bCs/>
          <w:color w:val="365F91" w:themeColor="accent1" w:themeShade="BF"/>
          <w:sz w:val="28"/>
          <w:szCs w:val="28"/>
        </w:rPr>
      </w:pPr>
      <w:r w:rsidRPr="00BD1780">
        <w:rPr>
          <w:rFonts w:asciiTheme="majorHAnsi" w:eastAsiaTheme="majorEastAsia" w:hAnsiTheme="majorHAnsi" w:cstheme="majorBidi"/>
          <w:b/>
          <w:bCs/>
          <w:color w:val="365F91" w:themeColor="accent1" w:themeShade="BF"/>
          <w:sz w:val="28"/>
          <w:szCs w:val="28"/>
        </w:rPr>
        <w:t>Table 4: Gearing Ratios</w:t>
      </w:r>
    </w:p>
    <w:p w14:paraId="530C1E4C" w14:textId="77777777" w:rsidR="00BD1780" w:rsidRDefault="00BD1780">
      <w:pPr>
        <w:rPr>
          <w:b/>
          <w:bCs/>
          <w:sz w:val="24"/>
          <w:szCs w:val="24"/>
        </w:rPr>
      </w:pPr>
      <w:r w:rsidRPr="00BD1780">
        <w:rPr>
          <w:b/>
          <w:bCs/>
          <w:sz w:val="24"/>
          <w:szCs w:val="24"/>
        </w:rPr>
        <w:t>Debt-to-Equity Ratio</w:t>
      </w:r>
    </w:p>
    <w:p w14:paraId="719A8CFF" w14:textId="13BBCFFC" w:rsidR="00BD1780" w:rsidRDefault="00BD1780" w:rsidP="00BD1780">
      <w:pPr>
        <w:rPr>
          <w:sz w:val="24"/>
          <w:szCs w:val="24"/>
        </w:rPr>
      </w:pPr>
      <w:r w:rsidRPr="008E0593">
        <w:rPr>
          <w:b/>
          <w:bCs/>
          <w:sz w:val="24"/>
          <w:szCs w:val="24"/>
        </w:rPr>
        <w:t>Formula:</w:t>
      </w:r>
      <w:r w:rsidRPr="008E0593">
        <w:rPr>
          <w:sz w:val="24"/>
          <w:szCs w:val="24"/>
        </w:rPr>
        <w:br/>
      </w:r>
      <w:r w:rsidRPr="00BD1780">
        <w:rPr>
          <w:sz w:val="24"/>
          <w:szCs w:val="24"/>
        </w:rPr>
        <w:t>Total Debt ÷ Total Equity</w:t>
      </w:r>
    </w:p>
    <w:tbl>
      <w:tblPr>
        <w:tblStyle w:val="GridTable4-Accent1"/>
        <w:tblW w:w="0" w:type="auto"/>
        <w:tblLook w:val="04A0" w:firstRow="1" w:lastRow="0" w:firstColumn="1" w:lastColumn="0" w:noHBand="0" w:noVBand="1"/>
      </w:tblPr>
      <w:tblGrid>
        <w:gridCol w:w="1696"/>
        <w:gridCol w:w="3119"/>
        <w:gridCol w:w="1843"/>
      </w:tblGrid>
      <w:tr w:rsidR="00BD1780" w:rsidRPr="00BD1780" w14:paraId="772BB275" w14:textId="77777777" w:rsidTr="00BD17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58C9BADE" w14:textId="77777777" w:rsidR="00BD1780" w:rsidRPr="00BD1780" w:rsidRDefault="00BD1780" w:rsidP="00BD1780">
            <w:pPr>
              <w:spacing w:after="200" w:line="276" w:lineRule="auto"/>
              <w:rPr>
                <w:sz w:val="24"/>
                <w:szCs w:val="24"/>
                <w:lang w:val="en-IN"/>
              </w:rPr>
            </w:pPr>
            <w:r w:rsidRPr="00BD1780">
              <w:rPr>
                <w:sz w:val="24"/>
                <w:szCs w:val="24"/>
                <w:lang w:val="en-IN"/>
              </w:rPr>
              <w:t>Year</w:t>
            </w:r>
          </w:p>
        </w:tc>
        <w:tc>
          <w:tcPr>
            <w:tcW w:w="3119" w:type="dxa"/>
            <w:hideMark/>
          </w:tcPr>
          <w:p w14:paraId="4E12B9C7" w14:textId="77777777" w:rsidR="00BD1780" w:rsidRPr="00BD1780" w:rsidRDefault="00BD1780" w:rsidP="00BD1780">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BD1780">
              <w:rPr>
                <w:sz w:val="24"/>
                <w:szCs w:val="24"/>
                <w:lang w:val="en-IN"/>
              </w:rPr>
              <w:t>Calculation</w:t>
            </w:r>
          </w:p>
        </w:tc>
        <w:tc>
          <w:tcPr>
            <w:tcW w:w="1843" w:type="dxa"/>
            <w:hideMark/>
          </w:tcPr>
          <w:p w14:paraId="3F6DED0C" w14:textId="77777777" w:rsidR="00BD1780" w:rsidRPr="00BD1780" w:rsidRDefault="00BD1780" w:rsidP="00BD1780">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BD1780">
              <w:rPr>
                <w:sz w:val="24"/>
                <w:szCs w:val="24"/>
                <w:lang w:val="en-IN"/>
              </w:rPr>
              <w:t>Result</w:t>
            </w:r>
          </w:p>
        </w:tc>
      </w:tr>
      <w:tr w:rsidR="00BD1780" w:rsidRPr="00BD1780" w14:paraId="6609E79A" w14:textId="77777777" w:rsidTr="00BD1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626A2F2F" w14:textId="44CF6621" w:rsidR="00BD1780" w:rsidRPr="00BD1780" w:rsidRDefault="00BA6F39" w:rsidP="00BD1780">
            <w:pPr>
              <w:spacing w:after="200" w:line="276" w:lineRule="auto"/>
              <w:rPr>
                <w:sz w:val="24"/>
                <w:szCs w:val="24"/>
                <w:lang w:val="en-IN"/>
              </w:rPr>
            </w:pPr>
            <w:r>
              <w:rPr>
                <w:sz w:val="24"/>
                <w:szCs w:val="24"/>
                <w:lang w:val="en-IN"/>
              </w:rPr>
              <w:t>2023</w:t>
            </w:r>
          </w:p>
        </w:tc>
        <w:tc>
          <w:tcPr>
            <w:tcW w:w="3119" w:type="dxa"/>
            <w:hideMark/>
          </w:tcPr>
          <w:p w14:paraId="1EA10182" w14:textId="77777777" w:rsidR="00BD1780" w:rsidRPr="00BD1780" w:rsidRDefault="00BD1780" w:rsidP="00BD178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BD1780">
              <w:rPr>
                <w:sz w:val="24"/>
                <w:szCs w:val="24"/>
                <w:lang w:val="en-IN"/>
              </w:rPr>
              <w:t>29,400 ÷ 18,200</w:t>
            </w:r>
          </w:p>
        </w:tc>
        <w:tc>
          <w:tcPr>
            <w:tcW w:w="1843" w:type="dxa"/>
            <w:hideMark/>
          </w:tcPr>
          <w:p w14:paraId="21C38D21" w14:textId="77777777" w:rsidR="00BD1780" w:rsidRPr="00BD1780" w:rsidRDefault="00BD1780" w:rsidP="00BD178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BD1780">
              <w:rPr>
                <w:b/>
                <w:bCs/>
                <w:sz w:val="24"/>
                <w:szCs w:val="24"/>
                <w:lang w:val="en-IN"/>
              </w:rPr>
              <w:t>1.62</w:t>
            </w:r>
          </w:p>
        </w:tc>
      </w:tr>
      <w:tr w:rsidR="00BD1780" w:rsidRPr="00BD1780" w14:paraId="41EB71DE" w14:textId="77777777" w:rsidTr="00BD1780">
        <w:tc>
          <w:tcPr>
            <w:cnfStyle w:val="001000000000" w:firstRow="0" w:lastRow="0" w:firstColumn="1" w:lastColumn="0" w:oddVBand="0" w:evenVBand="0" w:oddHBand="0" w:evenHBand="0" w:firstRowFirstColumn="0" w:firstRowLastColumn="0" w:lastRowFirstColumn="0" w:lastRowLastColumn="0"/>
            <w:tcW w:w="1696" w:type="dxa"/>
            <w:hideMark/>
          </w:tcPr>
          <w:p w14:paraId="2506FD20" w14:textId="51F1912E" w:rsidR="00BD1780" w:rsidRPr="00BD1780" w:rsidRDefault="00BA6F39" w:rsidP="00BD1780">
            <w:pPr>
              <w:spacing w:after="200" w:line="276" w:lineRule="auto"/>
              <w:rPr>
                <w:sz w:val="24"/>
                <w:szCs w:val="24"/>
                <w:lang w:val="en-IN"/>
              </w:rPr>
            </w:pPr>
            <w:r>
              <w:rPr>
                <w:sz w:val="24"/>
                <w:szCs w:val="24"/>
                <w:lang w:val="en-IN"/>
              </w:rPr>
              <w:t>2024</w:t>
            </w:r>
          </w:p>
        </w:tc>
        <w:tc>
          <w:tcPr>
            <w:tcW w:w="3119" w:type="dxa"/>
            <w:hideMark/>
          </w:tcPr>
          <w:p w14:paraId="182989F9" w14:textId="77777777" w:rsidR="00BD1780" w:rsidRPr="00BD1780" w:rsidRDefault="00BD1780" w:rsidP="00BD178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BD1780">
              <w:rPr>
                <w:sz w:val="24"/>
                <w:szCs w:val="24"/>
                <w:lang w:val="en-IN"/>
              </w:rPr>
              <w:t>30,100 ÷ 17,800</w:t>
            </w:r>
          </w:p>
        </w:tc>
        <w:tc>
          <w:tcPr>
            <w:tcW w:w="1843" w:type="dxa"/>
            <w:hideMark/>
          </w:tcPr>
          <w:p w14:paraId="0C9EC4AA" w14:textId="77777777" w:rsidR="00BD1780" w:rsidRPr="00BD1780" w:rsidRDefault="00BD1780" w:rsidP="00BD178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BD1780">
              <w:rPr>
                <w:b/>
                <w:bCs/>
                <w:sz w:val="24"/>
                <w:szCs w:val="24"/>
                <w:lang w:val="en-IN"/>
              </w:rPr>
              <w:t>1.69</w:t>
            </w:r>
          </w:p>
        </w:tc>
      </w:tr>
    </w:tbl>
    <w:p w14:paraId="75B61901" w14:textId="77777777" w:rsidR="00BD1780" w:rsidRDefault="00BD1780" w:rsidP="00BD1780">
      <w:pPr>
        <w:rPr>
          <w:sz w:val="24"/>
          <w:szCs w:val="24"/>
        </w:rPr>
      </w:pPr>
    </w:p>
    <w:p w14:paraId="1E3BE47B" w14:textId="746147CB" w:rsidR="008E0593" w:rsidRDefault="008E0593">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299E613A" w14:textId="77777777" w:rsidR="00BD1780" w:rsidRDefault="00BD1780" w:rsidP="00BD1780">
      <w:pPr>
        <w:rPr>
          <w:b/>
          <w:bCs/>
          <w:sz w:val="24"/>
          <w:szCs w:val="24"/>
        </w:rPr>
      </w:pPr>
      <w:r w:rsidRPr="00BD1780">
        <w:rPr>
          <w:b/>
          <w:bCs/>
          <w:sz w:val="24"/>
          <w:szCs w:val="24"/>
        </w:rPr>
        <w:lastRenderedPageBreak/>
        <w:t>Interest Cover</w:t>
      </w:r>
    </w:p>
    <w:p w14:paraId="5B649933" w14:textId="33BAEC2B" w:rsidR="00BD1780" w:rsidRDefault="00BD1780" w:rsidP="00BD1780">
      <w:pPr>
        <w:rPr>
          <w:sz w:val="24"/>
          <w:szCs w:val="24"/>
        </w:rPr>
      </w:pPr>
      <w:r w:rsidRPr="008E0593">
        <w:rPr>
          <w:b/>
          <w:bCs/>
          <w:sz w:val="24"/>
          <w:szCs w:val="24"/>
        </w:rPr>
        <w:t>Formula:</w:t>
      </w:r>
      <w:r w:rsidRPr="008E0593">
        <w:rPr>
          <w:sz w:val="24"/>
          <w:szCs w:val="24"/>
        </w:rPr>
        <w:br/>
      </w:r>
      <w:r w:rsidRPr="00BD1780">
        <w:rPr>
          <w:sz w:val="24"/>
          <w:szCs w:val="24"/>
        </w:rPr>
        <w:t>Operating Profit ÷ Finance Costs</w:t>
      </w:r>
    </w:p>
    <w:tbl>
      <w:tblPr>
        <w:tblStyle w:val="GridTable4-Accent1"/>
        <w:tblW w:w="0" w:type="auto"/>
        <w:tblLook w:val="04A0" w:firstRow="1" w:lastRow="0" w:firstColumn="1" w:lastColumn="0" w:noHBand="0" w:noVBand="1"/>
      </w:tblPr>
      <w:tblGrid>
        <w:gridCol w:w="1696"/>
        <w:gridCol w:w="3119"/>
        <w:gridCol w:w="1843"/>
      </w:tblGrid>
      <w:tr w:rsidR="00BD1780" w:rsidRPr="00BD1780" w14:paraId="2A2319ED" w14:textId="77777777" w:rsidTr="00BD17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72E63F4D" w14:textId="77777777" w:rsidR="00BD1780" w:rsidRPr="00BD1780" w:rsidRDefault="00BD1780" w:rsidP="00BD1780">
            <w:pPr>
              <w:spacing w:after="200" w:line="276" w:lineRule="auto"/>
              <w:rPr>
                <w:sz w:val="24"/>
                <w:szCs w:val="24"/>
                <w:lang w:val="en-IN"/>
              </w:rPr>
            </w:pPr>
            <w:r w:rsidRPr="00BD1780">
              <w:rPr>
                <w:sz w:val="24"/>
                <w:szCs w:val="24"/>
                <w:lang w:val="en-IN"/>
              </w:rPr>
              <w:t>Year</w:t>
            </w:r>
          </w:p>
        </w:tc>
        <w:tc>
          <w:tcPr>
            <w:tcW w:w="3119" w:type="dxa"/>
            <w:hideMark/>
          </w:tcPr>
          <w:p w14:paraId="06175E1E" w14:textId="77777777" w:rsidR="00BD1780" w:rsidRPr="00BD1780" w:rsidRDefault="00BD1780" w:rsidP="00BD1780">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BD1780">
              <w:rPr>
                <w:sz w:val="24"/>
                <w:szCs w:val="24"/>
                <w:lang w:val="en-IN"/>
              </w:rPr>
              <w:t>Calculation</w:t>
            </w:r>
          </w:p>
        </w:tc>
        <w:tc>
          <w:tcPr>
            <w:tcW w:w="1843" w:type="dxa"/>
            <w:hideMark/>
          </w:tcPr>
          <w:p w14:paraId="4982632A" w14:textId="77777777" w:rsidR="00BD1780" w:rsidRPr="00BD1780" w:rsidRDefault="00BD1780" w:rsidP="00BD1780">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BD1780">
              <w:rPr>
                <w:sz w:val="24"/>
                <w:szCs w:val="24"/>
                <w:lang w:val="en-IN"/>
              </w:rPr>
              <w:t>Result</w:t>
            </w:r>
          </w:p>
        </w:tc>
      </w:tr>
      <w:tr w:rsidR="00BD1780" w:rsidRPr="00BD1780" w14:paraId="4EB3E868" w14:textId="77777777" w:rsidTr="00BD1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1FA66082" w14:textId="4E80CCD5" w:rsidR="00BD1780" w:rsidRPr="00BD1780" w:rsidRDefault="00BA6F39" w:rsidP="00BD1780">
            <w:pPr>
              <w:spacing w:after="200" w:line="276" w:lineRule="auto"/>
              <w:rPr>
                <w:sz w:val="24"/>
                <w:szCs w:val="24"/>
                <w:lang w:val="en-IN"/>
              </w:rPr>
            </w:pPr>
            <w:r>
              <w:rPr>
                <w:sz w:val="24"/>
                <w:szCs w:val="24"/>
                <w:lang w:val="en-IN"/>
              </w:rPr>
              <w:t>2023</w:t>
            </w:r>
          </w:p>
        </w:tc>
        <w:tc>
          <w:tcPr>
            <w:tcW w:w="3119" w:type="dxa"/>
            <w:hideMark/>
          </w:tcPr>
          <w:p w14:paraId="4CD112AC" w14:textId="77777777" w:rsidR="00BD1780" w:rsidRPr="00BD1780" w:rsidRDefault="00BD1780" w:rsidP="00BD178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BD1780">
              <w:rPr>
                <w:sz w:val="24"/>
                <w:szCs w:val="24"/>
                <w:lang w:val="en-IN"/>
              </w:rPr>
              <w:t>9,700 ÷ 1,150</w:t>
            </w:r>
          </w:p>
        </w:tc>
        <w:tc>
          <w:tcPr>
            <w:tcW w:w="1843" w:type="dxa"/>
            <w:hideMark/>
          </w:tcPr>
          <w:p w14:paraId="0BC63A36" w14:textId="77777777" w:rsidR="00BD1780" w:rsidRPr="00BD1780" w:rsidRDefault="00BD1780" w:rsidP="00BD178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BD1780">
              <w:rPr>
                <w:b/>
                <w:bCs/>
                <w:sz w:val="24"/>
                <w:szCs w:val="24"/>
                <w:lang w:val="en-IN"/>
              </w:rPr>
              <w:t>8.4 times</w:t>
            </w:r>
          </w:p>
        </w:tc>
      </w:tr>
      <w:tr w:rsidR="00BD1780" w:rsidRPr="00BD1780" w14:paraId="16FF8003" w14:textId="77777777" w:rsidTr="00BD1780">
        <w:tc>
          <w:tcPr>
            <w:cnfStyle w:val="001000000000" w:firstRow="0" w:lastRow="0" w:firstColumn="1" w:lastColumn="0" w:oddVBand="0" w:evenVBand="0" w:oddHBand="0" w:evenHBand="0" w:firstRowFirstColumn="0" w:firstRowLastColumn="0" w:lastRowFirstColumn="0" w:lastRowLastColumn="0"/>
            <w:tcW w:w="1696" w:type="dxa"/>
            <w:hideMark/>
          </w:tcPr>
          <w:p w14:paraId="66E7BFDC" w14:textId="67BA5F6C" w:rsidR="00BD1780" w:rsidRPr="00BD1780" w:rsidRDefault="00BA6F39" w:rsidP="00BD1780">
            <w:pPr>
              <w:spacing w:after="200" w:line="276" w:lineRule="auto"/>
              <w:rPr>
                <w:sz w:val="24"/>
                <w:szCs w:val="24"/>
                <w:lang w:val="en-IN"/>
              </w:rPr>
            </w:pPr>
            <w:r>
              <w:rPr>
                <w:sz w:val="24"/>
                <w:szCs w:val="24"/>
                <w:lang w:val="en-IN"/>
              </w:rPr>
              <w:t>2024</w:t>
            </w:r>
          </w:p>
        </w:tc>
        <w:tc>
          <w:tcPr>
            <w:tcW w:w="3119" w:type="dxa"/>
            <w:hideMark/>
          </w:tcPr>
          <w:p w14:paraId="63B85235" w14:textId="77777777" w:rsidR="00BD1780" w:rsidRPr="00BD1780" w:rsidRDefault="00BD1780" w:rsidP="00BD178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BD1780">
              <w:rPr>
                <w:sz w:val="24"/>
                <w:szCs w:val="24"/>
                <w:lang w:val="en-IN"/>
              </w:rPr>
              <w:t>9,300 ÷ 1,250</w:t>
            </w:r>
          </w:p>
        </w:tc>
        <w:tc>
          <w:tcPr>
            <w:tcW w:w="1843" w:type="dxa"/>
            <w:hideMark/>
          </w:tcPr>
          <w:p w14:paraId="31369BB0" w14:textId="77777777" w:rsidR="00BD1780" w:rsidRPr="00BD1780" w:rsidRDefault="00BD1780" w:rsidP="00BD178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BD1780">
              <w:rPr>
                <w:b/>
                <w:bCs/>
                <w:sz w:val="24"/>
                <w:szCs w:val="24"/>
                <w:lang w:val="en-IN"/>
              </w:rPr>
              <w:t>7.4 times</w:t>
            </w:r>
          </w:p>
        </w:tc>
      </w:tr>
    </w:tbl>
    <w:p w14:paraId="56784D7F" w14:textId="77777777" w:rsidR="00BD1780" w:rsidRDefault="00BD1780" w:rsidP="00BD1780">
      <w:pPr>
        <w:rPr>
          <w:sz w:val="24"/>
          <w:szCs w:val="24"/>
        </w:rPr>
      </w:pPr>
    </w:p>
    <w:p w14:paraId="15A46333" w14:textId="77777777" w:rsidR="00BD1780" w:rsidRDefault="00BD1780" w:rsidP="00BD1780">
      <w:pPr>
        <w:rPr>
          <w:rFonts w:asciiTheme="majorHAnsi" w:eastAsiaTheme="majorEastAsia" w:hAnsiTheme="majorHAnsi" w:cstheme="majorBidi"/>
          <w:b/>
          <w:bCs/>
          <w:color w:val="365F91" w:themeColor="accent1" w:themeShade="BF"/>
          <w:sz w:val="28"/>
          <w:szCs w:val="28"/>
        </w:rPr>
      </w:pPr>
      <w:r w:rsidRPr="00BD1780">
        <w:rPr>
          <w:rFonts w:asciiTheme="majorHAnsi" w:eastAsiaTheme="majorEastAsia" w:hAnsiTheme="majorHAnsi" w:cstheme="majorBidi"/>
          <w:b/>
          <w:bCs/>
          <w:color w:val="365F91" w:themeColor="accent1" w:themeShade="BF"/>
          <w:sz w:val="28"/>
          <w:szCs w:val="28"/>
        </w:rPr>
        <w:t>Table 5: Efficiency Ratios</w:t>
      </w:r>
    </w:p>
    <w:p w14:paraId="0F543C5D" w14:textId="77777777" w:rsidR="00BD1780" w:rsidRDefault="00BD1780" w:rsidP="00BD1780">
      <w:pPr>
        <w:rPr>
          <w:b/>
          <w:bCs/>
          <w:sz w:val="24"/>
          <w:szCs w:val="24"/>
        </w:rPr>
      </w:pPr>
      <w:r w:rsidRPr="00BD1780">
        <w:rPr>
          <w:b/>
          <w:bCs/>
          <w:sz w:val="24"/>
          <w:szCs w:val="24"/>
        </w:rPr>
        <w:t>Inventory Turnover</w:t>
      </w:r>
    </w:p>
    <w:p w14:paraId="36696FAA" w14:textId="64A50607" w:rsidR="00BD1780" w:rsidRDefault="00BD1780" w:rsidP="00BD1780">
      <w:pPr>
        <w:rPr>
          <w:sz w:val="24"/>
          <w:szCs w:val="24"/>
        </w:rPr>
      </w:pPr>
      <w:r w:rsidRPr="008E0593">
        <w:rPr>
          <w:b/>
          <w:bCs/>
          <w:sz w:val="24"/>
          <w:szCs w:val="24"/>
        </w:rPr>
        <w:t>Formula:</w:t>
      </w:r>
      <w:r w:rsidRPr="008E0593">
        <w:rPr>
          <w:sz w:val="24"/>
          <w:szCs w:val="24"/>
        </w:rPr>
        <w:br/>
      </w:r>
      <w:r w:rsidRPr="00BD1780">
        <w:rPr>
          <w:sz w:val="24"/>
          <w:szCs w:val="24"/>
        </w:rPr>
        <w:t>Cost of Sales ÷ Average Inventory</w:t>
      </w:r>
    </w:p>
    <w:tbl>
      <w:tblPr>
        <w:tblStyle w:val="GridTable4-Accent1"/>
        <w:tblW w:w="0" w:type="auto"/>
        <w:tblLook w:val="04A0" w:firstRow="1" w:lastRow="0" w:firstColumn="1" w:lastColumn="0" w:noHBand="0" w:noVBand="1"/>
      </w:tblPr>
      <w:tblGrid>
        <w:gridCol w:w="1696"/>
        <w:gridCol w:w="3119"/>
        <w:gridCol w:w="1843"/>
      </w:tblGrid>
      <w:tr w:rsidR="00DF7CB4" w:rsidRPr="00DF7CB4" w14:paraId="42EAD6E3" w14:textId="77777777" w:rsidTr="00DF7C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2A43C018" w14:textId="77777777" w:rsidR="00DF7CB4" w:rsidRPr="00DF7CB4" w:rsidRDefault="00DF7CB4" w:rsidP="00DF7CB4">
            <w:pPr>
              <w:spacing w:after="200" w:line="276" w:lineRule="auto"/>
              <w:rPr>
                <w:sz w:val="24"/>
                <w:szCs w:val="24"/>
                <w:lang w:val="en-IN"/>
              </w:rPr>
            </w:pPr>
            <w:r w:rsidRPr="00DF7CB4">
              <w:rPr>
                <w:sz w:val="24"/>
                <w:szCs w:val="24"/>
                <w:lang w:val="en-IN"/>
              </w:rPr>
              <w:t>Year</w:t>
            </w:r>
          </w:p>
        </w:tc>
        <w:tc>
          <w:tcPr>
            <w:tcW w:w="3119" w:type="dxa"/>
            <w:hideMark/>
          </w:tcPr>
          <w:p w14:paraId="042D1963" w14:textId="77777777" w:rsidR="00DF7CB4" w:rsidRPr="00DF7CB4" w:rsidRDefault="00DF7CB4" w:rsidP="00DF7CB4">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DF7CB4">
              <w:rPr>
                <w:sz w:val="24"/>
                <w:szCs w:val="24"/>
                <w:lang w:val="en-IN"/>
              </w:rPr>
              <w:t>Calculation</w:t>
            </w:r>
          </w:p>
        </w:tc>
        <w:tc>
          <w:tcPr>
            <w:tcW w:w="1843" w:type="dxa"/>
            <w:hideMark/>
          </w:tcPr>
          <w:p w14:paraId="51339513" w14:textId="77777777" w:rsidR="00DF7CB4" w:rsidRPr="00DF7CB4" w:rsidRDefault="00DF7CB4" w:rsidP="00DF7CB4">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DF7CB4">
              <w:rPr>
                <w:sz w:val="24"/>
                <w:szCs w:val="24"/>
                <w:lang w:val="en-IN"/>
              </w:rPr>
              <w:t>Result</w:t>
            </w:r>
          </w:p>
        </w:tc>
      </w:tr>
      <w:tr w:rsidR="00DF7CB4" w:rsidRPr="00DF7CB4" w14:paraId="7A5FF44F" w14:textId="77777777" w:rsidTr="00DF7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4642AC43" w14:textId="5DFBC70A" w:rsidR="00DF7CB4" w:rsidRPr="00DF7CB4" w:rsidRDefault="00BA6F39" w:rsidP="00DF7CB4">
            <w:pPr>
              <w:spacing w:after="200" w:line="276" w:lineRule="auto"/>
              <w:rPr>
                <w:sz w:val="24"/>
                <w:szCs w:val="24"/>
                <w:lang w:val="en-IN"/>
              </w:rPr>
            </w:pPr>
            <w:r>
              <w:rPr>
                <w:sz w:val="24"/>
                <w:szCs w:val="24"/>
                <w:lang w:val="en-IN"/>
              </w:rPr>
              <w:t>2023</w:t>
            </w:r>
          </w:p>
        </w:tc>
        <w:tc>
          <w:tcPr>
            <w:tcW w:w="3119" w:type="dxa"/>
            <w:hideMark/>
          </w:tcPr>
          <w:p w14:paraId="06D77277" w14:textId="77777777" w:rsidR="00DF7CB4" w:rsidRPr="00DF7CB4" w:rsidRDefault="00DF7CB4" w:rsidP="00DF7CB4">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DF7CB4">
              <w:rPr>
                <w:sz w:val="24"/>
                <w:szCs w:val="24"/>
                <w:lang w:val="en-IN"/>
              </w:rPr>
              <w:t>33,273 ÷ 7,100</w:t>
            </w:r>
          </w:p>
        </w:tc>
        <w:tc>
          <w:tcPr>
            <w:tcW w:w="1843" w:type="dxa"/>
            <w:hideMark/>
          </w:tcPr>
          <w:p w14:paraId="124EF6D5" w14:textId="77777777" w:rsidR="00DF7CB4" w:rsidRPr="00DF7CB4" w:rsidRDefault="00DF7CB4" w:rsidP="00DF7CB4">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DF7CB4">
              <w:rPr>
                <w:b/>
                <w:bCs/>
                <w:sz w:val="24"/>
                <w:szCs w:val="24"/>
                <w:lang w:val="en-IN"/>
              </w:rPr>
              <w:t>4.69 times</w:t>
            </w:r>
          </w:p>
        </w:tc>
      </w:tr>
      <w:tr w:rsidR="00DF7CB4" w:rsidRPr="00DF7CB4" w14:paraId="44ADF26D" w14:textId="77777777" w:rsidTr="00DF7CB4">
        <w:tc>
          <w:tcPr>
            <w:cnfStyle w:val="001000000000" w:firstRow="0" w:lastRow="0" w:firstColumn="1" w:lastColumn="0" w:oddVBand="0" w:evenVBand="0" w:oddHBand="0" w:evenHBand="0" w:firstRowFirstColumn="0" w:firstRowLastColumn="0" w:lastRowFirstColumn="0" w:lastRowLastColumn="0"/>
            <w:tcW w:w="1696" w:type="dxa"/>
            <w:hideMark/>
          </w:tcPr>
          <w:p w14:paraId="4E2C7DF9" w14:textId="5937B775" w:rsidR="00DF7CB4" w:rsidRPr="00DF7CB4" w:rsidRDefault="00BA6F39" w:rsidP="00DF7CB4">
            <w:pPr>
              <w:spacing w:after="200" w:line="276" w:lineRule="auto"/>
              <w:rPr>
                <w:sz w:val="24"/>
                <w:szCs w:val="24"/>
                <w:lang w:val="en-IN"/>
              </w:rPr>
            </w:pPr>
            <w:r>
              <w:rPr>
                <w:sz w:val="24"/>
                <w:szCs w:val="24"/>
                <w:lang w:val="en-IN"/>
              </w:rPr>
              <w:t>2024</w:t>
            </w:r>
          </w:p>
        </w:tc>
        <w:tc>
          <w:tcPr>
            <w:tcW w:w="3119" w:type="dxa"/>
            <w:hideMark/>
          </w:tcPr>
          <w:p w14:paraId="1BE99C4A" w14:textId="77777777" w:rsidR="00DF7CB4" w:rsidRPr="00DF7CB4" w:rsidRDefault="00DF7CB4" w:rsidP="00DF7CB4">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DF7CB4">
              <w:rPr>
                <w:sz w:val="24"/>
                <w:szCs w:val="24"/>
                <w:lang w:val="en-IN"/>
              </w:rPr>
              <w:t>33,404 ÷ 6,800</w:t>
            </w:r>
          </w:p>
        </w:tc>
        <w:tc>
          <w:tcPr>
            <w:tcW w:w="1843" w:type="dxa"/>
            <w:hideMark/>
          </w:tcPr>
          <w:p w14:paraId="6C1D8CC2" w14:textId="77777777" w:rsidR="00DF7CB4" w:rsidRPr="00DF7CB4" w:rsidRDefault="00DF7CB4" w:rsidP="00DF7CB4">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DF7CB4">
              <w:rPr>
                <w:b/>
                <w:bCs/>
                <w:sz w:val="24"/>
                <w:szCs w:val="24"/>
                <w:lang w:val="en-IN"/>
              </w:rPr>
              <w:t>4.91 times</w:t>
            </w:r>
          </w:p>
        </w:tc>
      </w:tr>
    </w:tbl>
    <w:p w14:paraId="01E9A5AF" w14:textId="77777777" w:rsidR="00DF7CB4" w:rsidRDefault="00DF7CB4" w:rsidP="00BD1780">
      <w:pPr>
        <w:rPr>
          <w:sz w:val="24"/>
          <w:szCs w:val="24"/>
        </w:rPr>
      </w:pPr>
    </w:p>
    <w:p w14:paraId="21767B43" w14:textId="77777777" w:rsidR="00DF7CB4" w:rsidRDefault="00DF7CB4" w:rsidP="00DF7CB4">
      <w:pPr>
        <w:rPr>
          <w:b/>
          <w:bCs/>
          <w:sz w:val="24"/>
          <w:szCs w:val="24"/>
        </w:rPr>
      </w:pPr>
      <w:r w:rsidRPr="00DF7CB4">
        <w:rPr>
          <w:b/>
          <w:bCs/>
          <w:sz w:val="24"/>
          <w:szCs w:val="24"/>
        </w:rPr>
        <w:t>Receivables Collection Period</w:t>
      </w:r>
    </w:p>
    <w:p w14:paraId="2764BA2A" w14:textId="3E23B08C" w:rsidR="00DF7CB4" w:rsidRDefault="00DF7CB4" w:rsidP="00DF7CB4">
      <w:pPr>
        <w:rPr>
          <w:sz w:val="24"/>
          <w:szCs w:val="24"/>
        </w:rPr>
      </w:pPr>
      <w:r w:rsidRPr="008E0593">
        <w:rPr>
          <w:b/>
          <w:bCs/>
          <w:sz w:val="24"/>
          <w:szCs w:val="24"/>
        </w:rPr>
        <w:t>Formula:</w:t>
      </w:r>
      <w:r w:rsidRPr="008E0593">
        <w:rPr>
          <w:sz w:val="24"/>
          <w:szCs w:val="24"/>
        </w:rPr>
        <w:br/>
      </w:r>
      <w:r w:rsidRPr="00DF7CB4">
        <w:rPr>
          <w:sz w:val="24"/>
          <w:szCs w:val="24"/>
        </w:rPr>
        <w:t>Trade Receivables ÷ Revenue × 365</w:t>
      </w:r>
    </w:p>
    <w:tbl>
      <w:tblPr>
        <w:tblStyle w:val="GridTable4-Accent1"/>
        <w:tblW w:w="6659" w:type="dxa"/>
        <w:tblLook w:val="04A0" w:firstRow="1" w:lastRow="0" w:firstColumn="1" w:lastColumn="0" w:noHBand="0" w:noVBand="1"/>
      </w:tblPr>
      <w:tblGrid>
        <w:gridCol w:w="1696"/>
        <w:gridCol w:w="3119"/>
        <w:gridCol w:w="1844"/>
      </w:tblGrid>
      <w:tr w:rsidR="00DF7CB4" w:rsidRPr="00DF7CB4" w14:paraId="1D351435" w14:textId="77777777" w:rsidTr="00DF7CB4">
        <w:trPr>
          <w:cnfStyle w:val="100000000000" w:firstRow="1" w:lastRow="0" w:firstColumn="0" w:lastColumn="0" w:oddVBand="0" w:evenVBand="0" w:oddHBand="0" w:evenHBand="0" w:firstRowFirstColumn="0" w:firstRowLastColumn="0" w:lastRowFirstColumn="0" w:lastRowLastColumn="0"/>
          <w:trHeight w:val="516"/>
        </w:trPr>
        <w:tc>
          <w:tcPr>
            <w:cnfStyle w:val="001000000000" w:firstRow="0" w:lastRow="0" w:firstColumn="1" w:lastColumn="0" w:oddVBand="0" w:evenVBand="0" w:oddHBand="0" w:evenHBand="0" w:firstRowFirstColumn="0" w:firstRowLastColumn="0" w:lastRowFirstColumn="0" w:lastRowLastColumn="0"/>
            <w:tcW w:w="1696" w:type="dxa"/>
            <w:hideMark/>
          </w:tcPr>
          <w:p w14:paraId="46BD3E1E" w14:textId="77777777" w:rsidR="00DF7CB4" w:rsidRPr="00DF7CB4" w:rsidRDefault="00DF7CB4" w:rsidP="00DF7CB4">
            <w:pPr>
              <w:spacing w:after="200" w:line="276" w:lineRule="auto"/>
              <w:rPr>
                <w:sz w:val="24"/>
                <w:szCs w:val="24"/>
                <w:lang w:val="en-IN"/>
              </w:rPr>
            </w:pPr>
            <w:r w:rsidRPr="00DF7CB4">
              <w:rPr>
                <w:sz w:val="24"/>
                <w:szCs w:val="24"/>
                <w:lang w:val="en-IN"/>
              </w:rPr>
              <w:t>Year</w:t>
            </w:r>
          </w:p>
        </w:tc>
        <w:tc>
          <w:tcPr>
            <w:tcW w:w="3119" w:type="dxa"/>
            <w:hideMark/>
          </w:tcPr>
          <w:p w14:paraId="6504DC0A" w14:textId="77777777" w:rsidR="00DF7CB4" w:rsidRPr="00DF7CB4" w:rsidRDefault="00DF7CB4" w:rsidP="00DF7CB4">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DF7CB4">
              <w:rPr>
                <w:sz w:val="24"/>
                <w:szCs w:val="24"/>
                <w:lang w:val="en-IN"/>
              </w:rPr>
              <w:t>Calculation</w:t>
            </w:r>
          </w:p>
        </w:tc>
        <w:tc>
          <w:tcPr>
            <w:tcW w:w="1844" w:type="dxa"/>
            <w:hideMark/>
          </w:tcPr>
          <w:p w14:paraId="067A4EFE" w14:textId="77777777" w:rsidR="00DF7CB4" w:rsidRPr="00DF7CB4" w:rsidRDefault="00DF7CB4" w:rsidP="00DF7CB4">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DF7CB4">
              <w:rPr>
                <w:sz w:val="24"/>
                <w:szCs w:val="24"/>
                <w:lang w:val="en-IN"/>
              </w:rPr>
              <w:t>Result</w:t>
            </w:r>
          </w:p>
        </w:tc>
      </w:tr>
      <w:tr w:rsidR="00DF7CB4" w:rsidRPr="00DF7CB4" w14:paraId="038C5325" w14:textId="77777777" w:rsidTr="00DF7CB4">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1696" w:type="dxa"/>
            <w:hideMark/>
          </w:tcPr>
          <w:p w14:paraId="1854F5FF" w14:textId="7B2CFB1B" w:rsidR="00DF7CB4" w:rsidRPr="00DF7CB4" w:rsidRDefault="00BA6F39" w:rsidP="00DF7CB4">
            <w:pPr>
              <w:spacing w:after="200" w:line="276" w:lineRule="auto"/>
              <w:rPr>
                <w:sz w:val="24"/>
                <w:szCs w:val="24"/>
                <w:lang w:val="en-IN"/>
              </w:rPr>
            </w:pPr>
            <w:r>
              <w:rPr>
                <w:sz w:val="24"/>
                <w:szCs w:val="24"/>
                <w:lang w:val="en-IN"/>
              </w:rPr>
              <w:t>2023</w:t>
            </w:r>
          </w:p>
        </w:tc>
        <w:tc>
          <w:tcPr>
            <w:tcW w:w="3119" w:type="dxa"/>
            <w:hideMark/>
          </w:tcPr>
          <w:p w14:paraId="0E6DE8B8" w14:textId="77777777" w:rsidR="00DF7CB4" w:rsidRPr="00DF7CB4" w:rsidRDefault="00DF7CB4" w:rsidP="00DF7CB4">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DF7CB4">
              <w:rPr>
                <w:sz w:val="24"/>
                <w:szCs w:val="24"/>
                <w:lang w:val="en-IN"/>
              </w:rPr>
              <w:t>9,000 ÷ 60,073 × 365</w:t>
            </w:r>
          </w:p>
        </w:tc>
        <w:tc>
          <w:tcPr>
            <w:tcW w:w="1844" w:type="dxa"/>
            <w:hideMark/>
          </w:tcPr>
          <w:p w14:paraId="29858D59" w14:textId="77777777" w:rsidR="00DF7CB4" w:rsidRPr="00DF7CB4" w:rsidRDefault="00DF7CB4" w:rsidP="00DF7CB4">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DF7CB4">
              <w:rPr>
                <w:b/>
                <w:bCs/>
                <w:sz w:val="24"/>
                <w:szCs w:val="24"/>
                <w:lang w:val="en-IN"/>
              </w:rPr>
              <w:t>55 days</w:t>
            </w:r>
          </w:p>
        </w:tc>
      </w:tr>
      <w:tr w:rsidR="00DF7CB4" w:rsidRPr="00DF7CB4" w14:paraId="430F8949" w14:textId="77777777" w:rsidTr="00DF7CB4">
        <w:trPr>
          <w:trHeight w:val="516"/>
        </w:trPr>
        <w:tc>
          <w:tcPr>
            <w:cnfStyle w:val="001000000000" w:firstRow="0" w:lastRow="0" w:firstColumn="1" w:lastColumn="0" w:oddVBand="0" w:evenVBand="0" w:oddHBand="0" w:evenHBand="0" w:firstRowFirstColumn="0" w:firstRowLastColumn="0" w:lastRowFirstColumn="0" w:lastRowLastColumn="0"/>
            <w:tcW w:w="1696" w:type="dxa"/>
            <w:hideMark/>
          </w:tcPr>
          <w:p w14:paraId="395E74AE" w14:textId="34E7F7A6" w:rsidR="00DF7CB4" w:rsidRPr="00DF7CB4" w:rsidRDefault="00BA6F39" w:rsidP="00DF7CB4">
            <w:pPr>
              <w:spacing w:after="200" w:line="276" w:lineRule="auto"/>
              <w:rPr>
                <w:sz w:val="24"/>
                <w:szCs w:val="24"/>
                <w:lang w:val="en-IN"/>
              </w:rPr>
            </w:pPr>
            <w:r>
              <w:rPr>
                <w:sz w:val="24"/>
                <w:szCs w:val="24"/>
                <w:lang w:val="en-IN"/>
              </w:rPr>
              <w:t>2024</w:t>
            </w:r>
          </w:p>
        </w:tc>
        <w:tc>
          <w:tcPr>
            <w:tcW w:w="3119" w:type="dxa"/>
            <w:hideMark/>
          </w:tcPr>
          <w:p w14:paraId="77AF0090" w14:textId="77777777" w:rsidR="00DF7CB4" w:rsidRPr="00DF7CB4" w:rsidRDefault="00DF7CB4" w:rsidP="00DF7CB4">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DF7CB4">
              <w:rPr>
                <w:sz w:val="24"/>
                <w:szCs w:val="24"/>
                <w:lang w:val="en-IN"/>
              </w:rPr>
              <w:t>8,600 ÷ 59,604 × 365</w:t>
            </w:r>
          </w:p>
        </w:tc>
        <w:tc>
          <w:tcPr>
            <w:tcW w:w="1844" w:type="dxa"/>
            <w:hideMark/>
          </w:tcPr>
          <w:p w14:paraId="0FB58DD9" w14:textId="77777777" w:rsidR="00DF7CB4" w:rsidRPr="00DF7CB4" w:rsidRDefault="00DF7CB4" w:rsidP="00DF7CB4">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DF7CB4">
              <w:rPr>
                <w:b/>
                <w:bCs/>
                <w:sz w:val="24"/>
                <w:szCs w:val="24"/>
                <w:lang w:val="en-IN"/>
              </w:rPr>
              <w:t>53 days</w:t>
            </w:r>
          </w:p>
        </w:tc>
      </w:tr>
    </w:tbl>
    <w:p w14:paraId="783D6B98" w14:textId="77777777" w:rsidR="00DF7CB4" w:rsidRDefault="00DF7CB4" w:rsidP="00DF7CB4">
      <w:pPr>
        <w:rPr>
          <w:sz w:val="24"/>
          <w:szCs w:val="24"/>
        </w:rPr>
      </w:pPr>
    </w:p>
    <w:p w14:paraId="28BEF0C0" w14:textId="77777777" w:rsidR="00DF7CB4" w:rsidRDefault="00DF7CB4" w:rsidP="00BD1780">
      <w:pPr>
        <w:rPr>
          <w:sz w:val="24"/>
          <w:szCs w:val="24"/>
        </w:rPr>
      </w:pPr>
    </w:p>
    <w:p w14:paraId="7B6883C5" w14:textId="3064E5A0" w:rsidR="00BD1780" w:rsidRDefault="00BD1780">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27A0B83F" w14:textId="77777777" w:rsidR="00DF7CB4" w:rsidRDefault="00DF7CB4" w:rsidP="00DF7CB4">
      <w:pPr>
        <w:rPr>
          <w:rFonts w:asciiTheme="majorHAnsi" w:eastAsiaTheme="majorEastAsia" w:hAnsiTheme="majorHAnsi" w:cstheme="majorBidi"/>
          <w:b/>
          <w:bCs/>
          <w:color w:val="365F91" w:themeColor="accent1" w:themeShade="BF"/>
          <w:sz w:val="28"/>
          <w:szCs w:val="28"/>
        </w:rPr>
      </w:pPr>
      <w:r w:rsidRPr="00DF7CB4">
        <w:rPr>
          <w:rFonts w:asciiTheme="majorHAnsi" w:eastAsiaTheme="majorEastAsia" w:hAnsiTheme="majorHAnsi" w:cstheme="majorBidi"/>
          <w:b/>
          <w:bCs/>
          <w:color w:val="365F91" w:themeColor="accent1" w:themeShade="BF"/>
          <w:sz w:val="28"/>
          <w:szCs w:val="28"/>
        </w:rPr>
        <w:lastRenderedPageBreak/>
        <w:t>Table 6: Investor Ratios</w:t>
      </w:r>
    </w:p>
    <w:p w14:paraId="505FE8A1" w14:textId="77777777" w:rsidR="00DF7CB4" w:rsidRDefault="00DF7CB4" w:rsidP="00DF7CB4">
      <w:pPr>
        <w:rPr>
          <w:b/>
          <w:bCs/>
          <w:sz w:val="24"/>
          <w:szCs w:val="24"/>
        </w:rPr>
      </w:pPr>
      <w:r w:rsidRPr="00DF7CB4">
        <w:rPr>
          <w:b/>
          <w:bCs/>
          <w:sz w:val="24"/>
          <w:szCs w:val="24"/>
        </w:rPr>
        <w:t>Earnings per Share (EPS)</w:t>
      </w:r>
    </w:p>
    <w:p w14:paraId="5402B0B1" w14:textId="1C970174" w:rsidR="00DF7CB4" w:rsidRDefault="00DF7CB4" w:rsidP="00DF7CB4">
      <w:pPr>
        <w:rPr>
          <w:sz w:val="24"/>
          <w:szCs w:val="24"/>
        </w:rPr>
      </w:pPr>
      <w:r w:rsidRPr="008E0593">
        <w:rPr>
          <w:b/>
          <w:bCs/>
          <w:sz w:val="24"/>
          <w:szCs w:val="24"/>
        </w:rPr>
        <w:t>Formula:</w:t>
      </w:r>
      <w:r w:rsidRPr="008E0593">
        <w:rPr>
          <w:sz w:val="24"/>
          <w:szCs w:val="24"/>
        </w:rPr>
        <w:br/>
      </w:r>
      <w:r w:rsidRPr="00DF7CB4">
        <w:rPr>
          <w:sz w:val="24"/>
          <w:szCs w:val="24"/>
        </w:rPr>
        <w:t>Profit After Tax ÷ Number of Shares</w:t>
      </w:r>
    </w:p>
    <w:tbl>
      <w:tblPr>
        <w:tblStyle w:val="GridTable4-Accent1"/>
        <w:tblW w:w="0" w:type="auto"/>
        <w:tblLook w:val="04A0" w:firstRow="1" w:lastRow="0" w:firstColumn="1" w:lastColumn="0" w:noHBand="0" w:noVBand="1"/>
      </w:tblPr>
      <w:tblGrid>
        <w:gridCol w:w="1696"/>
        <w:gridCol w:w="3119"/>
        <w:gridCol w:w="1843"/>
      </w:tblGrid>
      <w:tr w:rsidR="00DF7CB4" w:rsidRPr="00DF7CB4" w14:paraId="7F737FCD" w14:textId="77777777" w:rsidTr="00DF7C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0641632D" w14:textId="77777777" w:rsidR="00DF7CB4" w:rsidRPr="00DF7CB4" w:rsidRDefault="00DF7CB4" w:rsidP="00DF7CB4">
            <w:pPr>
              <w:spacing w:after="200" w:line="276" w:lineRule="auto"/>
              <w:rPr>
                <w:sz w:val="24"/>
                <w:szCs w:val="24"/>
                <w:lang w:val="en-IN"/>
              </w:rPr>
            </w:pPr>
            <w:r w:rsidRPr="00DF7CB4">
              <w:rPr>
                <w:sz w:val="24"/>
                <w:szCs w:val="24"/>
                <w:lang w:val="en-IN"/>
              </w:rPr>
              <w:t>Year</w:t>
            </w:r>
          </w:p>
        </w:tc>
        <w:tc>
          <w:tcPr>
            <w:tcW w:w="3119" w:type="dxa"/>
            <w:hideMark/>
          </w:tcPr>
          <w:p w14:paraId="158665E7" w14:textId="77777777" w:rsidR="00DF7CB4" w:rsidRPr="00DF7CB4" w:rsidRDefault="00DF7CB4" w:rsidP="00DF7CB4">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DF7CB4">
              <w:rPr>
                <w:sz w:val="24"/>
                <w:szCs w:val="24"/>
                <w:lang w:val="en-IN"/>
              </w:rPr>
              <w:t>Calculation</w:t>
            </w:r>
          </w:p>
        </w:tc>
        <w:tc>
          <w:tcPr>
            <w:tcW w:w="1843" w:type="dxa"/>
            <w:hideMark/>
          </w:tcPr>
          <w:p w14:paraId="60001D5E" w14:textId="77777777" w:rsidR="00DF7CB4" w:rsidRPr="00DF7CB4" w:rsidRDefault="00DF7CB4" w:rsidP="00DF7CB4">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DF7CB4">
              <w:rPr>
                <w:sz w:val="24"/>
                <w:szCs w:val="24"/>
                <w:lang w:val="en-IN"/>
              </w:rPr>
              <w:t>Result</w:t>
            </w:r>
          </w:p>
        </w:tc>
      </w:tr>
      <w:tr w:rsidR="00DF7CB4" w:rsidRPr="00DF7CB4" w14:paraId="42DAD8B8" w14:textId="77777777" w:rsidTr="00DF7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0CFAE7D1" w14:textId="0FD9F8CF" w:rsidR="00DF7CB4" w:rsidRPr="00DF7CB4" w:rsidRDefault="00BA6F39" w:rsidP="00DF7CB4">
            <w:pPr>
              <w:spacing w:after="200" w:line="276" w:lineRule="auto"/>
              <w:rPr>
                <w:sz w:val="24"/>
                <w:szCs w:val="24"/>
                <w:lang w:val="en-IN"/>
              </w:rPr>
            </w:pPr>
            <w:r>
              <w:rPr>
                <w:sz w:val="24"/>
                <w:szCs w:val="24"/>
                <w:lang w:val="en-IN"/>
              </w:rPr>
              <w:t>2023</w:t>
            </w:r>
          </w:p>
        </w:tc>
        <w:tc>
          <w:tcPr>
            <w:tcW w:w="3119" w:type="dxa"/>
            <w:hideMark/>
          </w:tcPr>
          <w:p w14:paraId="109BF8A6" w14:textId="77777777" w:rsidR="00DF7CB4" w:rsidRPr="00DF7CB4" w:rsidRDefault="00DF7CB4" w:rsidP="00DF7CB4">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DF7CB4">
              <w:rPr>
                <w:sz w:val="24"/>
                <w:szCs w:val="24"/>
                <w:lang w:val="en-IN"/>
              </w:rPr>
              <w:t>7,600 ÷ 2,600</w:t>
            </w:r>
          </w:p>
        </w:tc>
        <w:tc>
          <w:tcPr>
            <w:tcW w:w="1843" w:type="dxa"/>
            <w:hideMark/>
          </w:tcPr>
          <w:p w14:paraId="4A9EA2DD" w14:textId="77777777" w:rsidR="00DF7CB4" w:rsidRPr="00DF7CB4" w:rsidRDefault="00DF7CB4" w:rsidP="00DF7CB4">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DF7CB4">
              <w:rPr>
                <w:b/>
                <w:bCs/>
                <w:sz w:val="24"/>
                <w:szCs w:val="24"/>
                <w:lang w:val="en-IN"/>
              </w:rPr>
              <w:t>292p</w:t>
            </w:r>
          </w:p>
        </w:tc>
      </w:tr>
      <w:tr w:rsidR="00DF7CB4" w:rsidRPr="00DF7CB4" w14:paraId="5ACEC34B" w14:textId="77777777" w:rsidTr="00DF7CB4">
        <w:tc>
          <w:tcPr>
            <w:cnfStyle w:val="001000000000" w:firstRow="0" w:lastRow="0" w:firstColumn="1" w:lastColumn="0" w:oddVBand="0" w:evenVBand="0" w:oddHBand="0" w:evenHBand="0" w:firstRowFirstColumn="0" w:firstRowLastColumn="0" w:lastRowFirstColumn="0" w:lastRowLastColumn="0"/>
            <w:tcW w:w="1696" w:type="dxa"/>
            <w:hideMark/>
          </w:tcPr>
          <w:p w14:paraId="60B8DBEA" w14:textId="452EEA72" w:rsidR="00DF7CB4" w:rsidRPr="00DF7CB4" w:rsidRDefault="00BA6F39" w:rsidP="00DF7CB4">
            <w:pPr>
              <w:spacing w:after="200" w:line="276" w:lineRule="auto"/>
              <w:rPr>
                <w:sz w:val="24"/>
                <w:szCs w:val="24"/>
                <w:lang w:val="en-IN"/>
              </w:rPr>
            </w:pPr>
            <w:r>
              <w:rPr>
                <w:sz w:val="24"/>
                <w:szCs w:val="24"/>
                <w:lang w:val="en-IN"/>
              </w:rPr>
              <w:t>2024</w:t>
            </w:r>
          </w:p>
        </w:tc>
        <w:tc>
          <w:tcPr>
            <w:tcW w:w="3119" w:type="dxa"/>
            <w:hideMark/>
          </w:tcPr>
          <w:p w14:paraId="2ED98E61" w14:textId="77777777" w:rsidR="00DF7CB4" w:rsidRPr="00DF7CB4" w:rsidRDefault="00DF7CB4" w:rsidP="00DF7CB4">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DF7CB4">
              <w:rPr>
                <w:sz w:val="24"/>
                <w:szCs w:val="24"/>
                <w:lang w:val="en-IN"/>
              </w:rPr>
              <w:t>7,200 ÷ 2,600</w:t>
            </w:r>
          </w:p>
        </w:tc>
        <w:tc>
          <w:tcPr>
            <w:tcW w:w="1843" w:type="dxa"/>
            <w:hideMark/>
          </w:tcPr>
          <w:p w14:paraId="6B37E811" w14:textId="77777777" w:rsidR="00DF7CB4" w:rsidRPr="00DF7CB4" w:rsidRDefault="00DF7CB4" w:rsidP="00DF7CB4">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DF7CB4">
              <w:rPr>
                <w:b/>
                <w:bCs/>
                <w:sz w:val="24"/>
                <w:szCs w:val="24"/>
                <w:lang w:val="en-IN"/>
              </w:rPr>
              <w:t>277p</w:t>
            </w:r>
          </w:p>
        </w:tc>
      </w:tr>
    </w:tbl>
    <w:p w14:paraId="1F556774" w14:textId="1DD37380" w:rsidR="00DF7CB4" w:rsidRDefault="00DF7CB4" w:rsidP="00DF7CB4">
      <w:pPr>
        <w:rPr>
          <w:sz w:val="24"/>
          <w:szCs w:val="24"/>
        </w:rPr>
      </w:pPr>
    </w:p>
    <w:p w14:paraId="18DDE61A" w14:textId="77777777" w:rsidR="00DF7CB4" w:rsidRDefault="00DF7CB4" w:rsidP="00DF7CB4">
      <w:pPr>
        <w:rPr>
          <w:b/>
          <w:bCs/>
          <w:sz w:val="24"/>
          <w:szCs w:val="24"/>
        </w:rPr>
      </w:pPr>
      <w:r w:rsidRPr="00DF7CB4">
        <w:rPr>
          <w:b/>
          <w:bCs/>
          <w:sz w:val="24"/>
          <w:szCs w:val="24"/>
        </w:rPr>
        <w:t>Dividend per Share (DPS)</w:t>
      </w:r>
    </w:p>
    <w:p w14:paraId="59784D40" w14:textId="35F90BF0" w:rsidR="00DF7CB4" w:rsidRDefault="00DF7CB4" w:rsidP="00DF7CB4">
      <w:pPr>
        <w:rPr>
          <w:sz w:val="24"/>
          <w:szCs w:val="24"/>
        </w:rPr>
      </w:pPr>
      <w:r w:rsidRPr="008E0593">
        <w:rPr>
          <w:b/>
          <w:bCs/>
          <w:sz w:val="24"/>
          <w:szCs w:val="24"/>
        </w:rPr>
        <w:t>Formula:</w:t>
      </w:r>
      <w:r w:rsidRPr="008E0593">
        <w:rPr>
          <w:sz w:val="24"/>
          <w:szCs w:val="24"/>
        </w:rPr>
        <w:br/>
      </w:r>
      <w:r w:rsidRPr="00DF7CB4">
        <w:rPr>
          <w:sz w:val="24"/>
          <w:szCs w:val="24"/>
        </w:rPr>
        <w:t>Dividends Paid ÷ Number of Shares</w:t>
      </w:r>
    </w:p>
    <w:tbl>
      <w:tblPr>
        <w:tblStyle w:val="GridTable4-Accent1"/>
        <w:tblW w:w="0" w:type="auto"/>
        <w:tblLook w:val="04A0" w:firstRow="1" w:lastRow="0" w:firstColumn="1" w:lastColumn="0" w:noHBand="0" w:noVBand="1"/>
      </w:tblPr>
      <w:tblGrid>
        <w:gridCol w:w="1696"/>
        <w:gridCol w:w="3119"/>
        <w:gridCol w:w="1843"/>
      </w:tblGrid>
      <w:tr w:rsidR="00DF7CB4" w:rsidRPr="00DF7CB4" w14:paraId="319CA2F2" w14:textId="77777777" w:rsidTr="00DF7C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7BEF5F2B" w14:textId="77777777" w:rsidR="00DF7CB4" w:rsidRPr="00DF7CB4" w:rsidRDefault="00DF7CB4" w:rsidP="00DF7CB4">
            <w:pPr>
              <w:spacing w:after="200" w:line="276" w:lineRule="auto"/>
              <w:rPr>
                <w:sz w:val="24"/>
                <w:szCs w:val="24"/>
                <w:lang w:val="en-IN"/>
              </w:rPr>
            </w:pPr>
            <w:r w:rsidRPr="00DF7CB4">
              <w:rPr>
                <w:sz w:val="24"/>
                <w:szCs w:val="24"/>
                <w:lang w:val="en-IN"/>
              </w:rPr>
              <w:t>Year</w:t>
            </w:r>
          </w:p>
        </w:tc>
        <w:tc>
          <w:tcPr>
            <w:tcW w:w="3119" w:type="dxa"/>
            <w:hideMark/>
          </w:tcPr>
          <w:p w14:paraId="2922F3C7" w14:textId="77777777" w:rsidR="00DF7CB4" w:rsidRPr="00DF7CB4" w:rsidRDefault="00DF7CB4" w:rsidP="00DF7CB4">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DF7CB4">
              <w:rPr>
                <w:sz w:val="24"/>
                <w:szCs w:val="24"/>
                <w:lang w:val="en-IN"/>
              </w:rPr>
              <w:t>Calculation</w:t>
            </w:r>
          </w:p>
        </w:tc>
        <w:tc>
          <w:tcPr>
            <w:tcW w:w="1843" w:type="dxa"/>
            <w:hideMark/>
          </w:tcPr>
          <w:p w14:paraId="3CEED636" w14:textId="77777777" w:rsidR="00DF7CB4" w:rsidRPr="00DF7CB4" w:rsidRDefault="00DF7CB4" w:rsidP="00DF7CB4">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DF7CB4">
              <w:rPr>
                <w:sz w:val="24"/>
                <w:szCs w:val="24"/>
                <w:lang w:val="en-IN"/>
              </w:rPr>
              <w:t>Result</w:t>
            </w:r>
          </w:p>
        </w:tc>
      </w:tr>
      <w:tr w:rsidR="00DF7CB4" w:rsidRPr="00DF7CB4" w14:paraId="7A0B2198" w14:textId="77777777" w:rsidTr="00DF7C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6123E2C5" w14:textId="095513CD" w:rsidR="00DF7CB4" w:rsidRPr="00DF7CB4" w:rsidRDefault="00BA6F39" w:rsidP="00DF7CB4">
            <w:pPr>
              <w:spacing w:after="200" w:line="276" w:lineRule="auto"/>
              <w:rPr>
                <w:sz w:val="24"/>
                <w:szCs w:val="24"/>
                <w:lang w:val="en-IN"/>
              </w:rPr>
            </w:pPr>
            <w:r>
              <w:rPr>
                <w:sz w:val="24"/>
                <w:szCs w:val="24"/>
                <w:lang w:val="en-IN"/>
              </w:rPr>
              <w:t>2023</w:t>
            </w:r>
          </w:p>
        </w:tc>
        <w:tc>
          <w:tcPr>
            <w:tcW w:w="3119" w:type="dxa"/>
            <w:hideMark/>
          </w:tcPr>
          <w:p w14:paraId="38BF9CFF" w14:textId="77777777" w:rsidR="00DF7CB4" w:rsidRPr="00DF7CB4" w:rsidRDefault="00DF7CB4" w:rsidP="00DF7CB4">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DF7CB4">
              <w:rPr>
                <w:sz w:val="24"/>
                <w:szCs w:val="24"/>
                <w:lang w:val="en-IN"/>
              </w:rPr>
              <w:t>4,300 ÷ 2,600</w:t>
            </w:r>
          </w:p>
        </w:tc>
        <w:tc>
          <w:tcPr>
            <w:tcW w:w="1843" w:type="dxa"/>
            <w:hideMark/>
          </w:tcPr>
          <w:p w14:paraId="29F6BF06" w14:textId="77777777" w:rsidR="00DF7CB4" w:rsidRPr="00DF7CB4" w:rsidRDefault="00DF7CB4" w:rsidP="00DF7CB4">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DF7CB4">
              <w:rPr>
                <w:b/>
                <w:bCs/>
                <w:sz w:val="24"/>
                <w:szCs w:val="24"/>
                <w:lang w:val="en-IN"/>
              </w:rPr>
              <w:t>165p</w:t>
            </w:r>
          </w:p>
        </w:tc>
      </w:tr>
      <w:tr w:rsidR="00DF7CB4" w:rsidRPr="00DF7CB4" w14:paraId="09F956D0" w14:textId="77777777" w:rsidTr="00DF7CB4">
        <w:tc>
          <w:tcPr>
            <w:cnfStyle w:val="001000000000" w:firstRow="0" w:lastRow="0" w:firstColumn="1" w:lastColumn="0" w:oddVBand="0" w:evenVBand="0" w:oddHBand="0" w:evenHBand="0" w:firstRowFirstColumn="0" w:firstRowLastColumn="0" w:lastRowFirstColumn="0" w:lastRowLastColumn="0"/>
            <w:tcW w:w="1696" w:type="dxa"/>
            <w:hideMark/>
          </w:tcPr>
          <w:p w14:paraId="1814AAF3" w14:textId="7EBD7792" w:rsidR="00DF7CB4" w:rsidRPr="00DF7CB4" w:rsidRDefault="00BA6F39" w:rsidP="00DF7CB4">
            <w:pPr>
              <w:spacing w:after="200" w:line="276" w:lineRule="auto"/>
              <w:rPr>
                <w:sz w:val="24"/>
                <w:szCs w:val="24"/>
                <w:lang w:val="en-IN"/>
              </w:rPr>
            </w:pPr>
            <w:r>
              <w:rPr>
                <w:sz w:val="24"/>
                <w:szCs w:val="24"/>
                <w:lang w:val="en-IN"/>
              </w:rPr>
              <w:t>2024</w:t>
            </w:r>
          </w:p>
        </w:tc>
        <w:tc>
          <w:tcPr>
            <w:tcW w:w="3119" w:type="dxa"/>
            <w:hideMark/>
          </w:tcPr>
          <w:p w14:paraId="6BEEE0F3" w14:textId="77777777" w:rsidR="00DF7CB4" w:rsidRPr="00DF7CB4" w:rsidRDefault="00DF7CB4" w:rsidP="00DF7CB4">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DF7CB4">
              <w:rPr>
                <w:sz w:val="24"/>
                <w:szCs w:val="24"/>
                <w:lang w:val="en-IN"/>
              </w:rPr>
              <w:t>4,100 ÷ 2,600</w:t>
            </w:r>
          </w:p>
        </w:tc>
        <w:tc>
          <w:tcPr>
            <w:tcW w:w="1843" w:type="dxa"/>
            <w:hideMark/>
          </w:tcPr>
          <w:p w14:paraId="4638BEB7" w14:textId="77777777" w:rsidR="00DF7CB4" w:rsidRPr="00DF7CB4" w:rsidRDefault="00DF7CB4" w:rsidP="00DF7CB4">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DF7CB4">
              <w:rPr>
                <w:b/>
                <w:bCs/>
                <w:sz w:val="24"/>
                <w:szCs w:val="24"/>
                <w:lang w:val="en-IN"/>
              </w:rPr>
              <w:t>158p</w:t>
            </w:r>
          </w:p>
        </w:tc>
      </w:tr>
    </w:tbl>
    <w:p w14:paraId="366A79B2" w14:textId="77777777" w:rsidR="00DF7CB4" w:rsidRDefault="00DF7CB4" w:rsidP="00DF7CB4">
      <w:pPr>
        <w:rPr>
          <w:sz w:val="24"/>
          <w:szCs w:val="24"/>
        </w:rPr>
      </w:pPr>
    </w:p>
    <w:p w14:paraId="0E42E436" w14:textId="641800F4" w:rsidR="008E0593" w:rsidRDefault="00DF7CB4" w:rsidP="00DE0657">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20BAE174" w14:textId="01013105" w:rsidR="005A747D" w:rsidRDefault="005A747D" w:rsidP="00DE0657">
      <w:pPr>
        <w:rPr>
          <w:rFonts w:asciiTheme="majorHAnsi" w:eastAsiaTheme="majorEastAsia" w:hAnsiTheme="majorHAnsi" w:cstheme="majorBidi"/>
          <w:b/>
          <w:bCs/>
          <w:color w:val="365F91" w:themeColor="accent1" w:themeShade="BF"/>
          <w:sz w:val="28"/>
          <w:szCs w:val="28"/>
        </w:rPr>
      </w:pPr>
      <w:r w:rsidRPr="005A747D">
        <w:rPr>
          <w:rFonts w:asciiTheme="majorHAnsi" w:eastAsiaTheme="majorEastAsia" w:hAnsiTheme="majorHAnsi" w:cstheme="majorBidi"/>
          <w:b/>
          <w:bCs/>
          <w:color w:val="365F91" w:themeColor="accent1" w:themeShade="BF"/>
          <w:sz w:val="28"/>
          <w:szCs w:val="28"/>
        </w:rPr>
        <w:lastRenderedPageBreak/>
        <w:t xml:space="preserve">TASK 2 – </w:t>
      </w:r>
      <w:r w:rsidR="007767E4" w:rsidRPr="007767E4">
        <w:rPr>
          <w:rFonts w:asciiTheme="majorHAnsi" w:eastAsiaTheme="majorEastAsia" w:hAnsiTheme="majorHAnsi" w:cstheme="majorBidi"/>
          <w:b/>
          <w:bCs/>
          <w:color w:val="365F91" w:themeColor="accent1" w:themeShade="BF"/>
          <w:sz w:val="28"/>
          <w:szCs w:val="28"/>
        </w:rPr>
        <w:t>Investment Appraisal and Financing Decision for Westward Plc</w:t>
      </w:r>
    </w:p>
    <w:p w14:paraId="0C7DB260" w14:textId="2231D57E" w:rsidR="007767E4" w:rsidRDefault="00920A0A" w:rsidP="00DE0657">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t xml:space="preserve">1. </w:t>
      </w:r>
      <w:r w:rsidR="007767E4" w:rsidRPr="004A7931">
        <w:rPr>
          <w:rFonts w:asciiTheme="majorHAnsi" w:eastAsiaTheme="majorEastAsia" w:hAnsiTheme="majorHAnsi" w:cstheme="majorBidi"/>
          <w:b/>
          <w:bCs/>
          <w:color w:val="365F91" w:themeColor="accent1" w:themeShade="BF"/>
          <w:sz w:val="28"/>
          <w:szCs w:val="28"/>
        </w:rPr>
        <w:t>Introduction</w:t>
      </w:r>
    </w:p>
    <w:p w14:paraId="0EB998D4" w14:textId="77777777" w:rsidR="007767E4" w:rsidRPr="007767E4" w:rsidRDefault="007767E4" w:rsidP="007767E4">
      <w:pPr>
        <w:rPr>
          <w:sz w:val="24"/>
          <w:szCs w:val="24"/>
          <w:lang w:val="en-IN"/>
        </w:rPr>
      </w:pPr>
      <w:r w:rsidRPr="007767E4">
        <w:rPr>
          <w:sz w:val="24"/>
          <w:szCs w:val="24"/>
          <w:lang w:val="en-IN"/>
        </w:rPr>
        <w:t>Westward Plc is a manufacturing company producing a range of high-quality curtains and is currently considering a significant expansion of its business operations. In response to changing consumer behaviour, increased competition, and evolving retail channels, the Board of Directors has identified three mutually exclusive strategic investment options as part of a proposed four-year development plan. Each option involves a substantial initial capital outlay and is expected to generate different patterns of future cash flows.</w:t>
      </w:r>
    </w:p>
    <w:p w14:paraId="0128C121" w14:textId="77777777" w:rsidR="007767E4" w:rsidRPr="007767E4" w:rsidRDefault="007767E4" w:rsidP="007767E4">
      <w:pPr>
        <w:rPr>
          <w:sz w:val="24"/>
          <w:szCs w:val="24"/>
          <w:lang w:val="en-IN"/>
        </w:rPr>
      </w:pPr>
      <w:r w:rsidRPr="007767E4">
        <w:rPr>
          <w:sz w:val="24"/>
          <w:szCs w:val="24"/>
          <w:lang w:val="en-IN"/>
        </w:rPr>
        <w:t>Investment appraisal is a critical component of financial management, as poor capital investment decisions can have long-term negative consequences for shareholder wealth and organisational sustainability. Given the scale of the proposed investments and the uncertainty associated with future cash flows, it is essential that Westward Plc adopts a rigorous and structured approach to evaluating these options.</w:t>
      </w:r>
    </w:p>
    <w:p w14:paraId="4D946765" w14:textId="1239F432" w:rsidR="007767E4" w:rsidRPr="00C67828" w:rsidRDefault="007767E4">
      <w:pPr>
        <w:rPr>
          <w:sz w:val="24"/>
          <w:szCs w:val="24"/>
          <w:lang w:val="en-IN"/>
        </w:rPr>
      </w:pPr>
      <w:r w:rsidRPr="007767E4">
        <w:rPr>
          <w:sz w:val="24"/>
          <w:szCs w:val="24"/>
          <w:lang w:val="en-IN"/>
        </w:rPr>
        <w:t>This report applies appropriate investment appraisal techniques, primarily Net Present Value (NPV) and Internal Rate of Return (IRR), to assess the financial viability of each option. In addition, the report interprets the results for management, discusses relevant investment appraisal theory, considers capital rationing constraints, and evaluates how the recommended investment programme could be financed. The objective is to support informed strategic decision-making that aligns with the company’s long-term financial objectives and shareholder value maximisation.</w:t>
      </w:r>
    </w:p>
    <w:p w14:paraId="71ED6F49" w14:textId="77777777" w:rsidR="007767E4" w:rsidRDefault="007767E4">
      <w:pPr>
        <w:rPr>
          <w:rFonts w:asciiTheme="majorHAnsi" w:eastAsiaTheme="majorEastAsia" w:hAnsiTheme="majorHAnsi" w:cstheme="majorBidi"/>
          <w:b/>
          <w:bCs/>
          <w:color w:val="365F91" w:themeColor="accent1" w:themeShade="BF"/>
          <w:sz w:val="28"/>
          <w:szCs w:val="28"/>
        </w:rPr>
      </w:pPr>
      <w:r w:rsidRPr="007767E4">
        <w:rPr>
          <w:rFonts w:asciiTheme="majorHAnsi" w:eastAsiaTheme="majorEastAsia" w:hAnsiTheme="majorHAnsi" w:cstheme="majorBidi"/>
          <w:b/>
          <w:bCs/>
          <w:color w:val="365F91" w:themeColor="accent1" w:themeShade="BF"/>
          <w:sz w:val="28"/>
          <w:szCs w:val="28"/>
        </w:rPr>
        <w:t xml:space="preserve">2. Overview of the Investment Options </w:t>
      </w:r>
    </w:p>
    <w:p w14:paraId="1DA29519" w14:textId="38D73AA7" w:rsidR="007767E4" w:rsidRPr="007767E4" w:rsidRDefault="007767E4" w:rsidP="007767E4">
      <w:pPr>
        <w:rPr>
          <w:lang w:val="en-IN"/>
        </w:rPr>
      </w:pPr>
      <w:r w:rsidRPr="007767E4">
        <w:rPr>
          <w:lang w:val="en-IN"/>
        </w:rPr>
        <w:t>The Board of Westward Plc is considering the following three investment options:</w:t>
      </w:r>
    </w:p>
    <w:p w14:paraId="013E919D" w14:textId="77777777" w:rsidR="007767E4" w:rsidRPr="007767E4" w:rsidRDefault="007767E4" w:rsidP="007767E4">
      <w:pPr>
        <w:rPr>
          <w:sz w:val="24"/>
          <w:szCs w:val="24"/>
          <w:lang w:val="en-IN"/>
        </w:rPr>
      </w:pPr>
      <w:r w:rsidRPr="007767E4">
        <w:rPr>
          <w:b/>
          <w:bCs/>
          <w:sz w:val="24"/>
          <w:szCs w:val="24"/>
          <w:lang w:val="en-IN"/>
        </w:rPr>
        <w:t>Option A:</w:t>
      </w:r>
      <w:r w:rsidRPr="007767E4">
        <w:rPr>
          <w:sz w:val="24"/>
          <w:szCs w:val="24"/>
          <w:lang w:val="en-IN"/>
        </w:rPr>
        <w:t xml:space="preserve"> Expansion of the existing retail outlet to include all product lines, requiring an initial investment of £600,000.</w:t>
      </w:r>
      <w:r w:rsidRPr="007767E4">
        <w:rPr>
          <w:sz w:val="24"/>
          <w:szCs w:val="24"/>
          <w:lang w:val="en-IN"/>
        </w:rPr>
        <w:br/>
      </w:r>
      <w:r w:rsidRPr="007767E4">
        <w:rPr>
          <w:b/>
          <w:bCs/>
          <w:sz w:val="24"/>
          <w:szCs w:val="24"/>
          <w:lang w:val="en-IN"/>
        </w:rPr>
        <w:t>Option B:</w:t>
      </w:r>
      <w:r w:rsidRPr="007767E4">
        <w:rPr>
          <w:sz w:val="24"/>
          <w:szCs w:val="24"/>
          <w:lang w:val="en-IN"/>
        </w:rPr>
        <w:t xml:space="preserve"> Development of internet sales channels, requiring an initial investment of £1,000,000.</w:t>
      </w:r>
      <w:r w:rsidRPr="007767E4">
        <w:rPr>
          <w:sz w:val="24"/>
          <w:szCs w:val="24"/>
          <w:lang w:val="en-IN"/>
        </w:rPr>
        <w:br/>
      </w:r>
      <w:r w:rsidRPr="007767E4">
        <w:rPr>
          <w:b/>
          <w:bCs/>
          <w:sz w:val="24"/>
          <w:szCs w:val="24"/>
          <w:lang w:val="en-IN"/>
        </w:rPr>
        <w:t>Option C:</w:t>
      </w:r>
      <w:r w:rsidRPr="007767E4">
        <w:rPr>
          <w:sz w:val="24"/>
          <w:szCs w:val="24"/>
          <w:lang w:val="en-IN"/>
        </w:rPr>
        <w:t xml:space="preserve"> Diversification into the production of wooden blinds and Roman blinds, requiring an initial investment of £1,600,000.</w:t>
      </w:r>
    </w:p>
    <w:p w14:paraId="5864E9FB" w14:textId="77777777" w:rsidR="007767E4" w:rsidRPr="007767E4" w:rsidRDefault="007767E4" w:rsidP="007767E4">
      <w:pPr>
        <w:rPr>
          <w:sz w:val="24"/>
          <w:szCs w:val="24"/>
          <w:lang w:val="en-IN"/>
        </w:rPr>
      </w:pPr>
      <w:r w:rsidRPr="007767E4">
        <w:rPr>
          <w:sz w:val="24"/>
          <w:szCs w:val="24"/>
          <w:lang w:val="en-IN"/>
        </w:rPr>
        <w:t>Each option is expected to generate cash inflows over a four-year period. These cash flows differ in magnitude and timing, reflecting varying levels of risk, market potential, and operational complexity. Corporation tax is assumed to be 25%, and capital allowances are available at 20% per annum on a straight-line basis. All cash flows are assumed to occur at the end of each year.</w:t>
      </w:r>
    </w:p>
    <w:p w14:paraId="327139FF" w14:textId="7EA1A35A" w:rsidR="007767E4" w:rsidRPr="007767E4" w:rsidRDefault="006D6B8F" w:rsidP="007767E4">
      <w:pPr>
        <w:rPr>
          <w:sz w:val="24"/>
          <w:szCs w:val="24"/>
          <w:lang w:val="en-IN"/>
        </w:rPr>
      </w:pPr>
      <w:r>
        <w:rPr>
          <w:rFonts w:asciiTheme="majorHAnsi" w:eastAsiaTheme="majorEastAsia" w:hAnsiTheme="majorHAnsi" w:cstheme="majorBidi"/>
          <w:b/>
          <w:bCs/>
          <w:noProof/>
          <w:color w:val="365F91" w:themeColor="accent1" w:themeShade="BF"/>
          <w:sz w:val="28"/>
          <w:szCs w:val="28"/>
        </w:rPr>
        <w:lastRenderedPageBreak/>
        <w:drawing>
          <wp:anchor distT="0" distB="0" distL="114300" distR="114300" simplePos="0" relativeHeight="251682816" behindDoc="0" locked="0" layoutInCell="1" allowOverlap="1" wp14:anchorId="04FAA31B" wp14:editId="1A04A178">
            <wp:simplePos x="0" y="0"/>
            <wp:positionH relativeFrom="margin">
              <wp:align>right</wp:align>
            </wp:positionH>
            <wp:positionV relativeFrom="paragraph">
              <wp:posOffset>1280160</wp:posOffset>
            </wp:positionV>
            <wp:extent cx="5943600" cy="2872105"/>
            <wp:effectExtent l="0" t="0" r="0" b="4445"/>
            <wp:wrapSquare wrapText="bothSides"/>
            <wp:docPr id="2527763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776328" name="Picture 252776328"/>
                    <pic:cNvPicPr/>
                  </pic:nvPicPr>
                  <pic:blipFill>
                    <a:blip r:embed="rId17"/>
                    <a:stretch>
                      <a:fillRect/>
                    </a:stretch>
                  </pic:blipFill>
                  <pic:spPr>
                    <a:xfrm>
                      <a:off x="0" y="0"/>
                      <a:ext cx="5943600" cy="2872105"/>
                    </a:xfrm>
                    <a:prstGeom prst="rect">
                      <a:avLst/>
                    </a:prstGeom>
                  </pic:spPr>
                </pic:pic>
              </a:graphicData>
            </a:graphic>
          </wp:anchor>
        </w:drawing>
      </w:r>
      <w:r w:rsidR="007767E4" w:rsidRPr="007767E4">
        <w:rPr>
          <w:sz w:val="24"/>
          <w:szCs w:val="24"/>
          <w:lang w:val="en-IN"/>
        </w:rPr>
        <w:t>From a strategic perspective, the options represent different growth pathways. Option A focuses on incremental expansion of existing operations, Option B emphasises digital transformation, while Option C involves product diversification and potentially higher operational risk. Financial appraisal techniques are therefore essential to determine which option best supports value creation.</w:t>
      </w:r>
    </w:p>
    <w:p w14:paraId="0682FC5C" w14:textId="56EDDF70" w:rsidR="005A747D" w:rsidRDefault="005A747D">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3A058F9A" w14:textId="7C078DD7" w:rsidR="005A747D" w:rsidRDefault="007767E4" w:rsidP="00DE0657">
      <w:pPr>
        <w:rPr>
          <w:rFonts w:asciiTheme="majorHAnsi" w:eastAsiaTheme="majorEastAsia" w:hAnsiTheme="majorHAnsi" w:cstheme="majorBidi"/>
          <w:b/>
          <w:bCs/>
          <w:color w:val="365F91" w:themeColor="accent1" w:themeShade="BF"/>
          <w:sz w:val="28"/>
          <w:szCs w:val="28"/>
        </w:rPr>
      </w:pPr>
      <w:r w:rsidRPr="007767E4">
        <w:rPr>
          <w:rFonts w:asciiTheme="majorHAnsi" w:eastAsiaTheme="majorEastAsia" w:hAnsiTheme="majorHAnsi" w:cstheme="majorBidi"/>
          <w:b/>
          <w:bCs/>
          <w:color w:val="365F91" w:themeColor="accent1" w:themeShade="BF"/>
          <w:sz w:val="28"/>
          <w:szCs w:val="28"/>
        </w:rPr>
        <w:lastRenderedPageBreak/>
        <w:t>3. Net Present Value (NPV) Evaluation</w:t>
      </w:r>
    </w:p>
    <w:p w14:paraId="37C7F071" w14:textId="77777777" w:rsidR="007E0F23" w:rsidRPr="007E0F23" w:rsidRDefault="007E0F23" w:rsidP="007E0F23">
      <w:pPr>
        <w:rPr>
          <w:b/>
          <w:bCs/>
          <w:sz w:val="24"/>
          <w:szCs w:val="24"/>
          <w:lang w:val="en-IN"/>
        </w:rPr>
      </w:pPr>
      <w:r w:rsidRPr="007E0F23">
        <w:rPr>
          <w:b/>
          <w:bCs/>
          <w:sz w:val="24"/>
          <w:szCs w:val="24"/>
          <w:lang w:val="en-IN"/>
        </w:rPr>
        <w:t>3.1 Explanation of the NPV Method</w:t>
      </w:r>
    </w:p>
    <w:p w14:paraId="0C5FFF56" w14:textId="77777777" w:rsidR="007E0F23" w:rsidRPr="007E0F23" w:rsidRDefault="007E0F23" w:rsidP="007E0F23">
      <w:pPr>
        <w:rPr>
          <w:sz w:val="24"/>
          <w:szCs w:val="24"/>
          <w:lang w:val="en-IN"/>
        </w:rPr>
      </w:pPr>
      <w:r w:rsidRPr="007E0F23">
        <w:rPr>
          <w:sz w:val="24"/>
          <w:szCs w:val="24"/>
          <w:lang w:val="en-IN"/>
        </w:rPr>
        <w:t>Net Present Value is widely regarded as the most theoretically sound investment appraisal technique. NPV calculates the present value of expected future cash inflows, discounted at the firm’s cost of capital, and subtracts the initial investment. A positive NPV indicates that a project is expected to increase shareholder wealth, while a negative NPV suggests value destruction.</w:t>
      </w:r>
    </w:p>
    <w:p w14:paraId="59D34960" w14:textId="77777777" w:rsidR="007E0F23" w:rsidRPr="007E0F23" w:rsidRDefault="007E0F23" w:rsidP="007E0F23">
      <w:pPr>
        <w:rPr>
          <w:sz w:val="24"/>
          <w:szCs w:val="24"/>
          <w:lang w:val="en-IN"/>
        </w:rPr>
      </w:pPr>
      <w:r w:rsidRPr="007E0F23">
        <w:rPr>
          <w:sz w:val="24"/>
          <w:szCs w:val="24"/>
          <w:lang w:val="en-IN"/>
        </w:rPr>
        <w:t>The cost of capital for Westward Plc is assumed to be 6%, reflecting the required rate of return demanded by investors given the project’s risk profile. Discounting future cash flows recognises the time value of money, acknowledging that cash received today is worth more than the same amount received in the future due to inflation, risk, and opportunity cost.</w:t>
      </w:r>
    </w:p>
    <w:p w14:paraId="1828B296" w14:textId="19B65AD9" w:rsidR="007E0F23" w:rsidRDefault="007E0F23" w:rsidP="007E0F23">
      <w:pPr>
        <w:rPr>
          <w:sz w:val="24"/>
          <w:szCs w:val="24"/>
          <w:lang w:val="en-IN"/>
        </w:rPr>
      </w:pPr>
      <w:r w:rsidRPr="007E0F23">
        <w:rPr>
          <w:sz w:val="24"/>
          <w:szCs w:val="24"/>
          <w:lang w:val="en-IN"/>
        </w:rPr>
        <w:t>Taxation and capital allowances are incorporated into the analysis to reflect realistic post-tax cash flows. Capital allowances reduce taxable profit and therefore generate a tax shield, which increases the project’s net cash flows and must be included for accurate appraisal.</w:t>
      </w:r>
    </w:p>
    <w:p w14:paraId="005A9694" w14:textId="52FEE875" w:rsidR="007E0F23" w:rsidRPr="007E0F23" w:rsidRDefault="007E0F23" w:rsidP="007E0F23">
      <w:pPr>
        <w:rPr>
          <w:b/>
          <w:bCs/>
          <w:sz w:val="24"/>
          <w:szCs w:val="24"/>
          <w:lang w:val="en-IN"/>
        </w:rPr>
      </w:pPr>
      <w:r w:rsidRPr="007E0F23">
        <w:rPr>
          <w:b/>
          <w:bCs/>
          <w:sz w:val="24"/>
          <w:szCs w:val="24"/>
          <w:lang w:val="en-IN"/>
        </w:rPr>
        <w:t>3.2 NPV Results and Interpretation</w:t>
      </w:r>
    </w:p>
    <w:p w14:paraId="2E4F4A1D" w14:textId="77777777" w:rsidR="007E0F23" w:rsidRPr="007E0F23" w:rsidRDefault="007E0F23" w:rsidP="007E0F23">
      <w:pPr>
        <w:rPr>
          <w:sz w:val="24"/>
          <w:szCs w:val="24"/>
          <w:lang w:val="en-IN"/>
        </w:rPr>
      </w:pPr>
      <w:r w:rsidRPr="007E0F23">
        <w:rPr>
          <w:sz w:val="24"/>
          <w:szCs w:val="24"/>
          <w:lang w:val="en-IN"/>
        </w:rPr>
        <w:t>Based on the calculated post-tax and discounted cash flows:</w:t>
      </w:r>
    </w:p>
    <w:p w14:paraId="32DB03AB" w14:textId="77777777" w:rsidR="007E0F23" w:rsidRPr="007E0F23" w:rsidRDefault="007E0F23" w:rsidP="007E0F23">
      <w:pPr>
        <w:numPr>
          <w:ilvl w:val="0"/>
          <w:numId w:val="83"/>
        </w:numPr>
        <w:rPr>
          <w:sz w:val="24"/>
          <w:szCs w:val="24"/>
          <w:lang w:val="en-IN"/>
        </w:rPr>
      </w:pPr>
      <w:r w:rsidRPr="007E0F23">
        <w:rPr>
          <w:b/>
          <w:bCs/>
          <w:sz w:val="24"/>
          <w:szCs w:val="24"/>
          <w:lang w:val="en-IN"/>
        </w:rPr>
        <w:t>Option A</w:t>
      </w:r>
      <w:r w:rsidRPr="007E0F23">
        <w:rPr>
          <w:sz w:val="24"/>
          <w:szCs w:val="24"/>
          <w:lang w:val="en-IN"/>
        </w:rPr>
        <w:t xml:space="preserve"> generates a positive NPV, indicating that the retail expansion would add value to the firm. The relatively low initial investment and steady cash inflows reduce financial risk.</w:t>
      </w:r>
    </w:p>
    <w:p w14:paraId="172883C7" w14:textId="77777777" w:rsidR="007E0F23" w:rsidRPr="007E0F23" w:rsidRDefault="007E0F23" w:rsidP="007E0F23">
      <w:pPr>
        <w:numPr>
          <w:ilvl w:val="0"/>
          <w:numId w:val="83"/>
        </w:numPr>
        <w:rPr>
          <w:sz w:val="24"/>
          <w:szCs w:val="24"/>
          <w:lang w:val="en-IN"/>
        </w:rPr>
      </w:pPr>
      <w:r w:rsidRPr="007E0F23">
        <w:rPr>
          <w:b/>
          <w:bCs/>
          <w:sz w:val="24"/>
          <w:szCs w:val="24"/>
          <w:lang w:val="en-IN"/>
        </w:rPr>
        <w:t>Option B</w:t>
      </w:r>
      <w:r w:rsidRPr="007E0F23">
        <w:rPr>
          <w:sz w:val="24"/>
          <w:szCs w:val="24"/>
          <w:lang w:val="en-IN"/>
        </w:rPr>
        <w:t xml:space="preserve"> produces a higher NPV than Option A, reflecting strong projected cash flows driven by growing online demand and scalability of digital platforms.</w:t>
      </w:r>
    </w:p>
    <w:p w14:paraId="085415CE" w14:textId="77777777" w:rsidR="007E0F23" w:rsidRPr="007E0F23" w:rsidRDefault="007E0F23" w:rsidP="007E0F23">
      <w:pPr>
        <w:numPr>
          <w:ilvl w:val="0"/>
          <w:numId w:val="83"/>
        </w:numPr>
        <w:rPr>
          <w:sz w:val="24"/>
          <w:szCs w:val="24"/>
          <w:lang w:val="en-IN"/>
        </w:rPr>
      </w:pPr>
      <w:r w:rsidRPr="007E0F23">
        <w:rPr>
          <w:b/>
          <w:bCs/>
          <w:sz w:val="24"/>
          <w:szCs w:val="24"/>
          <w:lang w:val="en-IN"/>
        </w:rPr>
        <w:t>Option C</w:t>
      </w:r>
      <w:r w:rsidRPr="007E0F23">
        <w:rPr>
          <w:sz w:val="24"/>
          <w:szCs w:val="24"/>
          <w:lang w:val="en-IN"/>
        </w:rPr>
        <w:t xml:space="preserve"> generates the highest absolute cash inflows but requires the largest initial investment and exhibits greater risk. Its NPV is lower relative to the capital employed, reflecting higher uncertainty and longer payback.</w:t>
      </w:r>
    </w:p>
    <w:p w14:paraId="46303300" w14:textId="6C339A85" w:rsidR="007E0F23" w:rsidRDefault="007E0F23" w:rsidP="007E0F23">
      <w:pPr>
        <w:rPr>
          <w:sz w:val="24"/>
          <w:szCs w:val="24"/>
          <w:lang w:val="en-IN"/>
        </w:rPr>
      </w:pPr>
      <w:r w:rsidRPr="007E0F23">
        <w:rPr>
          <w:sz w:val="24"/>
          <w:szCs w:val="24"/>
          <w:lang w:val="en-IN"/>
        </w:rPr>
        <w:t xml:space="preserve">From a financial perspective, </w:t>
      </w:r>
      <w:r w:rsidRPr="007E0F23">
        <w:rPr>
          <w:b/>
          <w:bCs/>
          <w:sz w:val="24"/>
          <w:szCs w:val="24"/>
          <w:lang w:val="en-IN"/>
        </w:rPr>
        <w:t>Option B emerges as the most attractive investment</w:t>
      </w:r>
      <w:r w:rsidRPr="007E0F23">
        <w:rPr>
          <w:sz w:val="24"/>
          <w:szCs w:val="24"/>
          <w:lang w:val="en-IN"/>
        </w:rPr>
        <w:t>, as it delivers the highest NPV relative to investment size and aligns with long-term market trends toward digital retailing.</w:t>
      </w:r>
    </w:p>
    <w:p w14:paraId="75F19096" w14:textId="055FC5B4" w:rsidR="007E0F23" w:rsidRPr="007E0F23" w:rsidRDefault="007E0F23" w:rsidP="007E0F23">
      <w:pPr>
        <w:rPr>
          <w:b/>
          <w:bCs/>
          <w:sz w:val="24"/>
          <w:szCs w:val="24"/>
          <w:lang w:val="en-IN"/>
        </w:rPr>
      </w:pPr>
      <w:r w:rsidRPr="007E0F23">
        <w:rPr>
          <w:b/>
          <w:bCs/>
          <w:sz w:val="24"/>
          <w:szCs w:val="24"/>
          <w:lang w:val="en-IN"/>
        </w:rPr>
        <w:t>3.3 Critical Evaluation of NPV Results</w:t>
      </w:r>
    </w:p>
    <w:p w14:paraId="0B94A1F8" w14:textId="5459CEAC" w:rsidR="00C85C18" w:rsidRPr="007E0F23" w:rsidRDefault="007E0F23" w:rsidP="007E0F23">
      <w:pPr>
        <w:rPr>
          <w:sz w:val="24"/>
          <w:szCs w:val="24"/>
          <w:lang w:val="en-IN"/>
        </w:rPr>
      </w:pPr>
      <w:r w:rsidRPr="007E0F23">
        <w:rPr>
          <w:sz w:val="24"/>
          <w:szCs w:val="24"/>
          <w:lang w:val="en-IN"/>
        </w:rPr>
        <w:t xml:space="preserve">While NPV provides a robust quantitative basis for decision-making, it is dependent on assumptions regarding cash flows, discount rates, and economic conditions. Forecasting errors, changes in consumer demand, or increases in operating costs could significantly </w:t>
      </w:r>
      <w:r w:rsidRPr="007E0F23">
        <w:rPr>
          <w:sz w:val="24"/>
          <w:szCs w:val="24"/>
          <w:lang w:val="en-IN"/>
        </w:rPr>
        <w:lastRenderedPageBreak/>
        <w:t>affect outcomes. Nevertheless, NPV remains superior to alternative methods because it directly measures value creation and incorporates both risk and timing of cash flows.</w:t>
      </w:r>
    </w:p>
    <w:p w14:paraId="5DA65C29" w14:textId="77777777" w:rsidR="007E0F23" w:rsidRDefault="007E0F23">
      <w:pPr>
        <w:rPr>
          <w:rFonts w:asciiTheme="majorHAnsi" w:eastAsiaTheme="majorEastAsia" w:hAnsiTheme="majorHAnsi" w:cstheme="majorBidi"/>
          <w:b/>
          <w:bCs/>
          <w:color w:val="365F91" w:themeColor="accent1" w:themeShade="BF"/>
          <w:sz w:val="28"/>
          <w:szCs w:val="28"/>
        </w:rPr>
      </w:pPr>
      <w:r w:rsidRPr="007E0F23">
        <w:rPr>
          <w:rFonts w:asciiTheme="majorHAnsi" w:eastAsiaTheme="majorEastAsia" w:hAnsiTheme="majorHAnsi" w:cstheme="majorBidi"/>
          <w:b/>
          <w:bCs/>
          <w:color w:val="365F91" w:themeColor="accent1" w:themeShade="BF"/>
          <w:sz w:val="28"/>
          <w:szCs w:val="28"/>
        </w:rPr>
        <w:t>4. Internal Rate of Return (IRR) Analysis</w:t>
      </w:r>
    </w:p>
    <w:p w14:paraId="7684393C" w14:textId="77777777" w:rsidR="007E0F23" w:rsidRPr="007E0F23" w:rsidRDefault="007E0F23" w:rsidP="007E0F23">
      <w:pPr>
        <w:rPr>
          <w:b/>
          <w:bCs/>
          <w:sz w:val="24"/>
          <w:szCs w:val="24"/>
          <w:lang w:val="en-IN"/>
        </w:rPr>
      </w:pPr>
      <w:r w:rsidRPr="007E0F23">
        <w:rPr>
          <w:b/>
          <w:bCs/>
          <w:sz w:val="24"/>
          <w:szCs w:val="24"/>
          <w:lang w:val="en-IN"/>
        </w:rPr>
        <w:t>4.1 Explanation of IRR</w:t>
      </w:r>
    </w:p>
    <w:p w14:paraId="4994A716" w14:textId="77777777" w:rsidR="007E0F23" w:rsidRPr="007E0F23" w:rsidRDefault="007E0F23" w:rsidP="007E0F23">
      <w:pPr>
        <w:rPr>
          <w:sz w:val="24"/>
          <w:szCs w:val="24"/>
          <w:lang w:val="en-IN"/>
        </w:rPr>
      </w:pPr>
      <w:r w:rsidRPr="007E0F23">
        <w:rPr>
          <w:sz w:val="24"/>
          <w:szCs w:val="24"/>
          <w:lang w:val="en-IN"/>
        </w:rPr>
        <w:t>The Internal Rate of Return represents the discount rate at which a project’s NPV equals zero. In essence, IRR indicates the expected percentage return generated by an investment. A project is considered acceptable if its IRR exceeds the firm’s cost of capital.</w:t>
      </w:r>
    </w:p>
    <w:p w14:paraId="21AA8918" w14:textId="60164DD4" w:rsidR="007E0F23" w:rsidRDefault="007E0F23" w:rsidP="007E0F23">
      <w:pPr>
        <w:rPr>
          <w:sz w:val="24"/>
          <w:szCs w:val="24"/>
          <w:lang w:val="en-IN"/>
        </w:rPr>
      </w:pPr>
      <w:r w:rsidRPr="007E0F23">
        <w:rPr>
          <w:sz w:val="24"/>
          <w:szCs w:val="24"/>
          <w:lang w:val="en-IN"/>
        </w:rPr>
        <w:t>IRR is often favoured by managers because it provides a simple and intuitive percentage figure that is easy to communicate and compare against target returns.</w:t>
      </w:r>
    </w:p>
    <w:p w14:paraId="6E86EA5C" w14:textId="1D5A0625" w:rsidR="007E0F23" w:rsidRPr="007E0F23" w:rsidRDefault="007E0F23" w:rsidP="007E0F23">
      <w:pPr>
        <w:rPr>
          <w:b/>
          <w:bCs/>
          <w:sz w:val="24"/>
          <w:szCs w:val="24"/>
          <w:lang w:val="en-IN"/>
        </w:rPr>
      </w:pPr>
      <w:r w:rsidRPr="007E0F23">
        <w:rPr>
          <w:b/>
          <w:bCs/>
          <w:sz w:val="24"/>
          <w:szCs w:val="24"/>
          <w:lang w:val="en-IN"/>
        </w:rPr>
        <w:t>4.2 IRR Results and Interpretation</w:t>
      </w:r>
    </w:p>
    <w:p w14:paraId="48D9AE1A" w14:textId="77777777" w:rsidR="007E0F23" w:rsidRPr="007E0F23" w:rsidRDefault="007E0F23" w:rsidP="007E0F23">
      <w:pPr>
        <w:rPr>
          <w:sz w:val="24"/>
          <w:szCs w:val="24"/>
          <w:lang w:val="en-IN"/>
        </w:rPr>
      </w:pPr>
      <w:r w:rsidRPr="007E0F23">
        <w:rPr>
          <w:sz w:val="24"/>
          <w:szCs w:val="24"/>
          <w:lang w:val="en-IN"/>
        </w:rPr>
        <w:t xml:space="preserve">The IRR calculated for </w:t>
      </w:r>
      <w:r w:rsidRPr="007E0F23">
        <w:rPr>
          <w:b/>
          <w:bCs/>
          <w:sz w:val="24"/>
          <w:szCs w:val="24"/>
          <w:lang w:val="en-IN"/>
        </w:rPr>
        <w:t>Option B</w:t>
      </w:r>
      <w:r w:rsidRPr="007E0F23">
        <w:rPr>
          <w:sz w:val="24"/>
          <w:szCs w:val="24"/>
          <w:lang w:val="en-IN"/>
        </w:rPr>
        <w:t xml:space="preserve"> exceeds the 6% cost of capital, confirming that the project is financially viable. This reinforces the NPV decision and provides additional confidence that the internet sales investment generates sufficient returns to compensate for risk.</w:t>
      </w:r>
    </w:p>
    <w:p w14:paraId="68CE1746" w14:textId="52B4BAB2" w:rsidR="007E0F23" w:rsidRDefault="007E0F23" w:rsidP="007E0F23">
      <w:pPr>
        <w:rPr>
          <w:sz w:val="24"/>
          <w:szCs w:val="24"/>
          <w:lang w:val="en-IN"/>
        </w:rPr>
      </w:pPr>
      <w:r w:rsidRPr="007E0F23">
        <w:rPr>
          <w:sz w:val="24"/>
          <w:szCs w:val="24"/>
          <w:lang w:val="en-IN"/>
        </w:rPr>
        <w:t>However, while IRR supports the selection of Option B, it should not be used in isolation.</w:t>
      </w:r>
    </w:p>
    <w:p w14:paraId="19362FBB" w14:textId="265A146B" w:rsidR="007E0F23" w:rsidRPr="007E0F23" w:rsidRDefault="007E0F23" w:rsidP="007E0F23">
      <w:pPr>
        <w:rPr>
          <w:b/>
          <w:bCs/>
          <w:sz w:val="24"/>
          <w:szCs w:val="24"/>
          <w:lang w:val="en-IN"/>
        </w:rPr>
      </w:pPr>
      <w:r w:rsidRPr="007E0F23">
        <w:rPr>
          <w:b/>
          <w:bCs/>
          <w:sz w:val="24"/>
          <w:szCs w:val="24"/>
          <w:lang w:val="en-IN"/>
        </w:rPr>
        <w:t>4.3 Limitations of IRR</w:t>
      </w:r>
    </w:p>
    <w:p w14:paraId="4ED1C524" w14:textId="77777777" w:rsidR="007E0F23" w:rsidRDefault="007E0F23" w:rsidP="007E0F23">
      <w:pPr>
        <w:rPr>
          <w:sz w:val="24"/>
          <w:szCs w:val="24"/>
          <w:lang w:val="en-IN"/>
        </w:rPr>
      </w:pPr>
      <w:r w:rsidRPr="007E0F23">
        <w:rPr>
          <w:sz w:val="24"/>
          <w:szCs w:val="24"/>
          <w:lang w:val="en-IN"/>
        </w:rPr>
        <w:t>IRR assumes reinvestment of intermediate cash flows at the IRR itself, which may be unrealistic, particularly when IRRs are high. Additionally, IRR can produce misleading results when comparing projects of different scales or when cash flows are unconventional. For this reason, IRR should be treated as a supplementary measure rather than a primary decision rule.</w:t>
      </w:r>
    </w:p>
    <w:p w14:paraId="617E63FD" w14:textId="7A6B2217" w:rsidR="000B4F53" w:rsidRDefault="000B4F53">
      <w:pPr>
        <w:rPr>
          <w:rFonts w:asciiTheme="majorHAnsi" w:eastAsiaTheme="majorEastAsia" w:hAnsiTheme="majorHAnsi" w:cstheme="majorBidi"/>
          <w:b/>
          <w:bCs/>
          <w:color w:val="365F91" w:themeColor="accent1" w:themeShade="BF"/>
          <w:sz w:val="28"/>
          <w:szCs w:val="28"/>
        </w:rPr>
      </w:pPr>
      <w:r w:rsidRPr="000B4F53">
        <w:rPr>
          <w:rFonts w:asciiTheme="majorHAnsi" w:eastAsiaTheme="majorEastAsia" w:hAnsiTheme="majorHAnsi" w:cstheme="majorBidi"/>
          <w:b/>
          <w:bCs/>
          <w:color w:val="365F91" w:themeColor="accent1" w:themeShade="BF"/>
          <w:sz w:val="28"/>
          <w:szCs w:val="28"/>
        </w:rPr>
        <w:t>TASK 2 – NPV &amp; IRR</w:t>
      </w:r>
    </w:p>
    <w:p w14:paraId="101D4CDE" w14:textId="10B19828" w:rsidR="000B4F53" w:rsidRPr="000B4F53" w:rsidRDefault="000B4F53">
      <w:pPr>
        <w:rPr>
          <w:rFonts w:asciiTheme="majorHAnsi" w:eastAsiaTheme="majorEastAsia" w:hAnsiTheme="majorHAnsi" w:cstheme="majorBidi"/>
          <w:b/>
          <w:bCs/>
          <w:color w:val="000000" w:themeColor="text1"/>
          <w:sz w:val="28"/>
          <w:szCs w:val="28"/>
        </w:rPr>
      </w:pPr>
      <w:r w:rsidRPr="000B4F53">
        <w:rPr>
          <w:rFonts w:asciiTheme="majorHAnsi" w:eastAsiaTheme="majorEastAsia" w:hAnsiTheme="majorHAnsi" w:cstheme="majorBidi"/>
          <w:b/>
          <w:bCs/>
          <w:color w:val="000000" w:themeColor="text1"/>
          <w:sz w:val="28"/>
          <w:szCs w:val="28"/>
        </w:rPr>
        <w:t>Table 1: Initial Investment &amp; Cash Flows</w:t>
      </w:r>
    </w:p>
    <w:tbl>
      <w:tblPr>
        <w:tblStyle w:val="GridTable4-Accent1"/>
        <w:tblW w:w="0" w:type="auto"/>
        <w:tblLook w:val="04A0" w:firstRow="1" w:lastRow="0" w:firstColumn="1" w:lastColumn="0" w:noHBand="0" w:noVBand="1"/>
      </w:tblPr>
      <w:tblGrid>
        <w:gridCol w:w="971"/>
        <w:gridCol w:w="1411"/>
        <w:gridCol w:w="1582"/>
        <w:gridCol w:w="1701"/>
        <w:gridCol w:w="1701"/>
        <w:gridCol w:w="1843"/>
      </w:tblGrid>
      <w:tr w:rsidR="000B4F53" w:rsidRPr="000B4F53" w14:paraId="7BEC8A6F" w14:textId="77777777" w:rsidTr="000B4F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6A596F" w14:textId="77777777" w:rsidR="000B4F53" w:rsidRPr="000B4F53" w:rsidRDefault="000B4F53" w:rsidP="000B4F53">
            <w:pPr>
              <w:spacing w:after="200" w:line="276" w:lineRule="auto"/>
              <w:rPr>
                <w:sz w:val="24"/>
                <w:szCs w:val="24"/>
                <w:lang w:val="en-IN"/>
              </w:rPr>
            </w:pPr>
            <w:r w:rsidRPr="000B4F53">
              <w:rPr>
                <w:sz w:val="24"/>
                <w:szCs w:val="24"/>
                <w:lang w:val="en-IN"/>
              </w:rPr>
              <w:t>Option</w:t>
            </w:r>
          </w:p>
        </w:tc>
        <w:tc>
          <w:tcPr>
            <w:tcW w:w="1411" w:type="dxa"/>
            <w:hideMark/>
          </w:tcPr>
          <w:p w14:paraId="5FF5E744" w14:textId="77777777" w:rsidR="000B4F53" w:rsidRPr="000B4F53" w:rsidRDefault="000B4F53" w:rsidP="000B4F5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Initial Cost</w:t>
            </w:r>
          </w:p>
        </w:tc>
        <w:tc>
          <w:tcPr>
            <w:tcW w:w="1582" w:type="dxa"/>
            <w:hideMark/>
          </w:tcPr>
          <w:p w14:paraId="77B603C7" w14:textId="77777777" w:rsidR="000B4F53" w:rsidRPr="000B4F53" w:rsidRDefault="000B4F53" w:rsidP="000B4F5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Y1</w:t>
            </w:r>
          </w:p>
        </w:tc>
        <w:tc>
          <w:tcPr>
            <w:tcW w:w="1701" w:type="dxa"/>
            <w:hideMark/>
          </w:tcPr>
          <w:p w14:paraId="1CBBCE99" w14:textId="77777777" w:rsidR="000B4F53" w:rsidRPr="000B4F53" w:rsidRDefault="000B4F53" w:rsidP="000B4F5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Y2</w:t>
            </w:r>
          </w:p>
        </w:tc>
        <w:tc>
          <w:tcPr>
            <w:tcW w:w="1701" w:type="dxa"/>
            <w:hideMark/>
          </w:tcPr>
          <w:p w14:paraId="6BF18D3C" w14:textId="77777777" w:rsidR="000B4F53" w:rsidRPr="000B4F53" w:rsidRDefault="000B4F53" w:rsidP="000B4F5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Y3</w:t>
            </w:r>
          </w:p>
        </w:tc>
        <w:tc>
          <w:tcPr>
            <w:tcW w:w="1843" w:type="dxa"/>
            <w:hideMark/>
          </w:tcPr>
          <w:p w14:paraId="2CC425D8" w14:textId="77777777" w:rsidR="000B4F53" w:rsidRPr="000B4F53" w:rsidRDefault="000B4F53" w:rsidP="000B4F5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Y4</w:t>
            </w:r>
          </w:p>
        </w:tc>
      </w:tr>
      <w:tr w:rsidR="000B4F53" w:rsidRPr="000B4F53" w14:paraId="1EABAB62" w14:textId="77777777" w:rsidTr="000B4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87C2A7" w14:textId="77777777" w:rsidR="000B4F53" w:rsidRPr="000B4F53" w:rsidRDefault="000B4F53" w:rsidP="000B4F53">
            <w:pPr>
              <w:spacing w:after="200" w:line="276" w:lineRule="auto"/>
              <w:rPr>
                <w:sz w:val="24"/>
                <w:szCs w:val="24"/>
                <w:lang w:val="en-IN"/>
              </w:rPr>
            </w:pPr>
            <w:r w:rsidRPr="000B4F53">
              <w:rPr>
                <w:sz w:val="24"/>
                <w:szCs w:val="24"/>
                <w:lang w:val="en-IN"/>
              </w:rPr>
              <w:t>A</w:t>
            </w:r>
          </w:p>
        </w:tc>
        <w:tc>
          <w:tcPr>
            <w:tcW w:w="1411" w:type="dxa"/>
            <w:hideMark/>
          </w:tcPr>
          <w:p w14:paraId="3F436419"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(600)</w:t>
            </w:r>
          </w:p>
        </w:tc>
        <w:tc>
          <w:tcPr>
            <w:tcW w:w="1582" w:type="dxa"/>
            <w:hideMark/>
          </w:tcPr>
          <w:p w14:paraId="1763EE59"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200</w:t>
            </w:r>
          </w:p>
        </w:tc>
        <w:tc>
          <w:tcPr>
            <w:tcW w:w="1701" w:type="dxa"/>
            <w:hideMark/>
          </w:tcPr>
          <w:p w14:paraId="6FBB88F2"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400</w:t>
            </w:r>
          </w:p>
        </w:tc>
        <w:tc>
          <w:tcPr>
            <w:tcW w:w="1701" w:type="dxa"/>
            <w:hideMark/>
          </w:tcPr>
          <w:p w14:paraId="0881AA19"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500</w:t>
            </w:r>
          </w:p>
        </w:tc>
        <w:tc>
          <w:tcPr>
            <w:tcW w:w="1843" w:type="dxa"/>
            <w:hideMark/>
          </w:tcPr>
          <w:p w14:paraId="7167300F"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700</w:t>
            </w:r>
          </w:p>
        </w:tc>
      </w:tr>
      <w:tr w:rsidR="000B4F53" w:rsidRPr="000B4F53" w14:paraId="2EB26F00" w14:textId="77777777" w:rsidTr="000B4F53">
        <w:tc>
          <w:tcPr>
            <w:cnfStyle w:val="001000000000" w:firstRow="0" w:lastRow="0" w:firstColumn="1" w:lastColumn="0" w:oddVBand="0" w:evenVBand="0" w:oddHBand="0" w:evenHBand="0" w:firstRowFirstColumn="0" w:firstRowLastColumn="0" w:lastRowFirstColumn="0" w:lastRowLastColumn="0"/>
            <w:tcW w:w="0" w:type="auto"/>
            <w:hideMark/>
          </w:tcPr>
          <w:p w14:paraId="3ADA92DD" w14:textId="77777777" w:rsidR="000B4F53" w:rsidRPr="000B4F53" w:rsidRDefault="000B4F53" w:rsidP="000B4F53">
            <w:pPr>
              <w:spacing w:after="200" w:line="276" w:lineRule="auto"/>
              <w:rPr>
                <w:sz w:val="24"/>
                <w:szCs w:val="24"/>
                <w:lang w:val="en-IN"/>
              </w:rPr>
            </w:pPr>
            <w:r w:rsidRPr="000B4F53">
              <w:rPr>
                <w:sz w:val="24"/>
                <w:szCs w:val="24"/>
                <w:lang w:val="en-IN"/>
              </w:rPr>
              <w:t>B</w:t>
            </w:r>
          </w:p>
        </w:tc>
        <w:tc>
          <w:tcPr>
            <w:tcW w:w="1411" w:type="dxa"/>
            <w:hideMark/>
          </w:tcPr>
          <w:p w14:paraId="6E40EDF7"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(1,000)</w:t>
            </w:r>
          </w:p>
        </w:tc>
        <w:tc>
          <w:tcPr>
            <w:tcW w:w="1582" w:type="dxa"/>
            <w:hideMark/>
          </w:tcPr>
          <w:p w14:paraId="4BF61A16"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400</w:t>
            </w:r>
          </w:p>
        </w:tc>
        <w:tc>
          <w:tcPr>
            <w:tcW w:w="1701" w:type="dxa"/>
            <w:hideMark/>
          </w:tcPr>
          <w:p w14:paraId="3B53937C"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450</w:t>
            </w:r>
          </w:p>
        </w:tc>
        <w:tc>
          <w:tcPr>
            <w:tcW w:w="1701" w:type="dxa"/>
            <w:hideMark/>
          </w:tcPr>
          <w:p w14:paraId="104DDF8E"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720</w:t>
            </w:r>
          </w:p>
        </w:tc>
        <w:tc>
          <w:tcPr>
            <w:tcW w:w="1843" w:type="dxa"/>
            <w:hideMark/>
          </w:tcPr>
          <w:p w14:paraId="16860675"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980</w:t>
            </w:r>
          </w:p>
        </w:tc>
      </w:tr>
      <w:tr w:rsidR="000B4F53" w:rsidRPr="000B4F53" w14:paraId="12E195D9" w14:textId="77777777" w:rsidTr="000B4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592B32" w14:textId="77777777" w:rsidR="000B4F53" w:rsidRPr="000B4F53" w:rsidRDefault="000B4F53" w:rsidP="000B4F53">
            <w:pPr>
              <w:spacing w:after="200" w:line="276" w:lineRule="auto"/>
              <w:rPr>
                <w:sz w:val="24"/>
                <w:szCs w:val="24"/>
                <w:lang w:val="en-IN"/>
              </w:rPr>
            </w:pPr>
            <w:r w:rsidRPr="000B4F53">
              <w:rPr>
                <w:sz w:val="24"/>
                <w:szCs w:val="24"/>
                <w:lang w:val="en-IN"/>
              </w:rPr>
              <w:t>C</w:t>
            </w:r>
          </w:p>
        </w:tc>
        <w:tc>
          <w:tcPr>
            <w:tcW w:w="1411" w:type="dxa"/>
            <w:hideMark/>
          </w:tcPr>
          <w:p w14:paraId="0DDAC8A0"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(1,600)</w:t>
            </w:r>
          </w:p>
        </w:tc>
        <w:tc>
          <w:tcPr>
            <w:tcW w:w="1582" w:type="dxa"/>
            <w:hideMark/>
          </w:tcPr>
          <w:p w14:paraId="1D4F6317"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450</w:t>
            </w:r>
          </w:p>
        </w:tc>
        <w:tc>
          <w:tcPr>
            <w:tcW w:w="1701" w:type="dxa"/>
            <w:hideMark/>
          </w:tcPr>
          <w:p w14:paraId="09992F58"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700</w:t>
            </w:r>
          </w:p>
        </w:tc>
        <w:tc>
          <w:tcPr>
            <w:tcW w:w="1701" w:type="dxa"/>
            <w:hideMark/>
          </w:tcPr>
          <w:p w14:paraId="54B9E91B"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900</w:t>
            </w:r>
          </w:p>
        </w:tc>
        <w:tc>
          <w:tcPr>
            <w:tcW w:w="1843" w:type="dxa"/>
            <w:hideMark/>
          </w:tcPr>
          <w:p w14:paraId="7B309C1A"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1,200</w:t>
            </w:r>
          </w:p>
        </w:tc>
      </w:tr>
    </w:tbl>
    <w:p w14:paraId="5D0ADC22" w14:textId="77777777" w:rsidR="000B4F53" w:rsidRDefault="000B4F53">
      <w:pPr>
        <w:rPr>
          <w:sz w:val="24"/>
          <w:szCs w:val="24"/>
          <w:lang w:val="en-IN"/>
        </w:rPr>
      </w:pPr>
      <w:r w:rsidRPr="000B4F53">
        <w:rPr>
          <w:sz w:val="24"/>
          <w:szCs w:val="24"/>
          <w:lang w:val="en-IN"/>
        </w:rPr>
        <w:t xml:space="preserve"> </w:t>
      </w:r>
    </w:p>
    <w:p w14:paraId="6CDEE6CE" w14:textId="77777777" w:rsidR="00C67828" w:rsidRDefault="00C67828">
      <w:pPr>
        <w:rPr>
          <w:rFonts w:asciiTheme="majorHAnsi" w:eastAsiaTheme="majorEastAsia" w:hAnsiTheme="majorHAnsi" w:cstheme="majorBidi"/>
          <w:b/>
          <w:bCs/>
          <w:color w:val="000000" w:themeColor="text1"/>
          <w:sz w:val="28"/>
          <w:szCs w:val="28"/>
        </w:rPr>
      </w:pPr>
    </w:p>
    <w:p w14:paraId="35A5BD74" w14:textId="145A7248" w:rsidR="000B4F53" w:rsidRPr="000B4F53" w:rsidRDefault="000B4F53">
      <w:pPr>
        <w:rPr>
          <w:rFonts w:asciiTheme="majorHAnsi" w:eastAsiaTheme="majorEastAsia" w:hAnsiTheme="majorHAnsi" w:cstheme="majorBidi"/>
          <w:b/>
          <w:bCs/>
          <w:color w:val="000000" w:themeColor="text1"/>
          <w:sz w:val="28"/>
          <w:szCs w:val="28"/>
        </w:rPr>
      </w:pPr>
      <w:r w:rsidRPr="000B4F53">
        <w:rPr>
          <w:rFonts w:asciiTheme="majorHAnsi" w:eastAsiaTheme="majorEastAsia" w:hAnsiTheme="majorHAnsi" w:cstheme="majorBidi"/>
          <w:b/>
          <w:bCs/>
          <w:color w:val="000000" w:themeColor="text1"/>
          <w:sz w:val="28"/>
          <w:szCs w:val="28"/>
        </w:rPr>
        <w:lastRenderedPageBreak/>
        <w:t xml:space="preserve">Table </w:t>
      </w:r>
      <w:r>
        <w:rPr>
          <w:rFonts w:asciiTheme="majorHAnsi" w:eastAsiaTheme="majorEastAsia" w:hAnsiTheme="majorHAnsi" w:cstheme="majorBidi"/>
          <w:b/>
          <w:bCs/>
          <w:color w:val="000000" w:themeColor="text1"/>
          <w:sz w:val="28"/>
          <w:szCs w:val="28"/>
        </w:rPr>
        <w:t>2</w:t>
      </w:r>
      <w:r w:rsidRPr="000B4F53">
        <w:rPr>
          <w:rFonts w:asciiTheme="majorHAnsi" w:eastAsiaTheme="majorEastAsia" w:hAnsiTheme="majorHAnsi" w:cstheme="majorBidi"/>
          <w:b/>
          <w:bCs/>
          <w:color w:val="000000" w:themeColor="text1"/>
          <w:sz w:val="28"/>
          <w:szCs w:val="28"/>
        </w:rPr>
        <w:t>: Discount Factors @ 6%</w:t>
      </w:r>
    </w:p>
    <w:tbl>
      <w:tblPr>
        <w:tblStyle w:val="GridTable4-Accent1"/>
        <w:tblW w:w="0" w:type="auto"/>
        <w:tblLook w:val="04A0" w:firstRow="1" w:lastRow="0" w:firstColumn="1" w:lastColumn="0" w:noHBand="0" w:noVBand="1"/>
      </w:tblPr>
      <w:tblGrid>
        <w:gridCol w:w="988"/>
        <w:gridCol w:w="2409"/>
        <w:gridCol w:w="2268"/>
      </w:tblGrid>
      <w:tr w:rsidR="000B4F53" w:rsidRPr="000B4F53" w14:paraId="0B51AB0E" w14:textId="77777777" w:rsidTr="000B4F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hideMark/>
          </w:tcPr>
          <w:p w14:paraId="005E504E" w14:textId="77777777" w:rsidR="000B4F53" w:rsidRPr="000B4F53" w:rsidRDefault="000B4F53" w:rsidP="000B4F53">
            <w:pPr>
              <w:spacing w:after="200" w:line="276" w:lineRule="auto"/>
              <w:rPr>
                <w:sz w:val="24"/>
                <w:szCs w:val="24"/>
                <w:lang w:val="en-IN"/>
              </w:rPr>
            </w:pPr>
            <w:r w:rsidRPr="000B4F53">
              <w:rPr>
                <w:sz w:val="24"/>
                <w:szCs w:val="24"/>
                <w:lang w:val="en-IN"/>
              </w:rPr>
              <w:t>Year</w:t>
            </w:r>
          </w:p>
        </w:tc>
        <w:tc>
          <w:tcPr>
            <w:tcW w:w="2409" w:type="dxa"/>
            <w:hideMark/>
          </w:tcPr>
          <w:p w14:paraId="3D3B6BF2" w14:textId="77777777" w:rsidR="000B4F53" w:rsidRPr="000B4F53" w:rsidRDefault="000B4F53" w:rsidP="000B4F5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Formula</w:t>
            </w:r>
          </w:p>
        </w:tc>
        <w:tc>
          <w:tcPr>
            <w:tcW w:w="2268" w:type="dxa"/>
            <w:hideMark/>
          </w:tcPr>
          <w:p w14:paraId="2BA8F1D1" w14:textId="77777777" w:rsidR="000B4F53" w:rsidRPr="000B4F53" w:rsidRDefault="000B4F53" w:rsidP="000B4F5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Discount Factor</w:t>
            </w:r>
          </w:p>
        </w:tc>
      </w:tr>
      <w:tr w:rsidR="000B4F53" w:rsidRPr="000B4F53" w14:paraId="5CE90E30" w14:textId="77777777" w:rsidTr="000B4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hideMark/>
          </w:tcPr>
          <w:p w14:paraId="571C008A" w14:textId="77777777" w:rsidR="000B4F53" w:rsidRPr="000B4F53" w:rsidRDefault="000B4F53" w:rsidP="000B4F53">
            <w:pPr>
              <w:spacing w:after="200" w:line="276" w:lineRule="auto"/>
              <w:rPr>
                <w:sz w:val="24"/>
                <w:szCs w:val="24"/>
                <w:lang w:val="en-IN"/>
              </w:rPr>
            </w:pPr>
            <w:r w:rsidRPr="000B4F53">
              <w:rPr>
                <w:sz w:val="24"/>
                <w:szCs w:val="24"/>
                <w:lang w:val="en-IN"/>
              </w:rPr>
              <w:t>1</w:t>
            </w:r>
          </w:p>
        </w:tc>
        <w:tc>
          <w:tcPr>
            <w:tcW w:w="2409" w:type="dxa"/>
            <w:hideMark/>
          </w:tcPr>
          <w:p w14:paraId="684DA0C5"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1/(1.06)^1</w:t>
            </w:r>
          </w:p>
        </w:tc>
        <w:tc>
          <w:tcPr>
            <w:tcW w:w="2268" w:type="dxa"/>
            <w:hideMark/>
          </w:tcPr>
          <w:p w14:paraId="051DA253"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0.943</w:t>
            </w:r>
          </w:p>
        </w:tc>
      </w:tr>
      <w:tr w:rsidR="000B4F53" w:rsidRPr="000B4F53" w14:paraId="0E16D26F" w14:textId="77777777" w:rsidTr="000B4F53">
        <w:tc>
          <w:tcPr>
            <w:cnfStyle w:val="001000000000" w:firstRow="0" w:lastRow="0" w:firstColumn="1" w:lastColumn="0" w:oddVBand="0" w:evenVBand="0" w:oddHBand="0" w:evenHBand="0" w:firstRowFirstColumn="0" w:firstRowLastColumn="0" w:lastRowFirstColumn="0" w:lastRowLastColumn="0"/>
            <w:tcW w:w="988" w:type="dxa"/>
            <w:hideMark/>
          </w:tcPr>
          <w:p w14:paraId="73D21E94" w14:textId="77777777" w:rsidR="000B4F53" w:rsidRPr="000B4F53" w:rsidRDefault="000B4F53" w:rsidP="000B4F53">
            <w:pPr>
              <w:spacing w:after="200" w:line="276" w:lineRule="auto"/>
              <w:rPr>
                <w:sz w:val="24"/>
                <w:szCs w:val="24"/>
                <w:lang w:val="en-IN"/>
              </w:rPr>
            </w:pPr>
            <w:r w:rsidRPr="000B4F53">
              <w:rPr>
                <w:sz w:val="24"/>
                <w:szCs w:val="24"/>
                <w:lang w:val="en-IN"/>
              </w:rPr>
              <w:t>2</w:t>
            </w:r>
          </w:p>
        </w:tc>
        <w:tc>
          <w:tcPr>
            <w:tcW w:w="2409" w:type="dxa"/>
            <w:hideMark/>
          </w:tcPr>
          <w:p w14:paraId="5EEBF71E"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1/(1.06)^2</w:t>
            </w:r>
          </w:p>
        </w:tc>
        <w:tc>
          <w:tcPr>
            <w:tcW w:w="2268" w:type="dxa"/>
            <w:hideMark/>
          </w:tcPr>
          <w:p w14:paraId="1D7434B5"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0.890</w:t>
            </w:r>
          </w:p>
        </w:tc>
      </w:tr>
      <w:tr w:rsidR="000B4F53" w:rsidRPr="000B4F53" w14:paraId="378A05D0" w14:textId="77777777" w:rsidTr="000B4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hideMark/>
          </w:tcPr>
          <w:p w14:paraId="1C93952A" w14:textId="77777777" w:rsidR="000B4F53" w:rsidRPr="000B4F53" w:rsidRDefault="000B4F53" w:rsidP="000B4F53">
            <w:pPr>
              <w:spacing w:after="200" w:line="276" w:lineRule="auto"/>
              <w:rPr>
                <w:sz w:val="24"/>
                <w:szCs w:val="24"/>
                <w:lang w:val="en-IN"/>
              </w:rPr>
            </w:pPr>
            <w:r w:rsidRPr="000B4F53">
              <w:rPr>
                <w:sz w:val="24"/>
                <w:szCs w:val="24"/>
                <w:lang w:val="en-IN"/>
              </w:rPr>
              <w:t>3</w:t>
            </w:r>
          </w:p>
        </w:tc>
        <w:tc>
          <w:tcPr>
            <w:tcW w:w="2409" w:type="dxa"/>
            <w:hideMark/>
          </w:tcPr>
          <w:p w14:paraId="64CE1F82"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1/(1.06)^3</w:t>
            </w:r>
          </w:p>
        </w:tc>
        <w:tc>
          <w:tcPr>
            <w:tcW w:w="2268" w:type="dxa"/>
            <w:hideMark/>
          </w:tcPr>
          <w:p w14:paraId="529BA15B"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0.840</w:t>
            </w:r>
          </w:p>
        </w:tc>
      </w:tr>
      <w:tr w:rsidR="000B4F53" w:rsidRPr="000B4F53" w14:paraId="592AA124" w14:textId="77777777" w:rsidTr="000B4F53">
        <w:tc>
          <w:tcPr>
            <w:cnfStyle w:val="001000000000" w:firstRow="0" w:lastRow="0" w:firstColumn="1" w:lastColumn="0" w:oddVBand="0" w:evenVBand="0" w:oddHBand="0" w:evenHBand="0" w:firstRowFirstColumn="0" w:firstRowLastColumn="0" w:lastRowFirstColumn="0" w:lastRowLastColumn="0"/>
            <w:tcW w:w="988" w:type="dxa"/>
            <w:hideMark/>
          </w:tcPr>
          <w:p w14:paraId="450DC9AA" w14:textId="77777777" w:rsidR="000B4F53" w:rsidRPr="000B4F53" w:rsidRDefault="000B4F53" w:rsidP="000B4F53">
            <w:pPr>
              <w:spacing w:after="200" w:line="276" w:lineRule="auto"/>
              <w:rPr>
                <w:sz w:val="24"/>
                <w:szCs w:val="24"/>
                <w:lang w:val="en-IN"/>
              </w:rPr>
            </w:pPr>
            <w:r w:rsidRPr="000B4F53">
              <w:rPr>
                <w:sz w:val="24"/>
                <w:szCs w:val="24"/>
                <w:lang w:val="en-IN"/>
              </w:rPr>
              <w:t>4</w:t>
            </w:r>
          </w:p>
        </w:tc>
        <w:tc>
          <w:tcPr>
            <w:tcW w:w="2409" w:type="dxa"/>
            <w:hideMark/>
          </w:tcPr>
          <w:p w14:paraId="3CFE5513"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1/(1.06)^4</w:t>
            </w:r>
          </w:p>
        </w:tc>
        <w:tc>
          <w:tcPr>
            <w:tcW w:w="2268" w:type="dxa"/>
            <w:hideMark/>
          </w:tcPr>
          <w:p w14:paraId="04129D56"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0.792</w:t>
            </w:r>
          </w:p>
        </w:tc>
      </w:tr>
    </w:tbl>
    <w:p w14:paraId="1AAD3B4C" w14:textId="77777777" w:rsidR="000B4F53" w:rsidRDefault="000B4F53">
      <w:pPr>
        <w:rPr>
          <w:sz w:val="24"/>
          <w:szCs w:val="24"/>
          <w:lang w:val="en-IN"/>
        </w:rPr>
      </w:pPr>
    </w:p>
    <w:p w14:paraId="02C8A3B0" w14:textId="075730A6" w:rsidR="000B4F53" w:rsidRPr="000B4F53" w:rsidRDefault="000B4F53" w:rsidP="000B4F53">
      <w:pPr>
        <w:rPr>
          <w:rFonts w:asciiTheme="majorHAnsi" w:eastAsiaTheme="majorEastAsia" w:hAnsiTheme="majorHAnsi" w:cstheme="majorBidi"/>
          <w:b/>
          <w:bCs/>
          <w:color w:val="000000" w:themeColor="text1"/>
          <w:sz w:val="28"/>
          <w:szCs w:val="28"/>
        </w:rPr>
      </w:pPr>
      <w:r w:rsidRPr="000B4F53">
        <w:rPr>
          <w:rFonts w:asciiTheme="majorHAnsi" w:eastAsiaTheme="majorEastAsia" w:hAnsiTheme="majorHAnsi" w:cstheme="majorBidi"/>
          <w:b/>
          <w:bCs/>
          <w:color w:val="000000" w:themeColor="text1"/>
          <w:sz w:val="28"/>
          <w:szCs w:val="28"/>
        </w:rPr>
        <w:t xml:space="preserve">Table </w:t>
      </w:r>
      <w:r>
        <w:rPr>
          <w:rFonts w:asciiTheme="majorHAnsi" w:eastAsiaTheme="majorEastAsia" w:hAnsiTheme="majorHAnsi" w:cstheme="majorBidi"/>
          <w:b/>
          <w:bCs/>
          <w:color w:val="000000" w:themeColor="text1"/>
          <w:sz w:val="28"/>
          <w:szCs w:val="28"/>
        </w:rPr>
        <w:t>3</w:t>
      </w:r>
      <w:r w:rsidRPr="000B4F53">
        <w:rPr>
          <w:rFonts w:asciiTheme="majorHAnsi" w:eastAsiaTheme="majorEastAsia" w:hAnsiTheme="majorHAnsi" w:cstheme="majorBidi"/>
          <w:b/>
          <w:bCs/>
          <w:color w:val="000000" w:themeColor="text1"/>
          <w:sz w:val="28"/>
          <w:szCs w:val="28"/>
        </w:rPr>
        <w:t xml:space="preserve">: NPV Calculation </w:t>
      </w:r>
    </w:p>
    <w:tbl>
      <w:tblPr>
        <w:tblStyle w:val="GridTable4-Accent1"/>
        <w:tblW w:w="0" w:type="auto"/>
        <w:tblLook w:val="04A0" w:firstRow="1" w:lastRow="0" w:firstColumn="1" w:lastColumn="0" w:noHBand="0" w:noVBand="1"/>
      </w:tblPr>
      <w:tblGrid>
        <w:gridCol w:w="1696"/>
        <w:gridCol w:w="1985"/>
        <w:gridCol w:w="2126"/>
        <w:gridCol w:w="2268"/>
      </w:tblGrid>
      <w:tr w:rsidR="000B4F53" w:rsidRPr="000B4F53" w14:paraId="2BD0A7AC" w14:textId="77777777" w:rsidTr="000B4F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3CEFE56E" w14:textId="77777777" w:rsidR="000B4F53" w:rsidRPr="000B4F53" w:rsidRDefault="000B4F53" w:rsidP="000B4F53">
            <w:pPr>
              <w:spacing w:after="200" w:line="276" w:lineRule="auto"/>
              <w:rPr>
                <w:sz w:val="24"/>
                <w:szCs w:val="24"/>
                <w:lang w:val="en-IN"/>
              </w:rPr>
            </w:pPr>
            <w:r w:rsidRPr="000B4F53">
              <w:rPr>
                <w:sz w:val="24"/>
                <w:szCs w:val="24"/>
                <w:lang w:val="en-IN"/>
              </w:rPr>
              <w:t>Year</w:t>
            </w:r>
          </w:p>
        </w:tc>
        <w:tc>
          <w:tcPr>
            <w:tcW w:w="1985" w:type="dxa"/>
            <w:hideMark/>
          </w:tcPr>
          <w:p w14:paraId="5A419363" w14:textId="77777777" w:rsidR="000B4F53" w:rsidRPr="000B4F53" w:rsidRDefault="000B4F53" w:rsidP="000B4F5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Cash Flow</w:t>
            </w:r>
          </w:p>
        </w:tc>
        <w:tc>
          <w:tcPr>
            <w:tcW w:w="2126" w:type="dxa"/>
            <w:hideMark/>
          </w:tcPr>
          <w:p w14:paraId="20C0226C" w14:textId="77777777" w:rsidR="000B4F53" w:rsidRPr="000B4F53" w:rsidRDefault="000B4F53" w:rsidP="000B4F5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DF @6%</w:t>
            </w:r>
          </w:p>
        </w:tc>
        <w:tc>
          <w:tcPr>
            <w:tcW w:w="2268" w:type="dxa"/>
            <w:hideMark/>
          </w:tcPr>
          <w:p w14:paraId="05F53A77" w14:textId="77777777" w:rsidR="000B4F53" w:rsidRPr="000B4F53" w:rsidRDefault="000B4F53" w:rsidP="000B4F53">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Present Value</w:t>
            </w:r>
          </w:p>
        </w:tc>
      </w:tr>
      <w:tr w:rsidR="000B4F53" w:rsidRPr="000B4F53" w14:paraId="04C6252C" w14:textId="77777777" w:rsidTr="000B4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7EBD2D0D" w14:textId="77777777" w:rsidR="000B4F53" w:rsidRPr="000B4F53" w:rsidRDefault="000B4F53" w:rsidP="000B4F53">
            <w:pPr>
              <w:spacing w:after="200" w:line="276" w:lineRule="auto"/>
              <w:rPr>
                <w:sz w:val="24"/>
                <w:szCs w:val="24"/>
                <w:lang w:val="en-IN"/>
              </w:rPr>
            </w:pPr>
            <w:r w:rsidRPr="000B4F53">
              <w:rPr>
                <w:sz w:val="24"/>
                <w:szCs w:val="24"/>
                <w:lang w:val="en-IN"/>
              </w:rPr>
              <w:t>0</w:t>
            </w:r>
          </w:p>
        </w:tc>
        <w:tc>
          <w:tcPr>
            <w:tcW w:w="1985" w:type="dxa"/>
            <w:hideMark/>
          </w:tcPr>
          <w:p w14:paraId="3A763513"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(1,600)</w:t>
            </w:r>
          </w:p>
        </w:tc>
        <w:tc>
          <w:tcPr>
            <w:tcW w:w="2126" w:type="dxa"/>
            <w:hideMark/>
          </w:tcPr>
          <w:p w14:paraId="63DEDC5D"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1.00</w:t>
            </w:r>
          </w:p>
        </w:tc>
        <w:tc>
          <w:tcPr>
            <w:tcW w:w="2268" w:type="dxa"/>
            <w:hideMark/>
          </w:tcPr>
          <w:p w14:paraId="77B8BA0B"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(1,600)</w:t>
            </w:r>
          </w:p>
        </w:tc>
      </w:tr>
      <w:tr w:rsidR="000B4F53" w:rsidRPr="000B4F53" w14:paraId="30FAC539" w14:textId="77777777" w:rsidTr="000B4F53">
        <w:tc>
          <w:tcPr>
            <w:cnfStyle w:val="001000000000" w:firstRow="0" w:lastRow="0" w:firstColumn="1" w:lastColumn="0" w:oddVBand="0" w:evenVBand="0" w:oddHBand="0" w:evenHBand="0" w:firstRowFirstColumn="0" w:firstRowLastColumn="0" w:lastRowFirstColumn="0" w:lastRowLastColumn="0"/>
            <w:tcW w:w="1696" w:type="dxa"/>
            <w:hideMark/>
          </w:tcPr>
          <w:p w14:paraId="408CAF20" w14:textId="77777777" w:rsidR="000B4F53" w:rsidRPr="000B4F53" w:rsidRDefault="000B4F53" w:rsidP="000B4F53">
            <w:pPr>
              <w:spacing w:after="200" w:line="276" w:lineRule="auto"/>
              <w:rPr>
                <w:sz w:val="24"/>
                <w:szCs w:val="24"/>
                <w:lang w:val="en-IN"/>
              </w:rPr>
            </w:pPr>
            <w:r w:rsidRPr="000B4F53">
              <w:rPr>
                <w:sz w:val="24"/>
                <w:szCs w:val="24"/>
                <w:lang w:val="en-IN"/>
              </w:rPr>
              <w:t>1</w:t>
            </w:r>
          </w:p>
        </w:tc>
        <w:tc>
          <w:tcPr>
            <w:tcW w:w="1985" w:type="dxa"/>
            <w:hideMark/>
          </w:tcPr>
          <w:p w14:paraId="7027238E"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450</w:t>
            </w:r>
          </w:p>
        </w:tc>
        <w:tc>
          <w:tcPr>
            <w:tcW w:w="2126" w:type="dxa"/>
            <w:hideMark/>
          </w:tcPr>
          <w:p w14:paraId="288C02FC"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0.943</w:t>
            </w:r>
          </w:p>
        </w:tc>
        <w:tc>
          <w:tcPr>
            <w:tcW w:w="2268" w:type="dxa"/>
            <w:hideMark/>
          </w:tcPr>
          <w:p w14:paraId="1E5B55E4" w14:textId="52354997" w:rsidR="000B4F53" w:rsidRPr="000B4F53" w:rsidRDefault="000A3449"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Pr>
                <w:sz w:val="24"/>
                <w:szCs w:val="24"/>
                <w:lang w:val="en-IN"/>
              </w:rPr>
              <w:t>424.35</w:t>
            </w:r>
          </w:p>
        </w:tc>
      </w:tr>
      <w:tr w:rsidR="000B4F53" w:rsidRPr="000B4F53" w14:paraId="068EFDD4" w14:textId="77777777" w:rsidTr="000B4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1F6CFACB" w14:textId="77777777" w:rsidR="000B4F53" w:rsidRPr="000B4F53" w:rsidRDefault="000B4F53" w:rsidP="000B4F53">
            <w:pPr>
              <w:spacing w:after="200" w:line="276" w:lineRule="auto"/>
              <w:rPr>
                <w:sz w:val="24"/>
                <w:szCs w:val="24"/>
                <w:lang w:val="en-IN"/>
              </w:rPr>
            </w:pPr>
            <w:r w:rsidRPr="000B4F53">
              <w:rPr>
                <w:sz w:val="24"/>
                <w:szCs w:val="24"/>
                <w:lang w:val="en-IN"/>
              </w:rPr>
              <w:t>2</w:t>
            </w:r>
          </w:p>
        </w:tc>
        <w:tc>
          <w:tcPr>
            <w:tcW w:w="1985" w:type="dxa"/>
            <w:hideMark/>
          </w:tcPr>
          <w:p w14:paraId="32DE047B"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700</w:t>
            </w:r>
          </w:p>
        </w:tc>
        <w:tc>
          <w:tcPr>
            <w:tcW w:w="2126" w:type="dxa"/>
            <w:hideMark/>
          </w:tcPr>
          <w:p w14:paraId="0A5EA825"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0.890</w:t>
            </w:r>
          </w:p>
        </w:tc>
        <w:tc>
          <w:tcPr>
            <w:tcW w:w="2268" w:type="dxa"/>
            <w:hideMark/>
          </w:tcPr>
          <w:p w14:paraId="6C655587" w14:textId="6AA2FA36" w:rsidR="000B4F53" w:rsidRPr="000B4F53" w:rsidRDefault="000A3449"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Pr>
                <w:sz w:val="24"/>
                <w:szCs w:val="24"/>
                <w:lang w:val="en-IN"/>
              </w:rPr>
              <w:t>623.00</w:t>
            </w:r>
          </w:p>
        </w:tc>
      </w:tr>
      <w:tr w:rsidR="000B4F53" w:rsidRPr="000B4F53" w14:paraId="6EDC1AAE" w14:textId="77777777" w:rsidTr="000B4F53">
        <w:tc>
          <w:tcPr>
            <w:cnfStyle w:val="001000000000" w:firstRow="0" w:lastRow="0" w:firstColumn="1" w:lastColumn="0" w:oddVBand="0" w:evenVBand="0" w:oddHBand="0" w:evenHBand="0" w:firstRowFirstColumn="0" w:firstRowLastColumn="0" w:lastRowFirstColumn="0" w:lastRowLastColumn="0"/>
            <w:tcW w:w="1696" w:type="dxa"/>
            <w:hideMark/>
          </w:tcPr>
          <w:p w14:paraId="36AC6324" w14:textId="77777777" w:rsidR="000B4F53" w:rsidRPr="000B4F53" w:rsidRDefault="000B4F53" w:rsidP="000B4F53">
            <w:pPr>
              <w:spacing w:after="200" w:line="276" w:lineRule="auto"/>
              <w:rPr>
                <w:sz w:val="24"/>
                <w:szCs w:val="24"/>
                <w:lang w:val="en-IN"/>
              </w:rPr>
            </w:pPr>
            <w:r w:rsidRPr="000B4F53">
              <w:rPr>
                <w:sz w:val="24"/>
                <w:szCs w:val="24"/>
                <w:lang w:val="en-IN"/>
              </w:rPr>
              <w:t>3</w:t>
            </w:r>
          </w:p>
        </w:tc>
        <w:tc>
          <w:tcPr>
            <w:tcW w:w="1985" w:type="dxa"/>
            <w:hideMark/>
          </w:tcPr>
          <w:p w14:paraId="0E642D9A"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900</w:t>
            </w:r>
          </w:p>
        </w:tc>
        <w:tc>
          <w:tcPr>
            <w:tcW w:w="2126" w:type="dxa"/>
            <w:hideMark/>
          </w:tcPr>
          <w:p w14:paraId="34363866"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sz w:val="24"/>
                <w:szCs w:val="24"/>
                <w:lang w:val="en-IN"/>
              </w:rPr>
              <w:t>0.840</w:t>
            </w:r>
          </w:p>
        </w:tc>
        <w:tc>
          <w:tcPr>
            <w:tcW w:w="2268" w:type="dxa"/>
            <w:hideMark/>
          </w:tcPr>
          <w:p w14:paraId="1F1E7786" w14:textId="3A2709FB" w:rsidR="000B4F53" w:rsidRPr="000B4F53" w:rsidRDefault="000A3449"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Pr>
                <w:sz w:val="24"/>
                <w:szCs w:val="24"/>
                <w:lang w:val="en-IN"/>
              </w:rPr>
              <w:t>756.00</w:t>
            </w:r>
          </w:p>
        </w:tc>
      </w:tr>
      <w:tr w:rsidR="000B4F53" w:rsidRPr="000B4F53" w14:paraId="2BFA51A9" w14:textId="77777777" w:rsidTr="000B4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0CF87E99" w14:textId="77777777" w:rsidR="000B4F53" w:rsidRPr="000B4F53" w:rsidRDefault="000B4F53" w:rsidP="000B4F53">
            <w:pPr>
              <w:spacing w:after="200" w:line="276" w:lineRule="auto"/>
              <w:rPr>
                <w:sz w:val="24"/>
                <w:szCs w:val="24"/>
                <w:lang w:val="en-IN"/>
              </w:rPr>
            </w:pPr>
            <w:r w:rsidRPr="000B4F53">
              <w:rPr>
                <w:sz w:val="24"/>
                <w:szCs w:val="24"/>
                <w:lang w:val="en-IN"/>
              </w:rPr>
              <w:t>4</w:t>
            </w:r>
          </w:p>
        </w:tc>
        <w:tc>
          <w:tcPr>
            <w:tcW w:w="1985" w:type="dxa"/>
            <w:hideMark/>
          </w:tcPr>
          <w:p w14:paraId="341D70F3"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1,200</w:t>
            </w:r>
          </w:p>
        </w:tc>
        <w:tc>
          <w:tcPr>
            <w:tcW w:w="2126" w:type="dxa"/>
            <w:hideMark/>
          </w:tcPr>
          <w:p w14:paraId="6882EB0C" w14:textId="77777777" w:rsidR="000B4F53" w:rsidRPr="000B4F53" w:rsidRDefault="000B4F53"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0B4F53">
              <w:rPr>
                <w:sz w:val="24"/>
                <w:szCs w:val="24"/>
                <w:lang w:val="en-IN"/>
              </w:rPr>
              <w:t>0.792</w:t>
            </w:r>
          </w:p>
        </w:tc>
        <w:tc>
          <w:tcPr>
            <w:tcW w:w="2268" w:type="dxa"/>
            <w:hideMark/>
          </w:tcPr>
          <w:p w14:paraId="01802439" w14:textId="164175B3" w:rsidR="000B4F53" w:rsidRPr="000B4F53" w:rsidRDefault="000A3449" w:rsidP="000B4F53">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Pr>
                <w:sz w:val="24"/>
                <w:szCs w:val="24"/>
                <w:lang w:val="en-IN"/>
              </w:rPr>
              <w:t>950.40</w:t>
            </w:r>
          </w:p>
        </w:tc>
      </w:tr>
      <w:tr w:rsidR="000B4F53" w:rsidRPr="000B4F53" w14:paraId="3BB99C5A" w14:textId="77777777" w:rsidTr="000B4F53">
        <w:tc>
          <w:tcPr>
            <w:cnfStyle w:val="001000000000" w:firstRow="0" w:lastRow="0" w:firstColumn="1" w:lastColumn="0" w:oddVBand="0" w:evenVBand="0" w:oddHBand="0" w:evenHBand="0" w:firstRowFirstColumn="0" w:firstRowLastColumn="0" w:lastRowFirstColumn="0" w:lastRowLastColumn="0"/>
            <w:tcW w:w="1696" w:type="dxa"/>
            <w:hideMark/>
          </w:tcPr>
          <w:p w14:paraId="3D1B87A7" w14:textId="77777777" w:rsidR="000B4F53" w:rsidRPr="000B4F53" w:rsidRDefault="000B4F53" w:rsidP="000B4F53">
            <w:pPr>
              <w:spacing w:after="200" w:line="276" w:lineRule="auto"/>
              <w:rPr>
                <w:sz w:val="24"/>
                <w:szCs w:val="24"/>
                <w:lang w:val="en-IN"/>
              </w:rPr>
            </w:pPr>
            <w:r w:rsidRPr="000B4F53">
              <w:rPr>
                <w:sz w:val="24"/>
                <w:szCs w:val="24"/>
                <w:lang w:val="en-IN"/>
              </w:rPr>
              <w:t>Total NPV</w:t>
            </w:r>
          </w:p>
        </w:tc>
        <w:tc>
          <w:tcPr>
            <w:tcW w:w="1985" w:type="dxa"/>
            <w:hideMark/>
          </w:tcPr>
          <w:p w14:paraId="642FED0B"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p>
        </w:tc>
        <w:tc>
          <w:tcPr>
            <w:tcW w:w="2126" w:type="dxa"/>
            <w:hideMark/>
          </w:tcPr>
          <w:p w14:paraId="1DA59936" w14:textId="77777777"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p>
        </w:tc>
        <w:tc>
          <w:tcPr>
            <w:tcW w:w="2268" w:type="dxa"/>
            <w:hideMark/>
          </w:tcPr>
          <w:p w14:paraId="74F37AC4" w14:textId="41D12226" w:rsidR="000B4F53" w:rsidRPr="000B4F53" w:rsidRDefault="000B4F53" w:rsidP="000B4F53">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0B4F53">
              <w:rPr>
                <w:b/>
                <w:bCs/>
                <w:sz w:val="24"/>
                <w:szCs w:val="24"/>
                <w:lang w:val="en-IN"/>
              </w:rPr>
              <w:t>£</w:t>
            </w:r>
            <w:r w:rsidR="000A3449">
              <w:rPr>
                <w:b/>
                <w:bCs/>
                <w:sz w:val="24"/>
                <w:szCs w:val="24"/>
                <w:lang w:val="en-IN"/>
              </w:rPr>
              <w:t>1,153.75</w:t>
            </w:r>
          </w:p>
        </w:tc>
      </w:tr>
    </w:tbl>
    <w:p w14:paraId="383011B2" w14:textId="7DA4A008" w:rsidR="007E0F23" w:rsidRDefault="007E0F23">
      <w:pPr>
        <w:rPr>
          <w:sz w:val="24"/>
          <w:szCs w:val="24"/>
          <w:lang w:val="en-IN"/>
        </w:rPr>
      </w:pPr>
      <w:r>
        <w:rPr>
          <w:sz w:val="24"/>
          <w:szCs w:val="24"/>
          <w:lang w:val="en-IN"/>
        </w:rPr>
        <w:br w:type="page"/>
      </w:r>
    </w:p>
    <w:p w14:paraId="6FDA3A4E" w14:textId="77777777" w:rsidR="007E0F23" w:rsidRDefault="007E0F23">
      <w:pPr>
        <w:rPr>
          <w:rFonts w:asciiTheme="majorHAnsi" w:eastAsiaTheme="majorEastAsia" w:hAnsiTheme="majorHAnsi" w:cstheme="majorBidi"/>
          <w:b/>
          <w:bCs/>
          <w:color w:val="365F91" w:themeColor="accent1" w:themeShade="BF"/>
          <w:sz w:val="28"/>
          <w:szCs w:val="28"/>
        </w:rPr>
      </w:pPr>
      <w:r w:rsidRPr="007E0F23">
        <w:rPr>
          <w:rFonts w:asciiTheme="majorHAnsi" w:eastAsiaTheme="majorEastAsia" w:hAnsiTheme="majorHAnsi" w:cstheme="majorBidi"/>
          <w:b/>
          <w:bCs/>
          <w:color w:val="365F91" w:themeColor="accent1" w:themeShade="BF"/>
          <w:sz w:val="28"/>
          <w:szCs w:val="28"/>
        </w:rPr>
        <w:lastRenderedPageBreak/>
        <w:t>5. Interpretation for Management</w:t>
      </w:r>
    </w:p>
    <w:p w14:paraId="6C617418" w14:textId="48A28C1D" w:rsidR="007E0F23" w:rsidRPr="007E0F23" w:rsidRDefault="007E0F23" w:rsidP="007E0F23">
      <w:pPr>
        <w:rPr>
          <w:b/>
          <w:bCs/>
          <w:sz w:val="24"/>
          <w:szCs w:val="24"/>
          <w:lang w:val="en-IN"/>
        </w:rPr>
      </w:pPr>
      <w:r w:rsidRPr="007E0F23">
        <w:rPr>
          <w:b/>
          <w:bCs/>
          <w:sz w:val="24"/>
          <w:szCs w:val="24"/>
          <w:lang w:val="en-IN"/>
        </w:rPr>
        <w:t>5.1 Why NPV is the Preferred Investment Appraisal Method</w:t>
      </w:r>
    </w:p>
    <w:p w14:paraId="71AFAA90" w14:textId="77777777" w:rsidR="007E0F23" w:rsidRPr="007E0F23" w:rsidRDefault="007E0F23" w:rsidP="007E0F23">
      <w:pPr>
        <w:rPr>
          <w:sz w:val="24"/>
          <w:szCs w:val="24"/>
          <w:lang w:val="en-IN"/>
        </w:rPr>
      </w:pPr>
      <w:r w:rsidRPr="007E0F23">
        <w:rPr>
          <w:sz w:val="24"/>
          <w:szCs w:val="24"/>
          <w:lang w:val="en-IN"/>
        </w:rPr>
        <w:t>NPV is grounded in the objective of shareholder wealth maximisation, which is the primary financial goal of most corporations. By focusing on absolute value creation rather than relative returns, NPV ensures that decisions contribute directly to increasing firm value.</w:t>
      </w:r>
    </w:p>
    <w:p w14:paraId="7B2F3B3D" w14:textId="77777777" w:rsidR="007E0F23" w:rsidRPr="007E0F23" w:rsidRDefault="007E0F23" w:rsidP="007E0F23">
      <w:pPr>
        <w:rPr>
          <w:sz w:val="24"/>
          <w:szCs w:val="24"/>
          <w:lang w:val="en-IN"/>
        </w:rPr>
      </w:pPr>
      <w:r w:rsidRPr="007E0F23">
        <w:rPr>
          <w:sz w:val="24"/>
          <w:szCs w:val="24"/>
          <w:lang w:val="en-IN"/>
        </w:rPr>
        <w:t>NPV also accounts for risk through the discount rate and recognises the time value of money. Unlike non-discounting methods, it evaluates all project cash flows and avoids arbitrary cut-off rules. Consequently, NPV provides a more comprehensive and theoretically sound basis for capital investment decisions.</w:t>
      </w:r>
    </w:p>
    <w:p w14:paraId="553F3E42" w14:textId="3FC05B78" w:rsidR="007E0F23" w:rsidRPr="007E0F23" w:rsidRDefault="007E0F23" w:rsidP="007E0F23">
      <w:pPr>
        <w:rPr>
          <w:b/>
          <w:bCs/>
          <w:sz w:val="24"/>
          <w:szCs w:val="24"/>
          <w:lang w:val="en-IN"/>
        </w:rPr>
      </w:pPr>
      <w:r w:rsidRPr="007E0F23">
        <w:rPr>
          <w:b/>
          <w:bCs/>
          <w:sz w:val="24"/>
          <w:szCs w:val="24"/>
          <w:lang w:val="en-IN"/>
        </w:rPr>
        <w:t>5.2 Popularity of Non-Discounting Methods</w:t>
      </w:r>
    </w:p>
    <w:p w14:paraId="76444C21" w14:textId="77777777" w:rsidR="007E0F23" w:rsidRPr="007E0F23" w:rsidRDefault="007E0F23" w:rsidP="007E0F23">
      <w:pPr>
        <w:rPr>
          <w:sz w:val="24"/>
          <w:szCs w:val="24"/>
          <w:lang w:val="en-IN"/>
        </w:rPr>
      </w:pPr>
      <w:r w:rsidRPr="007E0F23">
        <w:rPr>
          <w:sz w:val="24"/>
          <w:szCs w:val="24"/>
          <w:lang w:val="en-IN"/>
        </w:rPr>
        <w:t>Despite their theoretical weaknesses, non-discounting methods such as Payback Period and Accounting Rate of Return remain popular among decision-makers. Their simplicity, ease of calculation, and focus on liquidity make them attractive, particularly in smaller organisations or under conditions of uncertainty.</w:t>
      </w:r>
    </w:p>
    <w:p w14:paraId="35298C3E" w14:textId="77777777" w:rsidR="007E0F23" w:rsidRPr="007E0F23" w:rsidRDefault="007E0F23" w:rsidP="007E0F23">
      <w:pPr>
        <w:rPr>
          <w:sz w:val="24"/>
          <w:szCs w:val="24"/>
          <w:lang w:val="en-IN"/>
        </w:rPr>
      </w:pPr>
      <w:r w:rsidRPr="007E0F23">
        <w:rPr>
          <w:sz w:val="24"/>
          <w:szCs w:val="24"/>
          <w:lang w:val="en-IN"/>
        </w:rPr>
        <w:t>Managers may also favour these methods due to behavioural factors, such as risk aversion and preference for rapid recovery of initial investment. However, reliance on such techniques can lead to suboptimal decisions, as they ignore long-term profitability and the time value of money.</w:t>
      </w:r>
    </w:p>
    <w:p w14:paraId="19DA7D10" w14:textId="00E5B3D3" w:rsidR="007E0F23" w:rsidRPr="007E0F23" w:rsidRDefault="007E0F23" w:rsidP="007E0F23">
      <w:pPr>
        <w:rPr>
          <w:b/>
          <w:bCs/>
          <w:sz w:val="24"/>
          <w:szCs w:val="24"/>
          <w:lang w:val="en-IN"/>
        </w:rPr>
      </w:pPr>
      <w:r w:rsidRPr="007E0F23">
        <w:rPr>
          <w:b/>
          <w:bCs/>
          <w:sz w:val="24"/>
          <w:szCs w:val="24"/>
          <w:lang w:val="en-IN"/>
        </w:rPr>
        <w:t>5.3 Other Factors Influencing Investment Decisions</w:t>
      </w:r>
    </w:p>
    <w:p w14:paraId="6DFC8F2C" w14:textId="77777777" w:rsidR="007E0F23" w:rsidRPr="007E0F23" w:rsidRDefault="007E0F23" w:rsidP="007E0F23">
      <w:pPr>
        <w:rPr>
          <w:sz w:val="24"/>
          <w:szCs w:val="24"/>
          <w:lang w:val="en-IN"/>
        </w:rPr>
      </w:pPr>
      <w:r w:rsidRPr="007E0F23">
        <w:rPr>
          <w:sz w:val="24"/>
          <w:szCs w:val="24"/>
          <w:lang w:val="en-IN"/>
        </w:rPr>
        <w:t>Before committing to an investment, Westward Plc should also consider qualitative and strategic factors. These include market demand, competitive dynamics, operational capability, technological risk, and alignment with long-term strategy. Environmental and ethical considerations, particularly for manufacturing expansion, may also influence stakeholder perceptions and regulatory compliance.</w:t>
      </w:r>
    </w:p>
    <w:p w14:paraId="4F9F6F3A" w14:textId="20B27859" w:rsidR="007E0F23" w:rsidRPr="00C67828" w:rsidRDefault="007E0F23">
      <w:pPr>
        <w:rPr>
          <w:rFonts w:asciiTheme="majorHAnsi" w:eastAsiaTheme="majorEastAsia" w:hAnsiTheme="majorHAnsi" w:cstheme="majorBidi"/>
          <w:b/>
          <w:bCs/>
          <w:color w:val="365F91" w:themeColor="accent1" w:themeShade="BF"/>
          <w:sz w:val="28"/>
          <w:szCs w:val="28"/>
        </w:rPr>
      </w:pPr>
      <w:r w:rsidRPr="007E0F23">
        <w:rPr>
          <w:rFonts w:asciiTheme="majorHAnsi" w:eastAsiaTheme="majorEastAsia" w:hAnsiTheme="majorHAnsi" w:cstheme="majorBidi"/>
          <w:b/>
          <w:bCs/>
          <w:color w:val="365F91" w:themeColor="accent1" w:themeShade="BF"/>
          <w:sz w:val="28"/>
          <w:szCs w:val="28"/>
        </w:rPr>
        <w:t>6. Capital Rationing and Optimal Investment Policy</w:t>
      </w:r>
      <w:r w:rsidRPr="007E0F23">
        <w:rPr>
          <w:rFonts w:asciiTheme="majorHAnsi" w:eastAsiaTheme="majorEastAsia" w:hAnsiTheme="majorHAnsi" w:cstheme="majorBidi"/>
          <w:b/>
          <w:bCs/>
          <w:color w:val="365F91" w:themeColor="accent1" w:themeShade="BF"/>
          <w:sz w:val="28"/>
          <w:szCs w:val="28"/>
          <w:lang w:val="en-IN"/>
        </w:rPr>
        <w:t xml:space="preserve"> </w:t>
      </w:r>
    </w:p>
    <w:p w14:paraId="49993FFC" w14:textId="77777777" w:rsidR="007E0F23" w:rsidRPr="007E0F23" w:rsidRDefault="007E0F23" w:rsidP="007E0F23">
      <w:pPr>
        <w:rPr>
          <w:sz w:val="24"/>
          <w:szCs w:val="24"/>
          <w:lang w:val="en-IN"/>
        </w:rPr>
      </w:pPr>
      <w:r w:rsidRPr="007E0F23">
        <w:rPr>
          <w:sz w:val="24"/>
          <w:szCs w:val="24"/>
          <w:lang w:val="en-IN"/>
        </w:rPr>
        <w:t>Where capital is limited to £2,500,000 and projects are divisible, the objective is to maximise total NPV subject to the funding constraint. Under such conditions, the profitability index (PI) is used to rank projects based on value created per pound invested.</w:t>
      </w:r>
    </w:p>
    <w:p w14:paraId="17387DD7" w14:textId="77777777" w:rsidR="007E0F23" w:rsidRPr="007E0F23" w:rsidRDefault="007E0F23" w:rsidP="007E0F23">
      <w:pPr>
        <w:rPr>
          <w:sz w:val="24"/>
          <w:szCs w:val="24"/>
          <w:lang w:val="en-IN"/>
        </w:rPr>
      </w:pPr>
      <w:r w:rsidRPr="007E0F23">
        <w:rPr>
          <w:sz w:val="24"/>
          <w:szCs w:val="24"/>
          <w:lang w:val="en-IN"/>
        </w:rPr>
        <w:t xml:space="preserve">Applying this approach indicates that a combination of </w:t>
      </w:r>
      <w:r w:rsidRPr="007E0F23">
        <w:rPr>
          <w:b/>
          <w:bCs/>
          <w:sz w:val="24"/>
          <w:szCs w:val="24"/>
          <w:lang w:val="en-IN"/>
        </w:rPr>
        <w:t>Options A and B</w:t>
      </w:r>
      <w:r w:rsidRPr="007E0F23">
        <w:rPr>
          <w:sz w:val="24"/>
          <w:szCs w:val="24"/>
          <w:lang w:val="en-IN"/>
        </w:rPr>
        <w:t xml:space="preserve"> yields the highest total NPV within the budget constraint. This strategy enables Westward Plc to diversify risk while maximising value creation.</w:t>
      </w:r>
    </w:p>
    <w:p w14:paraId="16270971" w14:textId="3F551E60" w:rsidR="007E0F23" w:rsidRPr="007E0F23" w:rsidRDefault="007E0F23">
      <w:pPr>
        <w:rPr>
          <w:sz w:val="24"/>
          <w:szCs w:val="24"/>
          <w:lang w:val="en-IN"/>
        </w:rPr>
      </w:pPr>
      <w:r w:rsidRPr="007E0F23">
        <w:rPr>
          <w:sz w:val="24"/>
          <w:szCs w:val="24"/>
          <w:lang w:val="en-IN"/>
        </w:rPr>
        <w:lastRenderedPageBreak/>
        <w:t>Capital rationing highlights the importance of efficient capital allocation and reinforces the strategic advantage of flexible and scalable investments.</w:t>
      </w:r>
    </w:p>
    <w:p w14:paraId="2574788D" w14:textId="24755C2A" w:rsidR="007E0F23" w:rsidRDefault="007E0F23">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t xml:space="preserve">7. </w:t>
      </w:r>
      <w:r w:rsidRPr="007E0F23">
        <w:rPr>
          <w:rFonts w:asciiTheme="majorHAnsi" w:eastAsiaTheme="majorEastAsia" w:hAnsiTheme="majorHAnsi" w:cstheme="majorBidi"/>
          <w:b/>
          <w:bCs/>
          <w:color w:val="365F91" w:themeColor="accent1" w:themeShade="BF"/>
          <w:sz w:val="28"/>
          <w:szCs w:val="28"/>
        </w:rPr>
        <w:t>Financing the Investment Program</w:t>
      </w:r>
    </w:p>
    <w:p w14:paraId="4FB26C73" w14:textId="77777777" w:rsidR="007E0F23" w:rsidRPr="007E0F23" w:rsidRDefault="007E0F23" w:rsidP="007E0F23">
      <w:pPr>
        <w:rPr>
          <w:sz w:val="24"/>
          <w:szCs w:val="24"/>
          <w:lang w:val="en-IN"/>
        </w:rPr>
      </w:pPr>
      <w:r w:rsidRPr="007E0F23">
        <w:rPr>
          <w:sz w:val="24"/>
          <w:szCs w:val="24"/>
          <w:lang w:val="en-IN"/>
        </w:rPr>
        <w:t>To finance the recommended investment programme, Westward Plc has several options, including retained earnings, debt finance, and equity issuance.</w:t>
      </w:r>
    </w:p>
    <w:p w14:paraId="0AF76913" w14:textId="77777777" w:rsidR="007E0F23" w:rsidRPr="007E0F23" w:rsidRDefault="007E0F23" w:rsidP="007E0F23">
      <w:pPr>
        <w:rPr>
          <w:sz w:val="24"/>
          <w:szCs w:val="24"/>
          <w:lang w:val="en-IN"/>
        </w:rPr>
      </w:pPr>
      <w:r w:rsidRPr="007E0F23">
        <w:rPr>
          <w:b/>
          <w:bCs/>
          <w:sz w:val="24"/>
          <w:szCs w:val="24"/>
          <w:lang w:val="en-IN"/>
        </w:rPr>
        <w:t>Retained earnings</w:t>
      </w:r>
      <w:r w:rsidRPr="007E0F23">
        <w:rPr>
          <w:sz w:val="24"/>
          <w:szCs w:val="24"/>
          <w:lang w:val="en-IN"/>
        </w:rPr>
        <w:t xml:space="preserve"> are the cheapest source of finance but may be insufficient for large-scale expansion.</w:t>
      </w:r>
      <w:r w:rsidRPr="007E0F23">
        <w:rPr>
          <w:sz w:val="24"/>
          <w:szCs w:val="24"/>
          <w:lang w:val="en-IN"/>
        </w:rPr>
        <w:br/>
      </w:r>
      <w:r w:rsidRPr="007E0F23">
        <w:rPr>
          <w:b/>
          <w:bCs/>
          <w:sz w:val="24"/>
          <w:szCs w:val="24"/>
          <w:lang w:val="en-IN"/>
        </w:rPr>
        <w:t>Debt finance</w:t>
      </w:r>
      <w:r w:rsidRPr="007E0F23">
        <w:rPr>
          <w:sz w:val="24"/>
          <w:szCs w:val="24"/>
          <w:lang w:val="en-IN"/>
        </w:rPr>
        <w:t xml:space="preserve"> offers tax advantages due to interest deductibility but increases financial risk and gearing.</w:t>
      </w:r>
      <w:r w:rsidRPr="007E0F23">
        <w:rPr>
          <w:sz w:val="24"/>
          <w:szCs w:val="24"/>
          <w:lang w:val="en-IN"/>
        </w:rPr>
        <w:br/>
      </w:r>
      <w:r w:rsidRPr="007E0F23">
        <w:rPr>
          <w:b/>
          <w:bCs/>
          <w:sz w:val="24"/>
          <w:szCs w:val="24"/>
          <w:lang w:val="en-IN"/>
        </w:rPr>
        <w:t>Equity finance</w:t>
      </w:r>
      <w:r w:rsidRPr="007E0F23">
        <w:rPr>
          <w:sz w:val="24"/>
          <w:szCs w:val="24"/>
          <w:lang w:val="en-IN"/>
        </w:rPr>
        <w:t xml:space="preserve"> avoids fixed repayment obligations but dilutes existing shareholder ownership.</w:t>
      </w:r>
    </w:p>
    <w:p w14:paraId="12A782E4" w14:textId="3F7B0F88" w:rsidR="007E0F23" w:rsidRPr="007E0F23" w:rsidRDefault="007E0F23" w:rsidP="007E0F23">
      <w:pPr>
        <w:rPr>
          <w:sz w:val="24"/>
          <w:szCs w:val="24"/>
          <w:lang w:val="en-IN"/>
        </w:rPr>
      </w:pPr>
      <w:r w:rsidRPr="007E0F23">
        <w:rPr>
          <w:sz w:val="24"/>
          <w:szCs w:val="24"/>
          <w:lang w:val="en-IN"/>
        </w:rPr>
        <w:t>A balanced financing strategy combining retained earnings and moderate debt is recommended to minimise cost of capital while maintaining financial flexibility.</w:t>
      </w:r>
    </w:p>
    <w:p w14:paraId="5AD5C071" w14:textId="40BBA824" w:rsidR="007E0F23" w:rsidRDefault="007E0F23" w:rsidP="007E0F23">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t xml:space="preserve">8. </w:t>
      </w:r>
      <w:r w:rsidRPr="007E0F23">
        <w:rPr>
          <w:rFonts w:asciiTheme="majorHAnsi" w:eastAsiaTheme="majorEastAsia" w:hAnsiTheme="majorHAnsi" w:cstheme="majorBidi"/>
          <w:b/>
          <w:bCs/>
          <w:color w:val="365F91" w:themeColor="accent1" w:themeShade="BF"/>
          <w:sz w:val="28"/>
          <w:szCs w:val="28"/>
        </w:rPr>
        <w:t>Conclusion</w:t>
      </w:r>
      <w:r w:rsidR="00C67828">
        <w:rPr>
          <w:rFonts w:asciiTheme="majorHAnsi" w:eastAsiaTheme="majorEastAsia" w:hAnsiTheme="majorHAnsi" w:cstheme="majorBidi"/>
          <w:b/>
          <w:bCs/>
          <w:color w:val="365F91" w:themeColor="accent1" w:themeShade="BF"/>
          <w:sz w:val="28"/>
          <w:szCs w:val="28"/>
        </w:rPr>
        <w:t xml:space="preserve"> of Task 2</w:t>
      </w:r>
    </w:p>
    <w:p w14:paraId="4C450238" w14:textId="77777777" w:rsidR="007E0F23" w:rsidRPr="007E0F23" w:rsidRDefault="007E0F23" w:rsidP="007E0F23">
      <w:pPr>
        <w:rPr>
          <w:sz w:val="24"/>
          <w:szCs w:val="24"/>
          <w:lang w:val="en-IN"/>
        </w:rPr>
      </w:pPr>
      <w:r w:rsidRPr="007E0F23">
        <w:rPr>
          <w:sz w:val="24"/>
          <w:szCs w:val="24"/>
          <w:lang w:val="en-IN"/>
        </w:rPr>
        <w:t>This report has evaluated three proposed investment options for Westward Plc using NPV and IRR techniques. The analysis demonstrates that Option B, the development of internet sales, offers the strongest financial performance and strategic alignment. When capital constraints are considered, a combination of Options A and B provides the optimal investment policy.</w:t>
      </w:r>
    </w:p>
    <w:p w14:paraId="0E72F9AF" w14:textId="77777777" w:rsidR="007E0F23" w:rsidRPr="007E0F23" w:rsidRDefault="007E0F23" w:rsidP="007E0F23">
      <w:pPr>
        <w:rPr>
          <w:sz w:val="24"/>
          <w:szCs w:val="24"/>
          <w:lang w:val="en-IN"/>
        </w:rPr>
      </w:pPr>
      <w:r w:rsidRPr="007E0F23">
        <w:rPr>
          <w:sz w:val="24"/>
          <w:szCs w:val="24"/>
          <w:lang w:val="en-IN"/>
        </w:rPr>
        <w:t>Overall, the findings support the use of NPV as the primary decision-making tool, supplemented by IRR and strategic judgement. By adopting a disciplined and theory-based approach to investment appraisal, Westward Plc can enhance shareholder value and support sustainable long-term growth.</w:t>
      </w:r>
    </w:p>
    <w:p w14:paraId="25ABBF63" w14:textId="77777777" w:rsidR="007E0F23" w:rsidRDefault="007E0F23" w:rsidP="00DE0657">
      <w:pPr>
        <w:rPr>
          <w:rFonts w:asciiTheme="majorHAnsi" w:eastAsiaTheme="majorEastAsia" w:hAnsiTheme="majorHAnsi" w:cstheme="majorBidi"/>
          <w:b/>
          <w:bCs/>
          <w:color w:val="365F91" w:themeColor="accent1" w:themeShade="BF"/>
          <w:sz w:val="28"/>
          <w:szCs w:val="28"/>
        </w:rPr>
      </w:pPr>
    </w:p>
    <w:p w14:paraId="11218C7E" w14:textId="2B38AD58" w:rsidR="00DE0657" w:rsidRDefault="007E0F23" w:rsidP="00DE0657">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r w:rsidR="00DE0657" w:rsidRPr="00DE0657">
        <w:rPr>
          <w:rFonts w:asciiTheme="majorHAnsi" w:eastAsiaTheme="majorEastAsia" w:hAnsiTheme="majorHAnsi" w:cstheme="majorBidi"/>
          <w:b/>
          <w:bCs/>
          <w:color w:val="365F91" w:themeColor="accent1" w:themeShade="BF"/>
          <w:sz w:val="28"/>
          <w:szCs w:val="28"/>
        </w:rPr>
        <w:lastRenderedPageBreak/>
        <w:t>Conclusion</w:t>
      </w:r>
    </w:p>
    <w:p w14:paraId="0FFCEEE1" w14:textId="6B5A3E0A" w:rsidR="00F70DB6" w:rsidRPr="00F70DB6" w:rsidRDefault="00F70DB6" w:rsidP="00F70DB6">
      <w:pPr>
        <w:rPr>
          <w:sz w:val="24"/>
          <w:szCs w:val="24"/>
          <w:lang w:val="en-IN"/>
        </w:rPr>
      </w:pPr>
      <w:r w:rsidRPr="00F70DB6">
        <w:rPr>
          <w:sz w:val="24"/>
          <w:szCs w:val="24"/>
          <w:lang w:val="en-IN"/>
        </w:rPr>
        <w:t>This report has critically evaluated financial performance and investment decision-making using established financial management techniques, in line with the requirements of the 25–26 FBM Assignment Specification. The analysis was divided into two key components: an evaluation of historical financial performance using ratio analysis (Task 1) and an appraisal of proposed investment opportunities using discounted cash flow techniques (Task 2). Together, these analyses provide a comprehensive assessment of how financial information supports strategic and operational decision-making within organisations.</w:t>
      </w:r>
    </w:p>
    <w:p w14:paraId="3A0E1D7E" w14:textId="000B083D" w:rsidR="00F70DB6" w:rsidRPr="00F70DB6" w:rsidRDefault="00F70DB6" w:rsidP="00F70DB6">
      <w:pPr>
        <w:rPr>
          <w:sz w:val="24"/>
          <w:szCs w:val="24"/>
          <w:lang w:val="en-IN"/>
        </w:rPr>
      </w:pPr>
      <w:r w:rsidRPr="00F70DB6">
        <w:rPr>
          <w:sz w:val="24"/>
          <w:szCs w:val="24"/>
          <w:lang w:val="en-IN"/>
        </w:rPr>
        <w:t>Task 1 focused on analysing the financial performance of Unilever Plc, a FTSE 100 listed company, through profitability, liquidity, efficiency, gearing, and investor ratios over two consecutive years. The findings demonstrate that Unilever remains a financially strong and stable organisation, benefiting from its global brand portfolio, economies of scale, and diversified revenue streams. Profitability ratios indicate consistent operating performance, suggesting effective cost control and pricing strategies despite inflationary pressures and volatile input costs. This reflects the company’s ability to leverage brand strength while maintaining competitive positioning in highly contested FMCG markets.</w:t>
      </w:r>
    </w:p>
    <w:p w14:paraId="4FFF004B" w14:textId="4247B05A" w:rsidR="00F70DB6" w:rsidRPr="00F70DB6" w:rsidRDefault="00F70DB6" w:rsidP="00F70DB6">
      <w:pPr>
        <w:rPr>
          <w:sz w:val="24"/>
          <w:szCs w:val="24"/>
          <w:lang w:val="en-IN"/>
        </w:rPr>
      </w:pPr>
      <w:r w:rsidRPr="00F70DB6">
        <w:rPr>
          <w:sz w:val="24"/>
          <w:szCs w:val="24"/>
          <w:lang w:val="en-IN"/>
        </w:rPr>
        <w:t>Liquidity analysis suggests that Unilever maintains adequate short-term solvency, ensuring its ability to meet current obligations as they fall due. However, liquidity levels must be carefully managed to avoid excessive working capital lock-up, particularly given rising inventory and receivables risks in uncertain economic conditions. Efficiency ratios reveal the importance of effective inventory management and receivables control, especially for multinational organisations operating complex supply chains. Any deterioration in efficiency may signal operational inefficiencies or weakening demand conditions, reinforcing the need for continuous monitoring.</w:t>
      </w:r>
    </w:p>
    <w:p w14:paraId="04BB0AA7" w14:textId="77777777" w:rsidR="00F70DB6" w:rsidRPr="00F70DB6" w:rsidRDefault="00F70DB6" w:rsidP="00F70DB6">
      <w:pPr>
        <w:rPr>
          <w:sz w:val="24"/>
          <w:szCs w:val="24"/>
          <w:lang w:val="en-IN"/>
        </w:rPr>
      </w:pPr>
      <w:r w:rsidRPr="00F70DB6">
        <w:rPr>
          <w:sz w:val="24"/>
          <w:szCs w:val="24"/>
          <w:lang w:val="en-IN"/>
        </w:rPr>
        <w:t>Gearing and investor ratios highlight the balance Unilever must maintain between financial leverage and shareholder expectations. While moderate gearing can enhance returns through tax advantages and lower cost of capital, excessive reliance on debt increases financial risk and vulnerability to interest rate fluctuations. Investor ratios, including earnings per share and dividend yield, demonstrate Unilever’s commitment to shareholder value, although such metrics remain sensitive to market sentiment and macroeconomic uncertainty. Importantly, this analysis confirms that ratio analysis, while valuable, has inherent limitations. Ratios rely on historical data, are influenced by accounting policies, and must be interpreted in context rather than in isolation. As such, financial analysis should support, not replace, managerial judgement.</w:t>
      </w:r>
    </w:p>
    <w:p w14:paraId="16944E23" w14:textId="77777777" w:rsidR="00F70DB6" w:rsidRPr="00F70DB6" w:rsidRDefault="00F70DB6" w:rsidP="00F70DB6">
      <w:pPr>
        <w:rPr>
          <w:sz w:val="24"/>
          <w:szCs w:val="24"/>
          <w:lang w:val="en-IN"/>
        </w:rPr>
      </w:pPr>
    </w:p>
    <w:p w14:paraId="0383DD60" w14:textId="53453C45" w:rsidR="00F70DB6" w:rsidRPr="00F70DB6" w:rsidRDefault="00F70DB6" w:rsidP="00F70DB6">
      <w:pPr>
        <w:rPr>
          <w:sz w:val="24"/>
          <w:szCs w:val="24"/>
          <w:lang w:val="en-IN"/>
        </w:rPr>
      </w:pPr>
      <w:r w:rsidRPr="00F70DB6">
        <w:rPr>
          <w:sz w:val="24"/>
          <w:szCs w:val="24"/>
          <w:lang w:val="en-IN"/>
        </w:rPr>
        <w:lastRenderedPageBreak/>
        <w:t>Task 2 evaluated three proposed investment options for Westward Plc using Net Present Value (NPV) and Internal Rate of Return (IRR) techniques. The analysis clearly demonstrates that Option C generates the highest NPV and therefore offers the greatest potential to increase shareholder wealth. NPV was identified as the most appropriate investment appraisal method due to its consideration of the time value of money, risk-adjusted discounting, and direct link to value creation. The IRR calculation further supports this recommendation by indicating that Option C delivers returns exceeding the firm’s cost of capital.</w:t>
      </w:r>
    </w:p>
    <w:p w14:paraId="782919E6" w14:textId="222606CC" w:rsidR="00F70DB6" w:rsidRPr="00F70DB6" w:rsidRDefault="00F70DB6" w:rsidP="00F70DB6">
      <w:pPr>
        <w:rPr>
          <w:sz w:val="24"/>
          <w:szCs w:val="24"/>
          <w:lang w:val="en-IN"/>
        </w:rPr>
      </w:pPr>
      <w:r w:rsidRPr="00F70DB6">
        <w:rPr>
          <w:sz w:val="24"/>
          <w:szCs w:val="24"/>
          <w:lang w:val="en-IN"/>
        </w:rPr>
        <w:t>The report also critically examined the continued popularity of non-discounting investment appraisal methods, such as payback period and accounting rate of return. Despite their theoretical weaknesses, these methods remain attractive to decision-makers due to their simplicity, focus on liquidity, and ease of communication. This highlights the behavioural and practical dimensions of financial decision-making, where managers often balance theoretical rigour with operational constraints.</w:t>
      </w:r>
    </w:p>
    <w:p w14:paraId="5E3EBB0C" w14:textId="27DF90E2" w:rsidR="00F70DB6" w:rsidRPr="00F70DB6" w:rsidRDefault="00F70DB6" w:rsidP="00F70DB6">
      <w:pPr>
        <w:rPr>
          <w:sz w:val="24"/>
          <w:szCs w:val="24"/>
          <w:lang w:val="en-IN"/>
        </w:rPr>
      </w:pPr>
      <w:r w:rsidRPr="00F70DB6">
        <w:rPr>
          <w:sz w:val="24"/>
          <w:szCs w:val="24"/>
          <w:lang w:val="en-IN"/>
        </w:rPr>
        <w:t>Capital rationing analysis further emphasised the importance of prioritising investments when funds are limited. By selecting projects that maximise total NPV within budget constraints, organisations can allocate scarce resources more efficiently. The evaluation also acknowledged that financial metrics alone are insufficient for investment decisions. Strategic alignment, operational capability, market demand, competitive response, and risk exposure must also be considered to ensure long-term success.</w:t>
      </w:r>
    </w:p>
    <w:p w14:paraId="66C333A4" w14:textId="46C60099" w:rsidR="00F70DB6" w:rsidRDefault="00F70DB6" w:rsidP="00DE0657">
      <w:pPr>
        <w:rPr>
          <w:rFonts w:asciiTheme="majorHAnsi" w:eastAsiaTheme="majorEastAsia" w:hAnsiTheme="majorHAnsi" w:cstheme="majorBidi"/>
          <w:b/>
          <w:bCs/>
          <w:color w:val="365F91" w:themeColor="accent1" w:themeShade="BF"/>
          <w:sz w:val="28"/>
          <w:szCs w:val="28"/>
        </w:rPr>
      </w:pPr>
      <w:r w:rsidRPr="00F70DB6">
        <w:rPr>
          <w:sz w:val="24"/>
          <w:szCs w:val="24"/>
          <w:lang w:val="en-IN"/>
        </w:rPr>
        <w:t>Overall, this report demonstrates that effective financial management requires an integrated approach combining performance evaluation, investment appraisal, and strategic judgement. Organisations that systematically analyse financial data, understand its limitations, and align decisions with long-term objectives are better positioned to manage risk, sustain competitiveness, and create shareholder value. Both Task 1 and Task 2 reinforce the conclusion that financial analysis is not merely a technical exercise but a critical strategic tool supporting informed decision-making in complex and dynamic business environments.</w:t>
      </w:r>
      <w:r w:rsidRPr="00F70DB6">
        <w:rPr>
          <w:rFonts w:asciiTheme="majorHAnsi" w:eastAsiaTheme="majorEastAsia" w:hAnsiTheme="majorHAnsi" w:cstheme="majorBidi"/>
          <w:b/>
          <w:bCs/>
          <w:color w:val="365F91" w:themeColor="accent1" w:themeShade="BF"/>
          <w:sz w:val="24"/>
          <w:szCs w:val="24"/>
          <w:lang w:val="en-IN"/>
        </w:rPr>
        <w:t xml:space="preserve"> </w:t>
      </w:r>
      <w:r>
        <w:rPr>
          <w:rFonts w:asciiTheme="majorHAnsi" w:eastAsiaTheme="majorEastAsia" w:hAnsiTheme="majorHAnsi" w:cstheme="majorBidi"/>
          <w:b/>
          <w:bCs/>
          <w:color w:val="365F91" w:themeColor="accent1" w:themeShade="BF"/>
          <w:sz w:val="28"/>
          <w:szCs w:val="28"/>
        </w:rPr>
        <w:br w:type="page"/>
      </w:r>
    </w:p>
    <w:p w14:paraId="79217834" w14:textId="36AD44C8" w:rsidR="004E67F7" w:rsidRDefault="00DE0657" w:rsidP="00DE0657">
      <w:pPr>
        <w:rPr>
          <w:rFonts w:asciiTheme="majorHAnsi" w:eastAsiaTheme="majorEastAsia" w:hAnsiTheme="majorHAnsi" w:cstheme="majorBidi"/>
          <w:b/>
          <w:bCs/>
          <w:color w:val="365F91" w:themeColor="accent1" w:themeShade="BF"/>
          <w:sz w:val="28"/>
          <w:szCs w:val="28"/>
        </w:rPr>
      </w:pPr>
      <w:r w:rsidRPr="00DE0657">
        <w:rPr>
          <w:rFonts w:asciiTheme="majorHAnsi" w:eastAsiaTheme="majorEastAsia" w:hAnsiTheme="majorHAnsi" w:cstheme="majorBidi"/>
          <w:b/>
          <w:bCs/>
          <w:color w:val="365F91" w:themeColor="accent1" w:themeShade="BF"/>
          <w:sz w:val="28"/>
          <w:szCs w:val="28"/>
        </w:rPr>
        <w:lastRenderedPageBreak/>
        <w:t>Recommendations</w:t>
      </w:r>
    </w:p>
    <w:p w14:paraId="578F2415" w14:textId="77777777" w:rsidR="00F70DB6" w:rsidRPr="00F70DB6" w:rsidRDefault="00F70DB6" w:rsidP="00F70DB6">
      <w:pPr>
        <w:rPr>
          <w:sz w:val="24"/>
          <w:szCs w:val="24"/>
          <w:lang w:val="en-IN"/>
        </w:rPr>
      </w:pPr>
      <w:r w:rsidRPr="00F70DB6">
        <w:rPr>
          <w:sz w:val="24"/>
          <w:szCs w:val="24"/>
          <w:lang w:val="en-IN"/>
        </w:rPr>
        <w:t>Based on the findings from Task 1 and Task 2, the following recommendations are proposed to enhance financial management effectiveness, improve decision-making quality, and support sustainable organisational performance.</w:t>
      </w:r>
    </w:p>
    <w:p w14:paraId="29681531" w14:textId="77777777" w:rsidR="00F70DB6" w:rsidRPr="00F70DB6" w:rsidRDefault="00F70DB6" w:rsidP="00F70DB6">
      <w:pPr>
        <w:rPr>
          <w:b/>
          <w:bCs/>
          <w:sz w:val="24"/>
          <w:szCs w:val="24"/>
          <w:lang w:val="en-IN"/>
        </w:rPr>
      </w:pPr>
      <w:r w:rsidRPr="00F70DB6">
        <w:rPr>
          <w:b/>
          <w:bCs/>
          <w:sz w:val="24"/>
          <w:szCs w:val="24"/>
          <w:lang w:val="en-IN"/>
        </w:rPr>
        <w:t>1. Strengthen Financial Performance Monitoring and Control</w:t>
      </w:r>
    </w:p>
    <w:p w14:paraId="1901D14B" w14:textId="77777777" w:rsidR="00F70DB6" w:rsidRPr="00F70DB6" w:rsidRDefault="00F70DB6" w:rsidP="00F70DB6">
      <w:pPr>
        <w:rPr>
          <w:sz w:val="24"/>
          <w:szCs w:val="24"/>
          <w:lang w:val="en-IN"/>
        </w:rPr>
      </w:pPr>
      <w:r w:rsidRPr="00F70DB6">
        <w:rPr>
          <w:sz w:val="24"/>
          <w:szCs w:val="24"/>
          <w:lang w:val="en-IN"/>
        </w:rPr>
        <w:t>Unilever should continue to enhance its financial performance monitoring systems by integrating ratio analysis with forward-looking financial forecasting. While historical ratios provide valuable insights into past performance, they should be complemented by scenario analysis and sensitivity testing to assess future risks. This would enable management to respond proactively to inflationary pressures, currency volatility, and changes in consumer demand.</w:t>
      </w:r>
    </w:p>
    <w:p w14:paraId="75C6F193" w14:textId="77777777" w:rsidR="00F70DB6" w:rsidRPr="00F70DB6" w:rsidRDefault="00F70DB6" w:rsidP="00F70DB6">
      <w:pPr>
        <w:rPr>
          <w:b/>
          <w:bCs/>
          <w:sz w:val="24"/>
          <w:szCs w:val="24"/>
          <w:lang w:val="en-IN"/>
        </w:rPr>
      </w:pPr>
      <w:r w:rsidRPr="00F70DB6">
        <w:rPr>
          <w:b/>
          <w:bCs/>
          <w:sz w:val="24"/>
          <w:szCs w:val="24"/>
          <w:lang w:val="en-IN"/>
        </w:rPr>
        <w:t>2. Improve Working Capital Management</w:t>
      </w:r>
    </w:p>
    <w:p w14:paraId="6C2E919B" w14:textId="77777777" w:rsidR="00F70DB6" w:rsidRPr="00F70DB6" w:rsidRDefault="00F70DB6" w:rsidP="00F70DB6">
      <w:pPr>
        <w:rPr>
          <w:sz w:val="24"/>
          <w:szCs w:val="24"/>
          <w:lang w:val="en-IN"/>
        </w:rPr>
      </w:pPr>
      <w:r w:rsidRPr="00F70DB6">
        <w:rPr>
          <w:sz w:val="24"/>
          <w:szCs w:val="24"/>
          <w:lang w:val="en-IN"/>
        </w:rPr>
        <w:t>Improved control over inventory, receivables, and payables is essential to strengthen liquidity and cash flow resilience. Unilever should adopt advanced inventory management systems and predictive analytics to reduce excess stock while maintaining service levels. Tighter credit control policies and enhanced receivables monitoring would further support cash flow stability without damaging customer relationships.</w:t>
      </w:r>
    </w:p>
    <w:p w14:paraId="5194D53A" w14:textId="77777777" w:rsidR="00F70DB6" w:rsidRPr="00F70DB6" w:rsidRDefault="00F70DB6" w:rsidP="00F70DB6">
      <w:pPr>
        <w:rPr>
          <w:b/>
          <w:bCs/>
          <w:sz w:val="24"/>
          <w:szCs w:val="24"/>
          <w:lang w:val="en-IN"/>
        </w:rPr>
      </w:pPr>
      <w:r w:rsidRPr="00F70DB6">
        <w:rPr>
          <w:b/>
          <w:bCs/>
          <w:sz w:val="24"/>
          <w:szCs w:val="24"/>
          <w:lang w:val="en-IN"/>
        </w:rPr>
        <w:t>3. Maintain an Optimal Capital Structure</w:t>
      </w:r>
    </w:p>
    <w:p w14:paraId="55C4FDE4" w14:textId="77777777" w:rsidR="00F70DB6" w:rsidRPr="00F70DB6" w:rsidRDefault="00F70DB6" w:rsidP="00F70DB6">
      <w:pPr>
        <w:rPr>
          <w:sz w:val="24"/>
          <w:szCs w:val="24"/>
          <w:lang w:val="en-IN"/>
        </w:rPr>
      </w:pPr>
      <w:r w:rsidRPr="00F70DB6">
        <w:rPr>
          <w:sz w:val="24"/>
          <w:szCs w:val="24"/>
          <w:lang w:val="en-IN"/>
        </w:rPr>
        <w:t>Unilever should continue to manage its gearing levels carefully to balance risk and return. While debt financing can lower the weighted average cost of capital, excessive leverage exposes the organisation to interest rate risk and financial distress. Regular stress testing of debt servicing capacity should be undertaken to ensure long-term financial sustainability.</w:t>
      </w:r>
    </w:p>
    <w:p w14:paraId="014CFC48" w14:textId="77777777" w:rsidR="00F70DB6" w:rsidRPr="00F70DB6" w:rsidRDefault="00F70DB6" w:rsidP="00F70DB6">
      <w:pPr>
        <w:rPr>
          <w:b/>
          <w:bCs/>
          <w:sz w:val="24"/>
          <w:szCs w:val="24"/>
          <w:lang w:val="en-IN"/>
        </w:rPr>
      </w:pPr>
      <w:r w:rsidRPr="00F70DB6">
        <w:rPr>
          <w:b/>
          <w:bCs/>
          <w:sz w:val="24"/>
          <w:szCs w:val="24"/>
          <w:lang w:val="en-IN"/>
        </w:rPr>
        <w:t>4. Enhance Transparency for Investors</w:t>
      </w:r>
    </w:p>
    <w:p w14:paraId="01771194" w14:textId="77777777" w:rsidR="00F70DB6" w:rsidRPr="00F70DB6" w:rsidRDefault="00F70DB6" w:rsidP="00F70DB6">
      <w:pPr>
        <w:rPr>
          <w:sz w:val="24"/>
          <w:szCs w:val="24"/>
          <w:lang w:val="en-IN"/>
        </w:rPr>
      </w:pPr>
      <w:r w:rsidRPr="00F70DB6">
        <w:rPr>
          <w:sz w:val="24"/>
          <w:szCs w:val="24"/>
          <w:lang w:val="en-IN"/>
        </w:rPr>
        <w:t>Clear and consistent financial communication is critical to maintaining investor confidence. Unilever should continue to provide transparent disclosures regarding performance drivers, risk management, and sustainability initiatives. This supports informed investment decisions and strengthens market credibility.</w:t>
      </w:r>
    </w:p>
    <w:p w14:paraId="4FEA0FD1" w14:textId="77777777" w:rsidR="00F70DB6" w:rsidRPr="00F70DB6" w:rsidRDefault="00F70DB6" w:rsidP="00F70DB6">
      <w:pPr>
        <w:rPr>
          <w:b/>
          <w:bCs/>
          <w:sz w:val="24"/>
          <w:szCs w:val="24"/>
          <w:lang w:val="en-IN"/>
        </w:rPr>
      </w:pPr>
      <w:r w:rsidRPr="00F70DB6">
        <w:rPr>
          <w:b/>
          <w:bCs/>
          <w:sz w:val="24"/>
          <w:szCs w:val="24"/>
          <w:lang w:val="en-IN"/>
        </w:rPr>
        <w:t>5. Adopt NPV as the Primary Investment Appraisal Tool</w:t>
      </w:r>
    </w:p>
    <w:p w14:paraId="616D9AFA" w14:textId="77777777" w:rsidR="00F70DB6" w:rsidRPr="00F70DB6" w:rsidRDefault="00F70DB6" w:rsidP="00F70DB6">
      <w:pPr>
        <w:rPr>
          <w:sz w:val="24"/>
          <w:szCs w:val="24"/>
          <w:lang w:val="en-IN"/>
        </w:rPr>
      </w:pPr>
      <w:r w:rsidRPr="00F70DB6">
        <w:rPr>
          <w:sz w:val="24"/>
          <w:szCs w:val="24"/>
          <w:lang w:val="en-IN"/>
        </w:rPr>
        <w:t>For capital investment decisions, organisations such as Westward Plc should prioritise NPV as the principal appraisal method. NPV directly measures value creation and aligns decision-making with shareholder wealth maximisation. IRR should be used as a supporting metric rather than a substitute for NPV.</w:t>
      </w:r>
    </w:p>
    <w:p w14:paraId="44DF5671" w14:textId="77777777" w:rsidR="00F70DB6" w:rsidRPr="00F70DB6" w:rsidRDefault="00F70DB6" w:rsidP="00F70DB6">
      <w:pPr>
        <w:rPr>
          <w:b/>
          <w:bCs/>
          <w:sz w:val="24"/>
          <w:szCs w:val="24"/>
          <w:lang w:val="en-IN"/>
        </w:rPr>
      </w:pPr>
      <w:r w:rsidRPr="00F70DB6">
        <w:rPr>
          <w:b/>
          <w:bCs/>
          <w:sz w:val="24"/>
          <w:szCs w:val="24"/>
          <w:lang w:val="en-IN"/>
        </w:rPr>
        <w:lastRenderedPageBreak/>
        <w:t>6. Retain Non-Discounting Methods as Supplementary Tools</w:t>
      </w:r>
    </w:p>
    <w:p w14:paraId="4703FCED" w14:textId="77777777" w:rsidR="00F70DB6" w:rsidRPr="00F70DB6" w:rsidRDefault="00F70DB6" w:rsidP="00F70DB6">
      <w:pPr>
        <w:rPr>
          <w:sz w:val="24"/>
          <w:szCs w:val="24"/>
          <w:lang w:val="en-IN"/>
        </w:rPr>
      </w:pPr>
      <w:r w:rsidRPr="00F70DB6">
        <w:rPr>
          <w:sz w:val="24"/>
          <w:szCs w:val="24"/>
          <w:lang w:val="en-IN"/>
        </w:rPr>
        <w:t>Although theoretically inferior, non-discounting methods such as payback period should not be discarded entirely. These methods provide useful insights into liquidity risk and capital recovery speed, particularly in uncertain environments. Used alongside NPV, they enhance decision-maker confidence.</w:t>
      </w:r>
    </w:p>
    <w:p w14:paraId="7F0ADBB2" w14:textId="77777777" w:rsidR="00F70DB6" w:rsidRPr="00F70DB6" w:rsidRDefault="00F70DB6" w:rsidP="00F70DB6">
      <w:pPr>
        <w:rPr>
          <w:b/>
          <w:bCs/>
          <w:sz w:val="24"/>
          <w:szCs w:val="24"/>
          <w:lang w:val="en-IN"/>
        </w:rPr>
      </w:pPr>
      <w:r w:rsidRPr="00F70DB6">
        <w:rPr>
          <w:b/>
          <w:bCs/>
          <w:sz w:val="24"/>
          <w:szCs w:val="24"/>
          <w:lang w:val="en-IN"/>
        </w:rPr>
        <w:t>7. Consider Strategic and Non-Financial Factors</w:t>
      </w:r>
    </w:p>
    <w:p w14:paraId="5E9B466E" w14:textId="77777777" w:rsidR="00F70DB6" w:rsidRPr="00F70DB6" w:rsidRDefault="00F70DB6" w:rsidP="00F70DB6">
      <w:pPr>
        <w:rPr>
          <w:sz w:val="24"/>
          <w:szCs w:val="24"/>
          <w:lang w:val="en-IN"/>
        </w:rPr>
      </w:pPr>
      <w:r w:rsidRPr="00F70DB6">
        <w:rPr>
          <w:sz w:val="24"/>
          <w:szCs w:val="24"/>
          <w:lang w:val="en-IN"/>
        </w:rPr>
        <w:t>Before undertaking major investments, management should evaluate strategic fit, operational capability, market demand, regulatory constraints, and environmental impact. Financial viability does not guarantee strategic success if implementation risks are overlooked.</w:t>
      </w:r>
    </w:p>
    <w:p w14:paraId="05E9D317" w14:textId="77777777" w:rsidR="00F70DB6" w:rsidRPr="00F70DB6" w:rsidRDefault="00F70DB6" w:rsidP="00F70DB6">
      <w:pPr>
        <w:rPr>
          <w:b/>
          <w:bCs/>
          <w:sz w:val="24"/>
          <w:szCs w:val="24"/>
          <w:lang w:val="en-IN"/>
        </w:rPr>
      </w:pPr>
      <w:r w:rsidRPr="00F70DB6">
        <w:rPr>
          <w:b/>
          <w:bCs/>
          <w:sz w:val="24"/>
          <w:szCs w:val="24"/>
          <w:lang w:val="en-IN"/>
        </w:rPr>
        <w:t>8. Adopt a Balanced Financing Strategy</w:t>
      </w:r>
    </w:p>
    <w:p w14:paraId="7653C6C2" w14:textId="77777777" w:rsidR="00F70DB6" w:rsidRPr="00F70DB6" w:rsidRDefault="00F70DB6" w:rsidP="00F70DB6">
      <w:pPr>
        <w:rPr>
          <w:sz w:val="24"/>
          <w:szCs w:val="24"/>
          <w:lang w:val="en-IN"/>
        </w:rPr>
      </w:pPr>
      <w:r w:rsidRPr="00F70DB6">
        <w:rPr>
          <w:sz w:val="24"/>
          <w:szCs w:val="24"/>
          <w:lang w:val="en-IN"/>
        </w:rPr>
        <w:t>For funding large-scale investment programmes, organisations should adopt a balanced mix of retained earnings, long-term debt, and equity financing. Retained earnings minimise financing costs, while debt offers tax advantages. Equity financing should be used selectively to avoid dilution of shareholder value.</w:t>
      </w:r>
    </w:p>
    <w:p w14:paraId="06FD0388" w14:textId="77777777" w:rsidR="00F70DB6" w:rsidRPr="00F70DB6" w:rsidRDefault="00F70DB6" w:rsidP="00F70DB6">
      <w:pPr>
        <w:rPr>
          <w:b/>
          <w:bCs/>
          <w:sz w:val="24"/>
          <w:szCs w:val="24"/>
          <w:lang w:val="en-IN"/>
        </w:rPr>
      </w:pPr>
      <w:r w:rsidRPr="00F70DB6">
        <w:rPr>
          <w:b/>
          <w:bCs/>
          <w:sz w:val="24"/>
          <w:szCs w:val="24"/>
          <w:lang w:val="en-IN"/>
        </w:rPr>
        <w:t>9. Embed Financial Literacy at Management Level</w:t>
      </w:r>
    </w:p>
    <w:p w14:paraId="337D200B" w14:textId="77777777" w:rsidR="00F70DB6" w:rsidRPr="00F70DB6" w:rsidRDefault="00F70DB6" w:rsidP="00F70DB6">
      <w:pPr>
        <w:rPr>
          <w:sz w:val="24"/>
          <w:szCs w:val="24"/>
          <w:lang w:val="en-IN"/>
        </w:rPr>
      </w:pPr>
      <w:r w:rsidRPr="00F70DB6">
        <w:rPr>
          <w:sz w:val="24"/>
          <w:szCs w:val="24"/>
          <w:lang w:val="en-IN"/>
        </w:rPr>
        <w:t>Organisations should invest in financial training for non-financial managers to improve interpretation of financial data and support evidence-based decision-making. This reduces reliance on intuition and enhances accountability.</w:t>
      </w:r>
    </w:p>
    <w:p w14:paraId="62432335" w14:textId="77777777" w:rsidR="00F70DB6" w:rsidRPr="00F70DB6" w:rsidRDefault="00F70DB6" w:rsidP="00F70DB6">
      <w:pPr>
        <w:rPr>
          <w:b/>
          <w:bCs/>
          <w:sz w:val="24"/>
          <w:szCs w:val="24"/>
          <w:lang w:val="en-IN"/>
        </w:rPr>
      </w:pPr>
      <w:r w:rsidRPr="00F70DB6">
        <w:rPr>
          <w:b/>
          <w:bCs/>
          <w:sz w:val="24"/>
          <w:szCs w:val="24"/>
          <w:lang w:val="en-IN"/>
        </w:rPr>
        <w:t>10. Integrate Financial Management with Strategic Planning</w:t>
      </w:r>
    </w:p>
    <w:p w14:paraId="44AA8098" w14:textId="77777777" w:rsidR="00F70DB6" w:rsidRPr="00F70DB6" w:rsidRDefault="00F70DB6" w:rsidP="00F70DB6">
      <w:pPr>
        <w:rPr>
          <w:sz w:val="24"/>
          <w:szCs w:val="24"/>
          <w:lang w:val="en-IN"/>
        </w:rPr>
      </w:pPr>
      <w:r w:rsidRPr="00F70DB6">
        <w:rPr>
          <w:sz w:val="24"/>
          <w:szCs w:val="24"/>
          <w:lang w:val="en-IN"/>
        </w:rPr>
        <w:t>Finally, financial analysis should be fully embedded within strategic planning processes. Linking financial performance metrics with strategic objectives ensures that decisions support long-term value creation rather than short-term performance optimisation.</w:t>
      </w:r>
    </w:p>
    <w:p w14:paraId="1A404F4B" w14:textId="47721474" w:rsidR="00F70DB6" w:rsidRDefault="00F70DB6" w:rsidP="00DE0657">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0DEA83D1" w14:textId="385EC882" w:rsidR="00D9123A" w:rsidRDefault="00D9123A" w:rsidP="00DE0657">
      <w:pPr>
        <w:rPr>
          <w:rFonts w:asciiTheme="majorHAnsi" w:eastAsiaTheme="majorEastAsia" w:hAnsiTheme="majorHAnsi" w:cstheme="majorBidi"/>
          <w:b/>
          <w:bCs/>
          <w:color w:val="365F91" w:themeColor="accent1" w:themeShade="BF"/>
          <w:sz w:val="28"/>
          <w:szCs w:val="28"/>
        </w:rPr>
      </w:pPr>
      <w:r w:rsidRPr="00D9123A">
        <w:rPr>
          <w:rFonts w:asciiTheme="majorHAnsi" w:eastAsiaTheme="majorEastAsia" w:hAnsiTheme="majorHAnsi" w:cstheme="majorBidi"/>
          <w:b/>
          <w:bCs/>
          <w:color w:val="365F91" w:themeColor="accent1" w:themeShade="BF"/>
          <w:sz w:val="28"/>
          <w:szCs w:val="28"/>
        </w:rPr>
        <w:lastRenderedPageBreak/>
        <w:t xml:space="preserve">Reference List </w:t>
      </w:r>
    </w:p>
    <w:p w14:paraId="6F4A49C8" w14:textId="77777777" w:rsidR="00F70DB6" w:rsidRPr="00F70DB6" w:rsidRDefault="00F70DB6" w:rsidP="00F70DB6">
      <w:pPr>
        <w:numPr>
          <w:ilvl w:val="0"/>
          <w:numId w:val="84"/>
        </w:numPr>
        <w:spacing w:after="0"/>
        <w:rPr>
          <w:sz w:val="24"/>
          <w:szCs w:val="24"/>
          <w:lang w:val="en-IN"/>
        </w:rPr>
      </w:pPr>
      <w:r w:rsidRPr="00F70DB6">
        <w:rPr>
          <w:sz w:val="24"/>
          <w:szCs w:val="24"/>
          <w:lang w:val="en-IN"/>
        </w:rPr>
        <w:t>Atrill, P. (2019) Financial Management for Decision Makers. 8th edn. Harlow: Pearson Education.</w:t>
      </w:r>
    </w:p>
    <w:p w14:paraId="0FFD66C9" w14:textId="77777777" w:rsidR="00F70DB6" w:rsidRPr="00F70DB6" w:rsidRDefault="00F70DB6" w:rsidP="00F70DB6">
      <w:pPr>
        <w:numPr>
          <w:ilvl w:val="0"/>
          <w:numId w:val="84"/>
        </w:numPr>
        <w:spacing w:after="0"/>
        <w:rPr>
          <w:sz w:val="24"/>
          <w:szCs w:val="24"/>
          <w:lang w:val="en-IN"/>
        </w:rPr>
      </w:pPr>
      <w:r w:rsidRPr="00F70DB6">
        <w:rPr>
          <w:sz w:val="24"/>
          <w:szCs w:val="24"/>
          <w:lang w:val="en-IN"/>
        </w:rPr>
        <w:t>Atrill, P. and McLaney, E. (2020) Accounting and Finance for Non-Specialists. 11th edn. Harlow: Pearson.</w:t>
      </w:r>
    </w:p>
    <w:p w14:paraId="075CDA81" w14:textId="77777777" w:rsidR="00F70DB6" w:rsidRPr="00F70DB6" w:rsidRDefault="00F70DB6" w:rsidP="00F70DB6">
      <w:pPr>
        <w:numPr>
          <w:ilvl w:val="0"/>
          <w:numId w:val="84"/>
        </w:numPr>
        <w:spacing w:after="0"/>
        <w:rPr>
          <w:sz w:val="24"/>
          <w:szCs w:val="24"/>
          <w:lang w:val="en-IN"/>
        </w:rPr>
      </w:pPr>
      <w:r w:rsidRPr="00F70DB6">
        <w:rPr>
          <w:sz w:val="24"/>
          <w:szCs w:val="24"/>
          <w:lang w:val="en-IN"/>
        </w:rPr>
        <w:t>Brealey, R.A., Myers, S.C. and Allen, F. (2020) Principles of Corporate Finance. 13th edn. New York: McGraw-Hill Education.</w:t>
      </w:r>
    </w:p>
    <w:p w14:paraId="10374428" w14:textId="77777777" w:rsidR="00F70DB6" w:rsidRPr="00F70DB6" w:rsidRDefault="00F70DB6" w:rsidP="00F70DB6">
      <w:pPr>
        <w:numPr>
          <w:ilvl w:val="0"/>
          <w:numId w:val="84"/>
        </w:numPr>
        <w:spacing w:after="0"/>
        <w:rPr>
          <w:sz w:val="24"/>
          <w:szCs w:val="24"/>
          <w:lang w:val="en-IN"/>
        </w:rPr>
      </w:pPr>
      <w:r w:rsidRPr="00F70DB6">
        <w:rPr>
          <w:sz w:val="24"/>
          <w:szCs w:val="24"/>
          <w:lang w:val="en-IN"/>
        </w:rPr>
        <w:t>Brigham, E.F. and Ehrhardt, M.C. (2021) Financial Management: Theory and Practice. 16th edn. Boston: Cengage Learning.</w:t>
      </w:r>
    </w:p>
    <w:p w14:paraId="333E7C56" w14:textId="77777777" w:rsidR="00F70DB6" w:rsidRPr="00F70DB6" w:rsidRDefault="00F70DB6" w:rsidP="00F70DB6">
      <w:pPr>
        <w:numPr>
          <w:ilvl w:val="0"/>
          <w:numId w:val="84"/>
        </w:numPr>
        <w:spacing w:after="0"/>
        <w:rPr>
          <w:sz w:val="24"/>
          <w:szCs w:val="24"/>
          <w:lang w:val="en-IN"/>
        </w:rPr>
      </w:pPr>
      <w:r w:rsidRPr="00F70DB6">
        <w:rPr>
          <w:sz w:val="24"/>
          <w:szCs w:val="24"/>
          <w:lang w:val="en-IN"/>
        </w:rPr>
        <w:t>Damodaran, A. (2022) Applied Corporate Finance. 5th edn. Hoboken: Wiley.</w:t>
      </w:r>
    </w:p>
    <w:p w14:paraId="7F34C5DB" w14:textId="77777777" w:rsidR="00F70DB6" w:rsidRPr="00F70DB6" w:rsidRDefault="00F70DB6" w:rsidP="00F70DB6">
      <w:pPr>
        <w:numPr>
          <w:ilvl w:val="0"/>
          <w:numId w:val="84"/>
        </w:numPr>
        <w:spacing w:after="0"/>
        <w:rPr>
          <w:sz w:val="24"/>
          <w:szCs w:val="24"/>
          <w:lang w:val="en-IN"/>
        </w:rPr>
      </w:pPr>
      <w:r w:rsidRPr="00F70DB6">
        <w:rPr>
          <w:sz w:val="24"/>
          <w:szCs w:val="24"/>
          <w:lang w:val="en-IN"/>
        </w:rPr>
        <w:t>Drury, C. (2020) Management and Cost Accounting. 10th edn. Andover: Cengage Learning.</w:t>
      </w:r>
    </w:p>
    <w:p w14:paraId="269761DD" w14:textId="77777777" w:rsidR="00F70DB6" w:rsidRPr="00F70DB6" w:rsidRDefault="00F70DB6" w:rsidP="00F70DB6">
      <w:pPr>
        <w:numPr>
          <w:ilvl w:val="0"/>
          <w:numId w:val="84"/>
        </w:numPr>
        <w:spacing w:after="0"/>
        <w:rPr>
          <w:sz w:val="24"/>
          <w:szCs w:val="24"/>
          <w:lang w:val="en-IN"/>
        </w:rPr>
      </w:pPr>
      <w:r w:rsidRPr="00F70DB6">
        <w:rPr>
          <w:sz w:val="24"/>
          <w:szCs w:val="24"/>
          <w:lang w:val="en-IN"/>
        </w:rPr>
        <w:t>Elliott, B. and Elliott, J. (2022) Financial Accounting and Reporting. 19th edn. Harlow: Pearson.</w:t>
      </w:r>
    </w:p>
    <w:p w14:paraId="18922624" w14:textId="77777777" w:rsidR="00F70DB6" w:rsidRPr="00F70DB6" w:rsidRDefault="00F70DB6" w:rsidP="00F70DB6">
      <w:pPr>
        <w:numPr>
          <w:ilvl w:val="0"/>
          <w:numId w:val="84"/>
        </w:numPr>
        <w:spacing w:after="0"/>
        <w:rPr>
          <w:sz w:val="24"/>
          <w:szCs w:val="24"/>
          <w:lang w:val="en-IN"/>
        </w:rPr>
      </w:pPr>
      <w:r w:rsidRPr="00F70DB6">
        <w:rPr>
          <w:sz w:val="24"/>
          <w:szCs w:val="24"/>
          <w:lang w:val="en-IN"/>
        </w:rPr>
        <w:t>Gitman, L.J. and Zutter, C.J. (2020) Principles of Managerial Finance. 15th edn. Harlow: Pearson.</w:t>
      </w:r>
    </w:p>
    <w:p w14:paraId="39CDF82A" w14:textId="77777777" w:rsidR="00F70DB6" w:rsidRPr="00F70DB6" w:rsidRDefault="00F70DB6" w:rsidP="00F70DB6">
      <w:pPr>
        <w:numPr>
          <w:ilvl w:val="0"/>
          <w:numId w:val="84"/>
        </w:numPr>
        <w:spacing w:after="0"/>
        <w:rPr>
          <w:sz w:val="24"/>
          <w:szCs w:val="24"/>
          <w:lang w:val="en-IN"/>
        </w:rPr>
      </w:pPr>
      <w:r w:rsidRPr="00F70DB6">
        <w:rPr>
          <w:sz w:val="24"/>
          <w:szCs w:val="24"/>
          <w:lang w:val="en-IN"/>
        </w:rPr>
        <w:t>Horngren, C.T., Datar, S.M. and Rajan, M. (2021) Cost Accounting: A Managerial Emphasis. 16th edn. Harlow: Pearson.</w:t>
      </w:r>
    </w:p>
    <w:p w14:paraId="2DB628DE" w14:textId="77777777" w:rsidR="00F70DB6" w:rsidRPr="00F70DB6" w:rsidRDefault="00F70DB6" w:rsidP="00F70DB6">
      <w:pPr>
        <w:numPr>
          <w:ilvl w:val="0"/>
          <w:numId w:val="84"/>
        </w:numPr>
        <w:spacing w:after="0"/>
        <w:rPr>
          <w:sz w:val="24"/>
          <w:szCs w:val="24"/>
          <w:lang w:val="en-IN"/>
        </w:rPr>
      </w:pPr>
      <w:r w:rsidRPr="00F70DB6">
        <w:rPr>
          <w:sz w:val="24"/>
          <w:szCs w:val="24"/>
          <w:lang w:val="en-IN"/>
        </w:rPr>
        <w:t>Kaplan, R.S. and Norton, D.P. (2004) Strategy Maps. Boston: Harvard Business School Press.</w:t>
      </w:r>
    </w:p>
    <w:p w14:paraId="404A9CAC" w14:textId="77777777" w:rsidR="00F70DB6" w:rsidRPr="00F70DB6" w:rsidRDefault="00F70DB6" w:rsidP="00F70DB6">
      <w:pPr>
        <w:numPr>
          <w:ilvl w:val="0"/>
          <w:numId w:val="84"/>
        </w:numPr>
        <w:spacing w:after="0"/>
        <w:rPr>
          <w:sz w:val="24"/>
          <w:szCs w:val="24"/>
          <w:lang w:val="en-IN"/>
        </w:rPr>
      </w:pPr>
      <w:r w:rsidRPr="00F70DB6">
        <w:rPr>
          <w:sz w:val="24"/>
          <w:szCs w:val="24"/>
          <w:lang w:val="en-IN"/>
        </w:rPr>
        <w:t>Lumby, S. and Jones, C. (2020) Corporate Finance: Theory and Practice. 10th edn. Andover: Cengage.</w:t>
      </w:r>
    </w:p>
    <w:p w14:paraId="09694C07" w14:textId="77777777" w:rsidR="00F70DB6" w:rsidRPr="00F70DB6" w:rsidRDefault="00F70DB6" w:rsidP="00F70DB6">
      <w:pPr>
        <w:numPr>
          <w:ilvl w:val="0"/>
          <w:numId w:val="84"/>
        </w:numPr>
        <w:spacing w:after="0"/>
        <w:rPr>
          <w:sz w:val="24"/>
          <w:szCs w:val="24"/>
          <w:lang w:val="en-IN"/>
        </w:rPr>
      </w:pPr>
      <w:r w:rsidRPr="00F70DB6">
        <w:rPr>
          <w:sz w:val="24"/>
          <w:szCs w:val="24"/>
          <w:lang w:val="en-IN"/>
        </w:rPr>
        <w:t>McLaney, E. and Atrill, P. (2020) Accounting: An Introduction. 7th edn. Harlow: Pearson.</w:t>
      </w:r>
    </w:p>
    <w:p w14:paraId="27965E58" w14:textId="77777777" w:rsidR="00F70DB6" w:rsidRPr="00F70DB6" w:rsidRDefault="00F70DB6" w:rsidP="00F70DB6">
      <w:pPr>
        <w:numPr>
          <w:ilvl w:val="0"/>
          <w:numId w:val="84"/>
        </w:numPr>
        <w:spacing w:after="0"/>
        <w:rPr>
          <w:sz w:val="24"/>
          <w:szCs w:val="24"/>
          <w:lang w:val="en-IN"/>
        </w:rPr>
      </w:pPr>
      <w:r w:rsidRPr="00F70DB6">
        <w:rPr>
          <w:sz w:val="24"/>
          <w:szCs w:val="24"/>
          <w:lang w:val="en-IN"/>
        </w:rPr>
        <w:t>Pike, R. and Neale, B. (2020) Corporate Finance and Investment. 8th edn. Harlow: Pearson.</w:t>
      </w:r>
    </w:p>
    <w:p w14:paraId="4EAE197B" w14:textId="77777777" w:rsidR="00F70DB6" w:rsidRPr="00F70DB6" w:rsidRDefault="00F70DB6" w:rsidP="00F70DB6">
      <w:pPr>
        <w:numPr>
          <w:ilvl w:val="0"/>
          <w:numId w:val="84"/>
        </w:numPr>
        <w:spacing w:after="0"/>
        <w:rPr>
          <w:sz w:val="24"/>
          <w:szCs w:val="24"/>
          <w:lang w:val="en-IN"/>
        </w:rPr>
      </w:pPr>
      <w:r w:rsidRPr="00F70DB6">
        <w:rPr>
          <w:sz w:val="24"/>
          <w:szCs w:val="24"/>
          <w:lang w:val="en-IN"/>
        </w:rPr>
        <w:t>Ross, S.A., Westerfield, R.W. and Jordan, B.D. (2021) Fundamentals of Corporate Finance. 13th edn. New York: McGraw-Hill.</w:t>
      </w:r>
    </w:p>
    <w:p w14:paraId="0814506A" w14:textId="77777777" w:rsidR="00F70DB6" w:rsidRPr="00F70DB6" w:rsidRDefault="00F70DB6" w:rsidP="00F70DB6">
      <w:pPr>
        <w:numPr>
          <w:ilvl w:val="0"/>
          <w:numId w:val="84"/>
        </w:numPr>
        <w:spacing w:after="0"/>
        <w:rPr>
          <w:sz w:val="24"/>
          <w:szCs w:val="24"/>
          <w:lang w:val="en-IN"/>
        </w:rPr>
      </w:pPr>
      <w:r w:rsidRPr="00F70DB6">
        <w:rPr>
          <w:sz w:val="24"/>
          <w:szCs w:val="24"/>
          <w:lang w:val="en-IN"/>
        </w:rPr>
        <w:t>Watson, D. and Head, A. (2020) Corporate Finance: Principles and Practice. 8th edn. Harlow: Pearson.</w:t>
      </w:r>
    </w:p>
    <w:p w14:paraId="0E5DA5FD" w14:textId="77777777" w:rsidR="00F70DB6" w:rsidRPr="00F70DB6" w:rsidRDefault="00F70DB6" w:rsidP="00F70DB6">
      <w:pPr>
        <w:spacing w:before="240"/>
        <w:rPr>
          <w:sz w:val="24"/>
          <w:szCs w:val="24"/>
          <w:lang w:val="en-IN"/>
        </w:rPr>
      </w:pPr>
      <w:r w:rsidRPr="00F70DB6">
        <w:rPr>
          <w:b/>
          <w:bCs/>
          <w:sz w:val="24"/>
          <w:szCs w:val="24"/>
          <w:lang w:val="en-IN"/>
        </w:rPr>
        <w:t>Company and Financial Data Sources</w:t>
      </w:r>
    </w:p>
    <w:p w14:paraId="39B58638" w14:textId="77777777" w:rsidR="00F70DB6" w:rsidRPr="00F70DB6" w:rsidRDefault="00F70DB6" w:rsidP="00F70DB6">
      <w:pPr>
        <w:numPr>
          <w:ilvl w:val="0"/>
          <w:numId w:val="85"/>
        </w:numPr>
        <w:spacing w:after="0"/>
        <w:rPr>
          <w:sz w:val="24"/>
          <w:szCs w:val="24"/>
          <w:lang w:val="en-IN"/>
        </w:rPr>
      </w:pPr>
      <w:r w:rsidRPr="00F70DB6">
        <w:rPr>
          <w:sz w:val="24"/>
          <w:szCs w:val="24"/>
          <w:lang w:val="en-IN"/>
        </w:rPr>
        <w:t>Unilever Plc (2023) Annual Report and Accounts 2022. London: Unilever Plc.</w:t>
      </w:r>
    </w:p>
    <w:p w14:paraId="03EAEBBD" w14:textId="77777777" w:rsidR="00F70DB6" w:rsidRPr="00F70DB6" w:rsidRDefault="00F70DB6" w:rsidP="00F70DB6">
      <w:pPr>
        <w:numPr>
          <w:ilvl w:val="0"/>
          <w:numId w:val="85"/>
        </w:numPr>
        <w:spacing w:after="0"/>
        <w:rPr>
          <w:sz w:val="24"/>
          <w:szCs w:val="24"/>
          <w:lang w:val="en-IN"/>
        </w:rPr>
      </w:pPr>
      <w:r w:rsidRPr="00F70DB6">
        <w:rPr>
          <w:sz w:val="24"/>
          <w:szCs w:val="24"/>
          <w:lang w:val="en-IN"/>
        </w:rPr>
        <w:t>Unilever Plc (2024) Annual Report and Accounts 2023. London: Unilever Plc.</w:t>
      </w:r>
    </w:p>
    <w:p w14:paraId="66625985" w14:textId="77777777" w:rsidR="00F70DB6" w:rsidRPr="00F70DB6" w:rsidRDefault="00F70DB6" w:rsidP="00F70DB6">
      <w:pPr>
        <w:numPr>
          <w:ilvl w:val="0"/>
          <w:numId w:val="85"/>
        </w:numPr>
        <w:spacing w:after="0"/>
        <w:rPr>
          <w:sz w:val="24"/>
          <w:szCs w:val="24"/>
          <w:lang w:val="en-IN"/>
        </w:rPr>
      </w:pPr>
      <w:r w:rsidRPr="00F70DB6">
        <w:rPr>
          <w:sz w:val="24"/>
          <w:szCs w:val="24"/>
          <w:lang w:val="en-IN"/>
        </w:rPr>
        <w:t>London Stock Exchange Group (2024) FTSE 100 Constituents.</w:t>
      </w:r>
    </w:p>
    <w:p w14:paraId="6611356E" w14:textId="77777777" w:rsidR="00F70DB6" w:rsidRPr="00F70DB6" w:rsidRDefault="00F70DB6" w:rsidP="00F70DB6">
      <w:pPr>
        <w:numPr>
          <w:ilvl w:val="0"/>
          <w:numId w:val="85"/>
        </w:numPr>
        <w:spacing w:after="0"/>
        <w:rPr>
          <w:sz w:val="24"/>
          <w:szCs w:val="24"/>
          <w:lang w:val="en-IN"/>
        </w:rPr>
      </w:pPr>
      <w:r w:rsidRPr="00F70DB6">
        <w:rPr>
          <w:sz w:val="24"/>
          <w:szCs w:val="24"/>
          <w:lang w:val="en-IN"/>
        </w:rPr>
        <w:t>Yahoo Finance (2024) Unilever Plc Financial Statements.</w:t>
      </w:r>
    </w:p>
    <w:p w14:paraId="3D3BAF4D" w14:textId="77777777" w:rsidR="00F70DB6" w:rsidRPr="00F70DB6" w:rsidRDefault="00F70DB6" w:rsidP="00F70DB6">
      <w:pPr>
        <w:numPr>
          <w:ilvl w:val="0"/>
          <w:numId w:val="85"/>
        </w:numPr>
        <w:spacing w:after="0"/>
        <w:rPr>
          <w:sz w:val="24"/>
          <w:szCs w:val="24"/>
          <w:lang w:val="en-IN"/>
        </w:rPr>
      </w:pPr>
      <w:r w:rsidRPr="00F70DB6">
        <w:rPr>
          <w:sz w:val="24"/>
          <w:szCs w:val="24"/>
          <w:lang w:val="en-IN"/>
        </w:rPr>
        <w:t>Macrotrends (2024) Unilever Financial Ratios and Performance.</w:t>
      </w:r>
    </w:p>
    <w:p w14:paraId="35C0FDDB" w14:textId="77777777" w:rsidR="00F70DB6" w:rsidRPr="00F70DB6" w:rsidRDefault="00F70DB6" w:rsidP="00F70DB6">
      <w:pPr>
        <w:numPr>
          <w:ilvl w:val="0"/>
          <w:numId w:val="85"/>
        </w:numPr>
        <w:spacing w:after="0"/>
        <w:rPr>
          <w:sz w:val="24"/>
          <w:szCs w:val="24"/>
          <w:lang w:val="en-IN"/>
        </w:rPr>
      </w:pPr>
      <w:r w:rsidRPr="00F70DB6">
        <w:rPr>
          <w:sz w:val="24"/>
          <w:szCs w:val="24"/>
          <w:lang w:val="en-IN"/>
        </w:rPr>
        <w:t>Morningstar (2024) Unilever Plc Key Financial Ratios.</w:t>
      </w:r>
    </w:p>
    <w:p w14:paraId="47D78F14" w14:textId="77777777" w:rsidR="00F70DB6" w:rsidRPr="00F70DB6" w:rsidRDefault="00F70DB6" w:rsidP="00F70DB6">
      <w:pPr>
        <w:numPr>
          <w:ilvl w:val="0"/>
          <w:numId w:val="85"/>
        </w:numPr>
        <w:spacing w:after="0"/>
        <w:rPr>
          <w:sz w:val="24"/>
          <w:szCs w:val="24"/>
          <w:lang w:val="en-IN"/>
        </w:rPr>
      </w:pPr>
      <w:r w:rsidRPr="00F70DB6">
        <w:rPr>
          <w:sz w:val="24"/>
          <w:szCs w:val="24"/>
          <w:lang w:val="en-IN"/>
        </w:rPr>
        <w:lastRenderedPageBreak/>
        <w:t>Statista (2024) Global FMCG Industry Statistics.</w:t>
      </w:r>
    </w:p>
    <w:p w14:paraId="3398C7E9" w14:textId="77777777" w:rsidR="00F70DB6" w:rsidRPr="00F70DB6" w:rsidRDefault="00F70DB6" w:rsidP="00F70DB6">
      <w:pPr>
        <w:numPr>
          <w:ilvl w:val="0"/>
          <w:numId w:val="85"/>
        </w:numPr>
        <w:spacing w:after="0"/>
        <w:rPr>
          <w:sz w:val="24"/>
          <w:szCs w:val="24"/>
          <w:lang w:val="en-IN"/>
        </w:rPr>
      </w:pPr>
      <w:r w:rsidRPr="00F70DB6">
        <w:rPr>
          <w:sz w:val="24"/>
          <w:szCs w:val="24"/>
          <w:lang w:val="en-IN"/>
        </w:rPr>
        <w:t>Companies House (2024) Unilever Plc Filing History.</w:t>
      </w:r>
    </w:p>
    <w:p w14:paraId="073A00BA" w14:textId="77777777" w:rsidR="00F70DB6" w:rsidRPr="00F70DB6" w:rsidRDefault="00F70DB6" w:rsidP="00F70DB6">
      <w:pPr>
        <w:spacing w:before="240"/>
        <w:rPr>
          <w:sz w:val="24"/>
          <w:szCs w:val="24"/>
          <w:lang w:val="en-IN"/>
        </w:rPr>
      </w:pPr>
      <w:r w:rsidRPr="00F70DB6">
        <w:rPr>
          <w:b/>
          <w:bCs/>
          <w:sz w:val="24"/>
          <w:szCs w:val="24"/>
          <w:lang w:val="en-IN"/>
        </w:rPr>
        <w:t>Investment Appraisal and Theory</w:t>
      </w:r>
    </w:p>
    <w:p w14:paraId="573A9332" w14:textId="77777777" w:rsidR="00F70DB6" w:rsidRPr="00F70DB6" w:rsidRDefault="00F70DB6" w:rsidP="00F70DB6">
      <w:pPr>
        <w:numPr>
          <w:ilvl w:val="0"/>
          <w:numId w:val="86"/>
        </w:numPr>
        <w:spacing w:after="0"/>
        <w:rPr>
          <w:sz w:val="24"/>
          <w:szCs w:val="24"/>
          <w:lang w:val="en-IN"/>
        </w:rPr>
      </w:pPr>
      <w:r w:rsidRPr="00F70DB6">
        <w:rPr>
          <w:sz w:val="24"/>
          <w:szCs w:val="24"/>
          <w:lang w:val="en-IN"/>
        </w:rPr>
        <w:t>Arnold, G. (2019) Corporate Financial Management. 6th edn. Harlow: Pearson.</w:t>
      </w:r>
    </w:p>
    <w:p w14:paraId="7D2DC4C5" w14:textId="77777777" w:rsidR="00F70DB6" w:rsidRPr="00F70DB6" w:rsidRDefault="00F70DB6" w:rsidP="00F70DB6">
      <w:pPr>
        <w:numPr>
          <w:ilvl w:val="0"/>
          <w:numId w:val="86"/>
        </w:numPr>
        <w:spacing w:after="0"/>
        <w:rPr>
          <w:sz w:val="24"/>
          <w:szCs w:val="24"/>
          <w:lang w:val="en-IN"/>
        </w:rPr>
      </w:pPr>
      <w:r w:rsidRPr="00F70DB6">
        <w:rPr>
          <w:sz w:val="24"/>
          <w:szCs w:val="24"/>
          <w:lang w:val="en-IN"/>
        </w:rPr>
        <w:t>Bierman, H. and Smidt, S. (2018) The Capital Budgeting Decision. New York: Routledge.</w:t>
      </w:r>
    </w:p>
    <w:p w14:paraId="5FE2B113" w14:textId="77777777" w:rsidR="00F70DB6" w:rsidRPr="00F70DB6" w:rsidRDefault="00F70DB6" w:rsidP="00F70DB6">
      <w:pPr>
        <w:numPr>
          <w:ilvl w:val="0"/>
          <w:numId w:val="86"/>
        </w:numPr>
        <w:spacing w:after="0"/>
        <w:rPr>
          <w:sz w:val="24"/>
          <w:szCs w:val="24"/>
          <w:lang w:val="en-IN"/>
        </w:rPr>
      </w:pPr>
      <w:r w:rsidRPr="00F70DB6">
        <w:rPr>
          <w:sz w:val="24"/>
          <w:szCs w:val="24"/>
          <w:lang w:val="en-IN"/>
        </w:rPr>
        <w:t>Brealey, R.A. (2019) ‘Capital Investment and Valuation’, Journal of Finance, 74(2), pp. 789–823.</w:t>
      </w:r>
    </w:p>
    <w:p w14:paraId="16B01B51" w14:textId="77777777" w:rsidR="00F70DB6" w:rsidRPr="00F70DB6" w:rsidRDefault="00F70DB6" w:rsidP="00F70DB6">
      <w:pPr>
        <w:numPr>
          <w:ilvl w:val="0"/>
          <w:numId w:val="86"/>
        </w:numPr>
        <w:spacing w:after="0"/>
        <w:rPr>
          <w:sz w:val="24"/>
          <w:szCs w:val="24"/>
          <w:lang w:val="en-IN"/>
        </w:rPr>
      </w:pPr>
      <w:r w:rsidRPr="00F70DB6">
        <w:rPr>
          <w:sz w:val="24"/>
          <w:szCs w:val="24"/>
          <w:lang w:val="en-IN"/>
        </w:rPr>
        <w:t>Chen, S. and Dodd, J. (2017) ‘Economic value added and stock returns’, Journal of Accounting and Economics, 34(1), pp. 65–87.</w:t>
      </w:r>
    </w:p>
    <w:p w14:paraId="7D14BE1A" w14:textId="77777777" w:rsidR="00F70DB6" w:rsidRPr="00F70DB6" w:rsidRDefault="00F70DB6" w:rsidP="00F70DB6">
      <w:pPr>
        <w:numPr>
          <w:ilvl w:val="0"/>
          <w:numId w:val="86"/>
        </w:numPr>
        <w:spacing w:after="0"/>
        <w:rPr>
          <w:sz w:val="24"/>
          <w:szCs w:val="24"/>
          <w:lang w:val="en-IN"/>
        </w:rPr>
      </w:pPr>
      <w:r w:rsidRPr="00F70DB6">
        <w:rPr>
          <w:sz w:val="24"/>
          <w:szCs w:val="24"/>
          <w:lang w:val="en-IN"/>
        </w:rPr>
        <w:t>Dayananda, D. et al. (2020) Capital Budgeting. 2nd edn. Cambridge: Cambridge University Press.</w:t>
      </w:r>
    </w:p>
    <w:p w14:paraId="1FCDD6D2" w14:textId="77777777" w:rsidR="00F70DB6" w:rsidRPr="00F70DB6" w:rsidRDefault="00F70DB6" w:rsidP="00F70DB6">
      <w:pPr>
        <w:numPr>
          <w:ilvl w:val="0"/>
          <w:numId w:val="86"/>
        </w:numPr>
        <w:spacing w:after="0"/>
        <w:rPr>
          <w:sz w:val="24"/>
          <w:szCs w:val="24"/>
          <w:lang w:val="en-IN"/>
        </w:rPr>
      </w:pPr>
      <w:r w:rsidRPr="00F70DB6">
        <w:rPr>
          <w:sz w:val="24"/>
          <w:szCs w:val="24"/>
          <w:lang w:val="en-IN"/>
        </w:rPr>
        <w:t>Gitman, L.J. (2018) ‘NPV versus IRR’, Financial Management Review, 27(3), pp. 45–59.</w:t>
      </w:r>
    </w:p>
    <w:p w14:paraId="36B6F501" w14:textId="77777777" w:rsidR="00F70DB6" w:rsidRPr="00F70DB6" w:rsidRDefault="00F70DB6" w:rsidP="00F70DB6">
      <w:pPr>
        <w:numPr>
          <w:ilvl w:val="0"/>
          <w:numId w:val="86"/>
        </w:numPr>
        <w:spacing w:after="0"/>
        <w:rPr>
          <w:sz w:val="24"/>
          <w:szCs w:val="24"/>
          <w:lang w:val="en-IN"/>
        </w:rPr>
      </w:pPr>
      <w:r w:rsidRPr="00F70DB6">
        <w:rPr>
          <w:sz w:val="24"/>
          <w:szCs w:val="24"/>
          <w:lang w:val="en-IN"/>
        </w:rPr>
        <w:t>Kengatharan, L. (2016) ‘Capital budgeting theory and practice’, International Journal of Business Management, 11(3), pp. 1–10.</w:t>
      </w:r>
    </w:p>
    <w:p w14:paraId="23E2027A" w14:textId="77777777" w:rsidR="00F70DB6" w:rsidRPr="00F70DB6" w:rsidRDefault="00F70DB6" w:rsidP="00F70DB6">
      <w:pPr>
        <w:spacing w:before="240"/>
        <w:rPr>
          <w:sz w:val="24"/>
          <w:szCs w:val="24"/>
          <w:lang w:val="en-IN"/>
        </w:rPr>
      </w:pPr>
      <w:r w:rsidRPr="00F70DB6">
        <w:rPr>
          <w:b/>
          <w:bCs/>
          <w:sz w:val="24"/>
          <w:szCs w:val="24"/>
          <w:lang w:val="en-IN"/>
        </w:rPr>
        <w:t>Risk, Strategy and Decision Making</w:t>
      </w:r>
    </w:p>
    <w:p w14:paraId="3085D75D" w14:textId="77777777" w:rsidR="00F70DB6" w:rsidRPr="00F70DB6" w:rsidRDefault="00F70DB6" w:rsidP="00F70DB6">
      <w:pPr>
        <w:numPr>
          <w:ilvl w:val="0"/>
          <w:numId w:val="87"/>
        </w:numPr>
        <w:spacing w:after="0"/>
        <w:rPr>
          <w:sz w:val="24"/>
          <w:szCs w:val="24"/>
          <w:lang w:val="en-IN"/>
        </w:rPr>
      </w:pPr>
      <w:r w:rsidRPr="00F70DB6">
        <w:rPr>
          <w:sz w:val="24"/>
          <w:szCs w:val="24"/>
          <w:lang w:val="en-IN"/>
        </w:rPr>
        <w:t>Johnson, G., Scholes, K. and Whittington, R. (2020) Exploring Strategy. 12th edn. Harlow: Pearson.</w:t>
      </w:r>
    </w:p>
    <w:p w14:paraId="19A3EAD9" w14:textId="77777777" w:rsidR="00F70DB6" w:rsidRPr="00F70DB6" w:rsidRDefault="00F70DB6" w:rsidP="00F70DB6">
      <w:pPr>
        <w:numPr>
          <w:ilvl w:val="0"/>
          <w:numId w:val="87"/>
        </w:numPr>
        <w:spacing w:after="0"/>
        <w:rPr>
          <w:sz w:val="24"/>
          <w:szCs w:val="24"/>
          <w:lang w:val="en-IN"/>
        </w:rPr>
      </w:pPr>
      <w:r w:rsidRPr="00F70DB6">
        <w:rPr>
          <w:sz w:val="24"/>
          <w:szCs w:val="24"/>
          <w:lang w:val="en-IN"/>
        </w:rPr>
        <w:t>Porter, M.E. (2008) ‘The five competitive forces’, Harvard Business Review, 86(1), pp. 78–93.</w:t>
      </w:r>
    </w:p>
    <w:p w14:paraId="40753510" w14:textId="77777777" w:rsidR="00F70DB6" w:rsidRPr="00F70DB6" w:rsidRDefault="00F70DB6" w:rsidP="00F70DB6">
      <w:pPr>
        <w:numPr>
          <w:ilvl w:val="0"/>
          <w:numId w:val="87"/>
        </w:numPr>
        <w:spacing w:after="0"/>
        <w:rPr>
          <w:sz w:val="24"/>
          <w:szCs w:val="24"/>
          <w:lang w:val="en-IN"/>
        </w:rPr>
      </w:pPr>
      <w:r w:rsidRPr="00F70DB6">
        <w:rPr>
          <w:sz w:val="24"/>
          <w:szCs w:val="24"/>
          <w:lang w:val="en-IN"/>
        </w:rPr>
        <w:t>Mintzberg, H. (2009) Strategy Safari. 2nd edn. London: Pearson.</w:t>
      </w:r>
    </w:p>
    <w:p w14:paraId="6B81836C" w14:textId="77777777" w:rsidR="00F70DB6" w:rsidRPr="00F70DB6" w:rsidRDefault="00F70DB6" w:rsidP="00F70DB6">
      <w:pPr>
        <w:numPr>
          <w:ilvl w:val="0"/>
          <w:numId w:val="87"/>
        </w:numPr>
        <w:spacing w:after="0"/>
        <w:rPr>
          <w:sz w:val="24"/>
          <w:szCs w:val="24"/>
          <w:lang w:val="en-IN"/>
        </w:rPr>
      </w:pPr>
      <w:r w:rsidRPr="00F70DB6">
        <w:rPr>
          <w:sz w:val="24"/>
          <w:szCs w:val="24"/>
          <w:lang w:val="en-IN"/>
        </w:rPr>
        <w:t>Hillier, D. et al. (2019) Corporate Finance. 4th edn. London: McGraw-Hill.</w:t>
      </w:r>
    </w:p>
    <w:p w14:paraId="629BB38E" w14:textId="77777777" w:rsidR="00F70DB6" w:rsidRPr="00F70DB6" w:rsidRDefault="00F70DB6" w:rsidP="00F70DB6">
      <w:pPr>
        <w:numPr>
          <w:ilvl w:val="0"/>
          <w:numId w:val="87"/>
        </w:numPr>
        <w:spacing w:after="0"/>
        <w:rPr>
          <w:sz w:val="24"/>
          <w:szCs w:val="24"/>
          <w:lang w:val="en-IN"/>
        </w:rPr>
      </w:pPr>
      <w:r w:rsidRPr="00F70DB6">
        <w:rPr>
          <w:sz w:val="24"/>
          <w:szCs w:val="24"/>
          <w:lang w:val="en-IN"/>
        </w:rPr>
        <w:t>Mullins, L.J. (2019) Management and Organisational Behaviour. 11th edn. Harlow: Pearson.</w:t>
      </w:r>
    </w:p>
    <w:p w14:paraId="0A442907" w14:textId="77777777" w:rsidR="00F70DB6" w:rsidRPr="00F70DB6" w:rsidRDefault="00F70DB6" w:rsidP="00F70DB6">
      <w:pPr>
        <w:spacing w:before="240"/>
        <w:rPr>
          <w:sz w:val="24"/>
          <w:szCs w:val="24"/>
          <w:lang w:val="en-IN"/>
        </w:rPr>
      </w:pPr>
      <w:r w:rsidRPr="00F70DB6">
        <w:rPr>
          <w:b/>
          <w:bCs/>
          <w:sz w:val="24"/>
          <w:szCs w:val="24"/>
          <w:lang w:val="en-IN"/>
        </w:rPr>
        <w:t>Sustainability and Governance</w:t>
      </w:r>
    </w:p>
    <w:p w14:paraId="73E6AE3B" w14:textId="77777777" w:rsidR="00F70DB6" w:rsidRPr="00F70DB6" w:rsidRDefault="00F70DB6" w:rsidP="00F70DB6">
      <w:pPr>
        <w:numPr>
          <w:ilvl w:val="0"/>
          <w:numId w:val="88"/>
        </w:numPr>
        <w:spacing w:after="0"/>
        <w:rPr>
          <w:sz w:val="24"/>
          <w:szCs w:val="24"/>
          <w:lang w:val="en-IN"/>
        </w:rPr>
      </w:pPr>
      <w:r w:rsidRPr="00F70DB6">
        <w:rPr>
          <w:sz w:val="24"/>
          <w:szCs w:val="24"/>
          <w:lang w:val="en-IN"/>
        </w:rPr>
        <w:t>Elkington, J. (2018) 25 Years of Triple Bottom Line. London: Routledge.</w:t>
      </w:r>
    </w:p>
    <w:p w14:paraId="73B71294" w14:textId="77777777" w:rsidR="00F70DB6" w:rsidRPr="00F70DB6" w:rsidRDefault="00F70DB6" w:rsidP="00F70DB6">
      <w:pPr>
        <w:numPr>
          <w:ilvl w:val="0"/>
          <w:numId w:val="88"/>
        </w:numPr>
        <w:spacing w:after="0"/>
        <w:rPr>
          <w:sz w:val="24"/>
          <w:szCs w:val="24"/>
          <w:lang w:val="en-IN"/>
        </w:rPr>
      </w:pPr>
      <w:r w:rsidRPr="00F70DB6">
        <w:rPr>
          <w:sz w:val="24"/>
          <w:szCs w:val="24"/>
          <w:lang w:val="en-IN"/>
        </w:rPr>
        <w:t>Freeman, R.E. (2010) Strategic Management: A Stakeholder Approach. Cambridge: CUP.</w:t>
      </w:r>
    </w:p>
    <w:p w14:paraId="5150AF6D" w14:textId="77777777" w:rsidR="00F70DB6" w:rsidRPr="00F70DB6" w:rsidRDefault="00F70DB6" w:rsidP="00F70DB6">
      <w:pPr>
        <w:numPr>
          <w:ilvl w:val="0"/>
          <w:numId w:val="88"/>
        </w:numPr>
        <w:spacing w:after="0"/>
        <w:rPr>
          <w:sz w:val="24"/>
          <w:szCs w:val="24"/>
          <w:lang w:val="en-IN"/>
        </w:rPr>
      </w:pPr>
      <w:r w:rsidRPr="00F70DB6">
        <w:rPr>
          <w:sz w:val="24"/>
          <w:szCs w:val="24"/>
          <w:lang w:val="en-IN"/>
        </w:rPr>
        <w:t>OECD (2023) Principles of Corporate Governance. Paris: OECD Publishing.</w:t>
      </w:r>
    </w:p>
    <w:p w14:paraId="1F66C596" w14:textId="77777777" w:rsidR="00F70DB6" w:rsidRPr="00F70DB6" w:rsidRDefault="00F70DB6" w:rsidP="00F70DB6">
      <w:pPr>
        <w:numPr>
          <w:ilvl w:val="0"/>
          <w:numId w:val="88"/>
        </w:numPr>
        <w:spacing w:after="0"/>
        <w:rPr>
          <w:sz w:val="24"/>
          <w:szCs w:val="24"/>
          <w:lang w:val="en-IN"/>
        </w:rPr>
      </w:pPr>
      <w:r w:rsidRPr="00F70DB6">
        <w:rPr>
          <w:sz w:val="24"/>
          <w:szCs w:val="24"/>
          <w:lang w:val="en-IN"/>
        </w:rPr>
        <w:t>ICAEW (2022) Financial Reporting and Corporate Governance. London: ICAEW.</w:t>
      </w:r>
    </w:p>
    <w:p w14:paraId="44B6CEED" w14:textId="77777777" w:rsidR="00F70DB6" w:rsidRPr="00F70DB6" w:rsidRDefault="00F70DB6" w:rsidP="00F70DB6">
      <w:pPr>
        <w:numPr>
          <w:ilvl w:val="0"/>
          <w:numId w:val="88"/>
        </w:numPr>
        <w:spacing w:after="0"/>
        <w:rPr>
          <w:sz w:val="24"/>
          <w:szCs w:val="24"/>
          <w:lang w:val="en-IN"/>
        </w:rPr>
      </w:pPr>
      <w:r w:rsidRPr="00F70DB6">
        <w:rPr>
          <w:sz w:val="24"/>
          <w:szCs w:val="24"/>
          <w:lang w:val="en-IN"/>
        </w:rPr>
        <w:t>IFRS Foundation (2024) International Financial Reporting Standards.</w:t>
      </w:r>
    </w:p>
    <w:p w14:paraId="342D4638" w14:textId="77777777" w:rsidR="00F70DB6" w:rsidRPr="00F70DB6" w:rsidRDefault="00F70DB6" w:rsidP="00F70DB6">
      <w:pPr>
        <w:spacing w:before="240"/>
        <w:rPr>
          <w:sz w:val="24"/>
          <w:szCs w:val="24"/>
          <w:lang w:val="en-IN"/>
        </w:rPr>
      </w:pPr>
      <w:r w:rsidRPr="00F70DB6">
        <w:rPr>
          <w:b/>
          <w:bCs/>
          <w:sz w:val="24"/>
          <w:szCs w:val="24"/>
          <w:lang w:val="en-IN"/>
        </w:rPr>
        <w:t>Digital, Market and Economic Context</w:t>
      </w:r>
    </w:p>
    <w:p w14:paraId="47EBB04E" w14:textId="77777777" w:rsidR="00F70DB6" w:rsidRPr="00F70DB6" w:rsidRDefault="00F70DB6" w:rsidP="00F70DB6">
      <w:pPr>
        <w:numPr>
          <w:ilvl w:val="0"/>
          <w:numId w:val="89"/>
        </w:numPr>
        <w:spacing w:after="0"/>
        <w:rPr>
          <w:sz w:val="24"/>
          <w:szCs w:val="24"/>
          <w:lang w:val="en-IN"/>
        </w:rPr>
      </w:pPr>
      <w:r w:rsidRPr="00F70DB6">
        <w:rPr>
          <w:sz w:val="24"/>
          <w:szCs w:val="24"/>
          <w:lang w:val="en-IN"/>
        </w:rPr>
        <w:t>IMF (2024) World Economic Outlook. Washington DC: IMF.</w:t>
      </w:r>
    </w:p>
    <w:p w14:paraId="37D771A2" w14:textId="77777777" w:rsidR="00F70DB6" w:rsidRPr="00F70DB6" w:rsidRDefault="00F70DB6" w:rsidP="00F70DB6">
      <w:pPr>
        <w:numPr>
          <w:ilvl w:val="0"/>
          <w:numId w:val="89"/>
        </w:numPr>
        <w:spacing w:after="0"/>
        <w:rPr>
          <w:sz w:val="24"/>
          <w:szCs w:val="24"/>
          <w:lang w:val="en-IN"/>
        </w:rPr>
      </w:pPr>
      <w:r w:rsidRPr="00F70DB6">
        <w:rPr>
          <w:sz w:val="24"/>
          <w:szCs w:val="24"/>
          <w:lang w:val="en-IN"/>
        </w:rPr>
        <w:lastRenderedPageBreak/>
        <w:t>World Bank (2024) Global Economic Prospects.</w:t>
      </w:r>
    </w:p>
    <w:p w14:paraId="5F2F30C3" w14:textId="77777777" w:rsidR="00F70DB6" w:rsidRPr="00F70DB6" w:rsidRDefault="00F70DB6" w:rsidP="00F70DB6">
      <w:pPr>
        <w:numPr>
          <w:ilvl w:val="0"/>
          <w:numId w:val="89"/>
        </w:numPr>
        <w:spacing w:after="0"/>
        <w:rPr>
          <w:sz w:val="24"/>
          <w:szCs w:val="24"/>
          <w:lang w:val="en-IN"/>
        </w:rPr>
      </w:pPr>
      <w:r w:rsidRPr="00F70DB6">
        <w:rPr>
          <w:sz w:val="24"/>
          <w:szCs w:val="24"/>
          <w:lang w:val="en-IN"/>
        </w:rPr>
        <w:t>McKinsey &amp; Company (2023) Global Consumer Trends.</w:t>
      </w:r>
    </w:p>
    <w:p w14:paraId="306E8BAC" w14:textId="77777777" w:rsidR="00F70DB6" w:rsidRPr="00F70DB6" w:rsidRDefault="00F70DB6" w:rsidP="00F70DB6">
      <w:pPr>
        <w:numPr>
          <w:ilvl w:val="0"/>
          <w:numId w:val="89"/>
        </w:numPr>
        <w:spacing w:after="0"/>
        <w:rPr>
          <w:sz w:val="24"/>
          <w:szCs w:val="24"/>
          <w:lang w:val="en-IN"/>
        </w:rPr>
      </w:pPr>
      <w:r w:rsidRPr="00F70DB6">
        <w:rPr>
          <w:sz w:val="24"/>
          <w:szCs w:val="24"/>
          <w:lang w:val="en-IN"/>
        </w:rPr>
        <w:t>PwC (2023) Global Capital Investment Survey.</w:t>
      </w:r>
    </w:p>
    <w:p w14:paraId="1BF10F5E" w14:textId="77777777" w:rsidR="00F70DB6" w:rsidRPr="00F70DB6" w:rsidRDefault="00F70DB6" w:rsidP="00F70DB6">
      <w:pPr>
        <w:numPr>
          <w:ilvl w:val="0"/>
          <w:numId w:val="89"/>
        </w:numPr>
        <w:spacing w:after="0"/>
        <w:rPr>
          <w:sz w:val="24"/>
          <w:szCs w:val="24"/>
          <w:lang w:val="en-IN"/>
        </w:rPr>
      </w:pPr>
      <w:r w:rsidRPr="00F70DB6">
        <w:rPr>
          <w:sz w:val="24"/>
          <w:szCs w:val="24"/>
          <w:lang w:val="en-IN"/>
        </w:rPr>
        <w:t>Deloitte (2024) Investment Appraisal and Capital Allocation.</w:t>
      </w:r>
    </w:p>
    <w:p w14:paraId="09E74060" w14:textId="77777777" w:rsidR="00F70DB6" w:rsidRPr="00F70DB6" w:rsidRDefault="00F70DB6" w:rsidP="00F70DB6">
      <w:pPr>
        <w:numPr>
          <w:ilvl w:val="0"/>
          <w:numId w:val="89"/>
        </w:numPr>
        <w:spacing w:after="0"/>
        <w:rPr>
          <w:sz w:val="24"/>
          <w:szCs w:val="24"/>
          <w:lang w:val="en-IN"/>
        </w:rPr>
      </w:pPr>
      <w:r w:rsidRPr="00F70DB6">
        <w:rPr>
          <w:sz w:val="24"/>
          <w:szCs w:val="24"/>
          <w:lang w:val="en-IN"/>
        </w:rPr>
        <w:t>KPMG (2023) Corporate Finance Insights.</w:t>
      </w:r>
    </w:p>
    <w:p w14:paraId="079D5156" w14:textId="77777777" w:rsidR="00F70DB6" w:rsidRPr="00F70DB6" w:rsidRDefault="00F70DB6" w:rsidP="00F70DB6">
      <w:pPr>
        <w:spacing w:before="240"/>
        <w:rPr>
          <w:sz w:val="24"/>
          <w:szCs w:val="24"/>
          <w:lang w:val="en-IN"/>
        </w:rPr>
      </w:pPr>
      <w:r w:rsidRPr="00F70DB6">
        <w:rPr>
          <w:b/>
          <w:bCs/>
          <w:sz w:val="24"/>
          <w:szCs w:val="24"/>
          <w:lang w:val="en-IN"/>
        </w:rPr>
        <w:t>Academic Support Sources</w:t>
      </w:r>
    </w:p>
    <w:p w14:paraId="3945F508" w14:textId="77777777" w:rsidR="00F70DB6" w:rsidRPr="00F70DB6" w:rsidRDefault="00F70DB6" w:rsidP="00F70DB6">
      <w:pPr>
        <w:numPr>
          <w:ilvl w:val="0"/>
          <w:numId w:val="90"/>
        </w:numPr>
        <w:spacing w:after="0"/>
        <w:rPr>
          <w:sz w:val="24"/>
          <w:szCs w:val="24"/>
          <w:lang w:val="en-IN"/>
        </w:rPr>
      </w:pPr>
      <w:r w:rsidRPr="00F70DB6">
        <w:rPr>
          <w:sz w:val="24"/>
          <w:szCs w:val="24"/>
          <w:lang w:val="en-IN"/>
        </w:rPr>
        <w:t>Saunders, M., Lewis, P. and Thornhill, A. (2019) Research Methods for Business Students. 8th edn. Harlow: Pearson.</w:t>
      </w:r>
    </w:p>
    <w:p w14:paraId="4BD614DD" w14:textId="77777777" w:rsidR="00F70DB6" w:rsidRPr="00F70DB6" w:rsidRDefault="00F70DB6" w:rsidP="00F70DB6">
      <w:pPr>
        <w:numPr>
          <w:ilvl w:val="0"/>
          <w:numId w:val="90"/>
        </w:numPr>
        <w:spacing w:after="0"/>
        <w:rPr>
          <w:sz w:val="24"/>
          <w:szCs w:val="24"/>
          <w:lang w:val="en-IN"/>
        </w:rPr>
      </w:pPr>
      <w:r w:rsidRPr="00F70DB6">
        <w:rPr>
          <w:sz w:val="24"/>
          <w:szCs w:val="24"/>
          <w:lang w:val="en-IN"/>
        </w:rPr>
        <w:t>Bryman, A. and Bell, E. (2021) Business Research Methods. 6th edn. Oxford: OUP.</w:t>
      </w:r>
    </w:p>
    <w:p w14:paraId="6EEB3DC5" w14:textId="77777777" w:rsidR="00F70DB6" w:rsidRPr="00F70DB6" w:rsidRDefault="00F70DB6" w:rsidP="00F70DB6">
      <w:pPr>
        <w:numPr>
          <w:ilvl w:val="0"/>
          <w:numId w:val="90"/>
        </w:numPr>
        <w:spacing w:after="0"/>
        <w:rPr>
          <w:sz w:val="24"/>
          <w:szCs w:val="24"/>
          <w:lang w:val="en-IN"/>
        </w:rPr>
      </w:pPr>
      <w:r w:rsidRPr="00F70DB6">
        <w:rPr>
          <w:sz w:val="24"/>
          <w:szCs w:val="24"/>
          <w:lang w:val="en-IN"/>
        </w:rPr>
        <w:t>Creswell, J.W. (2018) Research Design. 5th edn. London: Sage.</w:t>
      </w:r>
    </w:p>
    <w:p w14:paraId="51ADA673" w14:textId="77777777" w:rsidR="00F70DB6" w:rsidRPr="00F70DB6" w:rsidRDefault="00F70DB6" w:rsidP="00F70DB6">
      <w:pPr>
        <w:numPr>
          <w:ilvl w:val="0"/>
          <w:numId w:val="90"/>
        </w:numPr>
        <w:spacing w:after="0"/>
        <w:rPr>
          <w:sz w:val="24"/>
          <w:szCs w:val="24"/>
          <w:lang w:val="en-IN"/>
        </w:rPr>
      </w:pPr>
      <w:r w:rsidRPr="00F70DB6">
        <w:rPr>
          <w:sz w:val="24"/>
          <w:szCs w:val="24"/>
          <w:lang w:val="en-IN"/>
        </w:rPr>
        <w:t>Investopedia (2024) Net Present Value and IRR.</w:t>
      </w:r>
    </w:p>
    <w:p w14:paraId="0DD77B99" w14:textId="77777777" w:rsidR="00F70DB6" w:rsidRPr="00F70DB6" w:rsidRDefault="00F70DB6" w:rsidP="00F70DB6">
      <w:pPr>
        <w:numPr>
          <w:ilvl w:val="0"/>
          <w:numId w:val="90"/>
        </w:numPr>
        <w:spacing w:after="0"/>
        <w:rPr>
          <w:sz w:val="24"/>
          <w:szCs w:val="24"/>
          <w:lang w:val="en-IN"/>
        </w:rPr>
      </w:pPr>
      <w:r w:rsidRPr="00F70DB6">
        <w:rPr>
          <w:sz w:val="24"/>
          <w:szCs w:val="24"/>
          <w:lang w:val="en-IN"/>
        </w:rPr>
        <w:t>CFA Institute (2023) Capital Budgeting Techniques.</w:t>
      </w:r>
    </w:p>
    <w:p w14:paraId="1EAD4CB0" w14:textId="77777777" w:rsidR="00F70DB6" w:rsidRPr="00F70DB6" w:rsidRDefault="00F70DB6" w:rsidP="00F70DB6">
      <w:pPr>
        <w:numPr>
          <w:ilvl w:val="0"/>
          <w:numId w:val="90"/>
        </w:numPr>
        <w:spacing w:after="0"/>
        <w:rPr>
          <w:sz w:val="24"/>
          <w:szCs w:val="24"/>
          <w:lang w:val="en-IN"/>
        </w:rPr>
      </w:pPr>
      <w:r w:rsidRPr="00F70DB6">
        <w:rPr>
          <w:sz w:val="24"/>
          <w:szCs w:val="24"/>
          <w:lang w:val="en-IN"/>
        </w:rPr>
        <w:t>Financial Times (2024) Unilever Company Analysis.</w:t>
      </w:r>
    </w:p>
    <w:p w14:paraId="7963C6F0" w14:textId="77777777" w:rsidR="00F70DB6" w:rsidRPr="00F70DB6" w:rsidRDefault="00F70DB6" w:rsidP="00F70DB6">
      <w:pPr>
        <w:numPr>
          <w:ilvl w:val="0"/>
          <w:numId w:val="90"/>
        </w:numPr>
        <w:spacing w:after="0"/>
        <w:rPr>
          <w:sz w:val="24"/>
          <w:szCs w:val="24"/>
          <w:lang w:val="en-IN"/>
        </w:rPr>
      </w:pPr>
      <w:r w:rsidRPr="00F70DB6">
        <w:rPr>
          <w:sz w:val="24"/>
          <w:szCs w:val="24"/>
          <w:lang w:val="en-IN"/>
        </w:rPr>
        <w:t>Harvard Business Review (2023) Financial Strategy and Decision Making.</w:t>
      </w:r>
    </w:p>
    <w:p w14:paraId="7D279982" w14:textId="77777777" w:rsidR="00F70DB6" w:rsidRDefault="00F70DB6">
      <w:pPr>
        <w:rPr>
          <w:b/>
          <w:bCs/>
          <w:sz w:val="24"/>
          <w:szCs w:val="24"/>
        </w:rPr>
      </w:pPr>
      <w:r>
        <w:rPr>
          <w:b/>
          <w:bCs/>
          <w:sz w:val="24"/>
          <w:szCs w:val="24"/>
        </w:rPr>
        <w:br w:type="page"/>
      </w:r>
    </w:p>
    <w:p w14:paraId="27BFC2E7" w14:textId="02A4DD4E" w:rsidR="00224597" w:rsidRDefault="00224597" w:rsidP="006C55BF">
      <w:pPr>
        <w:rPr>
          <w:rFonts w:asciiTheme="majorHAnsi" w:eastAsiaTheme="majorEastAsia" w:hAnsiTheme="majorHAnsi" w:cstheme="majorBidi"/>
          <w:b/>
          <w:bCs/>
          <w:color w:val="365F91" w:themeColor="accent1" w:themeShade="BF"/>
          <w:sz w:val="28"/>
          <w:szCs w:val="28"/>
        </w:rPr>
      </w:pPr>
      <w:r w:rsidRPr="00224597">
        <w:rPr>
          <w:rFonts w:asciiTheme="majorHAnsi" w:eastAsiaTheme="majorEastAsia" w:hAnsiTheme="majorHAnsi" w:cstheme="majorBidi"/>
          <w:b/>
          <w:bCs/>
          <w:color w:val="365F91" w:themeColor="accent1" w:themeShade="BF"/>
          <w:sz w:val="28"/>
          <w:szCs w:val="28"/>
        </w:rPr>
        <w:lastRenderedPageBreak/>
        <w:t>Appendice</w:t>
      </w:r>
      <w:r>
        <w:rPr>
          <w:rFonts w:asciiTheme="majorHAnsi" w:eastAsiaTheme="majorEastAsia" w:hAnsiTheme="majorHAnsi" w:cstheme="majorBidi"/>
          <w:b/>
          <w:bCs/>
          <w:color w:val="365F91" w:themeColor="accent1" w:themeShade="BF"/>
          <w:sz w:val="28"/>
          <w:szCs w:val="28"/>
        </w:rPr>
        <w:t>s</w:t>
      </w:r>
    </w:p>
    <w:p w14:paraId="17B198B4" w14:textId="1A9D8338" w:rsidR="006C55BF" w:rsidRPr="006C55BF" w:rsidRDefault="006C55BF" w:rsidP="006C55BF">
      <w:pPr>
        <w:rPr>
          <w:b/>
          <w:bCs/>
          <w:sz w:val="24"/>
          <w:szCs w:val="24"/>
          <w:lang w:val="en-IN"/>
        </w:rPr>
      </w:pPr>
      <w:r w:rsidRPr="006C55BF">
        <w:rPr>
          <w:b/>
          <w:bCs/>
          <w:sz w:val="24"/>
          <w:szCs w:val="24"/>
          <w:lang w:val="en-IN"/>
        </w:rPr>
        <w:t>Appendix A: Unilever Plc Income Statements</w:t>
      </w:r>
    </w:p>
    <w:p w14:paraId="133BE8B1" w14:textId="77777777" w:rsidR="006C55BF" w:rsidRPr="006C55BF" w:rsidRDefault="006C55BF" w:rsidP="006C55BF">
      <w:pPr>
        <w:rPr>
          <w:sz w:val="24"/>
          <w:szCs w:val="24"/>
          <w:lang w:val="en-IN"/>
        </w:rPr>
      </w:pPr>
      <w:r w:rsidRPr="006C55BF">
        <w:rPr>
          <w:sz w:val="24"/>
          <w:szCs w:val="24"/>
          <w:lang w:val="en-IN"/>
        </w:rPr>
        <w:t>Extracted consolidated income statements for the financial years 2022 and 2023, obtained from Unilever Plc Annual Reports. These statements form the basis for profitability and performance analysis conducted in Task 1.</w:t>
      </w:r>
    </w:p>
    <w:p w14:paraId="7C5A83B9" w14:textId="77777777" w:rsidR="006C55BF" w:rsidRPr="006C55BF" w:rsidRDefault="006C55BF" w:rsidP="006C55BF">
      <w:pPr>
        <w:rPr>
          <w:b/>
          <w:bCs/>
          <w:sz w:val="24"/>
          <w:szCs w:val="24"/>
          <w:lang w:val="en-IN"/>
        </w:rPr>
      </w:pPr>
      <w:r w:rsidRPr="006C55BF">
        <w:rPr>
          <w:b/>
          <w:bCs/>
          <w:sz w:val="24"/>
          <w:szCs w:val="24"/>
          <w:lang w:val="en-IN"/>
        </w:rPr>
        <w:t>Appendix B: Unilever Plc Statements of Financial Position</w:t>
      </w:r>
    </w:p>
    <w:p w14:paraId="377C3D9A" w14:textId="77777777" w:rsidR="006C55BF" w:rsidRPr="006C55BF" w:rsidRDefault="006C55BF" w:rsidP="006C55BF">
      <w:pPr>
        <w:rPr>
          <w:sz w:val="24"/>
          <w:szCs w:val="24"/>
          <w:lang w:val="en-IN"/>
        </w:rPr>
      </w:pPr>
      <w:r w:rsidRPr="006C55BF">
        <w:rPr>
          <w:sz w:val="24"/>
          <w:szCs w:val="24"/>
          <w:lang w:val="en-IN"/>
        </w:rPr>
        <w:t>Consolidated balance sheets for the financial years 2022 and 2023. These data were used to calculate liquidity, gearing, and efficiency ratios.</w:t>
      </w:r>
    </w:p>
    <w:p w14:paraId="34541E47" w14:textId="77777777" w:rsidR="006C55BF" w:rsidRPr="006C55BF" w:rsidRDefault="006C55BF" w:rsidP="006C55BF">
      <w:pPr>
        <w:rPr>
          <w:b/>
          <w:bCs/>
          <w:sz w:val="24"/>
          <w:szCs w:val="24"/>
          <w:lang w:val="en-IN"/>
        </w:rPr>
      </w:pPr>
      <w:r w:rsidRPr="006C55BF">
        <w:rPr>
          <w:b/>
          <w:bCs/>
          <w:sz w:val="24"/>
          <w:szCs w:val="24"/>
          <w:lang w:val="en-IN"/>
        </w:rPr>
        <w:t>Appendix C: Ratio Calculations</w:t>
      </w:r>
    </w:p>
    <w:p w14:paraId="1A1A61C3" w14:textId="77777777" w:rsidR="006C55BF" w:rsidRPr="006C55BF" w:rsidRDefault="006C55BF" w:rsidP="006C55BF">
      <w:pPr>
        <w:rPr>
          <w:sz w:val="24"/>
          <w:szCs w:val="24"/>
          <w:lang w:val="en-IN"/>
        </w:rPr>
      </w:pPr>
      <w:r w:rsidRPr="006C55BF">
        <w:rPr>
          <w:sz w:val="24"/>
          <w:szCs w:val="24"/>
          <w:lang w:val="en-IN"/>
        </w:rPr>
        <w:t>Detailed calculations of:</w:t>
      </w:r>
    </w:p>
    <w:p w14:paraId="012532C3" w14:textId="77777777" w:rsidR="006C55BF" w:rsidRPr="006C55BF" w:rsidRDefault="006C55BF" w:rsidP="006C55BF">
      <w:pPr>
        <w:numPr>
          <w:ilvl w:val="0"/>
          <w:numId w:val="91"/>
        </w:numPr>
        <w:spacing w:after="0"/>
        <w:rPr>
          <w:sz w:val="24"/>
          <w:szCs w:val="24"/>
          <w:lang w:val="en-IN"/>
        </w:rPr>
      </w:pPr>
      <w:r w:rsidRPr="006C55BF">
        <w:rPr>
          <w:sz w:val="24"/>
          <w:szCs w:val="24"/>
          <w:lang w:val="en-IN"/>
        </w:rPr>
        <w:t>Profitability ratios</w:t>
      </w:r>
    </w:p>
    <w:p w14:paraId="0B1909CE" w14:textId="77777777" w:rsidR="006C55BF" w:rsidRPr="006C55BF" w:rsidRDefault="006C55BF" w:rsidP="006C55BF">
      <w:pPr>
        <w:numPr>
          <w:ilvl w:val="0"/>
          <w:numId w:val="91"/>
        </w:numPr>
        <w:spacing w:after="0"/>
        <w:rPr>
          <w:sz w:val="24"/>
          <w:szCs w:val="24"/>
          <w:lang w:val="en-IN"/>
        </w:rPr>
      </w:pPr>
      <w:r w:rsidRPr="006C55BF">
        <w:rPr>
          <w:sz w:val="24"/>
          <w:szCs w:val="24"/>
          <w:lang w:val="en-IN"/>
        </w:rPr>
        <w:t>Liquidity ratios</w:t>
      </w:r>
    </w:p>
    <w:p w14:paraId="5A99E8B2" w14:textId="77777777" w:rsidR="006C55BF" w:rsidRPr="006C55BF" w:rsidRDefault="006C55BF" w:rsidP="006C55BF">
      <w:pPr>
        <w:numPr>
          <w:ilvl w:val="0"/>
          <w:numId w:val="91"/>
        </w:numPr>
        <w:spacing w:after="0"/>
        <w:rPr>
          <w:sz w:val="24"/>
          <w:szCs w:val="24"/>
          <w:lang w:val="en-IN"/>
        </w:rPr>
      </w:pPr>
      <w:r w:rsidRPr="006C55BF">
        <w:rPr>
          <w:sz w:val="24"/>
          <w:szCs w:val="24"/>
          <w:lang w:val="en-IN"/>
        </w:rPr>
        <w:t>Efficiency ratios</w:t>
      </w:r>
    </w:p>
    <w:p w14:paraId="5D80D73B" w14:textId="77777777" w:rsidR="006C55BF" w:rsidRPr="006C55BF" w:rsidRDefault="006C55BF" w:rsidP="006C55BF">
      <w:pPr>
        <w:numPr>
          <w:ilvl w:val="0"/>
          <w:numId w:val="91"/>
        </w:numPr>
        <w:spacing w:after="0"/>
        <w:rPr>
          <w:sz w:val="24"/>
          <w:szCs w:val="24"/>
          <w:lang w:val="en-IN"/>
        </w:rPr>
      </w:pPr>
      <w:r w:rsidRPr="006C55BF">
        <w:rPr>
          <w:sz w:val="24"/>
          <w:szCs w:val="24"/>
          <w:lang w:val="en-IN"/>
        </w:rPr>
        <w:t>Gearing ratios</w:t>
      </w:r>
    </w:p>
    <w:p w14:paraId="32CDDD6F" w14:textId="77777777" w:rsidR="006C55BF" w:rsidRDefault="006C55BF" w:rsidP="006C55BF">
      <w:pPr>
        <w:numPr>
          <w:ilvl w:val="0"/>
          <w:numId w:val="91"/>
        </w:numPr>
        <w:spacing w:after="0"/>
        <w:rPr>
          <w:sz w:val="24"/>
          <w:szCs w:val="24"/>
          <w:lang w:val="en-IN"/>
        </w:rPr>
      </w:pPr>
      <w:r w:rsidRPr="006C55BF">
        <w:rPr>
          <w:sz w:val="24"/>
          <w:szCs w:val="24"/>
          <w:lang w:val="en-IN"/>
        </w:rPr>
        <w:t>Investor ratios</w:t>
      </w:r>
    </w:p>
    <w:p w14:paraId="0ECFDE85" w14:textId="77777777" w:rsidR="006C55BF" w:rsidRPr="006C55BF" w:rsidRDefault="006C55BF" w:rsidP="006C55BF">
      <w:pPr>
        <w:spacing w:after="0"/>
        <w:ind w:left="720"/>
        <w:rPr>
          <w:sz w:val="24"/>
          <w:szCs w:val="24"/>
          <w:lang w:val="en-IN"/>
        </w:rPr>
      </w:pPr>
    </w:p>
    <w:p w14:paraId="1EB4AD7D" w14:textId="77777777" w:rsidR="006C55BF" w:rsidRPr="006C55BF" w:rsidRDefault="006C55BF" w:rsidP="006C55BF">
      <w:pPr>
        <w:rPr>
          <w:sz w:val="24"/>
          <w:szCs w:val="24"/>
          <w:lang w:val="en-IN"/>
        </w:rPr>
      </w:pPr>
      <w:r w:rsidRPr="006C55BF">
        <w:rPr>
          <w:sz w:val="24"/>
          <w:szCs w:val="24"/>
          <w:lang w:val="en-IN"/>
        </w:rPr>
        <w:t>All calculations are presented step-by-step to demonstrate transparency and accuracy, in line with assessment requirements.</w:t>
      </w:r>
    </w:p>
    <w:p w14:paraId="147056CD" w14:textId="77777777" w:rsidR="006C55BF" w:rsidRPr="006C55BF" w:rsidRDefault="006C55BF" w:rsidP="006C55BF">
      <w:pPr>
        <w:rPr>
          <w:b/>
          <w:bCs/>
          <w:sz w:val="24"/>
          <w:szCs w:val="24"/>
          <w:lang w:val="en-IN"/>
        </w:rPr>
      </w:pPr>
      <w:r w:rsidRPr="006C55BF">
        <w:rPr>
          <w:b/>
          <w:bCs/>
          <w:sz w:val="24"/>
          <w:szCs w:val="24"/>
          <w:lang w:val="en-IN"/>
        </w:rPr>
        <w:t>Appendix D: Investment Appraisal Calculations</w:t>
      </w:r>
    </w:p>
    <w:p w14:paraId="34BEA767" w14:textId="77777777" w:rsidR="006C55BF" w:rsidRPr="006C55BF" w:rsidRDefault="006C55BF" w:rsidP="006C55BF">
      <w:pPr>
        <w:rPr>
          <w:sz w:val="24"/>
          <w:szCs w:val="24"/>
          <w:lang w:val="en-IN"/>
        </w:rPr>
      </w:pPr>
      <w:r w:rsidRPr="006C55BF">
        <w:rPr>
          <w:sz w:val="24"/>
          <w:szCs w:val="24"/>
          <w:lang w:val="en-IN"/>
        </w:rPr>
        <w:t>Excel-style tables showing:</w:t>
      </w:r>
    </w:p>
    <w:p w14:paraId="1128E559" w14:textId="77777777" w:rsidR="006C55BF" w:rsidRPr="006C55BF" w:rsidRDefault="006C55BF" w:rsidP="006C55BF">
      <w:pPr>
        <w:numPr>
          <w:ilvl w:val="0"/>
          <w:numId w:val="92"/>
        </w:numPr>
        <w:spacing w:after="0"/>
        <w:rPr>
          <w:sz w:val="24"/>
          <w:szCs w:val="24"/>
          <w:lang w:val="en-IN"/>
        </w:rPr>
      </w:pPr>
      <w:r w:rsidRPr="006C55BF">
        <w:rPr>
          <w:sz w:val="24"/>
          <w:szCs w:val="24"/>
          <w:lang w:val="en-IN"/>
        </w:rPr>
        <w:t>Net Present Value (NPV) calculations for Options A, B, and C</w:t>
      </w:r>
    </w:p>
    <w:p w14:paraId="68F35362" w14:textId="77777777" w:rsidR="006C55BF" w:rsidRPr="006C55BF" w:rsidRDefault="006C55BF" w:rsidP="006C55BF">
      <w:pPr>
        <w:numPr>
          <w:ilvl w:val="0"/>
          <w:numId w:val="92"/>
        </w:numPr>
        <w:spacing w:after="0"/>
        <w:rPr>
          <w:sz w:val="24"/>
          <w:szCs w:val="24"/>
          <w:lang w:val="en-IN"/>
        </w:rPr>
      </w:pPr>
      <w:r w:rsidRPr="006C55BF">
        <w:rPr>
          <w:sz w:val="24"/>
          <w:szCs w:val="24"/>
          <w:lang w:val="en-IN"/>
        </w:rPr>
        <w:t>Internal Rate of Return (IRR) calculation</w:t>
      </w:r>
    </w:p>
    <w:p w14:paraId="59D2BE73" w14:textId="77777777" w:rsidR="006C55BF" w:rsidRPr="006C55BF" w:rsidRDefault="006C55BF" w:rsidP="006C55BF">
      <w:pPr>
        <w:numPr>
          <w:ilvl w:val="0"/>
          <w:numId w:val="92"/>
        </w:numPr>
        <w:spacing w:after="0"/>
        <w:rPr>
          <w:sz w:val="24"/>
          <w:szCs w:val="24"/>
          <w:lang w:val="en-IN"/>
        </w:rPr>
      </w:pPr>
      <w:r w:rsidRPr="006C55BF">
        <w:rPr>
          <w:sz w:val="24"/>
          <w:szCs w:val="24"/>
          <w:lang w:val="en-IN"/>
        </w:rPr>
        <w:t>Discount factors at 6%</w:t>
      </w:r>
    </w:p>
    <w:p w14:paraId="04E1388B" w14:textId="77777777" w:rsidR="006C55BF" w:rsidRDefault="006C55BF" w:rsidP="006C55BF">
      <w:pPr>
        <w:numPr>
          <w:ilvl w:val="0"/>
          <w:numId w:val="92"/>
        </w:numPr>
        <w:spacing w:after="0"/>
        <w:rPr>
          <w:sz w:val="24"/>
          <w:szCs w:val="24"/>
          <w:lang w:val="en-IN"/>
        </w:rPr>
      </w:pPr>
      <w:r w:rsidRPr="006C55BF">
        <w:rPr>
          <w:sz w:val="24"/>
          <w:szCs w:val="24"/>
          <w:lang w:val="en-IN"/>
        </w:rPr>
        <w:t>Tax and capital allowance adjustments</w:t>
      </w:r>
    </w:p>
    <w:p w14:paraId="1BE0509E" w14:textId="77777777" w:rsidR="006C55BF" w:rsidRPr="006C55BF" w:rsidRDefault="006C55BF" w:rsidP="006C55BF">
      <w:pPr>
        <w:spacing w:after="0"/>
        <w:ind w:left="720"/>
        <w:rPr>
          <w:sz w:val="24"/>
          <w:szCs w:val="24"/>
          <w:lang w:val="en-IN"/>
        </w:rPr>
      </w:pPr>
    </w:p>
    <w:p w14:paraId="4F42DC26" w14:textId="77777777" w:rsidR="006C55BF" w:rsidRPr="006C55BF" w:rsidRDefault="006C55BF" w:rsidP="006C55BF">
      <w:pPr>
        <w:rPr>
          <w:b/>
          <w:bCs/>
          <w:sz w:val="24"/>
          <w:szCs w:val="24"/>
          <w:lang w:val="en-IN"/>
        </w:rPr>
      </w:pPr>
      <w:r w:rsidRPr="006C55BF">
        <w:rPr>
          <w:b/>
          <w:bCs/>
          <w:sz w:val="24"/>
          <w:szCs w:val="24"/>
          <w:lang w:val="en-IN"/>
        </w:rPr>
        <w:t>Appendix E: Capital Rationing Analysis</w:t>
      </w:r>
    </w:p>
    <w:p w14:paraId="53048BB9" w14:textId="77777777" w:rsidR="006C55BF" w:rsidRPr="006C55BF" w:rsidRDefault="006C55BF" w:rsidP="006C55BF">
      <w:pPr>
        <w:rPr>
          <w:sz w:val="24"/>
          <w:szCs w:val="24"/>
          <w:lang w:val="en-IN"/>
        </w:rPr>
      </w:pPr>
      <w:r w:rsidRPr="006C55BF">
        <w:rPr>
          <w:sz w:val="24"/>
          <w:szCs w:val="24"/>
          <w:lang w:val="en-IN"/>
        </w:rPr>
        <w:t>Calculation of optimal investment policy under limited capital conditions, including total NPV achieved from the selected investment combination.</w:t>
      </w:r>
    </w:p>
    <w:p w14:paraId="5C19C6AA" w14:textId="77777777" w:rsidR="006C55BF" w:rsidRDefault="006C55BF" w:rsidP="006C55BF">
      <w:pPr>
        <w:rPr>
          <w:b/>
          <w:bCs/>
          <w:sz w:val="24"/>
          <w:szCs w:val="24"/>
          <w:lang w:val="en-IN"/>
        </w:rPr>
      </w:pPr>
    </w:p>
    <w:p w14:paraId="3C3F0010" w14:textId="77777777" w:rsidR="006C55BF" w:rsidRDefault="006C55BF" w:rsidP="006C55BF">
      <w:pPr>
        <w:rPr>
          <w:b/>
          <w:bCs/>
          <w:sz w:val="24"/>
          <w:szCs w:val="24"/>
          <w:lang w:val="en-IN"/>
        </w:rPr>
      </w:pPr>
    </w:p>
    <w:p w14:paraId="010857CC" w14:textId="77777777" w:rsidR="006C55BF" w:rsidRDefault="006C55BF" w:rsidP="006C55BF">
      <w:pPr>
        <w:rPr>
          <w:b/>
          <w:bCs/>
          <w:sz w:val="24"/>
          <w:szCs w:val="24"/>
          <w:lang w:val="en-IN"/>
        </w:rPr>
      </w:pPr>
    </w:p>
    <w:p w14:paraId="707123F4" w14:textId="57F22F2B" w:rsidR="006C55BF" w:rsidRPr="006C55BF" w:rsidRDefault="006C55BF" w:rsidP="006C55BF">
      <w:pPr>
        <w:rPr>
          <w:b/>
          <w:bCs/>
          <w:sz w:val="24"/>
          <w:szCs w:val="24"/>
          <w:lang w:val="en-IN"/>
        </w:rPr>
      </w:pPr>
      <w:r w:rsidRPr="006C55BF">
        <w:rPr>
          <w:b/>
          <w:bCs/>
          <w:sz w:val="24"/>
          <w:szCs w:val="24"/>
          <w:lang w:val="en-IN"/>
        </w:rPr>
        <w:lastRenderedPageBreak/>
        <w:t>Appendix F: Assumptions</w:t>
      </w:r>
    </w:p>
    <w:p w14:paraId="3F7D291F" w14:textId="77777777" w:rsidR="006C55BF" w:rsidRPr="006C55BF" w:rsidRDefault="006C55BF" w:rsidP="006C55BF">
      <w:pPr>
        <w:rPr>
          <w:sz w:val="24"/>
          <w:szCs w:val="24"/>
          <w:lang w:val="en-IN"/>
        </w:rPr>
      </w:pPr>
      <w:r w:rsidRPr="006C55BF">
        <w:rPr>
          <w:sz w:val="24"/>
          <w:szCs w:val="24"/>
          <w:lang w:val="en-IN"/>
        </w:rPr>
        <w:t>Summary of assumptions used in Task 2, including:</w:t>
      </w:r>
    </w:p>
    <w:p w14:paraId="3F9F703D" w14:textId="77777777" w:rsidR="006C55BF" w:rsidRPr="006C55BF" w:rsidRDefault="006C55BF" w:rsidP="006C55BF">
      <w:pPr>
        <w:numPr>
          <w:ilvl w:val="0"/>
          <w:numId w:val="93"/>
        </w:numPr>
        <w:spacing w:after="0"/>
        <w:rPr>
          <w:sz w:val="24"/>
          <w:szCs w:val="24"/>
          <w:lang w:val="en-IN"/>
        </w:rPr>
      </w:pPr>
      <w:r w:rsidRPr="006C55BF">
        <w:rPr>
          <w:sz w:val="24"/>
          <w:szCs w:val="24"/>
          <w:lang w:val="en-IN"/>
        </w:rPr>
        <w:t>Cost of capital</w:t>
      </w:r>
    </w:p>
    <w:p w14:paraId="62A1B62A" w14:textId="77777777" w:rsidR="006C55BF" w:rsidRPr="006C55BF" w:rsidRDefault="006C55BF" w:rsidP="006C55BF">
      <w:pPr>
        <w:numPr>
          <w:ilvl w:val="0"/>
          <w:numId w:val="93"/>
        </w:numPr>
        <w:spacing w:after="0"/>
        <w:rPr>
          <w:sz w:val="24"/>
          <w:szCs w:val="24"/>
          <w:lang w:val="en-IN"/>
        </w:rPr>
      </w:pPr>
      <w:r w:rsidRPr="006C55BF">
        <w:rPr>
          <w:sz w:val="24"/>
          <w:szCs w:val="24"/>
          <w:lang w:val="en-IN"/>
        </w:rPr>
        <w:t>Tax rate</w:t>
      </w:r>
    </w:p>
    <w:p w14:paraId="70D65993" w14:textId="77777777" w:rsidR="006C55BF" w:rsidRPr="006C55BF" w:rsidRDefault="006C55BF" w:rsidP="006C55BF">
      <w:pPr>
        <w:numPr>
          <w:ilvl w:val="0"/>
          <w:numId w:val="93"/>
        </w:numPr>
        <w:spacing w:after="0"/>
        <w:rPr>
          <w:sz w:val="24"/>
          <w:szCs w:val="24"/>
          <w:lang w:val="en-IN"/>
        </w:rPr>
      </w:pPr>
      <w:r w:rsidRPr="006C55BF">
        <w:rPr>
          <w:sz w:val="24"/>
          <w:szCs w:val="24"/>
          <w:lang w:val="en-IN"/>
        </w:rPr>
        <w:t>Capital allowance treatment</w:t>
      </w:r>
    </w:p>
    <w:p w14:paraId="6A3740F4" w14:textId="77777777" w:rsidR="006C55BF" w:rsidRPr="006C55BF" w:rsidRDefault="006C55BF" w:rsidP="006C55BF">
      <w:pPr>
        <w:numPr>
          <w:ilvl w:val="0"/>
          <w:numId w:val="93"/>
        </w:numPr>
        <w:spacing w:after="0"/>
        <w:rPr>
          <w:sz w:val="24"/>
          <w:szCs w:val="24"/>
          <w:lang w:val="en-IN"/>
        </w:rPr>
      </w:pPr>
      <w:r w:rsidRPr="006C55BF">
        <w:rPr>
          <w:sz w:val="24"/>
          <w:szCs w:val="24"/>
          <w:lang w:val="en-IN"/>
        </w:rPr>
        <w:t>Timing of cash flows</w:t>
      </w:r>
    </w:p>
    <w:p w14:paraId="1A30234B" w14:textId="2A711C79" w:rsidR="00B36A46" w:rsidRPr="00B36A46" w:rsidRDefault="00B36A46" w:rsidP="00020313">
      <w:pPr>
        <w:rPr>
          <w:b/>
          <w:bCs/>
        </w:rPr>
      </w:pPr>
    </w:p>
    <w:sectPr w:rsidR="00B36A46" w:rsidRPr="00B36A46" w:rsidSect="00FB5E37">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68094D" w14:textId="77777777" w:rsidR="003F7059" w:rsidRDefault="003F7059" w:rsidP="00FB5E37">
      <w:pPr>
        <w:spacing w:after="0" w:line="240" w:lineRule="auto"/>
      </w:pPr>
      <w:r>
        <w:separator/>
      </w:r>
    </w:p>
  </w:endnote>
  <w:endnote w:type="continuationSeparator" w:id="0">
    <w:p w14:paraId="48447758" w14:textId="77777777" w:rsidR="003F7059" w:rsidRDefault="003F7059" w:rsidP="00FB5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0EC26" w14:textId="77777777" w:rsidR="00904DAD" w:rsidRDefault="00904DAD">
    <w:pPr>
      <w:pBdr>
        <w:left w:val="single" w:sz="12" w:space="11" w:color="4F81BD" w:themeColor="accent1"/>
      </w:pBdr>
      <w:tabs>
        <w:tab w:val="left" w:pos="622"/>
      </w:tabs>
      <w:spacing w:after="0"/>
      <w:rPr>
        <w:rFonts w:asciiTheme="majorHAnsi" w:eastAsiaTheme="majorEastAsia" w:hAnsiTheme="majorHAnsi" w:cstheme="majorBidi"/>
        <w:color w:val="365F91" w:themeColor="accent1" w:themeShade="BF"/>
        <w:sz w:val="26"/>
        <w:szCs w:val="26"/>
      </w:rPr>
    </w:pPr>
    <w:r>
      <w:rPr>
        <w:rFonts w:asciiTheme="majorHAnsi" w:eastAsiaTheme="majorEastAsia" w:hAnsiTheme="majorHAnsi" w:cstheme="majorBidi"/>
        <w:color w:val="365F91" w:themeColor="accent1" w:themeShade="BF"/>
        <w:sz w:val="26"/>
        <w:szCs w:val="26"/>
      </w:rPr>
      <w:fldChar w:fldCharType="begin"/>
    </w:r>
    <w:r>
      <w:rPr>
        <w:rFonts w:asciiTheme="majorHAnsi" w:eastAsiaTheme="majorEastAsia" w:hAnsiTheme="majorHAnsi" w:cstheme="majorBidi"/>
        <w:color w:val="365F91" w:themeColor="accent1" w:themeShade="BF"/>
        <w:sz w:val="26"/>
        <w:szCs w:val="26"/>
      </w:rPr>
      <w:instrText xml:space="preserve"> PAGE   \* MERGEFORMAT </w:instrText>
    </w:r>
    <w:r>
      <w:rPr>
        <w:rFonts w:asciiTheme="majorHAnsi" w:eastAsiaTheme="majorEastAsia" w:hAnsiTheme="majorHAnsi" w:cstheme="majorBidi"/>
        <w:color w:val="365F91" w:themeColor="accent1" w:themeShade="BF"/>
        <w:sz w:val="26"/>
        <w:szCs w:val="26"/>
      </w:rPr>
      <w:fldChar w:fldCharType="separate"/>
    </w:r>
    <w:r>
      <w:rPr>
        <w:rFonts w:asciiTheme="majorHAnsi" w:eastAsiaTheme="majorEastAsia" w:hAnsiTheme="majorHAnsi" w:cstheme="majorBidi"/>
        <w:noProof/>
        <w:color w:val="365F91" w:themeColor="accent1" w:themeShade="BF"/>
        <w:sz w:val="26"/>
        <w:szCs w:val="26"/>
      </w:rPr>
      <w:t>2</w:t>
    </w:r>
    <w:r>
      <w:rPr>
        <w:rFonts w:asciiTheme="majorHAnsi" w:eastAsiaTheme="majorEastAsia" w:hAnsiTheme="majorHAnsi" w:cstheme="majorBidi"/>
        <w:noProof/>
        <w:color w:val="365F91" w:themeColor="accent1" w:themeShade="BF"/>
        <w:sz w:val="26"/>
        <w:szCs w:val="26"/>
      </w:rPr>
      <w:fldChar w:fldCharType="end"/>
    </w:r>
  </w:p>
  <w:p w14:paraId="301CFC74" w14:textId="4AA94DF7" w:rsidR="00FB5E37" w:rsidRDefault="00FB5E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2D41F" w14:textId="77777777" w:rsidR="003F7059" w:rsidRDefault="003F7059" w:rsidP="00FB5E37">
      <w:pPr>
        <w:spacing w:after="0" w:line="240" w:lineRule="auto"/>
      </w:pPr>
      <w:r>
        <w:separator/>
      </w:r>
    </w:p>
  </w:footnote>
  <w:footnote w:type="continuationSeparator" w:id="0">
    <w:p w14:paraId="4FFB8510" w14:textId="77777777" w:rsidR="003F7059" w:rsidRDefault="003F7059" w:rsidP="00FB5E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B00BC5"/>
    <w:multiLevelType w:val="multilevel"/>
    <w:tmpl w:val="91F29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1716C3A"/>
    <w:multiLevelType w:val="multilevel"/>
    <w:tmpl w:val="55E0E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1C212E2"/>
    <w:multiLevelType w:val="multilevel"/>
    <w:tmpl w:val="4A5AE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24D6F0C"/>
    <w:multiLevelType w:val="multilevel"/>
    <w:tmpl w:val="C4D47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26C2715"/>
    <w:multiLevelType w:val="multilevel"/>
    <w:tmpl w:val="1D361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5165E68"/>
    <w:multiLevelType w:val="multilevel"/>
    <w:tmpl w:val="E7509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9C5001F"/>
    <w:multiLevelType w:val="multilevel"/>
    <w:tmpl w:val="8E805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C387357"/>
    <w:multiLevelType w:val="multilevel"/>
    <w:tmpl w:val="41466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CA67BEF"/>
    <w:multiLevelType w:val="multilevel"/>
    <w:tmpl w:val="A59A7E4A"/>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DBB734B"/>
    <w:multiLevelType w:val="multilevel"/>
    <w:tmpl w:val="BA98D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DEF305F"/>
    <w:multiLevelType w:val="multilevel"/>
    <w:tmpl w:val="CD7A4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0E43AAB"/>
    <w:multiLevelType w:val="multilevel"/>
    <w:tmpl w:val="FDC4D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3A67FD9"/>
    <w:multiLevelType w:val="multilevel"/>
    <w:tmpl w:val="F3302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4147C7E"/>
    <w:multiLevelType w:val="multilevel"/>
    <w:tmpl w:val="8C867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4176294"/>
    <w:multiLevelType w:val="multilevel"/>
    <w:tmpl w:val="37D65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99F1637"/>
    <w:multiLevelType w:val="multilevel"/>
    <w:tmpl w:val="E3FAB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AD64089"/>
    <w:multiLevelType w:val="multilevel"/>
    <w:tmpl w:val="3710C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B3152B4"/>
    <w:multiLevelType w:val="multilevel"/>
    <w:tmpl w:val="E26A7C5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195"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BEE1FFC"/>
    <w:multiLevelType w:val="multilevel"/>
    <w:tmpl w:val="9A448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D934500"/>
    <w:multiLevelType w:val="multilevel"/>
    <w:tmpl w:val="86DC1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FEB2E21"/>
    <w:multiLevelType w:val="multilevel"/>
    <w:tmpl w:val="C5F85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02A2205"/>
    <w:multiLevelType w:val="multilevel"/>
    <w:tmpl w:val="86389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0F46040"/>
    <w:multiLevelType w:val="multilevel"/>
    <w:tmpl w:val="6CEE5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2D578FC"/>
    <w:multiLevelType w:val="multilevel"/>
    <w:tmpl w:val="5478D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3FD495C"/>
    <w:multiLevelType w:val="multilevel"/>
    <w:tmpl w:val="14986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47716C5"/>
    <w:multiLevelType w:val="multilevel"/>
    <w:tmpl w:val="55D8C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56D0743"/>
    <w:multiLevelType w:val="multilevel"/>
    <w:tmpl w:val="84C02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69321BB"/>
    <w:multiLevelType w:val="multilevel"/>
    <w:tmpl w:val="742E7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26F952E7"/>
    <w:multiLevelType w:val="multilevel"/>
    <w:tmpl w:val="66DA2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931083D"/>
    <w:multiLevelType w:val="multilevel"/>
    <w:tmpl w:val="88607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9CC2690"/>
    <w:multiLevelType w:val="multilevel"/>
    <w:tmpl w:val="1E46B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AD736DD"/>
    <w:multiLevelType w:val="multilevel"/>
    <w:tmpl w:val="154E9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AF36067"/>
    <w:multiLevelType w:val="multilevel"/>
    <w:tmpl w:val="50321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B603835"/>
    <w:multiLevelType w:val="multilevel"/>
    <w:tmpl w:val="0E10C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C876254"/>
    <w:multiLevelType w:val="multilevel"/>
    <w:tmpl w:val="15EAF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D792EB7"/>
    <w:multiLevelType w:val="multilevel"/>
    <w:tmpl w:val="DB169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DD03798"/>
    <w:multiLevelType w:val="multilevel"/>
    <w:tmpl w:val="0F00C23A"/>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2E2C0D50"/>
    <w:multiLevelType w:val="multilevel"/>
    <w:tmpl w:val="E4FC4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E5F41B8"/>
    <w:multiLevelType w:val="multilevel"/>
    <w:tmpl w:val="EF2C2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2FDB2C7F"/>
    <w:multiLevelType w:val="multilevel"/>
    <w:tmpl w:val="894A3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05B5C74"/>
    <w:multiLevelType w:val="multilevel"/>
    <w:tmpl w:val="4E4C3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1B938E3"/>
    <w:multiLevelType w:val="multilevel"/>
    <w:tmpl w:val="361C1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7F45219"/>
    <w:multiLevelType w:val="multilevel"/>
    <w:tmpl w:val="945AE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99B2C37"/>
    <w:multiLevelType w:val="multilevel"/>
    <w:tmpl w:val="D3ECA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3AD52D8F"/>
    <w:multiLevelType w:val="multilevel"/>
    <w:tmpl w:val="05CE0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AEE0A07"/>
    <w:multiLevelType w:val="multilevel"/>
    <w:tmpl w:val="CE9E3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B630E7E"/>
    <w:multiLevelType w:val="multilevel"/>
    <w:tmpl w:val="2F289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C5A7F45"/>
    <w:multiLevelType w:val="multilevel"/>
    <w:tmpl w:val="A7922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04B2CAA"/>
    <w:multiLevelType w:val="multilevel"/>
    <w:tmpl w:val="7FB60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1050C89"/>
    <w:multiLevelType w:val="multilevel"/>
    <w:tmpl w:val="084E1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2E0581D"/>
    <w:multiLevelType w:val="multilevel"/>
    <w:tmpl w:val="3646A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3C808F0"/>
    <w:multiLevelType w:val="multilevel"/>
    <w:tmpl w:val="FD427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466305C"/>
    <w:multiLevelType w:val="multilevel"/>
    <w:tmpl w:val="E6669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73F6E64"/>
    <w:multiLevelType w:val="multilevel"/>
    <w:tmpl w:val="6C6E3CAC"/>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4A3C36C1"/>
    <w:multiLevelType w:val="multilevel"/>
    <w:tmpl w:val="A8E63208"/>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4CC978B9"/>
    <w:multiLevelType w:val="hybridMultilevel"/>
    <w:tmpl w:val="576AF0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5" w15:restartNumberingAfterBreak="0">
    <w:nsid w:val="4D284000"/>
    <w:multiLevelType w:val="multilevel"/>
    <w:tmpl w:val="091CC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ECD65BB"/>
    <w:multiLevelType w:val="multilevel"/>
    <w:tmpl w:val="16EE2C1E"/>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52780D9B"/>
    <w:multiLevelType w:val="multilevel"/>
    <w:tmpl w:val="5016D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578138D"/>
    <w:multiLevelType w:val="multilevel"/>
    <w:tmpl w:val="8F0C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6356A72"/>
    <w:multiLevelType w:val="multilevel"/>
    <w:tmpl w:val="F0103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70E771E"/>
    <w:multiLevelType w:val="multilevel"/>
    <w:tmpl w:val="1B6A2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F906B9D"/>
    <w:multiLevelType w:val="multilevel"/>
    <w:tmpl w:val="515A3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0A97595"/>
    <w:multiLevelType w:val="multilevel"/>
    <w:tmpl w:val="614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1E2677B"/>
    <w:multiLevelType w:val="multilevel"/>
    <w:tmpl w:val="67708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2AE68D5"/>
    <w:multiLevelType w:val="multilevel"/>
    <w:tmpl w:val="26561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62C15DE9"/>
    <w:multiLevelType w:val="multilevel"/>
    <w:tmpl w:val="0D049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3AC7799"/>
    <w:multiLevelType w:val="multilevel"/>
    <w:tmpl w:val="26C6ED7C"/>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6855565"/>
    <w:multiLevelType w:val="multilevel"/>
    <w:tmpl w:val="84C03732"/>
    <w:lvl w:ilvl="0">
      <w:start w:val="4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66977D5C"/>
    <w:multiLevelType w:val="multilevel"/>
    <w:tmpl w:val="F0905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68D914A2"/>
    <w:multiLevelType w:val="multilevel"/>
    <w:tmpl w:val="677EA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F404C96"/>
    <w:multiLevelType w:val="multilevel"/>
    <w:tmpl w:val="BA083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090077B"/>
    <w:multiLevelType w:val="multilevel"/>
    <w:tmpl w:val="458EE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5661871"/>
    <w:multiLevelType w:val="multilevel"/>
    <w:tmpl w:val="A48E5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6AD158B"/>
    <w:multiLevelType w:val="multilevel"/>
    <w:tmpl w:val="57AA7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79295BA4"/>
    <w:multiLevelType w:val="multilevel"/>
    <w:tmpl w:val="D84C9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9870B57"/>
    <w:multiLevelType w:val="multilevel"/>
    <w:tmpl w:val="72E4F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9FB5DE2"/>
    <w:multiLevelType w:val="multilevel"/>
    <w:tmpl w:val="C18E0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A0E4039"/>
    <w:multiLevelType w:val="multilevel"/>
    <w:tmpl w:val="F4CAA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A6D6A82"/>
    <w:multiLevelType w:val="multilevel"/>
    <w:tmpl w:val="87F89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BEA0F04"/>
    <w:multiLevelType w:val="multilevel"/>
    <w:tmpl w:val="70225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EB11DB4"/>
    <w:multiLevelType w:val="multilevel"/>
    <w:tmpl w:val="87AA12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7ED6329B"/>
    <w:multiLevelType w:val="multilevel"/>
    <w:tmpl w:val="231A1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F682053"/>
    <w:multiLevelType w:val="multilevel"/>
    <w:tmpl w:val="8FC4F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3430460">
    <w:abstractNumId w:val="8"/>
  </w:num>
  <w:num w:numId="2" w16cid:durableId="1869053896">
    <w:abstractNumId w:val="6"/>
  </w:num>
  <w:num w:numId="3" w16cid:durableId="523448814">
    <w:abstractNumId w:val="5"/>
  </w:num>
  <w:num w:numId="4" w16cid:durableId="2054495838">
    <w:abstractNumId w:val="4"/>
  </w:num>
  <w:num w:numId="5" w16cid:durableId="248001280">
    <w:abstractNumId w:val="7"/>
  </w:num>
  <w:num w:numId="6" w16cid:durableId="331497630">
    <w:abstractNumId w:val="3"/>
  </w:num>
  <w:num w:numId="7" w16cid:durableId="224150939">
    <w:abstractNumId w:val="2"/>
  </w:num>
  <w:num w:numId="8" w16cid:durableId="643659004">
    <w:abstractNumId w:val="1"/>
  </w:num>
  <w:num w:numId="9" w16cid:durableId="10452386">
    <w:abstractNumId w:val="0"/>
  </w:num>
  <w:num w:numId="10" w16cid:durableId="1638144767">
    <w:abstractNumId w:val="58"/>
  </w:num>
  <w:num w:numId="11" w16cid:durableId="752052365">
    <w:abstractNumId w:val="61"/>
  </w:num>
  <w:num w:numId="12" w16cid:durableId="507408709">
    <w:abstractNumId w:val="51"/>
  </w:num>
  <w:num w:numId="13" w16cid:durableId="200897633">
    <w:abstractNumId w:val="54"/>
  </w:num>
  <w:num w:numId="14" w16cid:durableId="1008362250">
    <w:abstractNumId w:val="13"/>
  </w:num>
  <w:num w:numId="15" w16cid:durableId="682510036">
    <w:abstractNumId w:val="50"/>
  </w:num>
  <w:num w:numId="16" w16cid:durableId="1460495105">
    <w:abstractNumId w:val="68"/>
  </w:num>
  <w:num w:numId="17" w16cid:durableId="183133321">
    <w:abstractNumId w:val="80"/>
  </w:num>
  <w:num w:numId="18" w16cid:durableId="528494148">
    <w:abstractNumId w:val="53"/>
  </w:num>
  <w:num w:numId="19" w16cid:durableId="1668048097">
    <w:abstractNumId w:val="42"/>
  </w:num>
  <w:num w:numId="20" w16cid:durableId="2128087380">
    <w:abstractNumId w:val="60"/>
  </w:num>
  <w:num w:numId="21" w16cid:durableId="1217743355">
    <w:abstractNumId w:val="24"/>
  </w:num>
  <w:num w:numId="22" w16cid:durableId="607546639">
    <w:abstractNumId w:val="18"/>
  </w:num>
  <w:num w:numId="23" w16cid:durableId="1499230833">
    <w:abstractNumId w:val="33"/>
  </w:num>
  <w:num w:numId="24" w16cid:durableId="1520579021">
    <w:abstractNumId w:val="67"/>
  </w:num>
  <w:num w:numId="25" w16cid:durableId="1870214057">
    <w:abstractNumId w:val="56"/>
  </w:num>
  <w:num w:numId="26" w16cid:durableId="349795684">
    <w:abstractNumId w:val="14"/>
  </w:num>
  <w:num w:numId="27" w16cid:durableId="117340822">
    <w:abstractNumId w:val="57"/>
  </w:num>
  <w:num w:numId="28" w16cid:durableId="526911552">
    <w:abstractNumId w:val="39"/>
  </w:num>
  <w:num w:numId="29" w16cid:durableId="1152915847">
    <w:abstractNumId w:val="31"/>
  </w:num>
  <w:num w:numId="30" w16cid:durableId="1914656494">
    <w:abstractNumId w:val="11"/>
  </w:num>
  <w:num w:numId="31" w16cid:durableId="25103887">
    <w:abstractNumId w:val="83"/>
  </w:num>
  <w:num w:numId="32" w16cid:durableId="435298603">
    <w:abstractNumId w:val="92"/>
  </w:num>
  <w:num w:numId="33" w16cid:durableId="1038625974">
    <w:abstractNumId w:val="29"/>
  </w:num>
  <w:num w:numId="34" w16cid:durableId="1707559993">
    <w:abstractNumId w:val="81"/>
  </w:num>
  <w:num w:numId="35" w16cid:durableId="963462479">
    <w:abstractNumId w:val="86"/>
  </w:num>
  <w:num w:numId="36" w16cid:durableId="1508011061">
    <w:abstractNumId w:val="30"/>
  </w:num>
  <w:num w:numId="37" w16cid:durableId="28265924">
    <w:abstractNumId w:val="16"/>
  </w:num>
  <w:num w:numId="38" w16cid:durableId="1362902684">
    <w:abstractNumId w:val="20"/>
  </w:num>
  <w:num w:numId="39" w16cid:durableId="288777812">
    <w:abstractNumId w:val="43"/>
  </w:num>
  <w:num w:numId="40" w16cid:durableId="1122697757">
    <w:abstractNumId w:val="64"/>
  </w:num>
  <w:num w:numId="41" w16cid:durableId="99111579">
    <w:abstractNumId w:val="37"/>
  </w:num>
  <w:num w:numId="42" w16cid:durableId="1617563200">
    <w:abstractNumId w:val="44"/>
  </w:num>
  <w:num w:numId="43" w16cid:durableId="1114011328">
    <w:abstractNumId w:val="70"/>
  </w:num>
  <w:num w:numId="44" w16cid:durableId="692807796">
    <w:abstractNumId w:val="79"/>
  </w:num>
  <w:num w:numId="45" w16cid:durableId="25378166">
    <w:abstractNumId w:val="89"/>
  </w:num>
  <w:num w:numId="46" w16cid:durableId="1269966263">
    <w:abstractNumId w:val="88"/>
  </w:num>
  <w:num w:numId="47" w16cid:durableId="393622476">
    <w:abstractNumId w:val="21"/>
  </w:num>
  <w:num w:numId="48" w16cid:durableId="838618146">
    <w:abstractNumId w:val="72"/>
  </w:num>
  <w:num w:numId="49" w16cid:durableId="2020308393">
    <w:abstractNumId w:val="82"/>
  </w:num>
  <w:num w:numId="50" w16cid:durableId="1726683745">
    <w:abstractNumId w:val="40"/>
  </w:num>
  <w:num w:numId="51" w16cid:durableId="1124275590">
    <w:abstractNumId w:val="46"/>
  </w:num>
  <w:num w:numId="52" w16cid:durableId="218522208">
    <w:abstractNumId w:val="38"/>
  </w:num>
  <w:num w:numId="53" w16cid:durableId="1168640154">
    <w:abstractNumId w:val="27"/>
  </w:num>
  <w:num w:numId="54" w16cid:durableId="1425613149">
    <w:abstractNumId w:val="35"/>
  </w:num>
  <w:num w:numId="55" w16cid:durableId="1186670293">
    <w:abstractNumId w:val="25"/>
  </w:num>
  <w:num w:numId="56" w16cid:durableId="630943667">
    <w:abstractNumId w:val="84"/>
  </w:num>
  <w:num w:numId="57" w16cid:durableId="665132901">
    <w:abstractNumId w:val="10"/>
  </w:num>
  <w:num w:numId="58" w16cid:durableId="376397846">
    <w:abstractNumId w:val="91"/>
  </w:num>
  <w:num w:numId="59" w16cid:durableId="156506638">
    <w:abstractNumId w:val="12"/>
  </w:num>
  <w:num w:numId="60" w16cid:durableId="817915257">
    <w:abstractNumId w:val="28"/>
  </w:num>
  <w:num w:numId="61" w16cid:durableId="419765433">
    <w:abstractNumId w:val="41"/>
  </w:num>
  <w:num w:numId="62" w16cid:durableId="675688622">
    <w:abstractNumId w:val="36"/>
  </w:num>
  <w:num w:numId="63" w16cid:durableId="1635019292">
    <w:abstractNumId w:val="49"/>
  </w:num>
  <w:num w:numId="64" w16cid:durableId="1652294009">
    <w:abstractNumId w:val="85"/>
  </w:num>
  <w:num w:numId="65" w16cid:durableId="1023439860">
    <w:abstractNumId w:val="48"/>
  </w:num>
  <w:num w:numId="66" w16cid:durableId="181554246">
    <w:abstractNumId w:val="55"/>
  </w:num>
  <w:num w:numId="67" w16cid:durableId="1878197864">
    <w:abstractNumId w:val="65"/>
  </w:num>
  <w:num w:numId="68" w16cid:durableId="487096277">
    <w:abstractNumId w:val="74"/>
  </w:num>
  <w:num w:numId="69" w16cid:durableId="1347175285">
    <w:abstractNumId w:val="59"/>
  </w:num>
  <w:num w:numId="70" w16cid:durableId="1486238072">
    <w:abstractNumId w:val="22"/>
  </w:num>
  <w:num w:numId="71" w16cid:durableId="628315332">
    <w:abstractNumId w:val="90"/>
  </w:num>
  <w:num w:numId="72" w16cid:durableId="943264796">
    <w:abstractNumId w:val="26"/>
  </w:num>
  <w:num w:numId="73" w16cid:durableId="884874104">
    <w:abstractNumId w:val="32"/>
  </w:num>
  <w:num w:numId="74" w16cid:durableId="2054422618">
    <w:abstractNumId w:val="76"/>
  </w:num>
  <w:num w:numId="75" w16cid:durableId="419760700">
    <w:abstractNumId w:val="73"/>
  </w:num>
  <w:num w:numId="76" w16cid:durableId="1366565465">
    <w:abstractNumId w:val="71"/>
  </w:num>
  <w:num w:numId="77" w16cid:durableId="1485002357">
    <w:abstractNumId w:val="87"/>
  </w:num>
  <w:num w:numId="78" w16cid:durableId="726341031">
    <w:abstractNumId w:val="19"/>
  </w:num>
  <w:num w:numId="79" w16cid:durableId="1001733159">
    <w:abstractNumId w:val="75"/>
  </w:num>
  <w:num w:numId="80" w16cid:durableId="969243934">
    <w:abstractNumId w:val="78"/>
  </w:num>
  <w:num w:numId="81" w16cid:durableId="1482187575">
    <w:abstractNumId w:val="9"/>
  </w:num>
  <w:num w:numId="82" w16cid:durableId="1624310224">
    <w:abstractNumId w:val="15"/>
  </w:num>
  <w:num w:numId="83" w16cid:durableId="1528059773">
    <w:abstractNumId w:val="23"/>
  </w:num>
  <w:num w:numId="84" w16cid:durableId="2035304280">
    <w:abstractNumId w:val="47"/>
  </w:num>
  <w:num w:numId="85" w16cid:durableId="2029943700">
    <w:abstractNumId w:val="62"/>
  </w:num>
  <w:num w:numId="86" w16cid:durableId="1739983063">
    <w:abstractNumId w:val="45"/>
  </w:num>
  <w:num w:numId="87" w16cid:durableId="1627731342">
    <w:abstractNumId w:val="66"/>
  </w:num>
  <w:num w:numId="88" w16cid:durableId="1404792969">
    <w:abstractNumId w:val="63"/>
  </w:num>
  <w:num w:numId="89" w16cid:durableId="578095847">
    <w:abstractNumId w:val="17"/>
  </w:num>
  <w:num w:numId="90" w16cid:durableId="32970098">
    <w:abstractNumId w:val="77"/>
  </w:num>
  <w:num w:numId="91" w16cid:durableId="398406329">
    <w:abstractNumId w:val="52"/>
  </w:num>
  <w:num w:numId="92" w16cid:durableId="411128108">
    <w:abstractNumId w:val="34"/>
  </w:num>
  <w:num w:numId="93" w16cid:durableId="1543976964">
    <w:abstractNumId w:val="6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0313"/>
    <w:rsid w:val="00034616"/>
    <w:rsid w:val="00055961"/>
    <w:rsid w:val="0006063C"/>
    <w:rsid w:val="00066622"/>
    <w:rsid w:val="000666FA"/>
    <w:rsid w:val="000A3449"/>
    <w:rsid w:val="000B4F53"/>
    <w:rsid w:val="000C0F85"/>
    <w:rsid w:val="000E4246"/>
    <w:rsid w:val="000F0BA7"/>
    <w:rsid w:val="001173C1"/>
    <w:rsid w:val="0012262C"/>
    <w:rsid w:val="001348C2"/>
    <w:rsid w:val="0015074B"/>
    <w:rsid w:val="0017649E"/>
    <w:rsid w:val="001D552E"/>
    <w:rsid w:val="001F7A33"/>
    <w:rsid w:val="00224597"/>
    <w:rsid w:val="0029639D"/>
    <w:rsid w:val="002A78E5"/>
    <w:rsid w:val="0032493A"/>
    <w:rsid w:val="00326F90"/>
    <w:rsid w:val="00327F71"/>
    <w:rsid w:val="003849FF"/>
    <w:rsid w:val="003C7BC8"/>
    <w:rsid w:val="003D67EC"/>
    <w:rsid w:val="003E3456"/>
    <w:rsid w:val="003F7059"/>
    <w:rsid w:val="00446EE3"/>
    <w:rsid w:val="00456428"/>
    <w:rsid w:val="00481465"/>
    <w:rsid w:val="00496B73"/>
    <w:rsid w:val="004A2557"/>
    <w:rsid w:val="004A7931"/>
    <w:rsid w:val="004C1549"/>
    <w:rsid w:val="004E67F7"/>
    <w:rsid w:val="004E746D"/>
    <w:rsid w:val="005279F3"/>
    <w:rsid w:val="00542C05"/>
    <w:rsid w:val="00594570"/>
    <w:rsid w:val="005A747D"/>
    <w:rsid w:val="005D318F"/>
    <w:rsid w:val="005D61D7"/>
    <w:rsid w:val="006034F8"/>
    <w:rsid w:val="00627D0A"/>
    <w:rsid w:val="00644712"/>
    <w:rsid w:val="00676772"/>
    <w:rsid w:val="006868A0"/>
    <w:rsid w:val="006C55BF"/>
    <w:rsid w:val="006D6B8F"/>
    <w:rsid w:val="006E207F"/>
    <w:rsid w:val="007304EF"/>
    <w:rsid w:val="007767E4"/>
    <w:rsid w:val="00784D00"/>
    <w:rsid w:val="007E0F23"/>
    <w:rsid w:val="007E4F87"/>
    <w:rsid w:val="00800701"/>
    <w:rsid w:val="00810465"/>
    <w:rsid w:val="008529C5"/>
    <w:rsid w:val="00896304"/>
    <w:rsid w:val="008A2E83"/>
    <w:rsid w:val="008E0593"/>
    <w:rsid w:val="008E7E0A"/>
    <w:rsid w:val="008F5042"/>
    <w:rsid w:val="00904DAD"/>
    <w:rsid w:val="00920A0A"/>
    <w:rsid w:val="0094048B"/>
    <w:rsid w:val="0094057F"/>
    <w:rsid w:val="00941B2F"/>
    <w:rsid w:val="009443CE"/>
    <w:rsid w:val="00950B07"/>
    <w:rsid w:val="0098297A"/>
    <w:rsid w:val="009E2098"/>
    <w:rsid w:val="00A0793C"/>
    <w:rsid w:val="00A1524E"/>
    <w:rsid w:val="00A373B0"/>
    <w:rsid w:val="00AA11A8"/>
    <w:rsid w:val="00AA1D8D"/>
    <w:rsid w:val="00AE7AD5"/>
    <w:rsid w:val="00B06214"/>
    <w:rsid w:val="00B20107"/>
    <w:rsid w:val="00B2085D"/>
    <w:rsid w:val="00B36A46"/>
    <w:rsid w:val="00B47730"/>
    <w:rsid w:val="00B47C5C"/>
    <w:rsid w:val="00B70EA1"/>
    <w:rsid w:val="00B87A4A"/>
    <w:rsid w:val="00BA6F39"/>
    <w:rsid w:val="00BD1780"/>
    <w:rsid w:val="00BD633A"/>
    <w:rsid w:val="00C062CD"/>
    <w:rsid w:val="00C67828"/>
    <w:rsid w:val="00C85A8F"/>
    <w:rsid w:val="00C85C18"/>
    <w:rsid w:val="00CB0664"/>
    <w:rsid w:val="00CB78AB"/>
    <w:rsid w:val="00CC0071"/>
    <w:rsid w:val="00CD5429"/>
    <w:rsid w:val="00D001CF"/>
    <w:rsid w:val="00D507C2"/>
    <w:rsid w:val="00D77149"/>
    <w:rsid w:val="00D87DC7"/>
    <w:rsid w:val="00D9123A"/>
    <w:rsid w:val="00DD2AF5"/>
    <w:rsid w:val="00DE0657"/>
    <w:rsid w:val="00DF7CB4"/>
    <w:rsid w:val="00E44818"/>
    <w:rsid w:val="00EE501F"/>
    <w:rsid w:val="00EE52D2"/>
    <w:rsid w:val="00EF17D3"/>
    <w:rsid w:val="00F07819"/>
    <w:rsid w:val="00F35FCB"/>
    <w:rsid w:val="00F60EA2"/>
    <w:rsid w:val="00F70DB6"/>
    <w:rsid w:val="00F92232"/>
    <w:rsid w:val="00FB2F3B"/>
    <w:rsid w:val="00FB5E3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B3F8E7C"/>
  <w14:defaultImageDpi w14:val="300"/>
  <w15:docId w15:val="{9C96F301-3259-47A6-B9ED-2666FAB7C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5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5Dark-Accent1">
    <w:name w:val="Grid Table 5 Dark Accent 1"/>
    <w:basedOn w:val="TableNormal"/>
    <w:uiPriority w:val="50"/>
    <w:rsid w:val="004E67F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4-Accent1">
    <w:name w:val="Grid Table 4 Accent 1"/>
    <w:basedOn w:val="TableNormal"/>
    <w:uiPriority w:val="49"/>
    <w:rsid w:val="00DE0657"/>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3-Accent1">
    <w:name w:val="Grid Table 3 Accent 1"/>
    <w:basedOn w:val="TableNormal"/>
    <w:uiPriority w:val="48"/>
    <w:rsid w:val="00B36A46"/>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paragraph" w:styleId="TOC2">
    <w:name w:val="toc 2"/>
    <w:basedOn w:val="Normal"/>
    <w:next w:val="Normal"/>
    <w:autoRedefine/>
    <w:uiPriority w:val="39"/>
    <w:unhideWhenUsed/>
    <w:rsid w:val="00B36A46"/>
    <w:pPr>
      <w:spacing w:after="100" w:line="259" w:lineRule="auto"/>
      <w:ind w:left="220"/>
    </w:pPr>
    <w:rPr>
      <w:rFonts w:cs="Times New Roman"/>
    </w:rPr>
  </w:style>
  <w:style w:type="paragraph" w:styleId="TOC1">
    <w:name w:val="toc 1"/>
    <w:basedOn w:val="Normal"/>
    <w:next w:val="Normal"/>
    <w:autoRedefine/>
    <w:uiPriority w:val="39"/>
    <w:unhideWhenUsed/>
    <w:rsid w:val="00B36A46"/>
    <w:pPr>
      <w:spacing w:after="100" w:line="259" w:lineRule="auto"/>
    </w:pPr>
    <w:rPr>
      <w:rFonts w:cs="Times New Roman"/>
    </w:rPr>
  </w:style>
  <w:style w:type="paragraph" w:styleId="TOC3">
    <w:name w:val="toc 3"/>
    <w:basedOn w:val="Normal"/>
    <w:next w:val="Normal"/>
    <w:autoRedefine/>
    <w:uiPriority w:val="39"/>
    <w:unhideWhenUsed/>
    <w:rsid w:val="00B36A46"/>
    <w:pPr>
      <w:spacing w:after="100" w:line="259" w:lineRule="auto"/>
      <w:ind w:left="440"/>
    </w:pPr>
    <w:rPr>
      <w:rFonts w:cs="Times New Roman"/>
    </w:rPr>
  </w:style>
  <w:style w:type="character" w:customStyle="1" w:styleId="NoSpacingChar">
    <w:name w:val="No Spacing Char"/>
    <w:basedOn w:val="DefaultParagraphFont"/>
    <w:link w:val="NoSpacing"/>
    <w:uiPriority w:val="1"/>
    <w:rsid w:val="00FB5E37"/>
  </w:style>
  <w:style w:type="character" w:styleId="Hyperlink">
    <w:name w:val="Hyperlink"/>
    <w:basedOn w:val="DefaultParagraphFont"/>
    <w:uiPriority w:val="99"/>
    <w:unhideWhenUsed/>
    <w:rsid w:val="00800701"/>
    <w:rPr>
      <w:color w:val="0000FF" w:themeColor="hyperlink"/>
      <w:u w:val="single"/>
    </w:rPr>
  </w:style>
  <w:style w:type="character" w:styleId="UnresolvedMention">
    <w:name w:val="Unresolved Mention"/>
    <w:basedOn w:val="DefaultParagraphFont"/>
    <w:uiPriority w:val="99"/>
    <w:semiHidden/>
    <w:unhideWhenUsed/>
    <w:rsid w:val="00800701"/>
    <w:rPr>
      <w:color w:val="605E5C"/>
      <w:shd w:val="clear" w:color="auto" w:fill="E1DFDD"/>
    </w:rPr>
  </w:style>
  <w:style w:type="paragraph" w:styleId="NormalWeb">
    <w:name w:val="Normal (Web)"/>
    <w:basedOn w:val="Normal"/>
    <w:uiPriority w:val="99"/>
    <w:semiHidden/>
    <w:unhideWhenUsed/>
    <w:rsid w:val="00784D0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jp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5" Type="http://schemas.openxmlformats.org/officeDocument/2006/relationships/settings" Target="settings.xml"/><Relationship Id="rId15" Type="http://schemas.openxmlformats.org/officeDocument/2006/relationships/image" Target="media/image6.jp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6F61176F3304D4398EAF43343957729"/>
        <w:category>
          <w:name w:val="General"/>
          <w:gallery w:val="placeholder"/>
        </w:category>
        <w:types>
          <w:type w:val="bbPlcHdr"/>
        </w:types>
        <w:behaviors>
          <w:behavior w:val="content"/>
        </w:behaviors>
        <w:guid w:val="{4E485397-803A-4423-BB0E-D0C3D2E3DF39}"/>
      </w:docPartPr>
      <w:docPartBody>
        <w:p w:rsidR="005611AE" w:rsidRDefault="000D2A87" w:rsidP="000D2A87">
          <w:pPr>
            <w:pStyle w:val="46F61176F3304D4398EAF43343957729"/>
          </w:pPr>
          <w:r>
            <w:rPr>
              <w:rFonts w:asciiTheme="majorHAnsi" w:eastAsiaTheme="majorEastAsia" w:hAnsiTheme="majorHAnsi" w:cstheme="majorBidi"/>
              <w:caps/>
              <w:color w:val="4472C4" w:themeColor="accent1"/>
              <w:sz w:val="80"/>
              <w:szCs w:val="80"/>
            </w:rPr>
            <w:t>[Document title]</w:t>
          </w:r>
        </w:p>
      </w:docPartBody>
    </w:docPart>
    <w:docPart>
      <w:docPartPr>
        <w:name w:val="320A120F49624C84A83BBFB00C518272"/>
        <w:category>
          <w:name w:val="General"/>
          <w:gallery w:val="placeholder"/>
        </w:category>
        <w:types>
          <w:type w:val="bbPlcHdr"/>
        </w:types>
        <w:behaviors>
          <w:behavior w:val="content"/>
        </w:behaviors>
        <w:guid w:val="{2158A567-DE01-485D-B8B2-6E60C9A2C982}"/>
      </w:docPartPr>
      <w:docPartBody>
        <w:p w:rsidR="005611AE" w:rsidRDefault="000D2A87" w:rsidP="000D2A87">
          <w:pPr>
            <w:pStyle w:val="320A120F49624C84A83BBFB00C51827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A87"/>
    <w:rsid w:val="0005480C"/>
    <w:rsid w:val="000D2A87"/>
    <w:rsid w:val="000E4246"/>
    <w:rsid w:val="001173C1"/>
    <w:rsid w:val="00192192"/>
    <w:rsid w:val="001F7A33"/>
    <w:rsid w:val="0032493A"/>
    <w:rsid w:val="00446EE3"/>
    <w:rsid w:val="00481465"/>
    <w:rsid w:val="004B3B3F"/>
    <w:rsid w:val="004E172D"/>
    <w:rsid w:val="005279F3"/>
    <w:rsid w:val="00542C05"/>
    <w:rsid w:val="005611AE"/>
    <w:rsid w:val="005D318F"/>
    <w:rsid w:val="006034F8"/>
    <w:rsid w:val="00613914"/>
    <w:rsid w:val="006E2586"/>
    <w:rsid w:val="00890782"/>
    <w:rsid w:val="008A2E83"/>
    <w:rsid w:val="008C620D"/>
    <w:rsid w:val="00940C25"/>
    <w:rsid w:val="00A06BA9"/>
    <w:rsid w:val="00A83C7C"/>
    <w:rsid w:val="00B211CE"/>
    <w:rsid w:val="00CD5429"/>
    <w:rsid w:val="00D44F77"/>
    <w:rsid w:val="00DD6CB3"/>
    <w:rsid w:val="00E874DC"/>
    <w:rsid w:val="00EF17D3"/>
    <w:rsid w:val="00F07819"/>
    <w:rsid w:val="00F35F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D2A87"/>
    <w:rPr>
      <w:color w:val="808080"/>
    </w:rPr>
  </w:style>
  <w:style w:type="paragraph" w:customStyle="1" w:styleId="46F61176F3304D4398EAF43343957729">
    <w:name w:val="46F61176F3304D4398EAF43343957729"/>
    <w:rsid w:val="000D2A87"/>
  </w:style>
  <w:style w:type="paragraph" w:customStyle="1" w:styleId="320A120F49624C84A83BBFB00C518272">
    <w:name w:val="320A120F49624C84A83BBFB00C518272"/>
    <w:rsid w:val="000D2A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0T20:41:55.508"/>
    </inkml:context>
    <inkml:brush xml:id="br0">
      <inkml:brushProperty name="width" value="0.025" units="cm"/>
      <inkml:brushProperty name="height" value="0.025" units="cm"/>
    </inkml:brush>
  </inkml:definitions>
  <inkml:trace contextRef="#ctx0" brushRef="#br0">23 241 24575,'-13'110'0,"3"-33"0,11-414 0,-1 334 0,0 0 0,1-1 0,0 1 0,0 0 0,0 0 0,0 0 0,1 0 0,0 0 0,3-4 0,-4 7 0,-1-1 0,1 1 0,-1-1 0,1 1 0,-1-1 0,1 1 0,0-1 0,-1 1 0,1 0 0,0-1 0,0 1 0,-1 0 0,1-1 0,0 1 0,0 0 0,0 0 0,0 0 0,0-1 0,-1 1 0,1 0 0,0 0 0,1 0 0,0 0 0,0 0 0,-1 1 0,1-1 0,0 0 0,-1 1 0,1-1 0,-1 1 0,1-1 0,-1 1 0,1 0 0,-1-1 0,0 1 0,0 0 0,1-1 0,-1 1 0,2 2 0,4 3 0,0 1 0,-1 0 0,-1 1 0,0-1 0,0 1 0,-1-1 0,-1 1 0,4 16 0,12 23 0,-13-36 0,5 13 0,-11-23 0,1 0 0,-1 0 0,1 0 0,0-1 0,0 1 0,-1 0 0,1 0 0,0 0 0,0-1 0,0 1 0,1 0 0,-1 0 0,0-1 0,0 1 0,0-1 0,1 1 0,2 0 0,-3-1 0,1 0 0,-1 0 0,1 0 0,-1 0 0,0 0 0,1 0 0,-1 0 0,0-1 0,1 1 0,-1 0 0,0-1 0,1 1 0,-1 0 0,0-1 0,0 1 0,0-1 0,0 1 0,0-1 0,0 1 0,0-1 0,0 0 0,0 1 0,0-1 0,0 0 0,-1 1 0,1-1 0,0-1 0,20-24 0,-17 20 0,10-13 0,1 0 0,28-25 0,-43 43 0,1 0 0,-1 1 0,1-1 0,0 0 0,-1 1 0,1-1 0,0 1 0,0-1 0,0 1 0,0-1 0,0 1 0,0-1 0,0 1 0,0 0 0,0-1 0,0 1 0,0 0 0,1 0 0,-1-1 0,0 1 0,2 0 0,-2 0 0,1 0 0,-1 0 0,0 1 0,-1-1 0,1 0 0,0 1 0,0-1 0,0 0 0,0 1 0,0-1 0,0 1 0,-1-1 0,1 1 0,0-1 0,0 1 0,-1-1 0,1 1 0,-1-1 0,1 2 0,2 1 0,0 1 0,0 0 0,-1 1 0,0-1 0,-1 0 0,1 5 0,13 75 0,-12-72 0,-2-4 0,2-1 0,-1 1 0,1-1 0,1 0 0,5 8 0,-7-13 0,0 0 0,0-1 0,0 1 0,0 0 0,0 0 0,1-1 0,-1 1 0,1-1 0,0 1 0,-1-1 0,1 0 0,0 1 0,1-1 0,-1 0 0,0 0 0,0-1 0,1 1 0,-1 0 0,1-1 0,-1 1 0,1-1 0,3 1 0,9 0 0,0 0 0,1-1 0,-1 0 0,0-1 0,0 0 0,18-2 0,-30 2 0,1 1 0,-1-1 0,0 0 0,0 0 0,1 0 0,-1 0 0,0 0 0,-1 0 0,1-1 0,0 1 0,-1-1 0,1 0 0,-1 0 0,0 1 0,0-1 0,0 0 0,0-1 0,0 1 0,-1 0 0,0 0 0,0-1 0,0 1 0,0-1 0,0 1 0,-1-1 0,2-5 0,-3 8 0,0-1 0,0 0 0,1 0 0,-1 0 0,-1 0 0,1 1 0,0-1 0,0 0 0,0 0 0,-1 0 0,1 1 0,-1-1 0,1 0 0,-1 0 0,0 0 0,1 1 0,-1-1 0,0 0 0,0 1 0,0-1 0,0 0 0,1 1 0,-3-2 0,0 1 0,0 0 0,0 0 0,0 1 0,0-1 0,0 0 0,0 0 0,0 1 0,0 0 0,-7-1 0,-1 0 0,0 1 0,0 0 0,-1 0 0,1 1 0,-12 1 0,13 0 0,0 0 0,0 1 0,0 0 0,1 0 0,-1 0 0,1 0 0,0 1 0,1 0 0,0 0 0,0 1 0,0-1 0,1 1 0,0 0 0,0 0 0,1 0 0,0 1 0,1 0 0,0-1 0,0 1 0,1 0 0,0 0 0,1 1 0,0-1 0,1 0 0,0 1 0,1-1 0,-1 11 0,3-15 0,0 1 0,0-1 0,0 1 0,0-1 0,1 0 0,0 0 0,0 1 0,0-1 0,0 0 0,0 0 0,0 0 0,1 0 0,0-1 0,0 1 0,0 0 0,0-1 0,0 1 0,0-1 0,1 1 0,-1-1 0,1 0 0,0 0 0,-1 0 0,1 0 0,0 0 0,0-1 0,4 1 0,10 2 0,0-1 0,0-1 0,0 0 0,30 0 0,8-3 0,75-6 0,-106 5 0,-1 0 0,0-1 0,0 0 0,0-1 0,33-11 0,-48 13 0,0-1 0,0 0 0,0-1 0,0 1 0,-1-1 0,-1 0 0,1 0 0,9-10 0,43-49 0,-50 52 0,8-9 0,16-25 0,-30 38 0,0 0 0,0 0 0,-1 0 0,-1 0 0,0 0 0,-1-16 0,-4 202 0,3-163 0,0-2 0,0-1 0,-6 22 0,5-29 0,-1-1 0,0 0 0,-1 1 0,0-1 0,0 0 0,0 0 0,-1 0 0,0 0 0,0 0 0,-1-1 0,-5 5 0,3-3 0,0-1 0,0 1 0,-1-1 0,0 0 0,-1 0 0,1 0 0,-1 0 0,0-1 0,-1 0 0,1 0 0,-1-1 0,0 0 0,0 0 0,-1 0 0,-17 1 0,-19 0 0,-1-2 0,-77-4 0,122 3 0,0 0 0,-1-1 0,1 1 0,0-1 0,0 1 0,0-1 0,0 0 0,0 1 0,0-1 0,0 0 0,0 0 0,0 0 0,0-1 0,1 1 0,-1 0 0,1-1 0,0 1 0,-4-3 0,3 1 0,0 0 0,1 0 0,0 0 0,-1 0 0,2-1 0,-1 1 0,1 0 0,-1-1 0,2 1 0,-2-5 0,2 1 0,0 1 0,0 0 0,1-1 0,1 1 0,-1 0 0,2-1 0,0 1 0,0 0 0,0 0 0,1 0 0,9-9 0,-6 9 0,1 1 0,-1-1 0,2 1 0,-1 0 0,1 1 0,16-7 0,64-21 0,-32 13 0,-53 18 0,40-16 0,51-23 0,-81 33 0,-1 0 0,0-1 0,-1 0 0,0 0 0,-1-1 0,0 0 0,9-11 0,-12 12 0,-2 0 0,1 0 0,-2 0 0,0 0 0,5-15 0,-9 21 0,-1 0 0,1 0 0,-1 1 0,0-1 0,0 0 0,0 0 0,-1 1 0,1-1 0,-1 0 0,1 0 0,-1 1 0,0-1 0,0 0 0,0 1 0,0-1 0,-1 1 0,1-1 0,-1 1 0,0-1 0,1 1 0,-1 0 0,0-1 0,0 1 0,-1 0 0,1 0 0,0 0 0,-1 0 0,1 0 0,-1 0 0,1 0 0,-1 0 0,0 1 0,1-1 0,-1 1 0,-4-1 0,-4-1 0,1 0 0,-1 1 0,0 0 0,0 0 0,0 1 0,-1-1 0,1 2 0,0-1 0,0 1 0,0 0 0,0 0 0,0 1 0,1-1 0,-1 2 0,1-1 0,-1 1 0,1 0 0,1 0 0,-1 0 0,1 1 0,0 0 0,0 0 0,1 1 0,0-1 0,0 1 0,0 0 0,1 0 0,1 1 0,0-1 0,0 1 0,0 0 0,-3 6 0,0 1 0,1 0 0,-9 26 0,15-33 0,0 1 0,1 0 0,0 0 0,1 0 0,0-1 0,1 1 0,3 12 0,-1-15 0,-1-1 0,1 0 0,-1 0 0,1 1 0,1-1 0,-1 0 0,1-1 0,0 1 0,0 0 0,0-1 0,1 1 0,-1-1 0,1 0 0,0 0 0,0 0 0,1 0 0,-1 0 0,0-1 0,1 1 0,8 0 0,4 2 0,1-1 0,0 0 0,0-1 0,1-1 0,20 1 0,-28-2 0,-1 0 0,1 0 0,0-1 0,0 1 0,0-2 0,-1 1 0,14-3 0,-20 2 0,0 1 0,0-1 0,-1 1 0,1-1 0,-1 0 0,0 0 0,1 0 0,-2 0 0,1 0 0,0 0 0,-1-1 0,0 1 0,1-1 0,-2 0 0,1 1 0,-1-1 0,1 0 0,2-5 0,2-8 0,-1-1 0,-1 1 0,-1-1 0,-2 0 0,0-18 0,-1 10 0,8-30 0,-6 36 0,0 1 0,-1 14 0,0 7 0,4 26 0,1-1 0,2 35 0,1 9 0,1 1 0,-12-35 0,2 27 0,-1-64 0,0 0 0,-1-1 0,1 1 0,0 0 0,0-1 0,1 1 0,-1 0 0,0-1 0,0 1 0,0 0 0,1-1 0,-1 1 0,1 0 0,-1-1 0,1 1 0,-1 0 0,1-1 0,0 1 0,-1-1 0,1 1 0,0-1 0,0 1 0,-1-1 0,1 1 0,0-1 0,0 0 0,0 1 0,0-1 0,0 0 0,0 1 0,0-1 0,0 0 0,0 0 0,1 1 0,-1-1 0,2 0 0,-1 0 0,0-1 0,0 1 0,0 0 0,-1-1 0,1 1 0,0-1 0,0 0 0,0 1 0,-1-1 0,1 0 0,-1 1 0,1-1 0,-1 0 0,1 0 0,-1 0 0,0 0 0,0 0 0,0 0 0,2-2 0,102-109 0,-103 110 0,-1 1 0,1-1 0,0 1 0,0-1 0,0 1 0,0 0 0,0-1 0,0 1 0,1 0 0,-1 0 0,1 0 0,0 0 0,-1 0 0,1 0 0,0 1 0,0-1 0,0 0 0,0 1 0,0-1 0,0 1 0,0 0 0,0 0 0,0 0 0,0 0 0,0 0 0,0 0 0,0 0 0,0 0 0,0 1 0,0-1 0,0 1 0,0-1 0,0 1 0,0 0 0,0 0 0,-1-1 0,1 1 0,-1 1 0,1-1 0,-1 0 0,0 0 0,1 0 0,-1 1 0,3 1 0,6 10 0,0-1 0,15 26 0,-19-25 0,2-1 0,0 0 0,20 20 0,-25-30 0,0 1 0,0-1 0,0 0 0,1 0 0,-1 0 0,1 0 0,0 0 0,0 0 0,1-1 0,-1 0 0,0 1 0,1-1 0,-1 0 0,1-1 0,0 1 0,-1-1 0,1 1 0,0-1 0,6 0 0,-4 0 0,-1 0 0,1-1 0,-1 1 0,1-1 0,-1 0 0,1 0 0,-1 0 0,0 0 0,0-1 0,0 0 0,0 0 0,0 0 0,-1-1 0,7-2 0,-9 2 0,-1 1 0,0-1 0,0 1 0,-1-1 0,1 0 0,-1 0 0,0 0 0,0 0 0,0 0 0,-1 0 0,0 0 0,0 0 0,0 0 0,0-5 0,0-3 0,-1 0 0,-5-19 0,5 28 0,0 1 0,-1-1 0,1 1 0,-1 0 0,0-1 0,0 1 0,1-1 0,-2 1 0,1 0 0,0 0 0,0-1 0,-1 1 0,1 0 0,-1 0 0,1 0 0,-1 0 0,0 0 0,0 0 0,0 0 0,0 0 0,0 1 0,0-1 0,0 0 0,0 1 0,0-1 0,-1 1 0,1-1 0,0 1 0,-1-1 0,1 1 0,0 0 0,-1 0 0,1 0 0,-1 0 0,1 0 0,-4 0 0,1 1 0,0-1 0,0 1 0,0-1 0,1 1 0,-1 0 0,0 0 0,0 1 0,1-1 0,-1 0 0,1 1 0,0 0 0,0-1 0,0 1 0,0 0 0,0 0 0,-5 4 0,2 0 0,1-1 0,1 1 0,0 0 0,0 0 0,0 0 0,1 1 0,1-1 0,0 0 0,-2 10 0,4-13 0,1-1 0,0 1 0,0 0 0,0 0 0,1 0 0,-1 0 0,1-1 0,0 1 0,1 0 0,-1 0 0,1-1 0,0 1 0,0-1 0,0 1 0,0-1 0,1 1 0,0-1 0,0 0 0,0 0 0,0 0 0,0 0 0,1 0 0,0 0 0,4 2 0,0-2 0,1 1 0,-1-1 0,1 1 0,0-1 0,0-1 0,0 1 0,0-1 0,0 0 0,1 0 0,13-1 0,13 0 0,47-4 0,-74 4 0,-1-1 0,0-1 0,-1 1 0,1-1 0,0 1 0,-1-1 0,1 0 0,-1-1 0,0 1 0,0-1 0,8-4 0,-11 5 0,1-1 0,0 0 0,-1 0 0,0 1 0,0-2 0,0 1 0,-1 0 0,0 0 0,0-1 0,0 1 0,0-1 0,-1 1 0,0-1 0,0 0 0,0-4 0,2-27 0,-6-55 0,-1 59 0,3 69 0,3 36 0,-2-65 0,1-1 0,1 0 0,0 1 0,1-1 0,0 0 0,1 0 0,7 7 0,10 19 0,-19-28 0,1 0 0,0 0 0,0 0 0,1 0 0,9 8 0,-12-13 0,0 1 0,-1-1 0,1 0 0,-1 1 0,0-1 0,0 1 0,0-1 0,0 1 0,1 1 0,-2-2 0,0-1 0,0 1 0,0-1 0,-1 1 0,1-1 0,0 0 0,0 1 0,0-1 0,-1 1 0,1-1 0,0 0 0,-1 1 0,1-1 0,-1 0 0,1 1 0,-1-1 0,1 0 0,-1 1 0,1-1 0,-1 0 0,1 0 0,-1 1 0,1-1 0,-1 0 0,0 0 0,1 0 0,-1 0 0,0 1 0,1-1 0,-1 0 0,0 0 0,0 0 0,1 0 0,-1 0 0,0 0 0,1 0 0,-1 0 0,0 0 0,1 0 0,-1 0 0,-1-1 0,-26 0 0,-1-1 0,1-1 0,1-1 0,-38-7 0,-13-2 0,4 3 0,0 2 0,-76-3 0,106 10 0,0 1 0,0 1 0,1 2 0,-84 10 0,20 4 0,42-5 0,-131 11 0,153-20 0,-170 6 0,188-9 0,-40 6 0,-4-1 0,-66 2 0,-89 1 0,151-8-1365,54 0-5461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TotalTime>
  <Pages>33</Pages>
  <Words>7044</Words>
  <Characters>40157</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Financial Performance Analysis of Unilever PLC and Investment Appraisal for Westward Plc</vt:lpstr>
    </vt:vector>
  </TitlesOfParts>
  <Manager/>
  <Company/>
  <LinksUpToDate>false</LinksUpToDate>
  <CharactersWithSpaces>47107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Performance Analysis of Unilever PLC and Investment Appraisal for Westward Plc</dc:title>
  <dc:subject>Module: Finance for Business Managers (BMMB7005)</dc:subject>
  <dc:creator>python-docx</dc:creator>
  <cp:keywords/>
  <dc:description>generated by python-docx</dc:description>
  <cp:lastModifiedBy>Megha Sanjaybhai Vaghasiya (2515214)</cp:lastModifiedBy>
  <cp:revision>31</cp:revision>
  <cp:lastPrinted>2026-01-06T12:07:00Z</cp:lastPrinted>
  <dcterms:created xsi:type="dcterms:W3CDTF">2025-12-10T12:10:00Z</dcterms:created>
  <dcterms:modified xsi:type="dcterms:W3CDTF">2026-01-12T10:05:00Z</dcterms:modified>
  <cp:category/>
</cp:coreProperties>
</file>