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1585451346"/>
        <w:docPartObj>
          <w:docPartGallery w:val="Cover Pages"/>
          <w:docPartUnique/>
        </w:docPartObj>
      </w:sdtPr>
      <w:sdtEndPr>
        <w:rPr>
          <w:rFonts w:ascii="Arial" w:hAnsi="Arial"/>
          <w:color w:val="auto"/>
        </w:rPr>
      </w:sdtEndPr>
      <w:sdtContent>
        <w:p w14:paraId="5BBB72D9" w14:textId="6E5C83F4" w:rsidR="00132FFC" w:rsidRDefault="00132FFC">
          <w:pPr>
            <w:pStyle w:val="NoSpacing"/>
            <w:spacing w:before="1540" w:after="240"/>
            <w:jc w:val="center"/>
            <w:rPr>
              <w:color w:val="156082" w:themeColor="accent1"/>
            </w:rPr>
          </w:pPr>
          <w:r>
            <w:rPr>
              <w:noProof/>
              <w:color w:val="156082" w:themeColor="accent1"/>
            </w:rPr>
            <w:drawing>
              <wp:inline distT="0" distB="0" distL="0" distR="0" wp14:anchorId="12C877A5" wp14:editId="070830D8">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D36C9649BF7F40CE821F88252B7FCD9E"/>
            </w:placeholder>
            <w:dataBinding w:prefixMappings="xmlns:ns0='http://purl.org/dc/elements/1.1/' xmlns:ns1='http://schemas.openxmlformats.org/package/2006/metadata/core-properties' " w:xpath="/ns1:coreProperties[1]/ns0:title[1]" w:storeItemID="{6C3C8BC8-F283-45AE-878A-BAB7291924A1}"/>
            <w:text/>
          </w:sdtPr>
          <w:sdtContent>
            <w:p w14:paraId="4131E093" w14:textId="14B93017" w:rsidR="00132FFC" w:rsidRDefault="00132FFC">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132FFC">
                <w:rPr>
                  <w:rFonts w:asciiTheme="majorHAnsi" w:eastAsiaTheme="majorEastAsia" w:hAnsiTheme="majorHAnsi" w:cstheme="majorBidi"/>
                  <w:caps/>
                  <w:color w:val="156082" w:themeColor="accent1"/>
                  <w:sz w:val="72"/>
                  <w:szCs w:val="72"/>
                </w:rPr>
                <w:t>Developing and Managing Individuals and Teams</w:t>
              </w:r>
            </w:p>
          </w:sdtContent>
        </w:sdt>
        <w:sdt>
          <w:sdtPr>
            <w:rPr>
              <w:color w:val="156082" w:themeColor="accent1"/>
              <w:sz w:val="38"/>
              <w:szCs w:val="38"/>
            </w:rPr>
            <w:alias w:val="Subtitle"/>
            <w:tag w:val=""/>
            <w:id w:val="328029620"/>
            <w:placeholder>
              <w:docPart w:val="CBFCE5403D09453589437F54A1B460E4"/>
            </w:placeholder>
            <w:dataBinding w:prefixMappings="xmlns:ns0='http://purl.org/dc/elements/1.1/' xmlns:ns1='http://schemas.openxmlformats.org/package/2006/metadata/core-properties' " w:xpath="/ns1:coreProperties[1]/ns0:subject[1]" w:storeItemID="{6C3C8BC8-F283-45AE-878A-BAB7291924A1}"/>
            <w:text/>
          </w:sdtPr>
          <w:sdtContent>
            <w:p w14:paraId="318136E7" w14:textId="41E96E7D" w:rsidR="00132FFC" w:rsidRPr="00132FFC" w:rsidRDefault="00132FFC">
              <w:pPr>
                <w:pStyle w:val="NoSpacing"/>
                <w:jc w:val="center"/>
                <w:rPr>
                  <w:color w:val="156082" w:themeColor="accent1"/>
                  <w:sz w:val="38"/>
                  <w:szCs w:val="38"/>
                </w:rPr>
              </w:pPr>
              <w:r w:rsidRPr="00132FFC">
                <w:rPr>
                  <w:color w:val="156082" w:themeColor="accent1"/>
                  <w:sz w:val="38"/>
                  <w:szCs w:val="38"/>
                </w:rPr>
                <w:t>Component 2- Individual Report (LCLM5002</w:t>
              </w:r>
              <w:r>
                <w:rPr>
                  <w:color w:val="156082" w:themeColor="accent1"/>
                  <w:sz w:val="38"/>
                  <w:szCs w:val="38"/>
                </w:rPr>
                <w:t>)</w:t>
              </w:r>
            </w:p>
          </w:sdtContent>
        </w:sdt>
        <w:p w14:paraId="45240B0B" w14:textId="2BB9BA5C" w:rsidR="00132FFC" w:rsidRDefault="00132FFC">
          <w:pPr>
            <w:pStyle w:val="NoSpacing"/>
            <w:spacing w:before="480"/>
            <w:jc w:val="center"/>
            <w:rPr>
              <w:color w:val="156082" w:themeColor="accent1"/>
            </w:rPr>
          </w:pPr>
          <w:r>
            <w:rPr>
              <w:noProof/>
              <w:color w:val="156082" w:themeColor="accent1"/>
            </w:rPr>
            <w:drawing>
              <wp:inline distT="0" distB="0" distL="0" distR="0" wp14:anchorId="7A7B31FB" wp14:editId="1CD10E6B">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6FC2AA0" w14:textId="35616CCB" w:rsidR="00132FFC" w:rsidRDefault="00D27D20">
          <w:pPr>
            <w:rPr>
              <w:rFonts w:ascii="Arial" w:hAnsi="Arial"/>
            </w:rPr>
          </w:pPr>
          <w:r>
            <w:rPr>
              <w:noProof/>
            </w:rPr>
            <mc:AlternateContent>
              <mc:Choice Requires="wps">
                <w:drawing>
                  <wp:anchor distT="0" distB="0" distL="114300" distR="114300" simplePos="0" relativeHeight="251662336" behindDoc="1" locked="0" layoutInCell="1" allowOverlap="1" wp14:anchorId="759774EB" wp14:editId="3200B0B1">
                    <wp:simplePos x="0" y="0"/>
                    <wp:positionH relativeFrom="column">
                      <wp:posOffset>990600</wp:posOffset>
                    </wp:positionH>
                    <wp:positionV relativeFrom="paragraph">
                      <wp:posOffset>2652395</wp:posOffset>
                    </wp:positionV>
                    <wp:extent cx="3663950" cy="635"/>
                    <wp:effectExtent l="0" t="0" r="0" b="0"/>
                    <wp:wrapTight wrapText="bothSides">
                      <wp:wrapPolygon edited="0">
                        <wp:start x="0" y="0"/>
                        <wp:lineTo x="0" y="21600"/>
                        <wp:lineTo x="21600" y="21600"/>
                        <wp:lineTo x="21600" y="0"/>
                      </wp:wrapPolygon>
                    </wp:wrapTight>
                    <wp:docPr id="849784559" name="Text Box 1"/>
                    <wp:cNvGraphicFramePr/>
                    <a:graphic xmlns:a="http://schemas.openxmlformats.org/drawingml/2006/main">
                      <a:graphicData uri="http://schemas.microsoft.com/office/word/2010/wordprocessingShape">
                        <wps:wsp>
                          <wps:cNvSpPr txBox="1"/>
                          <wps:spPr>
                            <a:xfrm>
                              <a:off x="0" y="0"/>
                              <a:ext cx="3663950" cy="635"/>
                            </a:xfrm>
                            <a:prstGeom prst="rect">
                              <a:avLst/>
                            </a:prstGeom>
                            <a:solidFill>
                              <a:prstClr val="white"/>
                            </a:solidFill>
                            <a:ln>
                              <a:noFill/>
                            </a:ln>
                          </wps:spPr>
                          <wps:txbx>
                            <w:txbxContent>
                              <w:p w14:paraId="1D6EBD9C" w14:textId="781DEC57" w:rsidR="00D27D20" w:rsidRPr="00D27D20" w:rsidRDefault="00D27D20" w:rsidP="00D27D20">
                                <w:pPr>
                                  <w:pStyle w:val="Caption"/>
                                  <w:rPr>
                                    <w:noProof/>
                                    <w:lang w:val="fr-FR"/>
                                  </w:rPr>
                                </w:pPr>
                                <w:r w:rsidRPr="00D27D20">
                                  <w:rPr>
                                    <w:lang w:val="fr-FR"/>
                                  </w:rPr>
                                  <w:t>Image source : HR Grapevine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59774EB" id="_x0000_t202" coordsize="21600,21600" o:spt="202" path="m,l,21600r21600,l21600,xe">
                    <v:stroke joinstyle="miter"/>
                    <v:path gradientshapeok="t" o:connecttype="rect"/>
                  </v:shapetype>
                  <v:shape id="Text Box 1" o:spid="_x0000_s1026" type="#_x0000_t202" style="position:absolute;margin-left:78pt;margin-top:208.85pt;width:288.5pt;height:.0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" stroked="f">
                    <v:textbox style="mso-fit-shape-to-text:t" inset="0,0,0,0">
                      <w:txbxContent>
                        <w:p w14:paraId="1D6EBD9C" w14:textId="781DEC57" w:rsidR="00D27D20" w:rsidRPr="00D27D20" w:rsidRDefault="00D27D20" w:rsidP="00D27D20">
                          <w:pPr>
                            <w:pStyle w:val="Caption"/>
                            <w:rPr>
                              <w:noProof/>
                              <w:lang w:val="fr-FR"/>
                            </w:rPr>
                          </w:pPr>
                          <w:r w:rsidRPr="00D27D20">
                            <w:rPr>
                              <w:lang w:val="fr-FR"/>
                            </w:rPr>
                            <w:t>Image source : HR Grapevine (2023)</w:t>
                          </w:r>
                        </w:p>
                      </w:txbxContent>
                    </v:textbox>
                    <w10:wrap type="tight"/>
                  </v:shape>
                </w:pict>
              </mc:Fallback>
            </mc:AlternateContent>
          </w:r>
          <w:r w:rsidR="004D5AC0">
            <w:rPr>
              <w:noProof/>
            </w:rPr>
            <w:drawing>
              <wp:anchor distT="0" distB="0" distL="114300" distR="114300" simplePos="0" relativeHeight="251660288" behindDoc="1" locked="0" layoutInCell="1" allowOverlap="1" wp14:anchorId="4307FB7E" wp14:editId="57EA9359">
                <wp:simplePos x="0" y="0"/>
                <wp:positionH relativeFrom="column">
                  <wp:posOffset>990600</wp:posOffset>
                </wp:positionH>
                <wp:positionV relativeFrom="paragraph">
                  <wp:posOffset>153035</wp:posOffset>
                </wp:positionV>
                <wp:extent cx="3663950" cy="2442210"/>
                <wp:effectExtent l="0" t="0" r="0" b="0"/>
                <wp:wrapTight wrapText="bothSides">
                  <wp:wrapPolygon edited="0">
                    <wp:start x="0" y="0"/>
                    <wp:lineTo x="0" y="21398"/>
                    <wp:lineTo x="21450" y="21398"/>
                    <wp:lineTo x="21450" y="0"/>
                    <wp:lineTo x="0" y="0"/>
                  </wp:wrapPolygon>
                </wp:wrapTight>
                <wp:docPr id="463807220" name="Picture 1" descr="Tesco's CEO protects workforce - what's the power in safeguarding your staff?  | Strategy &amp; Leadership | HR Grapevine | Fe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co's CEO protects workforce - what's the power in safeguarding your staff?  | Strategy &amp; Leadership | HR Grapevine | Featur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63950" cy="2442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32FFC">
            <w:rPr>
              <w:noProof/>
              <w:color w:val="156082" w:themeColor="accent1"/>
            </w:rPr>
            <mc:AlternateContent>
              <mc:Choice Requires="wps">
                <w:drawing>
                  <wp:anchor distT="0" distB="0" distL="114300" distR="114300" simplePos="0" relativeHeight="251659264" behindDoc="0" locked="0" layoutInCell="1" allowOverlap="1" wp14:anchorId="10266B66" wp14:editId="375790FC">
                    <wp:simplePos x="0" y="0"/>
                    <wp:positionH relativeFrom="margin">
                      <wp:align>right</wp:align>
                    </wp:positionH>
                    <wp:positionV relativeFrom="page">
                      <wp:posOffset>8989060</wp:posOffset>
                    </wp:positionV>
                    <wp:extent cx="6553200" cy="557784"/>
                    <wp:effectExtent l="0" t="0" r="2540" b="762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6F118F" w14:textId="005EE3CD" w:rsidR="00132FFC" w:rsidRPr="00132FFC" w:rsidRDefault="00132FFC" w:rsidP="00132FFC">
                                <w:pPr>
                                  <w:pStyle w:val="NoSpacing"/>
                                  <w:spacing w:after="40" w:line="360" w:lineRule="auto"/>
                                  <w:jc w:val="center"/>
                                  <w:rPr>
                                    <w:caps/>
                                    <w:color w:val="156082" w:themeColor="accent1"/>
                                    <w:sz w:val="30"/>
                                    <w:szCs w:val="30"/>
                                  </w:rPr>
                                </w:pPr>
                                <w:r w:rsidRPr="00132FFC">
                                  <w:rPr>
                                    <w:caps/>
                                    <w:color w:val="156082" w:themeColor="accent1"/>
                                    <w:sz w:val="30"/>
                                    <w:szCs w:val="30"/>
                                  </w:rPr>
                                  <w:t>Orett Freckelton</w:t>
                                </w:r>
                              </w:p>
                              <w:p w14:paraId="36017EE8" w14:textId="0CB1FA1E" w:rsidR="00132FFC" w:rsidRPr="00132FFC" w:rsidRDefault="00132FFC" w:rsidP="00132FFC">
                                <w:pPr>
                                  <w:pStyle w:val="NoSpacing"/>
                                  <w:spacing w:line="360" w:lineRule="auto"/>
                                  <w:jc w:val="center"/>
                                  <w:rPr>
                                    <w:color w:val="156082" w:themeColor="accent1"/>
                                    <w:sz w:val="24"/>
                                    <w:szCs w:val="24"/>
                                  </w:rPr>
                                </w:pPr>
                                <w:r w:rsidRPr="00132FFC">
                                  <w:rPr>
                                    <w:caps/>
                                    <w:color w:val="156082" w:themeColor="accent1"/>
                                    <w:sz w:val="30"/>
                                    <w:szCs w:val="30"/>
                                  </w:rPr>
                                  <w:t>Student No. 2409896</w:t>
                                </w:r>
                              </w:p>
                              <w:p w14:paraId="726E49BE" w14:textId="7A67FC87" w:rsidR="00132FFC" w:rsidRPr="00132FFC" w:rsidRDefault="00132FFC" w:rsidP="00132FFC">
                                <w:pPr>
                                  <w:pStyle w:val="NoSpacing"/>
                                  <w:spacing w:line="360" w:lineRule="auto"/>
                                  <w:jc w:val="center"/>
                                  <w:rPr>
                                    <w:color w:val="156082" w:themeColor="accent1"/>
                                    <w:sz w:val="30"/>
                                    <w:szCs w:val="30"/>
                                  </w:rPr>
                                </w:pPr>
                                <w:r w:rsidRPr="00132FFC">
                                  <w:rPr>
                                    <w:color w:val="156082" w:themeColor="accent1"/>
                                    <w:sz w:val="30"/>
                                    <w:szCs w:val="30"/>
                                  </w:rPr>
                                  <w:t>Lecturer’s Name: Samson Oladejo</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10266B66" id="Text Box 146" o:spid="_x0000_s1027" type="#_x0000_t202" style="position:absolute;margin-left:464.8pt;margin-top:707.8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" filled="f" stroked="f" strokeweight=".5pt">
                    <v:textbox style="mso-fit-shape-to-text:t" inset="0,0,0,0">
                      <w:txbxContent>
                        <w:p w14:paraId="6E6F118F" w14:textId="005EE3CD" w:rsidR="00132FFC" w:rsidRPr="00132FFC" w:rsidRDefault="00132FFC" w:rsidP="00132FFC">
                          <w:pPr>
                            <w:pStyle w:val="NoSpacing"/>
                            <w:spacing w:after="40" w:line="360" w:lineRule="auto"/>
                            <w:jc w:val="center"/>
                            <w:rPr>
                              <w:caps/>
                              <w:color w:val="156082" w:themeColor="accent1"/>
                              <w:sz w:val="30"/>
                              <w:szCs w:val="30"/>
                            </w:rPr>
                          </w:pPr>
                          <w:r w:rsidRPr="00132FFC">
                            <w:rPr>
                              <w:caps/>
                              <w:color w:val="156082" w:themeColor="accent1"/>
                              <w:sz w:val="30"/>
                              <w:szCs w:val="30"/>
                            </w:rPr>
                            <w:t>Orett Freckelton</w:t>
                          </w:r>
                        </w:p>
                        <w:p w14:paraId="36017EE8" w14:textId="0CB1FA1E" w:rsidR="00132FFC" w:rsidRPr="00132FFC" w:rsidRDefault="00132FFC" w:rsidP="00132FFC">
                          <w:pPr>
                            <w:pStyle w:val="NoSpacing"/>
                            <w:spacing w:line="360" w:lineRule="auto"/>
                            <w:jc w:val="center"/>
                            <w:rPr>
                              <w:color w:val="156082" w:themeColor="accent1"/>
                              <w:sz w:val="24"/>
                              <w:szCs w:val="24"/>
                            </w:rPr>
                          </w:pPr>
                          <w:r w:rsidRPr="00132FFC">
                            <w:rPr>
                              <w:caps/>
                              <w:color w:val="156082" w:themeColor="accent1"/>
                              <w:sz w:val="30"/>
                              <w:szCs w:val="30"/>
                            </w:rPr>
                            <w:t>Student No. 2409896</w:t>
                          </w:r>
                        </w:p>
                        <w:p w14:paraId="726E49BE" w14:textId="7A67FC87" w:rsidR="00132FFC" w:rsidRPr="00132FFC" w:rsidRDefault="00132FFC" w:rsidP="00132FFC">
                          <w:pPr>
                            <w:pStyle w:val="NoSpacing"/>
                            <w:spacing w:line="360" w:lineRule="auto"/>
                            <w:jc w:val="center"/>
                            <w:rPr>
                              <w:color w:val="156082" w:themeColor="accent1"/>
                              <w:sz w:val="30"/>
                              <w:szCs w:val="30"/>
                            </w:rPr>
                          </w:pPr>
                          <w:r w:rsidRPr="00132FFC">
                            <w:rPr>
                              <w:color w:val="156082" w:themeColor="accent1"/>
                              <w:sz w:val="30"/>
                              <w:szCs w:val="30"/>
                            </w:rPr>
                            <w:t>Lecturer’s Name: Samson Oladejo</w:t>
                          </w:r>
                        </w:p>
                      </w:txbxContent>
                    </v:textbox>
                    <w10:wrap anchorx="margin" anchory="page"/>
                  </v:shape>
                </w:pict>
              </mc:Fallback>
            </mc:AlternateContent>
          </w:r>
          <w:r w:rsidR="00132FFC">
            <w:rPr>
              <w:rFonts w:ascii="Arial" w:hAnsi="Arial"/>
            </w:rPr>
            <w:br w:type="page"/>
          </w:r>
        </w:p>
      </w:sdtContent>
    </w:sdt>
    <w:sdt>
      <w:sdtPr>
        <w:rPr>
          <w:rFonts w:asciiTheme="minorHAnsi" w:eastAsiaTheme="minorHAnsi" w:hAnsiTheme="minorHAnsi" w:cstheme="minorBidi"/>
          <w:color w:val="auto"/>
          <w:kern w:val="2"/>
          <w:sz w:val="24"/>
          <w:szCs w:val="24"/>
          <w:lang w:val="en-GB"/>
          <w14:ligatures w14:val="standardContextual"/>
        </w:rPr>
        <w:id w:val="1424839468"/>
        <w:docPartObj>
          <w:docPartGallery w:val="Table of Contents"/>
          <w:docPartUnique/>
        </w:docPartObj>
      </w:sdtPr>
      <w:sdtEndPr>
        <w:rPr>
          <w:b/>
          <w:bCs/>
          <w:noProof/>
        </w:rPr>
      </w:sdtEndPr>
      <w:sdtContent>
        <w:p w14:paraId="28C6C939" w14:textId="28C1B62E" w:rsidR="006804A7" w:rsidRDefault="006804A7" w:rsidP="006804A7">
          <w:pPr>
            <w:pStyle w:val="TOCHeading"/>
            <w:spacing w:line="360" w:lineRule="auto"/>
          </w:pPr>
          <w:r>
            <w:t>Contents</w:t>
          </w:r>
        </w:p>
        <w:p w14:paraId="242BD999" w14:textId="2DDE8267" w:rsidR="006804A7" w:rsidRDefault="006804A7" w:rsidP="006804A7">
          <w:pPr>
            <w:pStyle w:val="TOC1"/>
            <w:tabs>
              <w:tab w:val="right" w:leader="dot" w:pos="9016"/>
            </w:tabs>
            <w:spacing w:line="360" w:lineRule="auto"/>
            <w:rPr>
              <w:noProof/>
            </w:rPr>
          </w:pPr>
          <w:r>
            <w:fldChar w:fldCharType="begin"/>
          </w:r>
          <w:r>
            <w:instrText xml:space="preserve"> TOC \o "1-3" \h \z \u </w:instrText>
          </w:r>
          <w:r>
            <w:fldChar w:fldCharType="separate"/>
          </w:r>
          <w:hyperlink w:anchor="_Toc230904930" w:history="1">
            <w:r w:rsidRPr="000578E9">
              <w:rPr>
                <w:rStyle w:val="Hyperlink"/>
                <w:noProof/>
              </w:rPr>
              <w:t>Introduction</w:t>
            </w:r>
            <w:r>
              <w:rPr>
                <w:noProof/>
                <w:webHidden/>
              </w:rPr>
              <w:tab/>
            </w:r>
            <w:r>
              <w:rPr>
                <w:noProof/>
                <w:webHidden/>
              </w:rPr>
              <w:fldChar w:fldCharType="begin"/>
            </w:r>
            <w:r>
              <w:rPr>
                <w:noProof/>
                <w:webHidden/>
              </w:rPr>
              <w:instrText xml:space="preserve"> PAGEREF _Toc230904930 \h </w:instrText>
            </w:r>
            <w:r>
              <w:rPr>
                <w:noProof/>
                <w:webHidden/>
              </w:rPr>
            </w:r>
            <w:r>
              <w:rPr>
                <w:noProof/>
                <w:webHidden/>
              </w:rPr>
              <w:fldChar w:fldCharType="separate"/>
            </w:r>
            <w:r>
              <w:rPr>
                <w:noProof/>
                <w:webHidden/>
              </w:rPr>
              <w:t>2</w:t>
            </w:r>
            <w:r>
              <w:rPr>
                <w:noProof/>
                <w:webHidden/>
              </w:rPr>
              <w:fldChar w:fldCharType="end"/>
            </w:r>
          </w:hyperlink>
        </w:p>
        <w:p w14:paraId="414785F1" w14:textId="6B06FD08" w:rsidR="006804A7" w:rsidRDefault="006804A7" w:rsidP="006804A7">
          <w:pPr>
            <w:pStyle w:val="TOC1"/>
            <w:tabs>
              <w:tab w:val="right" w:leader="dot" w:pos="9016"/>
            </w:tabs>
            <w:spacing w:line="360" w:lineRule="auto"/>
            <w:rPr>
              <w:noProof/>
            </w:rPr>
          </w:pPr>
          <w:hyperlink w:anchor="_Toc230904931" w:history="1">
            <w:r w:rsidRPr="000578E9">
              <w:rPr>
                <w:rStyle w:val="Hyperlink"/>
                <w:noProof/>
              </w:rPr>
              <w:t>1. Explanation of Key Factors</w:t>
            </w:r>
            <w:r>
              <w:rPr>
                <w:noProof/>
                <w:webHidden/>
              </w:rPr>
              <w:tab/>
            </w:r>
            <w:r>
              <w:rPr>
                <w:noProof/>
                <w:webHidden/>
              </w:rPr>
              <w:fldChar w:fldCharType="begin"/>
            </w:r>
            <w:r>
              <w:rPr>
                <w:noProof/>
                <w:webHidden/>
              </w:rPr>
              <w:instrText xml:space="preserve"> PAGEREF _Toc230904931 \h </w:instrText>
            </w:r>
            <w:r>
              <w:rPr>
                <w:noProof/>
                <w:webHidden/>
              </w:rPr>
            </w:r>
            <w:r>
              <w:rPr>
                <w:noProof/>
                <w:webHidden/>
              </w:rPr>
              <w:fldChar w:fldCharType="separate"/>
            </w:r>
            <w:r>
              <w:rPr>
                <w:noProof/>
                <w:webHidden/>
              </w:rPr>
              <w:t>2</w:t>
            </w:r>
            <w:r>
              <w:rPr>
                <w:noProof/>
                <w:webHidden/>
              </w:rPr>
              <w:fldChar w:fldCharType="end"/>
            </w:r>
          </w:hyperlink>
        </w:p>
        <w:p w14:paraId="6FEA53B4" w14:textId="7B70B99D" w:rsidR="006804A7" w:rsidRDefault="006804A7" w:rsidP="006804A7">
          <w:pPr>
            <w:pStyle w:val="TOC2"/>
            <w:tabs>
              <w:tab w:val="right" w:leader="dot" w:pos="9016"/>
            </w:tabs>
            <w:spacing w:line="360" w:lineRule="auto"/>
            <w:rPr>
              <w:noProof/>
            </w:rPr>
          </w:pPr>
          <w:hyperlink w:anchor="_Toc230904932" w:history="1">
            <w:r w:rsidRPr="000578E9">
              <w:rPr>
                <w:rStyle w:val="Hyperlink"/>
                <w:noProof/>
              </w:rPr>
              <w:t>Technological Advancement</w:t>
            </w:r>
            <w:r>
              <w:rPr>
                <w:noProof/>
                <w:webHidden/>
              </w:rPr>
              <w:tab/>
            </w:r>
            <w:r>
              <w:rPr>
                <w:noProof/>
                <w:webHidden/>
              </w:rPr>
              <w:fldChar w:fldCharType="begin"/>
            </w:r>
            <w:r>
              <w:rPr>
                <w:noProof/>
                <w:webHidden/>
              </w:rPr>
              <w:instrText xml:space="preserve"> PAGEREF _Toc230904932 \h </w:instrText>
            </w:r>
            <w:r>
              <w:rPr>
                <w:noProof/>
                <w:webHidden/>
              </w:rPr>
            </w:r>
            <w:r>
              <w:rPr>
                <w:noProof/>
                <w:webHidden/>
              </w:rPr>
              <w:fldChar w:fldCharType="separate"/>
            </w:r>
            <w:r>
              <w:rPr>
                <w:noProof/>
                <w:webHidden/>
              </w:rPr>
              <w:t>2</w:t>
            </w:r>
            <w:r>
              <w:rPr>
                <w:noProof/>
                <w:webHidden/>
              </w:rPr>
              <w:fldChar w:fldCharType="end"/>
            </w:r>
          </w:hyperlink>
        </w:p>
        <w:p w14:paraId="0B9A027A" w14:textId="0CAC76CF" w:rsidR="006804A7" w:rsidRDefault="006804A7" w:rsidP="006804A7">
          <w:pPr>
            <w:pStyle w:val="TOC2"/>
            <w:tabs>
              <w:tab w:val="right" w:leader="dot" w:pos="9016"/>
            </w:tabs>
            <w:spacing w:line="360" w:lineRule="auto"/>
            <w:rPr>
              <w:noProof/>
            </w:rPr>
          </w:pPr>
          <w:hyperlink w:anchor="_Toc230904933" w:history="1">
            <w:r w:rsidRPr="000578E9">
              <w:rPr>
                <w:rStyle w:val="Hyperlink"/>
                <w:noProof/>
              </w:rPr>
              <w:t>Talent Acquisition and Retention</w:t>
            </w:r>
            <w:r>
              <w:rPr>
                <w:noProof/>
                <w:webHidden/>
              </w:rPr>
              <w:tab/>
            </w:r>
            <w:r>
              <w:rPr>
                <w:noProof/>
                <w:webHidden/>
              </w:rPr>
              <w:fldChar w:fldCharType="begin"/>
            </w:r>
            <w:r>
              <w:rPr>
                <w:noProof/>
                <w:webHidden/>
              </w:rPr>
              <w:instrText xml:space="preserve"> PAGEREF _Toc230904933 \h </w:instrText>
            </w:r>
            <w:r>
              <w:rPr>
                <w:noProof/>
                <w:webHidden/>
              </w:rPr>
            </w:r>
            <w:r>
              <w:rPr>
                <w:noProof/>
                <w:webHidden/>
              </w:rPr>
              <w:fldChar w:fldCharType="separate"/>
            </w:r>
            <w:r>
              <w:rPr>
                <w:noProof/>
                <w:webHidden/>
              </w:rPr>
              <w:t>3</w:t>
            </w:r>
            <w:r>
              <w:rPr>
                <w:noProof/>
                <w:webHidden/>
              </w:rPr>
              <w:fldChar w:fldCharType="end"/>
            </w:r>
          </w:hyperlink>
        </w:p>
        <w:p w14:paraId="2E5DACF5" w14:textId="45D6F3ED" w:rsidR="006804A7" w:rsidRDefault="006804A7" w:rsidP="006804A7">
          <w:pPr>
            <w:pStyle w:val="TOC2"/>
            <w:tabs>
              <w:tab w:val="right" w:leader="dot" w:pos="9016"/>
            </w:tabs>
            <w:spacing w:line="360" w:lineRule="auto"/>
            <w:rPr>
              <w:noProof/>
            </w:rPr>
          </w:pPr>
          <w:hyperlink w:anchor="_Toc230904934" w:history="1">
            <w:r w:rsidRPr="000578E9">
              <w:rPr>
                <w:rStyle w:val="Hyperlink"/>
                <w:noProof/>
              </w:rPr>
              <w:t>Diversity, Equity and Inclusion (DEI)</w:t>
            </w:r>
            <w:r>
              <w:rPr>
                <w:noProof/>
                <w:webHidden/>
              </w:rPr>
              <w:tab/>
            </w:r>
            <w:r>
              <w:rPr>
                <w:noProof/>
                <w:webHidden/>
              </w:rPr>
              <w:fldChar w:fldCharType="begin"/>
            </w:r>
            <w:r>
              <w:rPr>
                <w:noProof/>
                <w:webHidden/>
              </w:rPr>
              <w:instrText xml:space="preserve"> PAGEREF _Toc230904934 \h </w:instrText>
            </w:r>
            <w:r>
              <w:rPr>
                <w:noProof/>
                <w:webHidden/>
              </w:rPr>
            </w:r>
            <w:r>
              <w:rPr>
                <w:noProof/>
                <w:webHidden/>
              </w:rPr>
              <w:fldChar w:fldCharType="separate"/>
            </w:r>
            <w:r>
              <w:rPr>
                <w:noProof/>
                <w:webHidden/>
              </w:rPr>
              <w:t>4</w:t>
            </w:r>
            <w:r>
              <w:rPr>
                <w:noProof/>
                <w:webHidden/>
              </w:rPr>
              <w:fldChar w:fldCharType="end"/>
            </w:r>
          </w:hyperlink>
        </w:p>
        <w:p w14:paraId="5AC0F40A" w14:textId="0037A048" w:rsidR="006804A7" w:rsidRDefault="006804A7" w:rsidP="006804A7">
          <w:pPr>
            <w:pStyle w:val="TOC1"/>
            <w:tabs>
              <w:tab w:val="right" w:leader="dot" w:pos="9016"/>
            </w:tabs>
            <w:spacing w:line="360" w:lineRule="auto"/>
            <w:rPr>
              <w:noProof/>
            </w:rPr>
          </w:pPr>
          <w:hyperlink w:anchor="_Toc230904935" w:history="1">
            <w:r w:rsidRPr="000578E9">
              <w:rPr>
                <w:rStyle w:val="Hyperlink"/>
                <w:noProof/>
              </w:rPr>
              <w:t>2. Evaluation of Contemporary HR Practices</w:t>
            </w:r>
            <w:r>
              <w:rPr>
                <w:noProof/>
                <w:webHidden/>
              </w:rPr>
              <w:tab/>
            </w:r>
            <w:r>
              <w:rPr>
                <w:noProof/>
                <w:webHidden/>
              </w:rPr>
              <w:fldChar w:fldCharType="begin"/>
            </w:r>
            <w:r>
              <w:rPr>
                <w:noProof/>
                <w:webHidden/>
              </w:rPr>
              <w:instrText xml:space="preserve"> PAGEREF _Toc230904935 \h </w:instrText>
            </w:r>
            <w:r>
              <w:rPr>
                <w:noProof/>
                <w:webHidden/>
              </w:rPr>
            </w:r>
            <w:r>
              <w:rPr>
                <w:noProof/>
                <w:webHidden/>
              </w:rPr>
              <w:fldChar w:fldCharType="separate"/>
            </w:r>
            <w:r>
              <w:rPr>
                <w:noProof/>
                <w:webHidden/>
              </w:rPr>
              <w:t>5</w:t>
            </w:r>
            <w:r>
              <w:rPr>
                <w:noProof/>
                <w:webHidden/>
              </w:rPr>
              <w:fldChar w:fldCharType="end"/>
            </w:r>
          </w:hyperlink>
        </w:p>
        <w:p w14:paraId="375F16F3" w14:textId="0D75311B" w:rsidR="006804A7" w:rsidRDefault="006804A7" w:rsidP="006804A7">
          <w:pPr>
            <w:pStyle w:val="TOC2"/>
            <w:tabs>
              <w:tab w:val="right" w:leader="dot" w:pos="9016"/>
            </w:tabs>
            <w:spacing w:line="360" w:lineRule="auto"/>
            <w:rPr>
              <w:noProof/>
            </w:rPr>
          </w:pPr>
          <w:hyperlink w:anchor="_Toc230904936" w:history="1">
            <w:r w:rsidRPr="000578E9">
              <w:rPr>
                <w:rStyle w:val="Hyperlink"/>
                <w:noProof/>
              </w:rPr>
              <w:t>Digital HR Systems and Workforce Analytics</w:t>
            </w:r>
            <w:r>
              <w:rPr>
                <w:noProof/>
                <w:webHidden/>
              </w:rPr>
              <w:tab/>
            </w:r>
            <w:r>
              <w:rPr>
                <w:noProof/>
                <w:webHidden/>
              </w:rPr>
              <w:fldChar w:fldCharType="begin"/>
            </w:r>
            <w:r>
              <w:rPr>
                <w:noProof/>
                <w:webHidden/>
              </w:rPr>
              <w:instrText xml:space="preserve"> PAGEREF _Toc230904936 \h </w:instrText>
            </w:r>
            <w:r>
              <w:rPr>
                <w:noProof/>
                <w:webHidden/>
              </w:rPr>
            </w:r>
            <w:r>
              <w:rPr>
                <w:noProof/>
                <w:webHidden/>
              </w:rPr>
              <w:fldChar w:fldCharType="separate"/>
            </w:r>
            <w:r>
              <w:rPr>
                <w:noProof/>
                <w:webHidden/>
              </w:rPr>
              <w:t>5</w:t>
            </w:r>
            <w:r>
              <w:rPr>
                <w:noProof/>
                <w:webHidden/>
              </w:rPr>
              <w:fldChar w:fldCharType="end"/>
            </w:r>
          </w:hyperlink>
        </w:p>
        <w:p w14:paraId="560030A8" w14:textId="101F708F" w:rsidR="006804A7" w:rsidRDefault="006804A7" w:rsidP="006804A7">
          <w:pPr>
            <w:pStyle w:val="TOC2"/>
            <w:tabs>
              <w:tab w:val="right" w:leader="dot" w:pos="9016"/>
            </w:tabs>
            <w:spacing w:line="360" w:lineRule="auto"/>
            <w:rPr>
              <w:noProof/>
            </w:rPr>
          </w:pPr>
          <w:hyperlink w:anchor="_Toc230904937" w:history="1">
            <w:r w:rsidRPr="000578E9">
              <w:rPr>
                <w:rStyle w:val="Hyperlink"/>
                <w:noProof/>
              </w:rPr>
              <w:t>Employee Engagement and Retention Strategies</w:t>
            </w:r>
            <w:r>
              <w:rPr>
                <w:noProof/>
                <w:webHidden/>
              </w:rPr>
              <w:tab/>
            </w:r>
            <w:r>
              <w:rPr>
                <w:noProof/>
                <w:webHidden/>
              </w:rPr>
              <w:fldChar w:fldCharType="begin"/>
            </w:r>
            <w:r>
              <w:rPr>
                <w:noProof/>
                <w:webHidden/>
              </w:rPr>
              <w:instrText xml:space="preserve"> PAGEREF _Toc230904937 \h </w:instrText>
            </w:r>
            <w:r>
              <w:rPr>
                <w:noProof/>
                <w:webHidden/>
              </w:rPr>
            </w:r>
            <w:r>
              <w:rPr>
                <w:noProof/>
                <w:webHidden/>
              </w:rPr>
              <w:fldChar w:fldCharType="separate"/>
            </w:r>
            <w:r>
              <w:rPr>
                <w:noProof/>
                <w:webHidden/>
              </w:rPr>
              <w:t>6</w:t>
            </w:r>
            <w:r>
              <w:rPr>
                <w:noProof/>
                <w:webHidden/>
              </w:rPr>
              <w:fldChar w:fldCharType="end"/>
            </w:r>
          </w:hyperlink>
        </w:p>
        <w:p w14:paraId="605788B4" w14:textId="772C843B" w:rsidR="006804A7" w:rsidRDefault="006804A7" w:rsidP="006804A7">
          <w:pPr>
            <w:pStyle w:val="TOC2"/>
            <w:tabs>
              <w:tab w:val="right" w:leader="dot" w:pos="9016"/>
            </w:tabs>
            <w:spacing w:line="360" w:lineRule="auto"/>
            <w:rPr>
              <w:noProof/>
            </w:rPr>
          </w:pPr>
          <w:hyperlink w:anchor="_Toc230904938" w:history="1">
            <w:r w:rsidRPr="000578E9">
              <w:rPr>
                <w:rStyle w:val="Hyperlink"/>
                <w:noProof/>
              </w:rPr>
              <w:t>Inclusive Recruitment and DEI Policies</w:t>
            </w:r>
            <w:r>
              <w:rPr>
                <w:noProof/>
                <w:webHidden/>
              </w:rPr>
              <w:tab/>
            </w:r>
            <w:r>
              <w:rPr>
                <w:noProof/>
                <w:webHidden/>
              </w:rPr>
              <w:fldChar w:fldCharType="begin"/>
            </w:r>
            <w:r>
              <w:rPr>
                <w:noProof/>
                <w:webHidden/>
              </w:rPr>
              <w:instrText xml:space="preserve"> PAGEREF _Toc230904938 \h </w:instrText>
            </w:r>
            <w:r>
              <w:rPr>
                <w:noProof/>
                <w:webHidden/>
              </w:rPr>
            </w:r>
            <w:r>
              <w:rPr>
                <w:noProof/>
                <w:webHidden/>
              </w:rPr>
              <w:fldChar w:fldCharType="separate"/>
            </w:r>
            <w:r>
              <w:rPr>
                <w:noProof/>
                <w:webHidden/>
              </w:rPr>
              <w:t>7</w:t>
            </w:r>
            <w:r>
              <w:rPr>
                <w:noProof/>
                <w:webHidden/>
              </w:rPr>
              <w:fldChar w:fldCharType="end"/>
            </w:r>
          </w:hyperlink>
        </w:p>
        <w:p w14:paraId="19243BE8" w14:textId="197D53F3" w:rsidR="006804A7" w:rsidRDefault="006804A7" w:rsidP="006804A7">
          <w:pPr>
            <w:pStyle w:val="TOC1"/>
            <w:tabs>
              <w:tab w:val="right" w:leader="dot" w:pos="9016"/>
            </w:tabs>
            <w:spacing w:line="360" w:lineRule="auto"/>
            <w:rPr>
              <w:noProof/>
            </w:rPr>
          </w:pPr>
          <w:hyperlink w:anchor="_Toc230904939" w:history="1">
            <w:r w:rsidRPr="000578E9">
              <w:rPr>
                <w:rStyle w:val="Hyperlink"/>
                <w:noProof/>
              </w:rPr>
              <w:t>3. Critical Evaluation of Managerial Implementation</w:t>
            </w:r>
            <w:r>
              <w:rPr>
                <w:noProof/>
                <w:webHidden/>
              </w:rPr>
              <w:tab/>
            </w:r>
            <w:r>
              <w:rPr>
                <w:noProof/>
                <w:webHidden/>
              </w:rPr>
              <w:fldChar w:fldCharType="begin"/>
            </w:r>
            <w:r>
              <w:rPr>
                <w:noProof/>
                <w:webHidden/>
              </w:rPr>
              <w:instrText xml:space="preserve"> PAGEREF _Toc230904939 \h </w:instrText>
            </w:r>
            <w:r>
              <w:rPr>
                <w:noProof/>
                <w:webHidden/>
              </w:rPr>
            </w:r>
            <w:r>
              <w:rPr>
                <w:noProof/>
                <w:webHidden/>
              </w:rPr>
              <w:fldChar w:fldCharType="separate"/>
            </w:r>
            <w:r>
              <w:rPr>
                <w:noProof/>
                <w:webHidden/>
              </w:rPr>
              <w:t>8</w:t>
            </w:r>
            <w:r>
              <w:rPr>
                <w:noProof/>
                <w:webHidden/>
              </w:rPr>
              <w:fldChar w:fldCharType="end"/>
            </w:r>
          </w:hyperlink>
        </w:p>
        <w:p w14:paraId="1E1AF6F2" w14:textId="3F77CC35" w:rsidR="006804A7" w:rsidRDefault="006804A7" w:rsidP="006804A7">
          <w:pPr>
            <w:pStyle w:val="TOC1"/>
            <w:tabs>
              <w:tab w:val="right" w:leader="dot" w:pos="9016"/>
            </w:tabs>
            <w:spacing w:line="360" w:lineRule="auto"/>
            <w:rPr>
              <w:noProof/>
            </w:rPr>
          </w:pPr>
          <w:hyperlink w:anchor="_Toc230904940" w:history="1">
            <w:r w:rsidRPr="000578E9">
              <w:rPr>
                <w:rStyle w:val="Hyperlink"/>
                <w:noProof/>
              </w:rPr>
              <w:t>Conclusion</w:t>
            </w:r>
            <w:r>
              <w:rPr>
                <w:noProof/>
                <w:webHidden/>
              </w:rPr>
              <w:tab/>
            </w:r>
            <w:r>
              <w:rPr>
                <w:noProof/>
                <w:webHidden/>
              </w:rPr>
              <w:fldChar w:fldCharType="begin"/>
            </w:r>
            <w:r>
              <w:rPr>
                <w:noProof/>
                <w:webHidden/>
              </w:rPr>
              <w:instrText xml:space="preserve"> PAGEREF _Toc230904940 \h </w:instrText>
            </w:r>
            <w:r>
              <w:rPr>
                <w:noProof/>
                <w:webHidden/>
              </w:rPr>
            </w:r>
            <w:r>
              <w:rPr>
                <w:noProof/>
                <w:webHidden/>
              </w:rPr>
              <w:fldChar w:fldCharType="separate"/>
            </w:r>
            <w:r>
              <w:rPr>
                <w:noProof/>
                <w:webHidden/>
              </w:rPr>
              <w:t>9</w:t>
            </w:r>
            <w:r>
              <w:rPr>
                <w:noProof/>
                <w:webHidden/>
              </w:rPr>
              <w:fldChar w:fldCharType="end"/>
            </w:r>
          </w:hyperlink>
        </w:p>
        <w:p w14:paraId="0B805638" w14:textId="0282545C" w:rsidR="006804A7" w:rsidRDefault="006804A7" w:rsidP="006804A7">
          <w:pPr>
            <w:pStyle w:val="TOC1"/>
            <w:tabs>
              <w:tab w:val="right" w:leader="dot" w:pos="9016"/>
            </w:tabs>
            <w:spacing w:line="360" w:lineRule="auto"/>
            <w:rPr>
              <w:noProof/>
            </w:rPr>
          </w:pPr>
          <w:hyperlink w:anchor="_Toc230904941" w:history="1">
            <w:r w:rsidRPr="000578E9">
              <w:rPr>
                <w:rStyle w:val="Hyperlink"/>
                <w:noProof/>
              </w:rPr>
              <w:t>Recommendations</w:t>
            </w:r>
            <w:r>
              <w:rPr>
                <w:noProof/>
                <w:webHidden/>
              </w:rPr>
              <w:tab/>
            </w:r>
            <w:r>
              <w:rPr>
                <w:noProof/>
                <w:webHidden/>
              </w:rPr>
              <w:fldChar w:fldCharType="begin"/>
            </w:r>
            <w:r>
              <w:rPr>
                <w:noProof/>
                <w:webHidden/>
              </w:rPr>
              <w:instrText xml:space="preserve"> PAGEREF _Toc230904941 \h </w:instrText>
            </w:r>
            <w:r>
              <w:rPr>
                <w:noProof/>
                <w:webHidden/>
              </w:rPr>
            </w:r>
            <w:r>
              <w:rPr>
                <w:noProof/>
                <w:webHidden/>
              </w:rPr>
              <w:fldChar w:fldCharType="separate"/>
            </w:r>
            <w:r>
              <w:rPr>
                <w:noProof/>
                <w:webHidden/>
              </w:rPr>
              <w:t>10</w:t>
            </w:r>
            <w:r>
              <w:rPr>
                <w:noProof/>
                <w:webHidden/>
              </w:rPr>
              <w:fldChar w:fldCharType="end"/>
            </w:r>
          </w:hyperlink>
        </w:p>
        <w:p w14:paraId="55784D94" w14:textId="3F51C06F" w:rsidR="006804A7" w:rsidRDefault="006804A7" w:rsidP="006804A7">
          <w:pPr>
            <w:pStyle w:val="TOC1"/>
            <w:tabs>
              <w:tab w:val="right" w:leader="dot" w:pos="9016"/>
            </w:tabs>
            <w:spacing w:line="360" w:lineRule="auto"/>
            <w:rPr>
              <w:noProof/>
            </w:rPr>
          </w:pPr>
          <w:hyperlink w:anchor="_Toc230904942" w:history="1">
            <w:r w:rsidRPr="000578E9">
              <w:rPr>
                <w:rStyle w:val="Hyperlink"/>
                <w:noProof/>
              </w:rPr>
              <w:t>Reference List</w:t>
            </w:r>
            <w:r>
              <w:rPr>
                <w:noProof/>
                <w:webHidden/>
              </w:rPr>
              <w:tab/>
            </w:r>
            <w:r>
              <w:rPr>
                <w:noProof/>
                <w:webHidden/>
              </w:rPr>
              <w:fldChar w:fldCharType="begin"/>
            </w:r>
            <w:r>
              <w:rPr>
                <w:noProof/>
                <w:webHidden/>
              </w:rPr>
              <w:instrText xml:space="preserve"> PAGEREF _Toc230904942 \h </w:instrText>
            </w:r>
            <w:r>
              <w:rPr>
                <w:noProof/>
                <w:webHidden/>
              </w:rPr>
            </w:r>
            <w:r>
              <w:rPr>
                <w:noProof/>
                <w:webHidden/>
              </w:rPr>
              <w:fldChar w:fldCharType="separate"/>
            </w:r>
            <w:r>
              <w:rPr>
                <w:noProof/>
                <w:webHidden/>
              </w:rPr>
              <w:t>11</w:t>
            </w:r>
            <w:r>
              <w:rPr>
                <w:noProof/>
                <w:webHidden/>
              </w:rPr>
              <w:fldChar w:fldCharType="end"/>
            </w:r>
          </w:hyperlink>
        </w:p>
        <w:p w14:paraId="6D225B62" w14:textId="3E504707" w:rsidR="006804A7" w:rsidRDefault="006804A7" w:rsidP="006804A7">
          <w:pPr>
            <w:spacing w:line="360" w:lineRule="auto"/>
          </w:pPr>
          <w:r>
            <w:rPr>
              <w:b/>
              <w:bCs/>
              <w:noProof/>
            </w:rPr>
            <w:fldChar w:fldCharType="end"/>
          </w:r>
        </w:p>
      </w:sdtContent>
    </w:sdt>
    <w:p w14:paraId="6B894983" w14:textId="77777777" w:rsidR="006804A7" w:rsidRDefault="006804A7">
      <w:pPr>
        <w:rPr>
          <w:rFonts w:asciiTheme="majorHAnsi" w:eastAsiaTheme="majorEastAsia" w:hAnsiTheme="majorHAnsi" w:cstheme="majorBidi"/>
          <w:color w:val="0F4761" w:themeColor="accent1" w:themeShade="BF"/>
          <w:sz w:val="40"/>
          <w:szCs w:val="40"/>
        </w:rPr>
      </w:pPr>
      <w:r>
        <w:br w:type="page"/>
      </w:r>
    </w:p>
    <w:p w14:paraId="155EC8F0" w14:textId="77777777" w:rsidR="006D36FC" w:rsidRDefault="006D36FC" w:rsidP="006E7812">
      <w:pPr>
        <w:pStyle w:val="Heading1"/>
        <w:sectPr w:rsidR="006D36FC" w:rsidSect="00132FFC">
          <w:footerReference w:type="default" r:id="rId11"/>
          <w:pgSz w:w="11906" w:h="16838"/>
          <w:pgMar w:top="1440" w:right="1440" w:bottom="1440" w:left="1440" w:header="708" w:footer="708" w:gutter="0"/>
          <w:pgNumType w:start="0"/>
          <w:cols w:space="708"/>
          <w:titlePg/>
          <w:docGrid w:linePitch="360"/>
        </w:sectPr>
      </w:pPr>
      <w:bookmarkStart w:id="0" w:name="_Toc230904930"/>
    </w:p>
    <w:p w14:paraId="12FC0316" w14:textId="1B21676C" w:rsidR="006E7812" w:rsidRPr="006E7812" w:rsidRDefault="006E7812" w:rsidP="006E7812">
      <w:pPr>
        <w:pStyle w:val="Heading1"/>
      </w:pPr>
      <w:r w:rsidRPr="006E7812">
        <w:lastRenderedPageBreak/>
        <w:t>Introduction</w:t>
      </w:r>
      <w:bookmarkEnd w:id="0"/>
    </w:p>
    <w:p w14:paraId="7D8DE4E8" w14:textId="5A094D7A" w:rsidR="00B87BBA" w:rsidRPr="00B87BBA" w:rsidRDefault="00B87BBA" w:rsidP="00B87BBA">
      <w:pPr>
        <w:spacing w:line="360" w:lineRule="auto"/>
        <w:jc w:val="both"/>
        <w:rPr>
          <w:rFonts w:ascii="Arial" w:hAnsi="Arial"/>
        </w:rPr>
      </w:pPr>
      <w:r w:rsidRPr="00B87BBA">
        <w:rPr>
          <w:rFonts w:ascii="Arial" w:hAnsi="Arial"/>
        </w:rPr>
        <w:t>Human Resource (HR) management plays an important role in helping organisations achieve long-term success. Modern businesses face several HR challenges because of technological change, increasing competition for skilled employees, and the growing importance of Diversity, Equity and Inclusion (DEI) (Watson, 2017). Therefore, HR departments must develop effective strategies that improve employee motivation, performance, and organisational sustainability (Daft, 2008).</w:t>
      </w:r>
    </w:p>
    <w:p w14:paraId="4793A5BF" w14:textId="406B0442" w:rsidR="00B87BBA" w:rsidRDefault="006D36FC" w:rsidP="00B87BBA">
      <w:pPr>
        <w:spacing w:line="360" w:lineRule="auto"/>
        <w:jc w:val="both"/>
        <w:rPr>
          <w:rFonts w:ascii="Arial" w:hAnsi="Arial"/>
        </w:rPr>
      </w:pPr>
      <w:r>
        <w:rPr>
          <w:noProof/>
        </w:rPr>
        <w:drawing>
          <wp:anchor distT="0" distB="0" distL="114300" distR="114300" simplePos="0" relativeHeight="251663360" behindDoc="1" locked="0" layoutInCell="1" allowOverlap="1" wp14:anchorId="0F095902" wp14:editId="441C8673">
            <wp:simplePos x="0" y="0"/>
            <wp:positionH relativeFrom="column">
              <wp:posOffset>1699260</wp:posOffset>
            </wp:positionH>
            <wp:positionV relativeFrom="paragraph">
              <wp:posOffset>2306320</wp:posOffset>
            </wp:positionV>
            <wp:extent cx="2443480" cy="3421380"/>
            <wp:effectExtent l="0" t="0" r="0" b="7620"/>
            <wp:wrapTight wrapText="bothSides">
              <wp:wrapPolygon edited="0">
                <wp:start x="0" y="0"/>
                <wp:lineTo x="0" y="21528"/>
                <wp:lineTo x="21387" y="21528"/>
                <wp:lineTo x="21387" y="0"/>
                <wp:lineTo x="0" y="0"/>
              </wp:wrapPolygon>
            </wp:wrapTight>
            <wp:docPr id="584421520" name="Picture 1" descr="The image depicts a flowchart illustrating how technological advancements in HR training and workforce development lead to increased employee engagement and retention, which in turn promotes diversity, equity, and inclusion (DEI), ultimately enhancing organizational performance and long-term sustainabil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421520" name="Picture 1" descr="The image depicts a flowchart illustrating how technological advancements in HR training and workforce development lead to increased employee engagement and retention, which in turn promotes diversity, equity, and inclusion (DEI), ultimately enhancing organizational performance and long-term sustainability.&#10;&#10;AI-generated content may be incorrect."/>
                    <pic:cNvPicPr/>
                  </pic:nvPicPr>
                  <pic:blipFill rotWithShape="1">
                    <a:blip r:embed="rId12" cstate="print">
                      <a:extLst>
                        <a:ext uri="{28A0092B-C50C-407E-A947-70E740481C1C}">
                          <a14:useLocalDpi xmlns:a14="http://schemas.microsoft.com/office/drawing/2010/main" val="0"/>
                        </a:ext>
                      </a:extLst>
                    </a:blip>
                    <a:srcRect t="3950" b="2702"/>
                    <a:stretch>
                      <a:fillRect/>
                    </a:stretch>
                  </pic:blipFill>
                  <pic:spPr bwMode="auto">
                    <a:xfrm>
                      <a:off x="0" y="0"/>
                      <a:ext cx="2443480" cy="3421380"/>
                    </a:xfrm>
                    <a:prstGeom prst="rect">
                      <a:avLst/>
                    </a:prstGeom>
                    <a:ln>
                      <a:noFill/>
                    </a:ln>
                    <a:extLst>
                      <a:ext uri="{53640926-AAD7-44D8-BBD7-CCE9431645EC}">
                        <a14:shadowObscured xmlns:a14="http://schemas.microsoft.com/office/drawing/2010/main"/>
                      </a:ext>
                    </a:extLst>
                  </pic:spPr>
                </pic:pic>
              </a:graphicData>
            </a:graphic>
          </wp:anchor>
        </w:drawing>
      </w:r>
      <w:r w:rsidR="00B87BBA" w:rsidRPr="00B87BBA">
        <w:rPr>
          <w:rFonts w:ascii="Arial" w:hAnsi="Arial"/>
        </w:rPr>
        <w:t xml:space="preserve">This report examines the contemporary HR challenges faced by Tesco UK. Tesco is one of the largest retailers in the United Kingdom and employs thousands of workers across stores, warehouses, and office departments. </w:t>
      </w:r>
      <w:r w:rsidR="001D4297" w:rsidRPr="001D4297">
        <w:rPr>
          <w:rFonts w:ascii="Arial" w:hAnsi="Arial"/>
        </w:rPr>
        <w:t>According to Tesco PLC (2025), the organisation continues to invest in digital transformation, colleague development, and diversity and inclusion initiatives to improve employee engagement and long-term business performance.</w:t>
      </w:r>
      <w:r w:rsidR="001D4297">
        <w:rPr>
          <w:rFonts w:ascii="Arial" w:hAnsi="Arial"/>
        </w:rPr>
        <w:t xml:space="preserve"> </w:t>
      </w:r>
      <w:r w:rsidR="00B87BBA" w:rsidRPr="00B87BBA">
        <w:rPr>
          <w:rFonts w:ascii="Arial" w:hAnsi="Arial"/>
        </w:rPr>
        <w:t xml:space="preserve">The report discusses three important factors affecting Tesco: technological advancement, talent acquisition and retention, and DEI. The report also evaluates contemporary HR practices that can address these challenges and critically evaluates how managers can ensure successful implementation of these practices. </w:t>
      </w:r>
    </w:p>
    <w:p w14:paraId="2345B209" w14:textId="5B4D52B6" w:rsidR="00BB2341" w:rsidRDefault="00BB2341" w:rsidP="006D36FC">
      <w:pPr>
        <w:spacing w:line="360" w:lineRule="auto"/>
        <w:jc w:val="both"/>
      </w:pPr>
      <w:r>
        <w:rPr>
          <w:rFonts w:ascii="Arial" w:hAnsi="Arial"/>
        </w:rPr>
        <w:t xml:space="preserve">                                          </w:t>
      </w:r>
    </w:p>
    <w:p w14:paraId="7E27F5C4" w14:textId="4227C817" w:rsidR="00BB2341" w:rsidRDefault="00BB2341" w:rsidP="00BB2341">
      <w:pPr>
        <w:pStyle w:val="Caption"/>
        <w:jc w:val="both"/>
      </w:pPr>
    </w:p>
    <w:p w14:paraId="1868CF29" w14:textId="061C9DCA" w:rsidR="00BB2341" w:rsidRDefault="00BB2341" w:rsidP="00BB2341">
      <w:pPr>
        <w:pStyle w:val="Caption"/>
        <w:jc w:val="both"/>
      </w:pPr>
    </w:p>
    <w:p w14:paraId="38F02F62" w14:textId="13279799" w:rsidR="00BB2341" w:rsidRDefault="00BB2341" w:rsidP="00BB2341">
      <w:pPr>
        <w:pStyle w:val="Caption"/>
        <w:jc w:val="both"/>
      </w:pPr>
    </w:p>
    <w:p w14:paraId="21AB5903" w14:textId="39E1DFED" w:rsidR="00BB2341" w:rsidRDefault="00BB2341" w:rsidP="00BB2341">
      <w:pPr>
        <w:pStyle w:val="Caption"/>
        <w:jc w:val="both"/>
      </w:pPr>
    </w:p>
    <w:p w14:paraId="3AEAAE6A" w14:textId="77777777" w:rsidR="00BB2341" w:rsidRDefault="00BB2341" w:rsidP="00BB2341">
      <w:pPr>
        <w:pStyle w:val="Caption"/>
        <w:jc w:val="both"/>
      </w:pPr>
    </w:p>
    <w:p w14:paraId="109541B6" w14:textId="77777777" w:rsidR="00BB2341" w:rsidRDefault="00BB2341" w:rsidP="00BB2341">
      <w:pPr>
        <w:pStyle w:val="Caption"/>
        <w:jc w:val="both"/>
      </w:pPr>
    </w:p>
    <w:p w14:paraId="1F66F8E4" w14:textId="77777777" w:rsidR="00BB2341" w:rsidRDefault="00BB2341" w:rsidP="00BB2341">
      <w:pPr>
        <w:pStyle w:val="Caption"/>
        <w:jc w:val="both"/>
      </w:pPr>
    </w:p>
    <w:p w14:paraId="25659B9D" w14:textId="77777777" w:rsidR="00BB2341" w:rsidRDefault="00BB2341" w:rsidP="00BB2341">
      <w:pPr>
        <w:pStyle w:val="Caption"/>
        <w:jc w:val="both"/>
      </w:pPr>
    </w:p>
    <w:p w14:paraId="5F09A204" w14:textId="77777777" w:rsidR="00BB2341" w:rsidRDefault="00BB2341" w:rsidP="00BB2341">
      <w:pPr>
        <w:pStyle w:val="Caption"/>
        <w:jc w:val="both"/>
      </w:pPr>
    </w:p>
    <w:p w14:paraId="0A28260A" w14:textId="77777777" w:rsidR="00BB2341" w:rsidRDefault="00BB2341" w:rsidP="00BB2341">
      <w:pPr>
        <w:pStyle w:val="Caption"/>
        <w:jc w:val="both"/>
      </w:pPr>
    </w:p>
    <w:p w14:paraId="01796B32" w14:textId="64DF7898" w:rsidR="00BB2341" w:rsidRPr="00B87BBA" w:rsidRDefault="00BB2341" w:rsidP="00BB2341">
      <w:pPr>
        <w:pStyle w:val="Caption"/>
        <w:jc w:val="both"/>
        <w:rPr>
          <w:rFonts w:ascii="Arial" w:hAnsi="Arial"/>
        </w:rPr>
      </w:pPr>
      <w:r>
        <w:t xml:space="preserve">Figure </w:t>
      </w:r>
      <w:r>
        <w:fldChar w:fldCharType="begin"/>
      </w:r>
      <w:r>
        <w:instrText xml:space="preserve"> SEQ Figure \* ARABIC </w:instrText>
      </w:r>
      <w:r>
        <w:fldChar w:fldCharType="separate"/>
      </w:r>
      <w:r>
        <w:rPr>
          <w:noProof/>
        </w:rPr>
        <w:t>1</w:t>
      </w:r>
      <w:r>
        <w:fldChar w:fldCharType="end"/>
      </w:r>
      <w:r>
        <w:t>:</w:t>
      </w:r>
      <w:r w:rsidRPr="00BB2341">
        <w:t xml:space="preserve"> Contemporary HR framework for improving organisational performance and long-term sustainability at Tesco (Created by the author using Canva, 2026).</w:t>
      </w:r>
    </w:p>
    <w:p w14:paraId="160DF60A" w14:textId="523BFBAB" w:rsidR="006E7812" w:rsidRPr="006E7812" w:rsidRDefault="006E7812" w:rsidP="006E7812">
      <w:pPr>
        <w:pStyle w:val="Heading1"/>
      </w:pPr>
      <w:bookmarkStart w:id="1" w:name="_Toc230904931"/>
      <w:r w:rsidRPr="006E7812">
        <w:lastRenderedPageBreak/>
        <w:t>1. Explanation of Key Factors</w:t>
      </w:r>
      <w:bookmarkEnd w:id="1"/>
    </w:p>
    <w:p w14:paraId="30A494A2" w14:textId="77777777" w:rsidR="006E7812" w:rsidRPr="006E7812" w:rsidRDefault="006E7812" w:rsidP="006E7812">
      <w:pPr>
        <w:spacing w:line="360" w:lineRule="auto"/>
        <w:jc w:val="both"/>
        <w:rPr>
          <w:rFonts w:ascii="Arial" w:hAnsi="Arial"/>
        </w:rPr>
      </w:pPr>
    </w:p>
    <w:p w14:paraId="34E6CAC4" w14:textId="7D1EA017" w:rsidR="006E7812" w:rsidRPr="006E7812" w:rsidRDefault="006E7812" w:rsidP="006E7812">
      <w:pPr>
        <w:pStyle w:val="Heading2"/>
      </w:pPr>
      <w:bookmarkStart w:id="2" w:name="_Toc230904932"/>
      <w:r w:rsidRPr="006E7812">
        <w:t>Technological Advancement</w:t>
      </w:r>
      <w:bookmarkEnd w:id="2"/>
    </w:p>
    <w:p w14:paraId="14FD98B9" w14:textId="77777777" w:rsidR="006E7812" w:rsidRPr="006E7812" w:rsidRDefault="006E7812" w:rsidP="006E7812">
      <w:pPr>
        <w:spacing w:line="360" w:lineRule="auto"/>
        <w:jc w:val="both"/>
        <w:rPr>
          <w:rFonts w:ascii="Arial" w:hAnsi="Arial"/>
        </w:rPr>
      </w:pPr>
    </w:p>
    <w:p w14:paraId="3B2C5E81" w14:textId="77777777" w:rsidR="001D4297" w:rsidRPr="001D4297" w:rsidRDefault="00B87BBA" w:rsidP="001D4297">
      <w:pPr>
        <w:spacing w:line="360" w:lineRule="auto"/>
        <w:jc w:val="both"/>
        <w:rPr>
          <w:rFonts w:ascii="Arial" w:hAnsi="Arial"/>
        </w:rPr>
      </w:pPr>
      <w:r>
        <w:rPr>
          <w:rFonts w:ascii="Arial" w:hAnsi="Arial"/>
        </w:rPr>
        <w:t>T</w:t>
      </w:r>
      <w:r w:rsidRPr="00B87BBA">
        <w:rPr>
          <w:rFonts w:ascii="Arial" w:hAnsi="Arial"/>
        </w:rPr>
        <w:t xml:space="preserve">echnological advancement has changed the way organisations manage employees and business operations. Tesco has increasingly adopted digital technologies such as self-checkout systems, online shopping platforms, workforce analytics, and digital HR systems. </w:t>
      </w:r>
      <w:r w:rsidR="001D4297" w:rsidRPr="001D4297">
        <w:rPr>
          <w:rFonts w:ascii="Arial" w:hAnsi="Arial"/>
        </w:rPr>
        <w:t>Tesco's Annual Report (2025) highlights continued investment in digital innovation and technology to improve operational efficiency and enhance the customer and employee experience (Tesco PLC, 2025).</w:t>
      </w:r>
    </w:p>
    <w:p w14:paraId="5E94FCDF" w14:textId="77777777" w:rsidR="00B87BBA" w:rsidRPr="00B87BBA" w:rsidRDefault="00B87BBA" w:rsidP="00B87BBA">
      <w:pPr>
        <w:spacing w:line="360" w:lineRule="auto"/>
        <w:jc w:val="both"/>
        <w:rPr>
          <w:rFonts w:ascii="Arial" w:hAnsi="Arial"/>
        </w:rPr>
      </w:pPr>
      <w:r w:rsidRPr="00B87BBA">
        <w:rPr>
          <w:rFonts w:ascii="Arial" w:hAnsi="Arial"/>
        </w:rPr>
        <w:t>One major challenge is employee adaptation to new systems. Employees may experience stress or anxiety when organisations introduce new technologies without proper training. According to Daft (2008), motivation is affected when employees feel uncertain about their work roles and responsibilities. Employees who lack confidence in using digital systems may become less engaged and productive. Alderfer (1972) also explains that employees require growth opportunities and supportive workplace relationships to remain motivated and committed.</w:t>
      </w:r>
    </w:p>
    <w:p w14:paraId="14B5E010" w14:textId="354CFA9A" w:rsidR="00B87BBA" w:rsidRPr="00B87BBA" w:rsidRDefault="00B87BBA" w:rsidP="00B87BBA">
      <w:pPr>
        <w:spacing w:line="360" w:lineRule="auto"/>
        <w:jc w:val="both"/>
        <w:rPr>
          <w:rFonts w:ascii="Arial" w:hAnsi="Arial"/>
        </w:rPr>
      </w:pPr>
      <w:r w:rsidRPr="00B87BBA">
        <w:rPr>
          <w:rFonts w:ascii="Arial" w:hAnsi="Arial"/>
        </w:rPr>
        <w:t>Another issue is the need for continuous learning and career development. Modern workplaces require workers to regularly update their skills to remain productive. Maslow (1943) argues that individuals seek personal growth and self-development once their basic needs are satisfied. Therefore, organisations that fail to provide development opportunities may experience lower employee satisfaction.</w:t>
      </w:r>
    </w:p>
    <w:p w14:paraId="073339A4" w14:textId="6536C361" w:rsidR="006E7812" w:rsidRPr="006E7812" w:rsidRDefault="002E397B" w:rsidP="006E7812">
      <w:pPr>
        <w:spacing w:line="360" w:lineRule="auto"/>
        <w:jc w:val="both"/>
        <w:rPr>
          <w:rFonts w:ascii="Arial" w:hAnsi="Arial"/>
        </w:rPr>
      </w:pPr>
      <w:r>
        <w:rPr>
          <w:rFonts w:ascii="Arial" w:hAnsi="Arial"/>
        </w:rPr>
        <w:t>T</w:t>
      </w:r>
      <w:r w:rsidRPr="002E397B">
        <w:rPr>
          <w:rFonts w:ascii="Arial" w:hAnsi="Arial"/>
        </w:rPr>
        <w:t xml:space="preserve">echnology also affects organisational sustainability and employee engagement. Although digital systems can improve productivity and customer satisfaction, over-reliance on automation may reduce employee autonomy, social interaction, and workplace morale. This could negatively affect long-term employee engagement and organisational commitment if Tesco fails to balance technological efficiency with human interaction. Herzberg’s Two-Factor Theory suggests that employees require recognition, growth, and responsibility to remain satisfied at work (Herzberg, 1959). </w:t>
      </w:r>
    </w:p>
    <w:p w14:paraId="5337045F" w14:textId="77777777" w:rsidR="006E7812" w:rsidRPr="006E7812" w:rsidRDefault="006E7812" w:rsidP="006E7812">
      <w:pPr>
        <w:spacing w:line="360" w:lineRule="auto"/>
        <w:jc w:val="both"/>
        <w:rPr>
          <w:rFonts w:ascii="Arial" w:hAnsi="Arial"/>
        </w:rPr>
      </w:pPr>
    </w:p>
    <w:p w14:paraId="00AF8868" w14:textId="781FD1AB" w:rsidR="006E7812" w:rsidRPr="006E7812" w:rsidRDefault="006E7812" w:rsidP="006E7812">
      <w:pPr>
        <w:pStyle w:val="Heading2"/>
      </w:pPr>
      <w:bookmarkStart w:id="3" w:name="_Toc230904933"/>
      <w:r w:rsidRPr="006E7812">
        <w:lastRenderedPageBreak/>
        <w:t>Talent Acquisition and Retention</w:t>
      </w:r>
      <w:bookmarkEnd w:id="3"/>
    </w:p>
    <w:p w14:paraId="6910B3BA" w14:textId="77777777" w:rsidR="006E7812" w:rsidRPr="006E7812" w:rsidRDefault="006E7812" w:rsidP="006E7812">
      <w:pPr>
        <w:spacing w:line="360" w:lineRule="auto"/>
        <w:jc w:val="both"/>
        <w:rPr>
          <w:rFonts w:ascii="Arial" w:hAnsi="Arial"/>
        </w:rPr>
      </w:pPr>
    </w:p>
    <w:p w14:paraId="0BD6080C" w14:textId="77777777" w:rsidR="00B87BBA" w:rsidRPr="00B87BBA" w:rsidRDefault="00B87BBA" w:rsidP="00B87BBA">
      <w:pPr>
        <w:spacing w:line="360" w:lineRule="auto"/>
        <w:jc w:val="both"/>
        <w:rPr>
          <w:rFonts w:ascii="Arial" w:hAnsi="Arial"/>
        </w:rPr>
      </w:pPr>
      <w:r w:rsidRPr="00B87BBA">
        <w:rPr>
          <w:rFonts w:ascii="Arial" w:hAnsi="Arial"/>
        </w:rPr>
        <w:t>Attracting and retaining talented employees is another major challenge for Tesco. The retail sector faces intense competition for skilled employees because workers increasingly seek flexible working conditions, career development opportunities, and better work-life balance (Watson, 2017).</w:t>
      </w:r>
    </w:p>
    <w:p w14:paraId="2CFF691C" w14:textId="00F24D7D" w:rsidR="00B87BBA" w:rsidRPr="00B87BBA" w:rsidRDefault="00B87BBA" w:rsidP="00B87BBA">
      <w:pPr>
        <w:spacing w:line="360" w:lineRule="auto"/>
        <w:jc w:val="both"/>
        <w:rPr>
          <w:rFonts w:ascii="Arial" w:hAnsi="Arial"/>
        </w:rPr>
      </w:pPr>
      <w:r w:rsidRPr="00B87BBA">
        <w:rPr>
          <w:rFonts w:ascii="Arial" w:hAnsi="Arial"/>
        </w:rPr>
        <w:t xml:space="preserve">High employee turnover can negatively affect business performance because recruitment and training costs increase. In addition, staff shortages may reduce customer service quality and employee morale. Employee engagement improves when employees feel valued, trusted, and empowered within the organisation (Seijts and Crim, 2006). </w:t>
      </w:r>
    </w:p>
    <w:p w14:paraId="5D702C37" w14:textId="77777777" w:rsidR="00B87BBA" w:rsidRPr="00B87BBA" w:rsidRDefault="00B87BBA" w:rsidP="00B87BBA">
      <w:pPr>
        <w:spacing w:line="360" w:lineRule="auto"/>
        <w:jc w:val="both"/>
        <w:rPr>
          <w:rFonts w:ascii="Arial" w:hAnsi="Arial"/>
        </w:rPr>
      </w:pPr>
      <w:r w:rsidRPr="00B87BBA">
        <w:rPr>
          <w:rFonts w:ascii="Arial" w:hAnsi="Arial"/>
        </w:rPr>
        <w:t>Motivation is strongly connected to employee retention. The Xerox case study explains that employees perform better when organisations provide recognition, support, and opportunities for achievement (Lumen Learning, no date). Workers are more motivated when they believe their effort will lead to rewards and career success. This reflects Vroom’s Expectancy Theory, which states that employees remain motivated when they can see a clear relationship between effort, performance, and rewards (Vroom, 1964).</w:t>
      </w:r>
    </w:p>
    <w:p w14:paraId="335D1A0A" w14:textId="467D6931" w:rsidR="00B87BBA" w:rsidRPr="00B87BBA" w:rsidRDefault="00B87BBA" w:rsidP="00B87BBA">
      <w:pPr>
        <w:spacing w:line="360" w:lineRule="auto"/>
        <w:jc w:val="both"/>
        <w:rPr>
          <w:rFonts w:ascii="Arial" w:hAnsi="Arial"/>
        </w:rPr>
      </w:pPr>
      <w:r w:rsidRPr="00B87BBA">
        <w:rPr>
          <w:rFonts w:ascii="Arial" w:hAnsi="Arial"/>
        </w:rPr>
        <w:t xml:space="preserve">Career progression is also important for employee retention. </w:t>
      </w:r>
      <w:r w:rsidR="001D4297" w:rsidRPr="001D4297">
        <w:rPr>
          <w:rFonts w:ascii="Arial" w:hAnsi="Arial"/>
        </w:rPr>
        <w:t>Tesco promotes career development through internal training, apprenticeships, leadership programmes and opportunities for progression across different business areas, helping to attract and retain talented employees (Tesco Careers, 2025)</w:t>
      </w:r>
      <w:r w:rsidR="001D4297">
        <w:rPr>
          <w:rFonts w:ascii="Arial" w:hAnsi="Arial"/>
        </w:rPr>
        <w:t xml:space="preserve">. </w:t>
      </w:r>
      <w:r w:rsidRPr="00B87BBA">
        <w:rPr>
          <w:rFonts w:ascii="Arial" w:hAnsi="Arial"/>
        </w:rPr>
        <w:t>Career development case studies show that employees are more likely to remain in organisations that provide professional development and advancement opportunities (EGFL, 2023). Daft (2008) also argues that leadership support and communication are essential for maintaining employee commitment and motivation.</w:t>
      </w:r>
    </w:p>
    <w:p w14:paraId="44255D0B" w14:textId="63C4B163" w:rsidR="006E7812" w:rsidRPr="006E7812" w:rsidRDefault="006E7812" w:rsidP="006E7812">
      <w:pPr>
        <w:spacing w:line="360" w:lineRule="auto"/>
        <w:jc w:val="both"/>
        <w:rPr>
          <w:rFonts w:ascii="Arial" w:hAnsi="Arial"/>
        </w:rPr>
      </w:pPr>
    </w:p>
    <w:p w14:paraId="686F45C3" w14:textId="77777777" w:rsidR="006E7812" w:rsidRPr="006E7812" w:rsidRDefault="006E7812" w:rsidP="006E7812">
      <w:pPr>
        <w:spacing w:line="360" w:lineRule="auto"/>
        <w:jc w:val="both"/>
        <w:rPr>
          <w:rFonts w:ascii="Arial" w:hAnsi="Arial"/>
        </w:rPr>
      </w:pPr>
    </w:p>
    <w:p w14:paraId="0FD43C2F" w14:textId="2AC51243" w:rsidR="006E7812" w:rsidRPr="006E7812" w:rsidRDefault="006E7812" w:rsidP="006E7812">
      <w:pPr>
        <w:pStyle w:val="Heading2"/>
      </w:pPr>
      <w:bookmarkStart w:id="4" w:name="_Toc230904934"/>
      <w:r w:rsidRPr="006E7812">
        <w:t>Diversity, Equity and Inclusion (DEI)</w:t>
      </w:r>
      <w:bookmarkEnd w:id="4"/>
    </w:p>
    <w:p w14:paraId="5C159198" w14:textId="77777777" w:rsidR="006E7812" w:rsidRPr="006E7812" w:rsidRDefault="006E7812" w:rsidP="006E7812">
      <w:pPr>
        <w:spacing w:line="360" w:lineRule="auto"/>
        <w:jc w:val="both"/>
        <w:rPr>
          <w:rFonts w:ascii="Arial" w:hAnsi="Arial"/>
        </w:rPr>
      </w:pPr>
    </w:p>
    <w:p w14:paraId="635C53C3" w14:textId="77777777" w:rsidR="001D4297" w:rsidRPr="001D4297" w:rsidRDefault="00B87BBA" w:rsidP="001D4297">
      <w:pPr>
        <w:spacing w:line="360" w:lineRule="auto"/>
        <w:jc w:val="both"/>
        <w:rPr>
          <w:rFonts w:ascii="Arial" w:hAnsi="Arial"/>
        </w:rPr>
      </w:pPr>
      <w:r w:rsidRPr="00B87BBA">
        <w:rPr>
          <w:rFonts w:ascii="Arial" w:hAnsi="Arial"/>
        </w:rPr>
        <w:lastRenderedPageBreak/>
        <w:t xml:space="preserve">Diversity, Equity and Inclusion (DEI) has become a key organisational priority in modern workplaces. Tesco employs workers from different cultural, ethnic, gender, and social backgrounds. </w:t>
      </w:r>
      <w:r w:rsidR="001D4297" w:rsidRPr="001D4297">
        <w:rPr>
          <w:rFonts w:ascii="Arial" w:hAnsi="Arial"/>
        </w:rPr>
        <w:t>Tesco's Diversity, Equity and Inclusion strategy emphasises creating an inclusive workplace where every colleague has equal opportunities for development and career progression (Tesco PLC, 2025).</w:t>
      </w:r>
    </w:p>
    <w:p w14:paraId="6342DCA1" w14:textId="68063CC0" w:rsidR="00B87BBA" w:rsidRPr="00B87BBA" w:rsidRDefault="00B87BBA" w:rsidP="00B87BBA">
      <w:pPr>
        <w:spacing w:line="360" w:lineRule="auto"/>
        <w:jc w:val="both"/>
        <w:rPr>
          <w:rFonts w:ascii="Arial" w:hAnsi="Arial"/>
        </w:rPr>
      </w:pPr>
      <w:r w:rsidRPr="00B87BBA">
        <w:rPr>
          <w:rFonts w:ascii="Arial" w:hAnsi="Arial"/>
        </w:rPr>
        <w:t>Effective DEI practices help organisations create fair and inclusive workplaces where employees feel respected and valued (Comfort and Franklin, 2014).</w:t>
      </w:r>
    </w:p>
    <w:p w14:paraId="1717087F" w14:textId="77777777" w:rsidR="00B87BBA" w:rsidRPr="00B87BBA" w:rsidRDefault="00B87BBA" w:rsidP="00B87BBA">
      <w:pPr>
        <w:spacing w:line="360" w:lineRule="auto"/>
        <w:jc w:val="both"/>
        <w:rPr>
          <w:rFonts w:ascii="Arial" w:hAnsi="Arial"/>
        </w:rPr>
      </w:pPr>
      <w:r w:rsidRPr="00B87BBA">
        <w:rPr>
          <w:rFonts w:ascii="Arial" w:hAnsi="Arial"/>
        </w:rPr>
        <w:t>However, structural inequalities still affect employment opportunities. Research by Friedman, O’Brien and Laurison (2017) demonstrates that social class and background continue to influence occupational opportunities and career progression in the UK. Similarly, Hills et al. (2015) explain that inequality in education, income, and social mobility affects long-term employment outcomes.</w:t>
      </w:r>
    </w:p>
    <w:p w14:paraId="69ADBB36" w14:textId="54394E19" w:rsidR="00B87BBA" w:rsidRPr="00B87BBA" w:rsidRDefault="00B87BBA" w:rsidP="00B87BBA">
      <w:pPr>
        <w:spacing w:line="360" w:lineRule="auto"/>
        <w:jc w:val="both"/>
        <w:rPr>
          <w:rFonts w:ascii="Arial" w:hAnsi="Arial"/>
        </w:rPr>
      </w:pPr>
      <w:r w:rsidRPr="00B87BBA">
        <w:rPr>
          <w:rFonts w:ascii="Arial" w:hAnsi="Arial"/>
        </w:rPr>
        <w:t xml:space="preserve">Discrimination and bias may also affect employee motivation and engagement. The McGregor-Smith Review (2017) identified that bias and discrimination can exist at different stages of an employee’s career. </w:t>
      </w:r>
      <w:r w:rsidR="002E397B" w:rsidRPr="002E397B">
        <w:rPr>
          <w:rFonts w:ascii="Arial" w:hAnsi="Arial"/>
        </w:rPr>
        <w:t xml:space="preserve">Employees who experience unfair treatment may become demotivated and less committed to organisational goals. </w:t>
      </w:r>
    </w:p>
    <w:p w14:paraId="48F406F8" w14:textId="77777777" w:rsidR="00B87BBA" w:rsidRPr="00B87BBA" w:rsidRDefault="00B87BBA" w:rsidP="00B87BBA">
      <w:pPr>
        <w:spacing w:line="360" w:lineRule="auto"/>
        <w:jc w:val="both"/>
        <w:rPr>
          <w:rFonts w:ascii="Arial" w:hAnsi="Arial"/>
        </w:rPr>
      </w:pPr>
      <w:r w:rsidRPr="00B87BBA">
        <w:rPr>
          <w:rFonts w:ascii="Arial" w:hAnsi="Arial"/>
        </w:rPr>
        <w:t>DEI also influences organisational reputation and innovation. Diverse teams often provide different perspectives and creative ideas, improving problem-solving and decision-making. Tesco’s ability to attract diverse employees can strengthen customer relationships because the workforce better reflects the communities it serves. The Social Mobility Commission (2025) further explains that inclusive employment practices improve opportunities for disadvantaged groups and support organisational sustainability.</w:t>
      </w:r>
    </w:p>
    <w:p w14:paraId="66FDF6A2" w14:textId="4933CCC1" w:rsidR="006E7812" w:rsidRPr="006E7812" w:rsidRDefault="006E7812" w:rsidP="006E7812">
      <w:pPr>
        <w:spacing w:line="360" w:lineRule="auto"/>
        <w:jc w:val="both"/>
        <w:rPr>
          <w:rFonts w:ascii="Arial" w:hAnsi="Arial"/>
        </w:rPr>
      </w:pPr>
    </w:p>
    <w:p w14:paraId="37EB904D" w14:textId="77777777" w:rsidR="006E7812" w:rsidRPr="006E7812" w:rsidRDefault="006E7812" w:rsidP="006E7812">
      <w:pPr>
        <w:spacing w:line="360" w:lineRule="auto"/>
        <w:jc w:val="both"/>
        <w:rPr>
          <w:rFonts w:ascii="Arial" w:hAnsi="Arial"/>
        </w:rPr>
      </w:pPr>
    </w:p>
    <w:p w14:paraId="27B19CB6" w14:textId="6C97429C" w:rsidR="006E7812" w:rsidRPr="006E7812" w:rsidRDefault="006E7812" w:rsidP="006E7812">
      <w:pPr>
        <w:pStyle w:val="Heading1"/>
      </w:pPr>
      <w:bookmarkStart w:id="5" w:name="_Toc230904935"/>
      <w:r w:rsidRPr="006E7812">
        <w:t>2. Evaluation of Contemporary HR Practices</w:t>
      </w:r>
      <w:bookmarkEnd w:id="5"/>
    </w:p>
    <w:p w14:paraId="63D5A7EA" w14:textId="77777777" w:rsidR="006E7812" w:rsidRPr="006E7812" w:rsidRDefault="006E7812" w:rsidP="006E7812">
      <w:pPr>
        <w:spacing w:line="360" w:lineRule="auto"/>
        <w:jc w:val="both"/>
        <w:rPr>
          <w:rFonts w:ascii="Arial" w:hAnsi="Arial"/>
        </w:rPr>
      </w:pPr>
    </w:p>
    <w:p w14:paraId="1697A5E2" w14:textId="4B49835C" w:rsidR="006E7812" w:rsidRPr="006E7812" w:rsidRDefault="006E7812" w:rsidP="006E7812">
      <w:pPr>
        <w:pStyle w:val="Heading2"/>
      </w:pPr>
      <w:bookmarkStart w:id="6" w:name="_Toc230904936"/>
      <w:r w:rsidRPr="006E7812">
        <w:t>Digital HR Systems and Workforce Analytics</w:t>
      </w:r>
      <w:bookmarkEnd w:id="6"/>
    </w:p>
    <w:p w14:paraId="52C39BD4" w14:textId="77777777" w:rsidR="006E7812" w:rsidRPr="006E7812" w:rsidRDefault="006E7812" w:rsidP="006E7812">
      <w:pPr>
        <w:spacing w:line="360" w:lineRule="auto"/>
        <w:jc w:val="both"/>
        <w:rPr>
          <w:rFonts w:ascii="Arial" w:hAnsi="Arial"/>
        </w:rPr>
      </w:pPr>
    </w:p>
    <w:p w14:paraId="1941FBB2" w14:textId="77777777" w:rsidR="00A76BC7" w:rsidRPr="00A76BC7" w:rsidRDefault="00A76BC7" w:rsidP="00A76BC7">
      <w:pPr>
        <w:spacing w:line="360" w:lineRule="auto"/>
        <w:jc w:val="both"/>
        <w:rPr>
          <w:rFonts w:ascii="Arial" w:hAnsi="Arial"/>
        </w:rPr>
      </w:pPr>
      <w:r w:rsidRPr="00A76BC7">
        <w:rPr>
          <w:rFonts w:ascii="Arial" w:hAnsi="Arial"/>
        </w:rPr>
        <w:lastRenderedPageBreak/>
        <w:t>Tesco has increasingly used digital HR systems to improve workforce management. Digital HR practices include online recruitment systems, electronic scheduling, employee performance monitoring, and workforce analytics.</w:t>
      </w:r>
    </w:p>
    <w:p w14:paraId="13618C72" w14:textId="77777777" w:rsidR="00A76BC7" w:rsidRPr="00A76BC7" w:rsidRDefault="00A76BC7" w:rsidP="00A76BC7">
      <w:pPr>
        <w:spacing w:line="360" w:lineRule="auto"/>
        <w:jc w:val="both"/>
        <w:rPr>
          <w:rFonts w:ascii="Arial" w:hAnsi="Arial"/>
        </w:rPr>
      </w:pPr>
      <w:r w:rsidRPr="00A76BC7">
        <w:rPr>
          <w:rFonts w:ascii="Arial" w:hAnsi="Arial"/>
        </w:rPr>
        <w:t>One major advantage of digital HR systems is efficiency. Automated systems reduce paperwork, improve communication, and allow managers to monitor performance more effectively. Workforce analytics can help Tesco identify staff shortages, predict turnover trends, and improve scheduling decisions (Daft, 2008).</w:t>
      </w:r>
    </w:p>
    <w:p w14:paraId="080522D6" w14:textId="77777777" w:rsidR="000A01FE" w:rsidRPr="000A01FE" w:rsidRDefault="00A76BC7" w:rsidP="000A01FE">
      <w:pPr>
        <w:spacing w:line="360" w:lineRule="auto"/>
        <w:jc w:val="both"/>
        <w:rPr>
          <w:rFonts w:ascii="Arial" w:hAnsi="Arial"/>
        </w:rPr>
      </w:pPr>
      <w:r w:rsidRPr="00A76BC7">
        <w:rPr>
          <w:rFonts w:ascii="Arial" w:hAnsi="Arial"/>
        </w:rPr>
        <w:t xml:space="preserve">However, digital HR systems also have limitations. Employees may feel monitored excessively, reducing trust and motivation. </w:t>
      </w:r>
      <w:r w:rsidR="000A01FE" w:rsidRPr="000A01FE">
        <w:rPr>
          <w:rFonts w:ascii="Arial" w:hAnsi="Arial"/>
        </w:rPr>
        <w:t>Although digital HR systems improve efficiency and provide valuable workforce data, they may reduce employee autonomy and trust if performance monitoring is perceived as excessive. Therefore, Tesco should balance technology with supportive leadership and employee involvement to ensure digital transformation enhances rather than weakens employee engagement.</w:t>
      </w:r>
    </w:p>
    <w:p w14:paraId="2055AE68" w14:textId="6A936171" w:rsidR="00A76BC7" w:rsidRPr="00A76BC7" w:rsidRDefault="00A76BC7" w:rsidP="00A76BC7">
      <w:pPr>
        <w:spacing w:line="360" w:lineRule="auto"/>
        <w:jc w:val="both"/>
        <w:rPr>
          <w:rFonts w:ascii="Arial" w:hAnsi="Arial"/>
        </w:rPr>
      </w:pPr>
      <w:r w:rsidRPr="00A76BC7">
        <w:rPr>
          <w:rFonts w:ascii="Arial" w:hAnsi="Arial"/>
        </w:rPr>
        <w:t xml:space="preserve">Employees compare their contributions and rewards with others and may feel demotivated if they perceive unfair treatment (Herzberg, 1959). </w:t>
      </w:r>
    </w:p>
    <w:p w14:paraId="443E2612" w14:textId="77777777" w:rsidR="007F284E" w:rsidRPr="007F284E" w:rsidRDefault="00A76BC7" w:rsidP="007F284E">
      <w:pPr>
        <w:spacing w:line="360" w:lineRule="auto"/>
        <w:jc w:val="both"/>
        <w:rPr>
          <w:rFonts w:ascii="Arial" w:hAnsi="Arial"/>
        </w:rPr>
      </w:pPr>
      <w:r w:rsidRPr="00A76BC7">
        <w:rPr>
          <w:rFonts w:ascii="Arial" w:hAnsi="Arial"/>
        </w:rPr>
        <w:t>Tesco should therefore combine digital systems with employee training and supportive leadership to ensure technology improves rather than damages employee engagement. Alderfer (1972) argues that employees require supportive relationships and growth opportunities to remain motivated during workplace change</w:t>
      </w:r>
      <w:r w:rsidRPr="007F284E">
        <w:rPr>
          <w:rFonts w:ascii="Arial" w:hAnsi="Arial"/>
        </w:rPr>
        <w:t>.</w:t>
      </w:r>
      <w:r w:rsidR="00A065C6" w:rsidRPr="007F284E">
        <w:rPr>
          <w:rFonts w:ascii="Times New Roman" w:eastAsia="Times New Roman" w:hAnsi="Times New Roman" w:cs="Times New Roman"/>
          <w:i/>
          <w:iCs/>
          <w:kern w:val="0"/>
          <w:lang w:eastAsia="en-GB"/>
          <w14:ligatures w14:val="none"/>
        </w:rPr>
        <w:t xml:space="preserve"> </w:t>
      </w:r>
      <w:r w:rsidR="007F284E" w:rsidRPr="007F284E">
        <w:rPr>
          <w:rFonts w:ascii="Arial" w:hAnsi="Arial"/>
        </w:rPr>
        <w:t>This approach also aligns with Ulrich's HR Model, which highlights the importance of HR supporting organisational change while helping employees adapt successfully (Ulrich, 1997).</w:t>
      </w:r>
    </w:p>
    <w:p w14:paraId="6725A8BB" w14:textId="2D37FCD0" w:rsidR="00A065C6" w:rsidRPr="00A065C6" w:rsidRDefault="00A065C6" w:rsidP="00A065C6">
      <w:pPr>
        <w:spacing w:line="360" w:lineRule="auto"/>
        <w:jc w:val="both"/>
        <w:rPr>
          <w:rFonts w:ascii="Arial" w:hAnsi="Arial"/>
        </w:rPr>
      </w:pPr>
      <w:r w:rsidRPr="00A065C6">
        <w:rPr>
          <w:rFonts w:ascii="Arial" w:hAnsi="Arial"/>
        </w:rPr>
        <w:t>By combining digital innovation with workforce development, Tesco can improve operational performance while maintaining employee engagement and organisational sustainability.</w:t>
      </w:r>
    </w:p>
    <w:p w14:paraId="1210A014" w14:textId="2AC6ED18" w:rsidR="00A76BC7" w:rsidRPr="00A76BC7" w:rsidRDefault="00A76BC7" w:rsidP="00A76BC7">
      <w:pPr>
        <w:spacing w:line="360" w:lineRule="auto"/>
        <w:jc w:val="both"/>
        <w:rPr>
          <w:rFonts w:ascii="Arial" w:hAnsi="Arial"/>
        </w:rPr>
      </w:pPr>
    </w:p>
    <w:p w14:paraId="54EB455F" w14:textId="77777777" w:rsidR="006E7812" w:rsidRPr="006E7812" w:rsidRDefault="006E7812" w:rsidP="006E7812">
      <w:pPr>
        <w:spacing w:line="360" w:lineRule="auto"/>
        <w:jc w:val="both"/>
        <w:rPr>
          <w:rFonts w:ascii="Arial" w:hAnsi="Arial"/>
        </w:rPr>
      </w:pPr>
    </w:p>
    <w:p w14:paraId="60D12327" w14:textId="513E57C7" w:rsidR="006E7812" w:rsidRPr="006E7812" w:rsidRDefault="006E7812" w:rsidP="008A6ED6">
      <w:pPr>
        <w:pStyle w:val="Heading2"/>
      </w:pPr>
      <w:bookmarkStart w:id="7" w:name="_Toc230904937"/>
      <w:r w:rsidRPr="006E7812">
        <w:t>Employee Engagement and Retention Strategies</w:t>
      </w:r>
      <w:bookmarkEnd w:id="7"/>
    </w:p>
    <w:p w14:paraId="523E809C" w14:textId="77777777" w:rsidR="006E7812" w:rsidRPr="006E7812" w:rsidRDefault="006E7812" w:rsidP="006E7812">
      <w:pPr>
        <w:spacing w:line="360" w:lineRule="auto"/>
        <w:jc w:val="both"/>
        <w:rPr>
          <w:rFonts w:ascii="Arial" w:hAnsi="Arial"/>
        </w:rPr>
      </w:pPr>
    </w:p>
    <w:p w14:paraId="3B56D947" w14:textId="3575F1FE" w:rsidR="00A76BC7" w:rsidRPr="00A76BC7" w:rsidRDefault="002E397B" w:rsidP="00A76BC7">
      <w:pPr>
        <w:spacing w:line="360" w:lineRule="auto"/>
        <w:jc w:val="both"/>
        <w:rPr>
          <w:rFonts w:ascii="Arial" w:hAnsi="Arial"/>
        </w:rPr>
      </w:pPr>
      <w:r w:rsidRPr="002E397B">
        <w:rPr>
          <w:rFonts w:ascii="Arial" w:hAnsi="Arial"/>
        </w:rPr>
        <w:t xml:space="preserve">Employee engagement strategies are important for improving retention and motivation; however, their effectiveness may vary depending on employee needs and </w:t>
      </w:r>
      <w:r w:rsidRPr="002E397B">
        <w:rPr>
          <w:rFonts w:ascii="Arial" w:hAnsi="Arial"/>
        </w:rPr>
        <w:lastRenderedPageBreak/>
        <w:t xml:space="preserve">management support. Tesco uses reward systems, flexible working arrangements, wellbeing programmes, and training opportunities to support employees. </w:t>
      </w:r>
      <w:r w:rsidR="001D4297" w:rsidRPr="001D4297">
        <w:rPr>
          <w:rFonts w:ascii="Arial" w:hAnsi="Arial"/>
          <w:i/>
          <w:iCs/>
        </w:rPr>
        <w:t>The organisation also provides structured learning, apprenticeships and leadership development programmes to support career progression and long-term employee engagement (Tesco Careers, 2025).</w:t>
      </w:r>
      <w:r w:rsidR="001D4297">
        <w:rPr>
          <w:rFonts w:ascii="Arial" w:hAnsi="Arial"/>
        </w:rPr>
        <w:t xml:space="preserve"> </w:t>
      </w:r>
      <w:r w:rsidRPr="002E397B">
        <w:rPr>
          <w:rFonts w:ascii="Arial" w:hAnsi="Arial"/>
        </w:rPr>
        <w:t>While these practices can improve employee satisfaction and organisational commitment, they may also increase organisational costs. Therefore, Tesco should adopt flexible HR approaches that consider different employee expectations and workplace needs.</w:t>
      </w:r>
    </w:p>
    <w:p w14:paraId="587939BE" w14:textId="4B2E5D72" w:rsidR="00971D4C" w:rsidRDefault="00971D4C" w:rsidP="00971D4C">
      <w:pPr>
        <w:pStyle w:val="Caption"/>
        <w:keepNext/>
      </w:pPr>
      <w:r>
        <w:t xml:space="preserve">Table </w:t>
      </w:r>
      <w:r>
        <w:fldChar w:fldCharType="begin"/>
      </w:r>
      <w:r>
        <w:instrText xml:space="preserve"> SEQ Table \* ARABIC </w:instrText>
      </w:r>
      <w:r>
        <w:fldChar w:fldCharType="separate"/>
      </w:r>
      <w:r>
        <w:rPr>
          <w:noProof/>
        </w:rPr>
        <w:t>1</w:t>
      </w:r>
      <w:r>
        <w:fldChar w:fldCharType="end"/>
      </w:r>
      <w:r w:rsidR="00821293">
        <w:t xml:space="preserve">: </w:t>
      </w:r>
      <w:r w:rsidRPr="001F3473">
        <w:t>Employee Motivation Theories Applied to Tesco</w:t>
      </w:r>
    </w:p>
    <w:tbl>
      <w:tblPr>
        <w:tblStyle w:val="GridTable4-Accent3"/>
        <w:tblW w:w="0" w:type="auto"/>
        <w:tblLook w:val="04A0" w:firstRow="1" w:lastRow="0" w:firstColumn="1" w:lastColumn="0" w:noHBand="0" w:noVBand="1"/>
      </w:tblPr>
      <w:tblGrid>
        <w:gridCol w:w="1257"/>
        <w:gridCol w:w="3974"/>
        <w:gridCol w:w="3785"/>
      </w:tblGrid>
      <w:tr w:rsidR="006E2AB2" w:rsidRPr="006E2AB2" w14:paraId="2F3B846A" w14:textId="77777777" w:rsidTr="006E2AB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hideMark/>
          </w:tcPr>
          <w:p w14:paraId="4D1079BC" w14:textId="77777777" w:rsidR="006E2AB2" w:rsidRPr="006E2AB2" w:rsidRDefault="006E2AB2" w:rsidP="006E2AB2">
            <w:pPr>
              <w:spacing w:after="160" w:line="360" w:lineRule="auto"/>
              <w:jc w:val="both"/>
              <w:rPr>
                <w:rFonts w:ascii="Arial" w:hAnsi="Arial"/>
              </w:rPr>
            </w:pPr>
            <w:r w:rsidRPr="006E2AB2">
              <w:rPr>
                <w:rFonts w:ascii="Arial" w:hAnsi="Arial"/>
              </w:rPr>
              <w:t>Theory</w:t>
            </w:r>
          </w:p>
        </w:tc>
        <w:tc>
          <w:tcPr>
            <w:tcW w:w="0" w:type="auto"/>
            <w:hideMark/>
          </w:tcPr>
          <w:p w14:paraId="0C1AF43F" w14:textId="77777777" w:rsidR="006E2AB2" w:rsidRPr="006E2AB2" w:rsidRDefault="006E2AB2" w:rsidP="006E2AB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6E2AB2">
              <w:rPr>
                <w:rFonts w:ascii="Arial" w:hAnsi="Arial"/>
              </w:rPr>
              <w:t>Main Idea</w:t>
            </w:r>
          </w:p>
        </w:tc>
        <w:tc>
          <w:tcPr>
            <w:tcW w:w="0" w:type="auto"/>
            <w:hideMark/>
          </w:tcPr>
          <w:p w14:paraId="0118CB4A" w14:textId="77777777" w:rsidR="006E2AB2" w:rsidRPr="006E2AB2" w:rsidRDefault="006E2AB2" w:rsidP="006E2AB2">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rPr>
            </w:pPr>
            <w:r w:rsidRPr="006E2AB2">
              <w:rPr>
                <w:rFonts w:ascii="Arial" w:hAnsi="Arial"/>
              </w:rPr>
              <w:t>Application to Tesco</w:t>
            </w:r>
          </w:p>
        </w:tc>
      </w:tr>
      <w:tr w:rsidR="006E2AB2" w:rsidRPr="006E2AB2" w14:paraId="07746EA3" w14:textId="77777777" w:rsidTr="006E2A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53A8A2" w14:textId="77777777" w:rsidR="006E2AB2" w:rsidRPr="006E2AB2" w:rsidRDefault="006E2AB2" w:rsidP="006E2AB2">
            <w:pPr>
              <w:spacing w:after="160" w:line="360" w:lineRule="auto"/>
              <w:jc w:val="both"/>
              <w:rPr>
                <w:rFonts w:ascii="Arial" w:hAnsi="Arial"/>
              </w:rPr>
            </w:pPr>
            <w:r w:rsidRPr="006E2AB2">
              <w:rPr>
                <w:rFonts w:ascii="Arial" w:hAnsi="Arial"/>
              </w:rPr>
              <w:t>Maslow</w:t>
            </w:r>
          </w:p>
        </w:tc>
        <w:tc>
          <w:tcPr>
            <w:tcW w:w="0" w:type="auto"/>
            <w:hideMark/>
          </w:tcPr>
          <w:p w14:paraId="397910D4" w14:textId="77777777" w:rsidR="006E2AB2" w:rsidRPr="006E2AB2" w:rsidRDefault="006E2AB2" w:rsidP="006E2AB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6E2AB2">
              <w:rPr>
                <w:rFonts w:ascii="Arial" w:hAnsi="Arial"/>
              </w:rPr>
              <w:t>Employees have hierarchical needs</w:t>
            </w:r>
          </w:p>
        </w:tc>
        <w:tc>
          <w:tcPr>
            <w:tcW w:w="0" w:type="auto"/>
            <w:hideMark/>
          </w:tcPr>
          <w:p w14:paraId="74875929" w14:textId="77777777" w:rsidR="006E2AB2" w:rsidRPr="006E2AB2" w:rsidRDefault="006E2AB2" w:rsidP="006E2AB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6E2AB2">
              <w:rPr>
                <w:rFonts w:ascii="Arial" w:hAnsi="Arial"/>
              </w:rPr>
              <w:t>Tesco provides development opportunities</w:t>
            </w:r>
          </w:p>
        </w:tc>
      </w:tr>
      <w:tr w:rsidR="006E2AB2" w:rsidRPr="006E2AB2" w14:paraId="4BA3F50F" w14:textId="77777777" w:rsidTr="006E2AB2">
        <w:tc>
          <w:tcPr>
            <w:cnfStyle w:val="001000000000" w:firstRow="0" w:lastRow="0" w:firstColumn="1" w:lastColumn="0" w:oddVBand="0" w:evenVBand="0" w:oddHBand="0" w:evenHBand="0" w:firstRowFirstColumn="0" w:firstRowLastColumn="0" w:lastRowFirstColumn="0" w:lastRowLastColumn="0"/>
            <w:tcW w:w="0" w:type="auto"/>
            <w:hideMark/>
          </w:tcPr>
          <w:p w14:paraId="18C516B1" w14:textId="77777777" w:rsidR="006E2AB2" w:rsidRPr="006E2AB2" w:rsidRDefault="006E2AB2" w:rsidP="006E2AB2">
            <w:pPr>
              <w:spacing w:after="160" w:line="360" w:lineRule="auto"/>
              <w:jc w:val="both"/>
              <w:rPr>
                <w:rFonts w:ascii="Arial" w:hAnsi="Arial"/>
              </w:rPr>
            </w:pPr>
            <w:r w:rsidRPr="006E2AB2">
              <w:rPr>
                <w:rFonts w:ascii="Arial" w:hAnsi="Arial"/>
              </w:rPr>
              <w:t>Herzberg</w:t>
            </w:r>
          </w:p>
        </w:tc>
        <w:tc>
          <w:tcPr>
            <w:tcW w:w="0" w:type="auto"/>
            <w:hideMark/>
          </w:tcPr>
          <w:p w14:paraId="5C0455F9" w14:textId="77777777" w:rsidR="006E2AB2" w:rsidRPr="006E2AB2" w:rsidRDefault="006E2AB2" w:rsidP="006E2AB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6E2AB2">
              <w:rPr>
                <w:rFonts w:ascii="Arial" w:hAnsi="Arial"/>
              </w:rPr>
              <w:t>Motivation and hygiene factors affect satisfaction</w:t>
            </w:r>
          </w:p>
        </w:tc>
        <w:tc>
          <w:tcPr>
            <w:tcW w:w="0" w:type="auto"/>
            <w:hideMark/>
          </w:tcPr>
          <w:p w14:paraId="2D630AD9" w14:textId="77777777" w:rsidR="006E2AB2" w:rsidRPr="006E2AB2" w:rsidRDefault="006E2AB2" w:rsidP="006E2AB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6E2AB2">
              <w:rPr>
                <w:rFonts w:ascii="Arial" w:hAnsi="Arial"/>
              </w:rPr>
              <w:t>Recognition and rewards improve morale</w:t>
            </w:r>
          </w:p>
        </w:tc>
      </w:tr>
      <w:tr w:rsidR="006E2AB2" w:rsidRPr="006E2AB2" w14:paraId="65A168AA" w14:textId="77777777" w:rsidTr="006E2A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FD0C33" w14:textId="77777777" w:rsidR="006E2AB2" w:rsidRPr="006E2AB2" w:rsidRDefault="006E2AB2" w:rsidP="006E2AB2">
            <w:pPr>
              <w:spacing w:after="160" w:line="360" w:lineRule="auto"/>
              <w:jc w:val="both"/>
              <w:rPr>
                <w:rFonts w:ascii="Arial" w:hAnsi="Arial"/>
              </w:rPr>
            </w:pPr>
            <w:r w:rsidRPr="006E2AB2">
              <w:rPr>
                <w:rFonts w:ascii="Arial" w:hAnsi="Arial"/>
              </w:rPr>
              <w:t>Vroom</w:t>
            </w:r>
          </w:p>
        </w:tc>
        <w:tc>
          <w:tcPr>
            <w:tcW w:w="0" w:type="auto"/>
            <w:hideMark/>
          </w:tcPr>
          <w:p w14:paraId="65C9F2DE" w14:textId="77777777" w:rsidR="006E2AB2" w:rsidRPr="006E2AB2" w:rsidRDefault="006E2AB2" w:rsidP="006E2AB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6E2AB2">
              <w:rPr>
                <w:rFonts w:ascii="Arial" w:hAnsi="Arial"/>
              </w:rPr>
              <w:t>Effort leads to rewards</w:t>
            </w:r>
          </w:p>
        </w:tc>
        <w:tc>
          <w:tcPr>
            <w:tcW w:w="0" w:type="auto"/>
            <w:hideMark/>
          </w:tcPr>
          <w:p w14:paraId="0F770FAF" w14:textId="77777777" w:rsidR="006E2AB2" w:rsidRPr="006E2AB2" w:rsidRDefault="006E2AB2" w:rsidP="006E2AB2">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rPr>
            </w:pPr>
            <w:r w:rsidRPr="006E2AB2">
              <w:rPr>
                <w:rFonts w:ascii="Arial" w:hAnsi="Arial"/>
              </w:rPr>
              <w:t>Promotions and incentives motivate staff</w:t>
            </w:r>
          </w:p>
        </w:tc>
      </w:tr>
      <w:tr w:rsidR="006E2AB2" w:rsidRPr="006E2AB2" w14:paraId="4119B3BF" w14:textId="77777777" w:rsidTr="006E2AB2">
        <w:tc>
          <w:tcPr>
            <w:cnfStyle w:val="001000000000" w:firstRow="0" w:lastRow="0" w:firstColumn="1" w:lastColumn="0" w:oddVBand="0" w:evenVBand="0" w:oddHBand="0" w:evenHBand="0" w:firstRowFirstColumn="0" w:firstRowLastColumn="0" w:lastRowFirstColumn="0" w:lastRowLastColumn="0"/>
            <w:tcW w:w="0" w:type="auto"/>
            <w:hideMark/>
          </w:tcPr>
          <w:p w14:paraId="7C393585" w14:textId="77777777" w:rsidR="006E2AB2" w:rsidRPr="006E2AB2" w:rsidRDefault="006E2AB2" w:rsidP="006E2AB2">
            <w:pPr>
              <w:spacing w:after="160" w:line="360" w:lineRule="auto"/>
              <w:jc w:val="both"/>
              <w:rPr>
                <w:rFonts w:ascii="Arial" w:hAnsi="Arial"/>
              </w:rPr>
            </w:pPr>
            <w:r w:rsidRPr="006E2AB2">
              <w:rPr>
                <w:rFonts w:ascii="Arial" w:hAnsi="Arial"/>
              </w:rPr>
              <w:t>Alderfer</w:t>
            </w:r>
          </w:p>
        </w:tc>
        <w:tc>
          <w:tcPr>
            <w:tcW w:w="0" w:type="auto"/>
            <w:hideMark/>
          </w:tcPr>
          <w:p w14:paraId="39C72182" w14:textId="77777777" w:rsidR="006E2AB2" w:rsidRPr="006E2AB2" w:rsidRDefault="006E2AB2" w:rsidP="006E2AB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6E2AB2">
              <w:rPr>
                <w:rFonts w:ascii="Arial" w:hAnsi="Arial"/>
              </w:rPr>
              <w:t>Employees seek growth and relationships</w:t>
            </w:r>
          </w:p>
        </w:tc>
        <w:tc>
          <w:tcPr>
            <w:tcW w:w="0" w:type="auto"/>
            <w:hideMark/>
          </w:tcPr>
          <w:p w14:paraId="275D4B2D" w14:textId="77777777" w:rsidR="006E2AB2" w:rsidRPr="006E2AB2" w:rsidRDefault="006E2AB2" w:rsidP="006E2AB2">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rPr>
            </w:pPr>
            <w:r w:rsidRPr="006E2AB2">
              <w:rPr>
                <w:rFonts w:ascii="Arial" w:hAnsi="Arial"/>
              </w:rPr>
              <w:t>Team support and training improve motivation</w:t>
            </w:r>
          </w:p>
        </w:tc>
      </w:tr>
    </w:tbl>
    <w:p w14:paraId="7C541837" w14:textId="77777777" w:rsidR="006E2AB2" w:rsidRDefault="006E2AB2" w:rsidP="00A76BC7">
      <w:pPr>
        <w:spacing w:line="360" w:lineRule="auto"/>
        <w:jc w:val="both"/>
        <w:rPr>
          <w:rFonts w:ascii="Arial" w:hAnsi="Arial"/>
        </w:rPr>
      </w:pPr>
    </w:p>
    <w:p w14:paraId="0DDA58A1" w14:textId="01E9AB0F" w:rsidR="00A76BC7" w:rsidRPr="00A76BC7" w:rsidRDefault="00A76BC7" w:rsidP="00A76BC7">
      <w:pPr>
        <w:spacing w:line="360" w:lineRule="auto"/>
        <w:jc w:val="both"/>
        <w:rPr>
          <w:rFonts w:ascii="Arial" w:hAnsi="Arial"/>
        </w:rPr>
      </w:pPr>
      <w:r w:rsidRPr="00A76BC7">
        <w:rPr>
          <w:rFonts w:ascii="Arial" w:hAnsi="Arial"/>
        </w:rPr>
        <w:t>Motivation theories support these strategies. Maslow’s Hierarchy of Needs suggests that employees require both financial security and opportunities for self-development (Maslow, 1943). Tesco’s training and promotion opportunities can therefore increase employee satisfaction and commitment. Herzberg (1959) also argues that recognition and achievement increase employee motivation and job satisfaction.</w:t>
      </w:r>
    </w:p>
    <w:p w14:paraId="06468226" w14:textId="77777777" w:rsidR="00FB6356" w:rsidRPr="00FB6356" w:rsidRDefault="00A76BC7" w:rsidP="00FB6356">
      <w:pPr>
        <w:spacing w:line="360" w:lineRule="auto"/>
        <w:jc w:val="both"/>
        <w:rPr>
          <w:rFonts w:ascii="Arial" w:hAnsi="Arial"/>
        </w:rPr>
      </w:pPr>
      <w:r w:rsidRPr="00A76BC7">
        <w:rPr>
          <w:rFonts w:ascii="Arial" w:hAnsi="Arial"/>
        </w:rPr>
        <w:t>However, retention strategies may not always be equally effective for all employees. Some workers may value flexible schedules, while others may prioritise higher salaries or career progression. Therefore, Tesco must use personalised HR approaches that consider different employee needs and cultural backgrounds (Comfort and Franklin, 2014).</w:t>
      </w:r>
      <w:r w:rsidR="00FB6356">
        <w:rPr>
          <w:rFonts w:ascii="Arial" w:hAnsi="Arial"/>
        </w:rPr>
        <w:t xml:space="preserve"> </w:t>
      </w:r>
      <w:r w:rsidR="00FB6356" w:rsidRPr="00FB6356">
        <w:rPr>
          <w:rFonts w:ascii="Arial" w:hAnsi="Arial"/>
        </w:rPr>
        <w:t xml:space="preserve">However, personalised HR practices require greater managerial time and financial investment. Although these approaches may increase short-term costs, they </w:t>
      </w:r>
      <w:r w:rsidR="00FB6356" w:rsidRPr="00FB6356">
        <w:rPr>
          <w:rFonts w:ascii="Arial" w:hAnsi="Arial"/>
        </w:rPr>
        <w:lastRenderedPageBreak/>
        <w:t>are more likely to improve employee commitment, reduce turnover, and enhance organisational performance in the long term.</w:t>
      </w:r>
    </w:p>
    <w:p w14:paraId="2C201F53" w14:textId="77777777" w:rsidR="00A76BC7" w:rsidRPr="00A76BC7" w:rsidRDefault="00A76BC7" w:rsidP="00A76BC7">
      <w:pPr>
        <w:spacing w:line="360" w:lineRule="auto"/>
        <w:jc w:val="both"/>
        <w:rPr>
          <w:rFonts w:ascii="Arial" w:hAnsi="Arial"/>
        </w:rPr>
      </w:pPr>
      <w:r w:rsidRPr="00A76BC7">
        <w:rPr>
          <w:rFonts w:ascii="Arial" w:hAnsi="Arial"/>
        </w:rPr>
        <w:t>The Xerox motivation case study demonstrates that recognition and employee support increase organisational commitment and performance (Lumen Learning, no date). Tesco managers who provide positive feedback and appreciation can improve employee morale and reduce turnover.</w:t>
      </w:r>
    </w:p>
    <w:p w14:paraId="3AFB7B67" w14:textId="71267CE3" w:rsidR="006E7812" w:rsidRPr="006E7812" w:rsidRDefault="006E7812" w:rsidP="006E7812">
      <w:pPr>
        <w:spacing w:line="360" w:lineRule="auto"/>
        <w:jc w:val="both"/>
        <w:rPr>
          <w:rFonts w:ascii="Arial" w:hAnsi="Arial"/>
        </w:rPr>
      </w:pPr>
    </w:p>
    <w:p w14:paraId="5CB9E3E7" w14:textId="77777777" w:rsidR="006E7812" w:rsidRPr="006E7812" w:rsidRDefault="006E7812" w:rsidP="006E7812">
      <w:pPr>
        <w:spacing w:line="360" w:lineRule="auto"/>
        <w:jc w:val="both"/>
        <w:rPr>
          <w:rFonts w:ascii="Arial" w:hAnsi="Arial"/>
        </w:rPr>
      </w:pPr>
    </w:p>
    <w:p w14:paraId="626904C9" w14:textId="4DCE9E00" w:rsidR="006E7812" w:rsidRPr="006E7812" w:rsidRDefault="006E7812" w:rsidP="008A6ED6">
      <w:pPr>
        <w:pStyle w:val="Heading2"/>
      </w:pPr>
      <w:bookmarkStart w:id="8" w:name="_Toc230904938"/>
      <w:r w:rsidRPr="006E7812">
        <w:t>Inclusive Recruitment and DEI Policies</w:t>
      </w:r>
      <w:bookmarkEnd w:id="8"/>
    </w:p>
    <w:p w14:paraId="71E97420" w14:textId="77777777" w:rsidR="006E7812" w:rsidRPr="006E7812" w:rsidRDefault="006E7812" w:rsidP="006E7812">
      <w:pPr>
        <w:spacing w:line="360" w:lineRule="auto"/>
        <w:jc w:val="both"/>
        <w:rPr>
          <w:rFonts w:ascii="Arial" w:hAnsi="Arial"/>
        </w:rPr>
      </w:pPr>
    </w:p>
    <w:p w14:paraId="6223B097" w14:textId="72CE74DD" w:rsidR="00A76BC7" w:rsidRPr="00A76BC7" w:rsidRDefault="00A76BC7" w:rsidP="00A76BC7">
      <w:pPr>
        <w:spacing w:line="360" w:lineRule="auto"/>
        <w:jc w:val="both"/>
        <w:rPr>
          <w:rFonts w:ascii="Arial" w:hAnsi="Arial"/>
        </w:rPr>
      </w:pPr>
      <w:r w:rsidRPr="00A76BC7">
        <w:rPr>
          <w:rFonts w:ascii="Arial" w:hAnsi="Arial"/>
        </w:rPr>
        <w:t xml:space="preserve">Tesco has implemented several DEI initiatives, including equal opportunity policies, inclusive recruitment practices, and diversity training. </w:t>
      </w:r>
    </w:p>
    <w:p w14:paraId="7675A1D0" w14:textId="77777777" w:rsidR="002E397B" w:rsidRPr="002E397B" w:rsidRDefault="002E397B" w:rsidP="002E397B">
      <w:pPr>
        <w:spacing w:line="360" w:lineRule="auto"/>
        <w:jc w:val="both"/>
        <w:rPr>
          <w:rFonts w:ascii="Arial" w:hAnsi="Arial"/>
        </w:rPr>
      </w:pPr>
      <w:r w:rsidRPr="002E397B">
        <w:rPr>
          <w:rFonts w:ascii="Arial" w:hAnsi="Arial"/>
        </w:rPr>
        <w:t>Inclusive recruitment improves access to employment opportunities for individuals from different backgrounds. However, recruitment policies alone may not fully remove workplace inequality if unconscious bias and structural barriers remain within organisational culture (Hills et al., 2015).</w:t>
      </w:r>
    </w:p>
    <w:p w14:paraId="19CDA805" w14:textId="422B4A41" w:rsidR="002E397B" w:rsidRPr="002E397B" w:rsidRDefault="002E397B" w:rsidP="002E397B">
      <w:pPr>
        <w:spacing w:line="360" w:lineRule="auto"/>
        <w:jc w:val="both"/>
        <w:rPr>
          <w:rFonts w:ascii="Arial" w:hAnsi="Arial"/>
        </w:rPr>
      </w:pPr>
      <w:r w:rsidRPr="002E397B">
        <w:rPr>
          <w:rFonts w:ascii="Arial" w:hAnsi="Arial"/>
        </w:rPr>
        <w:t>DEI training can improve awareness of unconscious bias and promote respectful workplace behaviour. However, some organisations face criticism for implementing DEI initiatives symbolically without creating meaningful long-term cultural change (Watson, 2017).</w:t>
      </w:r>
    </w:p>
    <w:p w14:paraId="7C396639" w14:textId="77777777" w:rsidR="00FB6356" w:rsidRPr="00FB6356" w:rsidRDefault="00A76BC7" w:rsidP="00FB6356">
      <w:pPr>
        <w:spacing w:line="360" w:lineRule="auto"/>
        <w:jc w:val="both"/>
        <w:rPr>
          <w:rFonts w:ascii="Arial" w:hAnsi="Arial"/>
        </w:rPr>
      </w:pPr>
      <w:r w:rsidRPr="00A76BC7">
        <w:rPr>
          <w:rFonts w:ascii="Arial" w:hAnsi="Arial"/>
        </w:rPr>
        <w:t>Despite these benefits, DEI initiatives may face resistance if employees or managers view them as unnecessary or symbolic. Some organisations implement DEI policies for reputational purposes without creating meaningful cultural change. Therefore, Tesco must ensure that DEI initiatives are supported by strong leadership and measurable outcomes (Watson, 2017).</w:t>
      </w:r>
      <w:r w:rsidR="00FB6356">
        <w:rPr>
          <w:rFonts w:ascii="Arial" w:hAnsi="Arial"/>
        </w:rPr>
        <w:t xml:space="preserve"> </w:t>
      </w:r>
      <w:r w:rsidR="00FB6356" w:rsidRPr="00FB6356">
        <w:rPr>
          <w:rFonts w:ascii="Arial" w:hAnsi="Arial"/>
        </w:rPr>
        <w:t>Furthermore, the success of DEI initiatives depends on continuous evaluation rather than one-off training programmes. Organisations that regularly monitor diversity outcomes and employee feedback are more likely to achieve meaningful cultural change than those implementing DEI solely for compliance or reputational purposes.</w:t>
      </w:r>
    </w:p>
    <w:p w14:paraId="1B2FE675" w14:textId="411392D7" w:rsidR="00A76BC7" w:rsidRPr="00A76BC7" w:rsidRDefault="00A76BC7" w:rsidP="00A76BC7">
      <w:pPr>
        <w:spacing w:line="360" w:lineRule="auto"/>
        <w:jc w:val="both"/>
        <w:rPr>
          <w:rFonts w:ascii="Arial" w:hAnsi="Arial"/>
        </w:rPr>
      </w:pPr>
    </w:p>
    <w:p w14:paraId="65DE9FCD" w14:textId="2FC97D5A" w:rsidR="006E7812" w:rsidRPr="006E7812" w:rsidRDefault="006E7812" w:rsidP="008A6ED6">
      <w:pPr>
        <w:pStyle w:val="Heading1"/>
      </w:pPr>
      <w:bookmarkStart w:id="9" w:name="_Toc230904939"/>
      <w:r w:rsidRPr="006E7812">
        <w:lastRenderedPageBreak/>
        <w:t>3. Critical Evaluation of Managerial Implementation</w:t>
      </w:r>
      <w:bookmarkEnd w:id="9"/>
    </w:p>
    <w:p w14:paraId="28A5704A" w14:textId="77777777" w:rsidR="006E7812" w:rsidRPr="006E7812" w:rsidRDefault="006E7812" w:rsidP="006E7812">
      <w:pPr>
        <w:spacing w:line="360" w:lineRule="auto"/>
        <w:jc w:val="both"/>
        <w:rPr>
          <w:rFonts w:ascii="Arial" w:hAnsi="Arial"/>
        </w:rPr>
      </w:pPr>
    </w:p>
    <w:p w14:paraId="22D5AD14" w14:textId="77777777" w:rsidR="00A76BC7" w:rsidRPr="00A76BC7" w:rsidRDefault="00A76BC7" w:rsidP="00A76BC7">
      <w:pPr>
        <w:spacing w:line="360" w:lineRule="auto"/>
        <w:jc w:val="both"/>
        <w:rPr>
          <w:rFonts w:ascii="Arial" w:hAnsi="Arial"/>
        </w:rPr>
      </w:pPr>
      <w:r w:rsidRPr="00A76BC7">
        <w:rPr>
          <w:rFonts w:ascii="Arial" w:hAnsi="Arial"/>
        </w:rPr>
        <w:t>Departmental managers play a critical role in ensuring that HR practices are implemented effectively. Leadership accountability is essential because employees are more likely to support organisational changes when leaders demonstrate commitment and consistency (Daft, 2008).</w:t>
      </w:r>
    </w:p>
    <w:p w14:paraId="7A5D987A" w14:textId="08D1801C" w:rsidR="00A76BC7" w:rsidRPr="00A76BC7" w:rsidRDefault="00A76BC7" w:rsidP="00A76BC7">
      <w:pPr>
        <w:spacing w:line="360" w:lineRule="auto"/>
        <w:jc w:val="both"/>
        <w:rPr>
          <w:rFonts w:ascii="Arial" w:hAnsi="Arial"/>
        </w:rPr>
      </w:pPr>
      <w:r w:rsidRPr="00A76BC7">
        <w:rPr>
          <w:rFonts w:ascii="Arial" w:hAnsi="Arial"/>
        </w:rPr>
        <w:t xml:space="preserve">Managers must provide clear communication about technological changes, DEI initiatives, and performance expectations. Feedback is important for improving employee performance and maintaining motivation (Seijts and Crim, 2006). </w:t>
      </w:r>
    </w:p>
    <w:p w14:paraId="73AF73B5" w14:textId="53DD1EB9" w:rsidR="00A76BC7" w:rsidRPr="00A76BC7" w:rsidRDefault="00A76BC7" w:rsidP="00A76BC7">
      <w:pPr>
        <w:spacing w:line="360" w:lineRule="auto"/>
        <w:jc w:val="both"/>
        <w:rPr>
          <w:rFonts w:ascii="Arial" w:hAnsi="Arial"/>
        </w:rPr>
      </w:pPr>
      <w:r w:rsidRPr="00A76BC7">
        <w:rPr>
          <w:rFonts w:ascii="Arial" w:hAnsi="Arial"/>
        </w:rPr>
        <w:t xml:space="preserve">Training is also necessary for successful implementation. Employees require guidance and support when adapting to new technologies or workplace practices. </w:t>
      </w:r>
      <w:r w:rsidR="002E397B" w:rsidRPr="002E397B">
        <w:rPr>
          <w:rFonts w:ascii="Arial" w:hAnsi="Arial"/>
        </w:rPr>
        <w:t>Managers should organise digital skills training, mentoring programmes, and leadership development opportunities. However, implementation may be challenging because of budget limitations, employee resistance to change, and varying levels of digital literacy among staff.</w:t>
      </w:r>
    </w:p>
    <w:p w14:paraId="2CF6DC78" w14:textId="77777777" w:rsidR="00A76BC7" w:rsidRPr="00A76BC7" w:rsidRDefault="00A76BC7" w:rsidP="00A76BC7">
      <w:pPr>
        <w:spacing w:line="360" w:lineRule="auto"/>
        <w:jc w:val="both"/>
        <w:rPr>
          <w:rFonts w:ascii="Arial" w:hAnsi="Arial"/>
        </w:rPr>
      </w:pPr>
      <w:r w:rsidRPr="00A76BC7">
        <w:rPr>
          <w:rFonts w:ascii="Arial" w:hAnsi="Arial"/>
        </w:rPr>
        <w:t>Organisational culture strongly influences implementation success. Tesco managers should promote a culture of inclusion, trust, and employee empowerment. Empowerment allows employees greater autonomy and involvement in decision-making, improving motivation and organisational commitment (Vroom, 1964).</w:t>
      </w:r>
    </w:p>
    <w:p w14:paraId="1574A8DC" w14:textId="6386447A" w:rsidR="00A76BC7" w:rsidRPr="00A76BC7" w:rsidRDefault="00A76BC7" w:rsidP="00A76BC7">
      <w:pPr>
        <w:spacing w:line="360" w:lineRule="auto"/>
        <w:jc w:val="both"/>
        <w:rPr>
          <w:rFonts w:ascii="Arial" w:hAnsi="Arial"/>
        </w:rPr>
      </w:pPr>
      <w:r w:rsidRPr="00A76BC7">
        <w:rPr>
          <w:rFonts w:ascii="Arial" w:hAnsi="Arial"/>
        </w:rPr>
        <w:t xml:space="preserve">Managers must also monitor performance using measurable indicators such as employee turnover rates, engagement surveys, absenteeism, and diversity statistics. </w:t>
      </w:r>
      <w:r w:rsidR="00116EC5" w:rsidRPr="00116EC5">
        <w:rPr>
          <w:rFonts w:ascii="Arial" w:hAnsi="Arial"/>
        </w:rPr>
        <w:t>Continuous monitoring helps organisations identify weaknesses and improve HR strategies; however, excessive performance monitoring may create employee stress and reduce trust if workers feel overly controlled by management systems.</w:t>
      </w:r>
    </w:p>
    <w:p w14:paraId="377EBB6A" w14:textId="77777777" w:rsidR="00A76BC7" w:rsidRPr="00A76BC7" w:rsidRDefault="00A76BC7" w:rsidP="00A76BC7">
      <w:pPr>
        <w:spacing w:line="360" w:lineRule="auto"/>
        <w:jc w:val="both"/>
        <w:rPr>
          <w:rFonts w:ascii="Arial" w:hAnsi="Arial"/>
        </w:rPr>
      </w:pPr>
      <w:r w:rsidRPr="00A76BC7">
        <w:rPr>
          <w:rFonts w:ascii="Arial" w:hAnsi="Arial"/>
        </w:rPr>
        <w:t>However, several barriers may affect implementation. Resistance to change is a common issue, especially when employees fear job insecurity because of automation. Communication failures may also create confusion and distrust. Additionally, unconscious bias among managers may weaken DEI initiatives (McGregor-Smith, 2017).</w:t>
      </w:r>
    </w:p>
    <w:p w14:paraId="13E8B3E4" w14:textId="77777777" w:rsidR="00A76BC7" w:rsidRPr="00A76BC7" w:rsidRDefault="00A76BC7" w:rsidP="00A76BC7">
      <w:pPr>
        <w:spacing w:line="360" w:lineRule="auto"/>
        <w:jc w:val="both"/>
        <w:rPr>
          <w:rFonts w:ascii="Arial" w:hAnsi="Arial"/>
        </w:rPr>
      </w:pPr>
      <w:r w:rsidRPr="00A76BC7">
        <w:rPr>
          <w:rFonts w:ascii="Arial" w:hAnsi="Arial"/>
        </w:rPr>
        <w:lastRenderedPageBreak/>
        <w:t>To overcome these barriers, Tesco managers should involve employees in decision-making processes and encourage open communication. Goal-setting and employee involvement improve motivation and performance because employees feel valued and respected (Maslow, 1943; Herzberg, 1959).</w:t>
      </w:r>
    </w:p>
    <w:p w14:paraId="6149F842" w14:textId="77777777" w:rsidR="00A76BC7" w:rsidRPr="00A76BC7" w:rsidRDefault="00A76BC7" w:rsidP="00A76BC7">
      <w:pPr>
        <w:spacing w:line="360" w:lineRule="auto"/>
        <w:jc w:val="both"/>
        <w:rPr>
          <w:rFonts w:ascii="Arial" w:hAnsi="Arial"/>
        </w:rPr>
      </w:pPr>
      <w:r w:rsidRPr="00A76BC7">
        <w:rPr>
          <w:rFonts w:ascii="Arial" w:hAnsi="Arial"/>
        </w:rPr>
        <w:t>Cultural differences should also be considered during communication and feedback processes. Comfort and Franklin (2014) explain that employees from different cultural backgrounds may respond differently to criticism or praise. Managers who understand cultural differences can communicate more effectively and maintain positive employee relationships.</w:t>
      </w:r>
    </w:p>
    <w:p w14:paraId="6DC5F249" w14:textId="77777777" w:rsidR="00A76BC7" w:rsidRPr="00A76BC7" w:rsidRDefault="00A76BC7" w:rsidP="00A76BC7">
      <w:pPr>
        <w:spacing w:line="360" w:lineRule="auto"/>
        <w:jc w:val="both"/>
        <w:rPr>
          <w:rFonts w:ascii="Arial" w:hAnsi="Arial"/>
        </w:rPr>
      </w:pPr>
      <w:r w:rsidRPr="00A76BC7">
        <w:rPr>
          <w:rFonts w:ascii="Arial" w:hAnsi="Arial"/>
        </w:rPr>
        <w:t>Overall, successful implementation depends on leadership commitment, employee involvement, communication, and continuous evaluation (Watson, 2017).</w:t>
      </w:r>
    </w:p>
    <w:p w14:paraId="77E7D469" w14:textId="0DCD572C" w:rsidR="006E7812" w:rsidRPr="006E7812" w:rsidRDefault="006E7812" w:rsidP="008A6ED6">
      <w:pPr>
        <w:pStyle w:val="Heading1"/>
      </w:pPr>
      <w:bookmarkStart w:id="10" w:name="_Toc230904940"/>
      <w:r w:rsidRPr="006E7812">
        <w:t>Conclusion</w:t>
      </w:r>
      <w:bookmarkEnd w:id="10"/>
    </w:p>
    <w:p w14:paraId="13CCBEC7" w14:textId="77777777" w:rsidR="006E7812" w:rsidRPr="006E7812" w:rsidRDefault="006E7812" w:rsidP="006E7812">
      <w:pPr>
        <w:spacing w:line="360" w:lineRule="auto"/>
        <w:jc w:val="both"/>
        <w:rPr>
          <w:rFonts w:ascii="Arial" w:hAnsi="Arial"/>
        </w:rPr>
      </w:pPr>
    </w:p>
    <w:p w14:paraId="7C17C4DC" w14:textId="6DB14219" w:rsidR="006E7812" w:rsidRPr="006E7812" w:rsidRDefault="006E7812" w:rsidP="006E7812">
      <w:pPr>
        <w:spacing w:line="360" w:lineRule="auto"/>
        <w:jc w:val="both"/>
        <w:rPr>
          <w:rFonts w:ascii="Arial" w:hAnsi="Arial"/>
        </w:rPr>
      </w:pPr>
      <w:r w:rsidRPr="006E7812">
        <w:rPr>
          <w:rFonts w:ascii="Arial" w:hAnsi="Arial"/>
        </w:rPr>
        <w:t>This report examined the contemporary HR challenges faced by Tesco UK, focusing on technological advancement, talent acquisition and retention, and Diversity, Equity and Inclusion (DEI). The report also evaluated contemporary HR practices such as digital HR systems, employee engagement strategies, and inclusive recruitment policies. While these practices can improve organisational performance and employee satisfaction, they also present limitations and implementation challenges.</w:t>
      </w:r>
    </w:p>
    <w:p w14:paraId="36E81C04" w14:textId="77777777" w:rsidR="006E7812" w:rsidRPr="006E7812" w:rsidRDefault="006E7812" w:rsidP="006E7812">
      <w:pPr>
        <w:spacing w:line="360" w:lineRule="auto"/>
        <w:jc w:val="both"/>
        <w:rPr>
          <w:rFonts w:ascii="Arial" w:hAnsi="Arial"/>
        </w:rPr>
      </w:pPr>
    </w:p>
    <w:p w14:paraId="0187951B" w14:textId="77777777" w:rsidR="006E7812" w:rsidRPr="006E7812" w:rsidRDefault="006E7812" w:rsidP="006E7812">
      <w:pPr>
        <w:spacing w:line="360" w:lineRule="auto"/>
        <w:jc w:val="both"/>
        <w:rPr>
          <w:rFonts w:ascii="Arial" w:hAnsi="Arial"/>
        </w:rPr>
      </w:pPr>
      <w:r w:rsidRPr="006E7812">
        <w:rPr>
          <w:rFonts w:ascii="Arial" w:hAnsi="Arial"/>
        </w:rPr>
        <w:t>Finally, the report critically evaluated the role of managers in ensuring successful implementation of HR practices. Effective leadership, communication, employee empowerment, and performance monitoring are essential for creating an engaged and inclusive workforce.</w:t>
      </w:r>
    </w:p>
    <w:p w14:paraId="496FE382" w14:textId="77777777" w:rsidR="006E7812" w:rsidRPr="006E7812" w:rsidRDefault="006E7812" w:rsidP="006E7812">
      <w:pPr>
        <w:spacing w:line="360" w:lineRule="auto"/>
        <w:jc w:val="both"/>
        <w:rPr>
          <w:rFonts w:ascii="Arial" w:hAnsi="Arial"/>
        </w:rPr>
      </w:pPr>
    </w:p>
    <w:p w14:paraId="0449E9F6" w14:textId="40B836D3" w:rsidR="006E7812" w:rsidRPr="006E7812" w:rsidRDefault="006E7812" w:rsidP="008A6ED6">
      <w:pPr>
        <w:pStyle w:val="Heading1"/>
      </w:pPr>
      <w:bookmarkStart w:id="11" w:name="_Toc230904941"/>
      <w:r w:rsidRPr="006E7812">
        <w:t>Recommendations</w:t>
      </w:r>
      <w:bookmarkEnd w:id="11"/>
    </w:p>
    <w:p w14:paraId="22A13F70" w14:textId="77777777" w:rsidR="006E7812" w:rsidRPr="006E7812" w:rsidRDefault="006E7812" w:rsidP="006E7812">
      <w:pPr>
        <w:spacing w:line="360" w:lineRule="auto"/>
        <w:jc w:val="both"/>
        <w:rPr>
          <w:rFonts w:ascii="Arial" w:hAnsi="Arial"/>
        </w:rPr>
      </w:pPr>
    </w:p>
    <w:p w14:paraId="0BC1DD7A" w14:textId="77777777" w:rsidR="00A76BC7" w:rsidRPr="00A76BC7" w:rsidRDefault="00A76BC7" w:rsidP="00A76BC7">
      <w:pPr>
        <w:spacing w:line="360" w:lineRule="auto"/>
        <w:jc w:val="both"/>
        <w:rPr>
          <w:rFonts w:ascii="Arial" w:hAnsi="Arial"/>
        </w:rPr>
      </w:pPr>
      <w:r w:rsidRPr="00A76BC7">
        <w:rPr>
          <w:rFonts w:ascii="Arial" w:hAnsi="Arial"/>
        </w:rPr>
        <w:lastRenderedPageBreak/>
        <w:t>Tesco should continue investing in digital training programmes to improve employee confidence and adaptability to technological change (Daft, 2008; Alderfer, 1972). The organisation should also strengthen employee engagement through recognition systems, flexible working arrangements, and career development opportunities (Herzberg, 1959; Seijts and Crim, 2006).</w:t>
      </w:r>
    </w:p>
    <w:p w14:paraId="275A45EC" w14:textId="77777777" w:rsidR="00A76BC7" w:rsidRPr="00A76BC7" w:rsidRDefault="00A76BC7" w:rsidP="00A76BC7">
      <w:pPr>
        <w:spacing w:line="360" w:lineRule="auto"/>
        <w:jc w:val="both"/>
        <w:rPr>
          <w:rFonts w:ascii="Arial" w:hAnsi="Arial"/>
        </w:rPr>
      </w:pPr>
      <w:r w:rsidRPr="00A76BC7">
        <w:rPr>
          <w:rFonts w:ascii="Arial" w:hAnsi="Arial"/>
        </w:rPr>
        <w:t>In addition, Tesco should expand inclusive recruitment and leadership development initiatives to improve diversity at all organisational levels (McGregor-Smith, 2017). Managers should receive regular DEI and communication training to reduce bias and improve employee relationships (Comfort and Franklin, 2014).</w:t>
      </w:r>
    </w:p>
    <w:p w14:paraId="4D3935D7" w14:textId="77777777" w:rsidR="00A76BC7" w:rsidRPr="00A76BC7" w:rsidRDefault="00A76BC7" w:rsidP="00A76BC7">
      <w:pPr>
        <w:spacing w:line="360" w:lineRule="auto"/>
        <w:jc w:val="both"/>
        <w:rPr>
          <w:rFonts w:ascii="Arial" w:hAnsi="Arial"/>
        </w:rPr>
      </w:pPr>
      <w:r w:rsidRPr="00A76BC7">
        <w:rPr>
          <w:rFonts w:ascii="Arial" w:hAnsi="Arial"/>
        </w:rPr>
        <w:t>Finally, Tesco should regularly review employee feedback and performance data to identify areas requiring improvement and ensure that HR practices remain effective and sustainable (Watson, 2017; Vroom, 1964).</w:t>
      </w:r>
    </w:p>
    <w:p w14:paraId="7416E1FF" w14:textId="611207CB" w:rsidR="006E7812" w:rsidRPr="006E7812" w:rsidRDefault="006E7812" w:rsidP="006E7812">
      <w:pPr>
        <w:spacing w:line="360" w:lineRule="auto"/>
        <w:jc w:val="both"/>
        <w:rPr>
          <w:rFonts w:ascii="Arial" w:hAnsi="Arial"/>
        </w:rPr>
      </w:pPr>
    </w:p>
    <w:p w14:paraId="2CE8DE43" w14:textId="77777777" w:rsidR="006E7812" w:rsidRPr="006E7812" w:rsidRDefault="006E7812" w:rsidP="006E7812">
      <w:pPr>
        <w:spacing w:line="360" w:lineRule="auto"/>
        <w:jc w:val="both"/>
        <w:rPr>
          <w:rFonts w:ascii="Arial" w:hAnsi="Arial"/>
        </w:rPr>
      </w:pPr>
    </w:p>
    <w:p w14:paraId="6221BF3E" w14:textId="77777777" w:rsidR="00A76BC7" w:rsidRDefault="00A76BC7">
      <w:pPr>
        <w:rPr>
          <w:rFonts w:asciiTheme="majorHAnsi" w:eastAsiaTheme="majorEastAsia" w:hAnsiTheme="majorHAnsi" w:cstheme="majorBidi"/>
          <w:color w:val="0F4761" w:themeColor="accent1" w:themeShade="BF"/>
          <w:sz w:val="40"/>
          <w:szCs w:val="40"/>
        </w:rPr>
      </w:pPr>
      <w:bookmarkStart w:id="12" w:name="_Toc230904942"/>
      <w:r>
        <w:br w:type="page"/>
      </w:r>
    </w:p>
    <w:p w14:paraId="7BDB2671" w14:textId="08B9FCBE" w:rsidR="006E7812" w:rsidRPr="006E7812" w:rsidRDefault="006E7812" w:rsidP="008A6ED6">
      <w:pPr>
        <w:pStyle w:val="Heading1"/>
      </w:pPr>
      <w:r w:rsidRPr="006E7812">
        <w:lastRenderedPageBreak/>
        <w:t>Reference List</w:t>
      </w:r>
      <w:bookmarkEnd w:id="12"/>
    </w:p>
    <w:p w14:paraId="462DE93B" w14:textId="77777777" w:rsidR="00744382" w:rsidRPr="00744382" w:rsidRDefault="00744382" w:rsidP="00744382">
      <w:pPr>
        <w:spacing w:line="360" w:lineRule="auto"/>
        <w:rPr>
          <w:rFonts w:ascii="Arial" w:hAnsi="Arial"/>
        </w:rPr>
      </w:pPr>
      <w:r w:rsidRPr="00744382">
        <w:rPr>
          <w:rFonts w:ascii="Arial" w:hAnsi="Arial"/>
        </w:rPr>
        <w:t xml:space="preserve">Alderfer, C.P. (1972) </w:t>
      </w:r>
      <w:r w:rsidRPr="00744382">
        <w:rPr>
          <w:rFonts w:ascii="Arial" w:hAnsi="Arial"/>
          <w:i/>
          <w:iCs/>
        </w:rPr>
        <w:t>Existence, Relatedness and Growth: Human Needs in Organisational Settings</w:t>
      </w:r>
      <w:r w:rsidRPr="00744382">
        <w:rPr>
          <w:rFonts w:ascii="Arial" w:hAnsi="Arial"/>
        </w:rPr>
        <w:t>. New York: Free Press.</w:t>
      </w:r>
    </w:p>
    <w:p w14:paraId="6A594EA1" w14:textId="77777777" w:rsidR="00744382" w:rsidRPr="00744382" w:rsidRDefault="00744382" w:rsidP="00744382">
      <w:pPr>
        <w:spacing w:line="360" w:lineRule="auto"/>
        <w:rPr>
          <w:rFonts w:ascii="Arial" w:hAnsi="Arial"/>
        </w:rPr>
      </w:pPr>
      <w:r w:rsidRPr="00744382">
        <w:rPr>
          <w:rFonts w:ascii="Arial" w:hAnsi="Arial"/>
        </w:rPr>
        <w:t xml:space="preserve">Comfort, J. and Franklin, P. (2014) </w:t>
      </w:r>
      <w:r w:rsidRPr="00744382">
        <w:rPr>
          <w:rFonts w:ascii="Arial" w:hAnsi="Arial"/>
          <w:i/>
          <w:iCs/>
        </w:rPr>
        <w:t>The Mindful International Manager</w:t>
      </w:r>
      <w:r w:rsidRPr="00744382">
        <w:rPr>
          <w:rFonts w:ascii="Arial" w:hAnsi="Arial"/>
        </w:rPr>
        <w:t>. London: Kogan Page.</w:t>
      </w:r>
    </w:p>
    <w:p w14:paraId="7F2A5A4A" w14:textId="77777777" w:rsidR="00744382" w:rsidRPr="00744382" w:rsidRDefault="00744382" w:rsidP="00744382">
      <w:pPr>
        <w:spacing w:line="360" w:lineRule="auto"/>
        <w:rPr>
          <w:rFonts w:ascii="Arial" w:hAnsi="Arial"/>
        </w:rPr>
      </w:pPr>
      <w:r w:rsidRPr="00744382">
        <w:rPr>
          <w:rFonts w:ascii="Arial" w:hAnsi="Arial"/>
        </w:rPr>
        <w:t xml:space="preserve">Daft, R.L. (2008) </w:t>
      </w:r>
      <w:r w:rsidRPr="00744382">
        <w:rPr>
          <w:rFonts w:ascii="Arial" w:hAnsi="Arial"/>
          <w:i/>
          <w:iCs/>
        </w:rPr>
        <w:t>The Leadership Experience</w:t>
      </w:r>
      <w:r w:rsidRPr="00744382">
        <w:rPr>
          <w:rFonts w:ascii="Arial" w:hAnsi="Arial"/>
        </w:rPr>
        <w:t>. 4th edn. Mason: Thomson South-Western.</w:t>
      </w:r>
    </w:p>
    <w:p w14:paraId="16D6C6FD" w14:textId="262C27DA" w:rsidR="00744382" w:rsidRPr="00744382" w:rsidRDefault="00744382" w:rsidP="00744382">
      <w:pPr>
        <w:spacing w:line="360" w:lineRule="auto"/>
        <w:rPr>
          <w:rFonts w:ascii="Arial" w:hAnsi="Arial"/>
        </w:rPr>
      </w:pPr>
      <w:r w:rsidRPr="00744382">
        <w:rPr>
          <w:rFonts w:ascii="Arial" w:hAnsi="Arial"/>
        </w:rPr>
        <w:t xml:space="preserve">EGFL (2023) </w:t>
      </w:r>
      <w:r w:rsidRPr="00744382">
        <w:rPr>
          <w:rFonts w:ascii="Arial" w:hAnsi="Arial"/>
          <w:i/>
          <w:iCs/>
        </w:rPr>
        <w:t>Career stories</w:t>
      </w:r>
      <w:r w:rsidRPr="00744382">
        <w:rPr>
          <w:rFonts w:ascii="Arial" w:hAnsi="Arial"/>
        </w:rPr>
        <w:t xml:space="preserve">. Available at: </w:t>
      </w:r>
      <w:hyperlink r:id="rId13" w:tgtFrame="_new" w:history="1">
        <w:r w:rsidRPr="00744382">
          <w:rPr>
            <w:rStyle w:val="Hyperlink"/>
            <w:rFonts w:ascii="Arial" w:hAnsi="Arial"/>
          </w:rPr>
          <w:t>https://analysisfunction.civilservice.gov.uk/careers/career-stories/</w:t>
        </w:r>
      </w:hyperlink>
      <w:r w:rsidRPr="00744382">
        <w:rPr>
          <w:rFonts w:ascii="Arial" w:hAnsi="Arial"/>
        </w:rPr>
        <w:t xml:space="preserve"> (Accessed: 12 </w:t>
      </w:r>
      <w:r w:rsidR="00A065C6">
        <w:rPr>
          <w:rFonts w:ascii="Arial" w:hAnsi="Arial"/>
        </w:rPr>
        <w:t>July</w:t>
      </w:r>
      <w:r w:rsidRPr="00744382">
        <w:rPr>
          <w:rFonts w:ascii="Arial" w:hAnsi="Arial"/>
        </w:rPr>
        <w:t xml:space="preserve"> 2026).</w:t>
      </w:r>
    </w:p>
    <w:p w14:paraId="489CA65C" w14:textId="65698AD9" w:rsidR="00744382" w:rsidRPr="00744382" w:rsidRDefault="00744382" w:rsidP="00744382">
      <w:pPr>
        <w:spacing w:line="360" w:lineRule="auto"/>
        <w:rPr>
          <w:rFonts w:ascii="Arial" w:hAnsi="Arial"/>
        </w:rPr>
      </w:pPr>
      <w:r w:rsidRPr="00744382">
        <w:rPr>
          <w:rFonts w:ascii="Arial" w:hAnsi="Arial"/>
        </w:rPr>
        <w:t xml:space="preserve">Friedman, S., O’Brien, D. and Laurison, D. (2017) ‘Like skydiving without a parachute’: how class origin shapes occupational trajectories in British acting’, </w:t>
      </w:r>
      <w:r w:rsidRPr="00744382">
        <w:rPr>
          <w:rFonts w:ascii="Arial" w:hAnsi="Arial"/>
          <w:i/>
          <w:iCs/>
        </w:rPr>
        <w:t>Sociology</w:t>
      </w:r>
      <w:r w:rsidRPr="00744382">
        <w:rPr>
          <w:rFonts w:ascii="Arial" w:hAnsi="Arial"/>
        </w:rPr>
        <w:t xml:space="preserve">, 51(5), pp. 992–1010. Available at: </w:t>
      </w:r>
      <w:hyperlink r:id="rId14" w:tgtFrame="_new" w:history="1">
        <w:r w:rsidRPr="00744382">
          <w:rPr>
            <w:rStyle w:val="Hyperlink"/>
            <w:rFonts w:ascii="Arial" w:hAnsi="Arial"/>
          </w:rPr>
          <w:t>https://doi.org/10.1177/0038038516629917</w:t>
        </w:r>
      </w:hyperlink>
      <w:r w:rsidRPr="00744382">
        <w:rPr>
          <w:rFonts w:ascii="Arial" w:hAnsi="Arial"/>
        </w:rPr>
        <w:t xml:space="preserve"> (Accessed: 14 </w:t>
      </w:r>
      <w:r w:rsidR="00A065C6">
        <w:rPr>
          <w:rFonts w:ascii="Arial" w:hAnsi="Arial"/>
        </w:rPr>
        <w:t>July</w:t>
      </w:r>
      <w:r w:rsidRPr="00744382">
        <w:rPr>
          <w:rFonts w:ascii="Arial" w:hAnsi="Arial"/>
        </w:rPr>
        <w:t xml:space="preserve"> 2026).</w:t>
      </w:r>
    </w:p>
    <w:p w14:paraId="3CA6F814" w14:textId="77777777" w:rsidR="00744382" w:rsidRPr="00744382" w:rsidRDefault="00744382" w:rsidP="00744382">
      <w:pPr>
        <w:spacing w:line="360" w:lineRule="auto"/>
        <w:rPr>
          <w:rFonts w:ascii="Arial" w:hAnsi="Arial"/>
        </w:rPr>
      </w:pPr>
      <w:r w:rsidRPr="00744382">
        <w:rPr>
          <w:rFonts w:ascii="Arial" w:hAnsi="Arial"/>
        </w:rPr>
        <w:t xml:space="preserve">Herzberg, F. (1959) </w:t>
      </w:r>
      <w:r w:rsidRPr="00744382">
        <w:rPr>
          <w:rFonts w:ascii="Arial" w:hAnsi="Arial"/>
          <w:i/>
          <w:iCs/>
        </w:rPr>
        <w:t>The Motivation to Work</w:t>
      </w:r>
      <w:r w:rsidRPr="00744382">
        <w:rPr>
          <w:rFonts w:ascii="Arial" w:hAnsi="Arial"/>
        </w:rPr>
        <w:t>. New York: Wiley.</w:t>
      </w:r>
    </w:p>
    <w:p w14:paraId="6C87FD3E" w14:textId="77777777" w:rsidR="00744382" w:rsidRPr="00744382" w:rsidRDefault="00744382" w:rsidP="00744382">
      <w:pPr>
        <w:spacing w:line="360" w:lineRule="auto"/>
        <w:rPr>
          <w:rFonts w:ascii="Arial" w:hAnsi="Arial"/>
        </w:rPr>
      </w:pPr>
      <w:r w:rsidRPr="00744382">
        <w:rPr>
          <w:rFonts w:ascii="Arial" w:hAnsi="Arial"/>
        </w:rPr>
        <w:t xml:space="preserve">Hills, J., Cunliffe, J., Obolenskaya, P. and Karagiannaki, E. (2015) </w:t>
      </w:r>
      <w:r w:rsidRPr="00744382">
        <w:rPr>
          <w:rFonts w:ascii="Arial" w:hAnsi="Arial"/>
          <w:i/>
          <w:iCs/>
        </w:rPr>
        <w:t>Falling Behind, Getting Ahead: The Changing Structure of Inequality in the UK, 2007–2013</w:t>
      </w:r>
      <w:r w:rsidRPr="00744382">
        <w:rPr>
          <w:rFonts w:ascii="Arial" w:hAnsi="Arial"/>
        </w:rPr>
        <w:t>. London: CASE/LSE.</w:t>
      </w:r>
    </w:p>
    <w:p w14:paraId="380B1588" w14:textId="387D2AD6" w:rsidR="00744382" w:rsidRPr="00744382" w:rsidRDefault="00744382" w:rsidP="00744382">
      <w:pPr>
        <w:spacing w:line="360" w:lineRule="auto"/>
        <w:rPr>
          <w:rFonts w:ascii="Arial" w:hAnsi="Arial"/>
        </w:rPr>
      </w:pPr>
      <w:r w:rsidRPr="00744382">
        <w:rPr>
          <w:rFonts w:ascii="Arial" w:hAnsi="Arial"/>
        </w:rPr>
        <w:t xml:space="preserve">HR Grapevine (2023) ‘Tesco’s CEO protects workers: what’s the power in safeguarding your staff?’. Available at: </w:t>
      </w:r>
      <w:hyperlink r:id="rId15" w:tgtFrame="_new" w:history="1">
        <w:r w:rsidRPr="00744382">
          <w:rPr>
            <w:rStyle w:val="Hyperlink"/>
            <w:rFonts w:ascii="Arial" w:hAnsi="Arial"/>
          </w:rPr>
          <w:t>https://www.hrgrapevine.com/content/article/2023-09-06-tescos-ceo-protects-workers-whats-the-power-in-safeguarding-your-staff</w:t>
        </w:r>
      </w:hyperlink>
      <w:r w:rsidRPr="00744382">
        <w:rPr>
          <w:rFonts w:ascii="Arial" w:hAnsi="Arial"/>
        </w:rPr>
        <w:t xml:space="preserve"> (Accessed: 10 </w:t>
      </w:r>
      <w:r w:rsidR="00A065C6">
        <w:rPr>
          <w:rFonts w:ascii="Arial" w:hAnsi="Arial"/>
        </w:rPr>
        <w:t>July</w:t>
      </w:r>
      <w:r w:rsidRPr="00744382">
        <w:rPr>
          <w:rFonts w:ascii="Arial" w:hAnsi="Arial"/>
        </w:rPr>
        <w:t xml:space="preserve"> 2026).</w:t>
      </w:r>
    </w:p>
    <w:p w14:paraId="1C45CC5D" w14:textId="3D2E63D8" w:rsidR="00744382" w:rsidRPr="00744382" w:rsidRDefault="00744382" w:rsidP="00744382">
      <w:pPr>
        <w:spacing w:line="360" w:lineRule="auto"/>
        <w:rPr>
          <w:rFonts w:ascii="Arial" w:hAnsi="Arial"/>
        </w:rPr>
      </w:pPr>
      <w:r w:rsidRPr="00744382">
        <w:rPr>
          <w:rFonts w:ascii="Arial" w:hAnsi="Arial"/>
        </w:rPr>
        <w:t xml:space="preserve">Lumen Learning (no date) ‘Motivation: key for success – the case of Xerox’, </w:t>
      </w:r>
      <w:r w:rsidRPr="00744382">
        <w:rPr>
          <w:rFonts w:ascii="Arial" w:hAnsi="Arial"/>
          <w:i/>
          <w:iCs/>
        </w:rPr>
        <w:t>Organizational Behavior</w:t>
      </w:r>
      <w:r w:rsidRPr="00744382">
        <w:rPr>
          <w:rFonts w:ascii="Arial" w:hAnsi="Arial"/>
        </w:rPr>
        <w:t xml:space="preserve">. Available at: </w:t>
      </w:r>
      <w:hyperlink r:id="rId16" w:tgtFrame="_new" w:history="1">
        <w:r w:rsidRPr="00744382">
          <w:rPr>
            <w:rStyle w:val="Hyperlink"/>
            <w:rFonts w:ascii="Arial" w:hAnsi="Arial"/>
          </w:rPr>
          <w:t>https://courses.lumenlearning.com/suny-orgbehavior/chapter/6-7-motivation-key-for-success-the-case-of-xerox/</w:t>
        </w:r>
      </w:hyperlink>
      <w:r w:rsidRPr="00744382">
        <w:rPr>
          <w:rFonts w:ascii="Arial" w:hAnsi="Arial"/>
        </w:rPr>
        <w:t xml:space="preserve"> (Accessed: 15 </w:t>
      </w:r>
      <w:r w:rsidR="00A065C6">
        <w:rPr>
          <w:rFonts w:ascii="Arial" w:hAnsi="Arial"/>
        </w:rPr>
        <w:t>July</w:t>
      </w:r>
      <w:r w:rsidRPr="00744382">
        <w:rPr>
          <w:rFonts w:ascii="Arial" w:hAnsi="Arial"/>
        </w:rPr>
        <w:t xml:space="preserve"> 2026).</w:t>
      </w:r>
    </w:p>
    <w:p w14:paraId="3CBDC9FA" w14:textId="77777777" w:rsidR="00744382" w:rsidRPr="00744382" w:rsidRDefault="00744382" w:rsidP="00744382">
      <w:pPr>
        <w:spacing w:line="360" w:lineRule="auto"/>
        <w:rPr>
          <w:rFonts w:ascii="Arial" w:hAnsi="Arial"/>
        </w:rPr>
      </w:pPr>
      <w:r w:rsidRPr="00744382">
        <w:rPr>
          <w:rFonts w:ascii="Arial" w:hAnsi="Arial"/>
        </w:rPr>
        <w:t xml:space="preserve">Maslow, A.H. (1943) ‘A theory of human motivation’, </w:t>
      </w:r>
      <w:r w:rsidRPr="00744382">
        <w:rPr>
          <w:rFonts w:ascii="Arial" w:hAnsi="Arial"/>
          <w:i/>
          <w:iCs/>
        </w:rPr>
        <w:t>Psychological Review</w:t>
      </w:r>
      <w:r w:rsidRPr="00744382">
        <w:rPr>
          <w:rFonts w:ascii="Arial" w:hAnsi="Arial"/>
        </w:rPr>
        <w:t>, 50(4), pp. 370–396.</w:t>
      </w:r>
    </w:p>
    <w:p w14:paraId="57FA4C84" w14:textId="575E4F9A" w:rsidR="00744382" w:rsidRPr="00744382" w:rsidRDefault="00744382" w:rsidP="00744382">
      <w:pPr>
        <w:spacing w:line="360" w:lineRule="auto"/>
        <w:rPr>
          <w:rFonts w:ascii="Arial" w:hAnsi="Arial"/>
        </w:rPr>
      </w:pPr>
      <w:r w:rsidRPr="00744382">
        <w:rPr>
          <w:rFonts w:ascii="Arial" w:hAnsi="Arial"/>
        </w:rPr>
        <w:lastRenderedPageBreak/>
        <w:t xml:space="preserve">McGregor-Smith, R. (2017) </w:t>
      </w:r>
      <w:r w:rsidRPr="00744382">
        <w:rPr>
          <w:rFonts w:ascii="Arial" w:hAnsi="Arial"/>
          <w:i/>
          <w:iCs/>
        </w:rPr>
        <w:t>Race in the workplace: The McGregor-Smith review</w:t>
      </w:r>
      <w:r w:rsidRPr="00744382">
        <w:rPr>
          <w:rFonts w:ascii="Arial" w:hAnsi="Arial"/>
        </w:rPr>
        <w:t xml:space="preserve">. London: Department for Business, Energy and Industrial Strategy. Available at: </w:t>
      </w:r>
      <w:hyperlink r:id="rId17" w:tgtFrame="_new" w:history="1">
        <w:r w:rsidRPr="00744382">
          <w:rPr>
            <w:rStyle w:val="Hyperlink"/>
            <w:rFonts w:ascii="Arial" w:hAnsi="Arial"/>
          </w:rPr>
          <w:t>https://www.gov.uk/government/publications/race-in-the-workplace-the-mcgregor-smith-review</w:t>
        </w:r>
      </w:hyperlink>
      <w:r w:rsidRPr="00744382">
        <w:rPr>
          <w:rFonts w:ascii="Arial" w:hAnsi="Arial"/>
        </w:rPr>
        <w:t xml:space="preserve"> (Accessed: 9 </w:t>
      </w:r>
      <w:r w:rsidR="00A065C6">
        <w:rPr>
          <w:rFonts w:ascii="Arial" w:hAnsi="Arial"/>
        </w:rPr>
        <w:t>July</w:t>
      </w:r>
      <w:r w:rsidRPr="00744382">
        <w:rPr>
          <w:rFonts w:ascii="Arial" w:hAnsi="Arial"/>
        </w:rPr>
        <w:t xml:space="preserve"> 2026).</w:t>
      </w:r>
    </w:p>
    <w:p w14:paraId="385655D8" w14:textId="77FE6297" w:rsidR="00744382" w:rsidRPr="00744382" w:rsidRDefault="00744382" w:rsidP="00744382">
      <w:pPr>
        <w:spacing w:line="360" w:lineRule="auto"/>
        <w:rPr>
          <w:rFonts w:ascii="Arial" w:hAnsi="Arial"/>
        </w:rPr>
      </w:pPr>
      <w:r w:rsidRPr="00744382">
        <w:rPr>
          <w:rFonts w:ascii="Arial" w:hAnsi="Arial"/>
        </w:rPr>
        <w:t xml:space="preserve">Seijts, G.H. and Crim, D. (2006) ‘What engages employees the most? Or, the ten C’s of employee engagement’, </w:t>
      </w:r>
      <w:r w:rsidRPr="00744382">
        <w:rPr>
          <w:rFonts w:ascii="Arial" w:hAnsi="Arial"/>
          <w:i/>
          <w:iCs/>
        </w:rPr>
        <w:t>Ivey Business Journal</w:t>
      </w:r>
      <w:r w:rsidRPr="00744382">
        <w:rPr>
          <w:rFonts w:ascii="Arial" w:hAnsi="Arial"/>
        </w:rPr>
        <w:t xml:space="preserve">, March/April, pp. 1–5. Available at: </w:t>
      </w:r>
      <w:hyperlink r:id="rId18" w:tgtFrame="_new" w:history="1">
        <w:r w:rsidRPr="00744382">
          <w:rPr>
            <w:rStyle w:val="Hyperlink"/>
            <w:rFonts w:ascii="Arial" w:hAnsi="Arial"/>
          </w:rPr>
          <w:t>https://www.researchgate.net/publication/285344430_What_engages_employees_the_most_or_the_ten_C%27s_of_employee_engagement</w:t>
        </w:r>
      </w:hyperlink>
      <w:r w:rsidRPr="00744382">
        <w:rPr>
          <w:rFonts w:ascii="Arial" w:hAnsi="Arial"/>
        </w:rPr>
        <w:t xml:space="preserve"> (Accessed: 11 </w:t>
      </w:r>
      <w:r w:rsidR="00A065C6">
        <w:rPr>
          <w:rFonts w:ascii="Arial" w:hAnsi="Arial"/>
        </w:rPr>
        <w:t>July</w:t>
      </w:r>
      <w:r w:rsidRPr="00744382">
        <w:rPr>
          <w:rFonts w:ascii="Arial" w:hAnsi="Arial"/>
        </w:rPr>
        <w:t xml:space="preserve"> 2026).</w:t>
      </w:r>
    </w:p>
    <w:p w14:paraId="63281CE7" w14:textId="65968DC6" w:rsidR="00744382" w:rsidRDefault="00744382" w:rsidP="00744382">
      <w:pPr>
        <w:spacing w:line="360" w:lineRule="auto"/>
        <w:rPr>
          <w:rFonts w:ascii="Arial" w:hAnsi="Arial"/>
        </w:rPr>
      </w:pPr>
      <w:r w:rsidRPr="00744382">
        <w:rPr>
          <w:rFonts w:ascii="Arial" w:hAnsi="Arial"/>
        </w:rPr>
        <w:t xml:space="preserve">Social Mobility Commission (2025) </w:t>
      </w:r>
      <w:r w:rsidRPr="00744382">
        <w:rPr>
          <w:rFonts w:ascii="Arial" w:hAnsi="Arial"/>
          <w:i/>
          <w:iCs/>
        </w:rPr>
        <w:t>State of the Nation 2025: The evolving story of social mobility in the UK</w:t>
      </w:r>
      <w:r w:rsidRPr="00744382">
        <w:rPr>
          <w:rFonts w:ascii="Arial" w:hAnsi="Arial"/>
        </w:rPr>
        <w:t xml:space="preserve">. London: Social Mobility Commission. Available at: </w:t>
      </w:r>
      <w:hyperlink r:id="rId19" w:tgtFrame="_new" w:history="1">
        <w:r w:rsidRPr="00744382">
          <w:rPr>
            <w:rStyle w:val="Hyperlink"/>
            <w:rFonts w:ascii="Arial" w:hAnsi="Arial"/>
          </w:rPr>
          <w:t>https://www.gov.uk/government/publications/state-of-the-nation-2025-the-evolving-story-of-social-mobility-in-the-uk</w:t>
        </w:r>
      </w:hyperlink>
      <w:r w:rsidRPr="00744382">
        <w:rPr>
          <w:rFonts w:ascii="Arial" w:hAnsi="Arial"/>
        </w:rPr>
        <w:t xml:space="preserve"> (Accessed: 13 </w:t>
      </w:r>
      <w:r w:rsidR="00A065C6">
        <w:rPr>
          <w:rFonts w:ascii="Arial" w:hAnsi="Arial"/>
        </w:rPr>
        <w:t>July</w:t>
      </w:r>
      <w:r w:rsidRPr="00744382">
        <w:rPr>
          <w:rFonts w:ascii="Arial" w:hAnsi="Arial"/>
        </w:rPr>
        <w:t xml:space="preserve"> 2026).</w:t>
      </w:r>
    </w:p>
    <w:p w14:paraId="20026392" w14:textId="6B5C9B8A" w:rsidR="00A065C6" w:rsidRDefault="00A065C6" w:rsidP="00744382">
      <w:pPr>
        <w:spacing w:line="360" w:lineRule="auto"/>
        <w:rPr>
          <w:rFonts w:ascii="Arial" w:hAnsi="Arial"/>
        </w:rPr>
      </w:pPr>
      <w:r w:rsidRPr="00A065C6">
        <w:rPr>
          <w:rFonts w:ascii="Arial" w:hAnsi="Arial"/>
        </w:rPr>
        <w:t xml:space="preserve">Tesco Careers (2025) </w:t>
      </w:r>
      <w:r w:rsidRPr="00A065C6">
        <w:rPr>
          <w:rFonts w:ascii="Arial" w:hAnsi="Arial"/>
          <w:i/>
          <w:iCs/>
        </w:rPr>
        <w:t>Working at Tesco</w:t>
      </w:r>
      <w:r w:rsidRPr="00A065C6">
        <w:rPr>
          <w:rFonts w:ascii="Arial" w:hAnsi="Arial"/>
        </w:rPr>
        <w:t xml:space="preserve">. Available at: </w:t>
      </w:r>
      <w:hyperlink r:id="rId20" w:tgtFrame="_new" w:history="1">
        <w:r w:rsidRPr="00A065C6">
          <w:rPr>
            <w:rStyle w:val="Hyperlink"/>
            <w:rFonts w:ascii="Arial" w:hAnsi="Arial"/>
          </w:rPr>
          <w:t>https://www.tesco-careers.com/</w:t>
        </w:r>
      </w:hyperlink>
      <w:r w:rsidRPr="00A065C6">
        <w:rPr>
          <w:rFonts w:ascii="Arial" w:hAnsi="Arial"/>
        </w:rPr>
        <w:t xml:space="preserve"> (Accessed: 1</w:t>
      </w:r>
      <w:r>
        <w:rPr>
          <w:rFonts w:ascii="Arial" w:hAnsi="Arial"/>
        </w:rPr>
        <w:t>2</w:t>
      </w:r>
      <w:r w:rsidRPr="00A065C6">
        <w:rPr>
          <w:rFonts w:ascii="Arial" w:hAnsi="Arial"/>
        </w:rPr>
        <w:t xml:space="preserve"> </w:t>
      </w:r>
      <w:r>
        <w:rPr>
          <w:rFonts w:ascii="Arial" w:hAnsi="Arial"/>
        </w:rPr>
        <w:t>July</w:t>
      </w:r>
      <w:r w:rsidRPr="00A065C6">
        <w:rPr>
          <w:rFonts w:ascii="Arial" w:hAnsi="Arial"/>
        </w:rPr>
        <w:t xml:space="preserve"> 2026).</w:t>
      </w:r>
    </w:p>
    <w:p w14:paraId="58B060D2" w14:textId="04985FD6" w:rsidR="00A065C6" w:rsidRDefault="00A065C6" w:rsidP="00744382">
      <w:pPr>
        <w:spacing w:line="360" w:lineRule="auto"/>
        <w:rPr>
          <w:rFonts w:ascii="Arial" w:hAnsi="Arial"/>
        </w:rPr>
      </w:pPr>
      <w:r w:rsidRPr="00A065C6">
        <w:rPr>
          <w:rFonts w:ascii="Arial" w:hAnsi="Arial"/>
        </w:rPr>
        <w:t xml:space="preserve">Tesco PLC (2025) </w:t>
      </w:r>
      <w:r w:rsidRPr="00A065C6">
        <w:rPr>
          <w:rFonts w:ascii="Arial" w:hAnsi="Arial"/>
          <w:i/>
          <w:iCs/>
        </w:rPr>
        <w:t>Annual Report and Financial Statements 2025</w:t>
      </w:r>
      <w:r w:rsidRPr="00A065C6">
        <w:rPr>
          <w:rFonts w:ascii="Arial" w:hAnsi="Arial"/>
        </w:rPr>
        <w:t xml:space="preserve">. Available at: </w:t>
      </w:r>
      <w:hyperlink r:id="rId21" w:tgtFrame="_blank" w:history="1">
        <w:r w:rsidRPr="00A065C6">
          <w:rPr>
            <w:rStyle w:val="Hyperlink"/>
            <w:rFonts w:ascii="Arial" w:hAnsi="Arial"/>
          </w:rPr>
          <w:t>https://www.tescoplc.com/investors/reports-results-and-presentations/results-and-presentations?type=all</w:t>
        </w:r>
      </w:hyperlink>
      <w:r w:rsidRPr="00A065C6">
        <w:rPr>
          <w:rFonts w:ascii="Arial" w:hAnsi="Arial"/>
        </w:rPr>
        <w:t xml:space="preserve"> (Accessed: 15 July 2026).</w:t>
      </w:r>
    </w:p>
    <w:p w14:paraId="79C23F14" w14:textId="77777777" w:rsidR="00A065C6" w:rsidRPr="00A065C6" w:rsidRDefault="00A065C6" w:rsidP="00A065C6">
      <w:pPr>
        <w:spacing w:line="360" w:lineRule="auto"/>
        <w:rPr>
          <w:rFonts w:ascii="Arial" w:hAnsi="Arial"/>
        </w:rPr>
      </w:pPr>
      <w:r w:rsidRPr="00A065C6">
        <w:rPr>
          <w:rFonts w:ascii="Arial" w:hAnsi="Arial"/>
        </w:rPr>
        <w:t xml:space="preserve">Ulrich, D. (1997) </w:t>
      </w:r>
      <w:r w:rsidRPr="00A065C6">
        <w:rPr>
          <w:rFonts w:ascii="Arial" w:hAnsi="Arial"/>
          <w:i/>
          <w:iCs/>
        </w:rPr>
        <w:t>Human Resource Champions: The Next Agenda for Adding Value and Delivering Results</w:t>
      </w:r>
      <w:r w:rsidRPr="00A065C6">
        <w:rPr>
          <w:rFonts w:ascii="Arial" w:hAnsi="Arial"/>
        </w:rPr>
        <w:t>. Boston, MA: Harvard Business School Press.</w:t>
      </w:r>
    </w:p>
    <w:p w14:paraId="14E9B72B" w14:textId="77777777" w:rsidR="00744382" w:rsidRPr="00744382" w:rsidRDefault="00744382" w:rsidP="00744382">
      <w:pPr>
        <w:spacing w:line="360" w:lineRule="auto"/>
        <w:rPr>
          <w:rFonts w:ascii="Arial" w:hAnsi="Arial"/>
        </w:rPr>
      </w:pPr>
      <w:r w:rsidRPr="00744382">
        <w:rPr>
          <w:rFonts w:ascii="Arial" w:hAnsi="Arial"/>
        </w:rPr>
        <w:t xml:space="preserve">Vroom, V.H. (1964) </w:t>
      </w:r>
      <w:r w:rsidRPr="00744382">
        <w:rPr>
          <w:rFonts w:ascii="Arial" w:hAnsi="Arial"/>
          <w:i/>
          <w:iCs/>
        </w:rPr>
        <w:t>Work and Motivation</w:t>
      </w:r>
      <w:r w:rsidRPr="00744382">
        <w:rPr>
          <w:rFonts w:ascii="Arial" w:hAnsi="Arial"/>
        </w:rPr>
        <w:t>. New York: Wiley.</w:t>
      </w:r>
    </w:p>
    <w:p w14:paraId="652499A7" w14:textId="77777777" w:rsidR="00744382" w:rsidRPr="00744382" w:rsidRDefault="00744382" w:rsidP="00744382">
      <w:pPr>
        <w:spacing w:line="360" w:lineRule="auto"/>
        <w:rPr>
          <w:rFonts w:ascii="Arial" w:hAnsi="Arial"/>
        </w:rPr>
      </w:pPr>
      <w:r w:rsidRPr="00744382">
        <w:rPr>
          <w:rFonts w:ascii="Arial" w:hAnsi="Arial"/>
        </w:rPr>
        <w:t xml:space="preserve">Watson, T.J. (2017) </w:t>
      </w:r>
      <w:r w:rsidRPr="00744382">
        <w:rPr>
          <w:rFonts w:ascii="Arial" w:hAnsi="Arial"/>
          <w:i/>
          <w:iCs/>
        </w:rPr>
        <w:t>Sociology, Work and Industry</w:t>
      </w:r>
      <w:r w:rsidRPr="00744382">
        <w:rPr>
          <w:rFonts w:ascii="Arial" w:hAnsi="Arial"/>
        </w:rPr>
        <w:t>. 6th edn. London: Routledge.</w:t>
      </w:r>
    </w:p>
    <w:p w14:paraId="215EA7E7" w14:textId="77777777" w:rsidR="006E7812" w:rsidRPr="00744382" w:rsidRDefault="006E7812" w:rsidP="00744382">
      <w:pPr>
        <w:spacing w:line="360" w:lineRule="auto"/>
        <w:rPr>
          <w:rFonts w:ascii="Arial" w:hAnsi="Arial"/>
        </w:rPr>
      </w:pPr>
    </w:p>
    <w:sectPr w:rsidR="006E7812" w:rsidRPr="00744382" w:rsidSect="00132FF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C5B00" w14:textId="77777777" w:rsidR="000161C8" w:rsidRDefault="000161C8" w:rsidP="006804A7">
      <w:pPr>
        <w:spacing w:after="0" w:line="240" w:lineRule="auto"/>
      </w:pPr>
      <w:r>
        <w:separator/>
      </w:r>
    </w:p>
  </w:endnote>
  <w:endnote w:type="continuationSeparator" w:id="0">
    <w:p w14:paraId="791681AB" w14:textId="77777777" w:rsidR="000161C8" w:rsidRDefault="000161C8" w:rsidP="006804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8002581"/>
      <w:docPartObj>
        <w:docPartGallery w:val="Page Numbers (Bottom of Page)"/>
        <w:docPartUnique/>
      </w:docPartObj>
    </w:sdtPr>
    <w:sdtEndPr>
      <w:rPr>
        <w:noProof/>
      </w:rPr>
    </w:sdtEndPr>
    <w:sdtContent>
      <w:p w14:paraId="41827440" w14:textId="12FA1A6D" w:rsidR="006804A7" w:rsidRDefault="006804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081BB2" w14:textId="77777777" w:rsidR="006804A7" w:rsidRDefault="006804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D6EE5" w14:textId="77777777" w:rsidR="000161C8" w:rsidRDefault="000161C8" w:rsidP="006804A7">
      <w:pPr>
        <w:spacing w:after="0" w:line="240" w:lineRule="auto"/>
      </w:pPr>
      <w:r>
        <w:separator/>
      </w:r>
    </w:p>
  </w:footnote>
  <w:footnote w:type="continuationSeparator" w:id="0">
    <w:p w14:paraId="41372E11" w14:textId="77777777" w:rsidR="000161C8" w:rsidRDefault="000161C8" w:rsidP="006804A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F25"/>
    <w:rsid w:val="000161C8"/>
    <w:rsid w:val="00043B65"/>
    <w:rsid w:val="000A01FE"/>
    <w:rsid w:val="00116EC5"/>
    <w:rsid w:val="00124884"/>
    <w:rsid w:val="00132FFC"/>
    <w:rsid w:val="001D4297"/>
    <w:rsid w:val="00206562"/>
    <w:rsid w:val="002E397B"/>
    <w:rsid w:val="003076FD"/>
    <w:rsid w:val="00436690"/>
    <w:rsid w:val="004D5AC0"/>
    <w:rsid w:val="0067313E"/>
    <w:rsid w:val="006804A7"/>
    <w:rsid w:val="006B55B8"/>
    <w:rsid w:val="006D36FC"/>
    <w:rsid w:val="006D7663"/>
    <w:rsid w:val="006E2AB2"/>
    <w:rsid w:val="006E7812"/>
    <w:rsid w:val="00744382"/>
    <w:rsid w:val="007F284E"/>
    <w:rsid w:val="0081617D"/>
    <w:rsid w:val="00821293"/>
    <w:rsid w:val="008A6ED6"/>
    <w:rsid w:val="00971D4C"/>
    <w:rsid w:val="00A065C6"/>
    <w:rsid w:val="00A5663F"/>
    <w:rsid w:val="00A76BC7"/>
    <w:rsid w:val="00AC2565"/>
    <w:rsid w:val="00B87BBA"/>
    <w:rsid w:val="00BA1F67"/>
    <w:rsid w:val="00BA24F3"/>
    <w:rsid w:val="00BB2341"/>
    <w:rsid w:val="00BE554E"/>
    <w:rsid w:val="00C5442F"/>
    <w:rsid w:val="00CE7F25"/>
    <w:rsid w:val="00D27D20"/>
    <w:rsid w:val="00D95522"/>
    <w:rsid w:val="00DA7198"/>
    <w:rsid w:val="00DB6A84"/>
    <w:rsid w:val="00E41E66"/>
    <w:rsid w:val="00E810C3"/>
    <w:rsid w:val="00FB63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26648"/>
  <w15:chartTrackingRefBased/>
  <w15:docId w15:val="{558D5262-48E2-491F-88A6-2CE31F8CF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7F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E7F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7F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7F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7F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7F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7F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7F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7F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F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E7F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7F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7F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7F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7F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7F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7F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7F25"/>
    <w:rPr>
      <w:rFonts w:eastAsiaTheme="majorEastAsia" w:cstheme="majorBidi"/>
      <w:color w:val="272727" w:themeColor="text1" w:themeTint="D8"/>
    </w:rPr>
  </w:style>
  <w:style w:type="paragraph" w:styleId="Title">
    <w:name w:val="Title"/>
    <w:basedOn w:val="Normal"/>
    <w:next w:val="Normal"/>
    <w:link w:val="TitleChar"/>
    <w:uiPriority w:val="10"/>
    <w:qFormat/>
    <w:rsid w:val="00CE7F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7F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7F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7F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7F25"/>
    <w:pPr>
      <w:spacing w:before="160"/>
      <w:jc w:val="center"/>
    </w:pPr>
    <w:rPr>
      <w:i/>
      <w:iCs/>
      <w:color w:val="404040" w:themeColor="text1" w:themeTint="BF"/>
    </w:rPr>
  </w:style>
  <w:style w:type="character" w:customStyle="1" w:styleId="QuoteChar">
    <w:name w:val="Quote Char"/>
    <w:basedOn w:val="DefaultParagraphFont"/>
    <w:link w:val="Quote"/>
    <w:uiPriority w:val="29"/>
    <w:rsid w:val="00CE7F25"/>
    <w:rPr>
      <w:i/>
      <w:iCs/>
      <w:color w:val="404040" w:themeColor="text1" w:themeTint="BF"/>
    </w:rPr>
  </w:style>
  <w:style w:type="paragraph" w:styleId="ListParagraph">
    <w:name w:val="List Paragraph"/>
    <w:basedOn w:val="Normal"/>
    <w:uiPriority w:val="34"/>
    <w:qFormat/>
    <w:rsid w:val="00CE7F25"/>
    <w:pPr>
      <w:ind w:left="720"/>
      <w:contextualSpacing/>
    </w:pPr>
  </w:style>
  <w:style w:type="character" w:styleId="IntenseEmphasis">
    <w:name w:val="Intense Emphasis"/>
    <w:basedOn w:val="DefaultParagraphFont"/>
    <w:uiPriority w:val="21"/>
    <w:qFormat/>
    <w:rsid w:val="00CE7F25"/>
    <w:rPr>
      <w:i/>
      <w:iCs/>
      <w:color w:val="0F4761" w:themeColor="accent1" w:themeShade="BF"/>
    </w:rPr>
  </w:style>
  <w:style w:type="paragraph" w:styleId="IntenseQuote">
    <w:name w:val="Intense Quote"/>
    <w:basedOn w:val="Normal"/>
    <w:next w:val="Normal"/>
    <w:link w:val="IntenseQuoteChar"/>
    <w:uiPriority w:val="30"/>
    <w:qFormat/>
    <w:rsid w:val="00CE7F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7F25"/>
    <w:rPr>
      <w:i/>
      <w:iCs/>
      <w:color w:val="0F4761" w:themeColor="accent1" w:themeShade="BF"/>
    </w:rPr>
  </w:style>
  <w:style w:type="character" w:styleId="IntenseReference">
    <w:name w:val="Intense Reference"/>
    <w:basedOn w:val="DefaultParagraphFont"/>
    <w:uiPriority w:val="32"/>
    <w:qFormat/>
    <w:rsid w:val="00CE7F25"/>
    <w:rPr>
      <w:b/>
      <w:bCs/>
      <w:smallCaps/>
      <w:color w:val="0F4761" w:themeColor="accent1" w:themeShade="BF"/>
      <w:spacing w:val="5"/>
    </w:rPr>
  </w:style>
  <w:style w:type="paragraph" w:styleId="NoSpacing">
    <w:name w:val="No Spacing"/>
    <w:link w:val="NoSpacingChar"/>
    <w:uiPriority w:val="1"/>
    <w:qFormat/>
    <w:rsid w:val="00132FF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32FFC"/>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6804A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804A7"/>
    <w:pPr>
      <w:spacing w:after="100"/>
    </w:pPr>
  </w:style>
  <w:style w:type="paragraph" w:styleId="TOC2">
    <w:name w:val="toc 2"/>
    <w:basedOn w:val="Normal"/>
    <w:next w:val="Normal"/>
    <w:autoRedefine/>
    <w:uiPriority w:val="39"/>
    <w:unhideWhenUsed/>
    <w:rsid w:val="006804A7"/>
    <w:pPr>
      <w:spacing w:after="100"/>
      <w:ind w:left="240"/>
    </w:pPr>
  </w:style>
  <w:style w:type="character" w:styleId="Hyperlink">
    <w:name w:val="Hyperlink"/>
    <w:basedOn w:val="DefaultParagraphFont"/>
    <w:uiPriority w:val="99"/>
    <w:unhideWhenUsed/>
    <w:rsid w:val="006804A7"/>
    <w:rPr>
      <w:color w:val="467886" w:themeColor="hyperlink"/>
      <w:u w:val="single"/>
    </w:rPr>
  </w:style>
  <w:style w:type="paragraph" w:styleId="Header">
    <w:name w:val="header"/>
    <w:basedOn w:val="Normal"/>
    <w:link w:val="HeaderChar"/>
    <w:uiPriority w:val="99"/>
    <w:unhideWhenUsed/>
    <w:rsid w:val="006804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04A7"/>
  </w:style>
  <w:style w:type="paragraph" w:styleId="Footer">
    <w:name w:val="footer"/>
    <w:basedOn w:val="Normal"/>
    <w:link w:val="FooterChar"/>
    <w:uiPriority w:val="99"/>
    <w:unhideWhenUsed/>
    <w:rsid w:val="006804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04A7"/>
  </w:style>
  <w:style w:type="character" w:styleId="UnresolvedMention">
    <w:name w:val="Unresolved Mention"/>
    <w:basedOn w:val="DefaultParagraphFont"/>
    <w:uiPriority w:val="99"/>
    <w:semiHidden/>
    <w:unhideWhenUsed/>
    <w:rsid w:val="006804A7"/>
    <w:rPr>
      <w:color w:val="605E5C"/>
      <w:shd w:val="clear" w:color="auto" w:fill="E1DFDD"/>
    </w:rPr>
  </w:style>
  <w:style w:type="character" w:styleId="FollowedHyperlink">
    <w:name w:val="FollowedHyperlink"/>
    <w:basedOn w:val="DefaultParagraphFont"/>
    <w:uiPriority w:val="99"/>
    <w:semiHidden/>
    <w:unhideWhenUsed/>
    <w:rsid w:val="006804A7"/>
    <w:rPr>
      <w:color w:val="96607D" w:themeColor="followedHyperlink"/>
      <w:u w:val="single"/>
    </w:rPr>
  </w:style>
  <w:style w:type="paragraph" w:styleId="Caption">
    <w:name w:val="caption"/>
    <w:basedOn w:val="Normal"/>
    <w:next w:val="Normal"/>
    <w:uiPriority w:val="35"/>
    <w:unhideWhenUsed/>
    <w:qFormat/>
    <w:rsid w:val="00D27D20"/>
    <w:pPr>
      <w:spacing w:after="200" w:line="240" w:lineRule="auto"/>
    </w:pPr>
    <w:rPr>
      <w:i/>
      <w:iCs/>
      <w:color w:val="0E2841" w:themeColor="text2"/>
      <w:sz w:val="18"/>
      <w:szCs w:val="18"/>
    </w:rPr>
  </w:style>
  <w:style w:type="table" w:styleId="GridTable2-Accent5">
    <w:name w:val="Grid Table 2 Accent 5"/>
    <w:basedOn w:val="TableNormal"/>
    <w:uiPriority w:val="47"/>
    <w:rsid w:val="006E2AB2"/>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3">
    <w:name w:val="Grid Table 4 Accent 3"/>
    <w:basedOn w:val="TableNormal"/>
    <w:uiPriority w:val="49"/>
    <w:rsid w:val="006E2AB2"/>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nalysisfunction.civilservice.gov.uk/careers/career-stories/" TargetMode="External"/><Relationship Id="rId18" Type="http://schemas.openxmlformats.org/officeDocument/2006/relationships/hyperlink" Target="https://www.researchgate.net/publication/285344430_What_engages_employees_the_most_or_the_ten_C%27s_of_employee_engagement" TargetMode="External"/><Relationship Id="rId3" Type="http://schemas.openxmlformats.org/officeDocument/2006/relationships/styles" Target="styles.xml"/><Relationship Id="rId21" Type="http://schemas.openxmlformats.org/officeDocument/2006/relationships/hyperlink" Target="https://www.tescoplc.com/investors/reports-results-and-presentations/results-and-presentations?type=all&amp;utm_source=chatgpt.com"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gov.uk/government/publications/race-in-the-workplace-the-mcgregor-smith-review" TargetMode="External"/><Relationship Id="rId2" Type="http://schemas.openxmlformats.org/officeDocument/2006/relationships/customXml" Target="../customXml/item2.xml"/><Relationship Id="rId16" Type="http://schemas.openxmlformats.org/officeDocument/2006/relationships/hyperlink" Target="https://courses.lumenlearning.com/suny-orgbehavior/chapter/6-7-motivation-key-for-success-the-case-of-xerox/" TargetMode="External"/><Relationship Id="rId20" Type="http://schemas.openxmlformats.org/officeDocument/2006/relationships/hyperlink" Target="https://www.tesco-careers.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hrgrapevine.com/content/article/2023-09-06-tescos-ceo-protects-workers-whats-the-power-in-safeguarding-your-staff" TargetMode="External"/><Relationship Id="rId23" Type="http://schemas.openxmlformats.org/officeDocument/2006/relationships/glossaryDocument" Target="glossary/document.xml"/><Relationship Id="rId10" Type="http://schemas.openxmlformats.org/officeDocument/2006/relationships/image" Target="media/image3.jpeg"/><Relationship Id="rId19" Type="http://schemas.openxmlformats.org/officeDocument/2006/relationships/hyperlink" Target="https://www.gov.uk/government/publications/state-of-the-nation-2025-the-evolving-story-of-social-mobility-in-the-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77/0038038516629917"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36C9649BF7F40CE821F88252B7FCD9E"/>
        <w:category>
          <w:name w:val="General"/>
          <w:gallery w:val="placeholder"/>
        </w:category>
        <w:types>
          <w:type w:val="bbPlcHdr"/>
        </w:types>
        <w:behaviors>
          <w:behavior w:val="content"/>
        </w:behaviors>
        <w:guid w:val="{0C193BD5-60DA-4E8A-B193-328F397D0E01}"/>
      </w:docPartPr>
      <w:docPartBody>
        <w:p w:rsidR="002A5DE5" w:rsidRDefault="00012989" w:rsidP="00012989">
          <w:pPr>
            <w:pStyle w:val="D36C9649BF7F40CE821F88252B7FCD9E"/>
          </w:pPr>
          <w:r>
            <w:rPr>
              <w:rFonts w:asciiTheme="majorHAnsi" w:eastAsiaTheme="majorEastAsia" w:hAnsiTheme="majorHAnsi" w:cstheme="majorBidi"/>
              <w:caps/>
              <w:color w:val="156082" w:themeColor="accent1"/>
              <w:sz w:val="80"/>
              <w:szCs w:val="80"/>
            </w:rPr>
            <w:t>[Document title]</w:t>
          </w:r>
        </w:p>
      </w:docPartBody>
    </w:docPart>
    <w:docPart>
      <w:docPartPr>
        <w:name w:val="CBFCE5403D09453589437F54A1B460E4"/>
        <w:category>
          <w:name w:val="General"/>
          <w:gallery w:val="placeholder"/>
        </w:category>
        <w:types>
          <w:type w:val="bbPlcHdr"/>
        </w:types>
        <w:behaviors>
          <w:behavior w:val="content"/>
        </w:behaviors>
        <w:guid w:val="{EC366AD7-8928-4904-A8A2-87FEDF2ADC7B}"/>
      </w:docPartPr>
      <w:docPartBody>
        <w:p w:rsidR="002A5DE5" w:rsidRDefault="00012989" w:rsidP="00012989">
          <w:pPr>
            <w:pStyle w:val="CBFCE5403D09453589437F54A1B460E4"/>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989"/>
    <w:rsid w:val="00012989"/>
    <w:rsid w:val="00206562"/>
    <w:rsid w:val="002A5DE5"/>
    <w:rsid w:val="00542998"/>
    <w:rsid w:val="005C5730"/>
    <w:rsid w:val="006D72F9"/>
    <w:rsid w:val="006D7663"/>
    <w:rsid w:val="00B269B3"/>
    <w:rsid w:val="00BE554E"/>
    <w:rsid w:val="00FC7A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36C9649BF7F40CE821F88252B7FCD9E">
    <w:name w:val="D36C9649BF7F40CE821F88252B7FCD9E"/>
    <w:rsid w:val="00012989"/>
  </w:style>
  <w:style w:type="paragraph" w:customStyle="1" w:styleId="CBFCE5403D09453589437F54A1B460E4">
    <w:name w:val="CBFCE5403D09453589437F54A1B460E4"/>
    <w:rsid w:val="000129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Lecturer’s Name: Samson Oladejo</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05EFE3-BAA1-425D-854F-AFA123DDC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3413</Words>
  <Characters>19457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and Managing Individuals and Teams</dc:title>
  <dc:subject>Component 2- Individual Report (LCLM5002)</dc:subject>
  <dc:creator>Iftekhar Rashid</dc:creator>
  <cp:keywords/>
  <dc:description/>
  <cp:lastModifiedBy>Iftekhar Rashid</cp:lastModifiedBy>
  <cp:revision>27</cp:revision>
  <dcterms:created xsi:type="dcterms:W3CDTF">2026-05-28T22:01:00Z</dcterms:created>
  <dcterms:modified xsi:type="dcterms:W3CDTF">2026-07-15T22:44:00Z</dcterms:modified>
</cp:coreProperties>
</file>