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253F8" w14:textId="77777777" w:rsidR="007C7C82" w:rsidRDefault="007C7C82">
      <w:r>
        <w:rPr>
          <w:noProof/>
        </w:rPr>
        <w:drawing>
          <wp:inline distT="0" distB="0" distL="0" distR="0" wp14:anchorId="71D481FE" wp14:editId="26AC7ABC">
            <wp:extent cx="5753100" cy="3010676"/>
            <wp:effectExtent l="19050" t="0" r="19050" b="875665"/>
            <wp:docPr id="168282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821082" name="Picture 1682821082"/>
                    <pic:cNvPicPr/>
                  </pic:nvPicPr>
                  <pic:blipFill>
                    <a:blip r:embed="rId8">
                      <a:extLst>
                        <a:ext uri="{28A0092B-C50C-407E-A947-70E740481C1C}">
                          <a14:useLocalDpi xmlns:a14="http://schemas.microsoft.com/office/drawing/2010/main" val="0"/>
                        </a:ext>
                      </a:extLst>
                    </a:blip>
                    <a:stretch>
                      <a:fillRect/>
                    </a:stretch>
                  </pic:blipFill>
                  <pic:spPr>
                    <a:xfrm>
                      <a:off x="0" y="0"/>
                      <a:ext cx="5781650" cy="302561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E0EB7F3" w14:textId="77777777" w:rsidR="007C7C82" w:rsidRDefault="007C7C82"/>
    <w:p w14:paraId="7389CBF0" w14:textId="77777777" w:rsidR="000C69F7" w:rsidRDefault="000C69F7"/>
    <w:p w14:paraId="23941AA2" w14:textId="77777777" w:rsidR="000C69F7" w:rsidRDefault="000C69F7"/>
    <w:p w14:paraId="25F58C73" w14:textId="77777777" w:rsidR="000C69F7" w:rsidRDefault="000C69F7"/>
    <w:p w14:paraId="748E00A1" w14:textId="77777777" w:rsidR="000C69F7" w:rsidRDefault="000C69F7"/>
    <w:p w14:paraId="508BD2CB" w14:textId="27E2D29D" w:rsidR="000111E3" w:rsidRDefault="000C69F7" w:rsidP="00FD0548">
      <w:r>
        <w:rPr>
          <w:noProof/>
        </w:rPr>
        <w:drawing>
          <wp:inline distT="0" distB="0" distL="0" distR="0" wp14:anchorId="5E774885" wp14:editId="36C6B1B6">
            <wp:extent cx="4800600" cy="2614631"/>
            <wp:effectExtent l="304800" t="304800" r="323850" b="319405"/>
            <wp:docPr id="20002255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25537" name="Picture 2000225537"/>
                    <pic:cNvPicPr/>
                  </pic:nvPicPr>
                  <pic:blipFill>
                    <a:blip r:embed="rId9"/>
                    <a:stretch>
                      <a:fillRect/>
                    </a:stretch>
                  </pic:blipFill>
                  <pic:spPr>
                    <a:xfrm>
                      <a:off x="0" y="0"/>
                      <a:ext cx="4866532" cy="265054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sdt>
      <w:sdtPr>
        <w:id w:val="2045940801"/>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1785317B" w14:textId="388792AF" w:rsidR="00FD0548" w:rsidRPr="00FD0548" w:rsidRDefault="00FD0548">
          <w:pPr>
            <w:pStyle w:val="TOCHeading"/>
            <w:rPr>
              <w:b/>
              <w:bCs/>
              <w:sz w:val="40"/>
              <w:szCs w:val="40"/>
            </w:rPr>
          </w:pPr>
          <w:r w:rsidRPr="00FD0548">
            <w:rPr>
              <w:b/>
              <w:bCs/>
              <w:sz w:val="40"/>
              <w:szCs w:val="40"/>
            </w:rPr>
            <w:t>Table Of Contents</w:t>
          </w:r>
        </w:p>
        <w:p w14:paraId="30E7E524" w14:textId="653D5424" w:rsidR="00FD0548" w:rsidRDefault="00FD0548">
          <w:pPr>
            <w:pStyle w:val="TOC1"/>
            <w:tabs>
              <w:tab w:val="right" w:leader="dot" w:pos="9019"/>
            </w:tabs>
            <w:rPr>
              <w:noProof/>
            </w:rPr>
          </w:pPr>
          <w:r>
            <w:fldChar w:fldCharType="begin"/>
          </w:r>
          <w:r>
            <w:instrText xml:space="preserve"> TOC \o "1-3" \h \z \u </w:instrText>
          </w:r>
          <w:r>
            <w:fldChar w:fldCharType="separate"/>
          </w:r>
          <w:hyperlink w:anchor="_Toc213880408" w:history="1">
            <w:r w:rsidRPr="00C63BD5">
              <w:rPr>
                <w:rStyle w:val="Hyperlink"/>
                <w:rFonts w:asciiTheme="minorBidi" w:hAnsiTheme="minorBidi"/>
                <w:b/>
                <w:bCs/>
                <w:noProof/>
              </w:rPr>
              <w:t>Abstract</w:t>
            </w:r>
            <w:r>
              <w:rPr>
                <w:noProof/>
                <w:webHidden/>
              </w:rPr>
              <w:tab/>
            </w:r>
            <w:r>
              <w:rPr>
                <w:noProof/>
                <w:webHidden/>
              </w:rPr>
              <w:fldChar w:fldCharType="begin"/>
            </w:r>
            <w:r>
              <w:rPr>
                <w:noProof/>
                <w:webHidden/>
              </w:rPr>
              <w:instrText xml:space="preserve"> PAGEREF _Toc213880408 \h </w:instrText>
            </w:r>
            <w:r>
              <w:rPr>
                <w:noProof/>
                <w:webHidden/>
              </w:rPr>
            </w:r>
            <w:r>
              <w:rPr>
                <w:noProof/>
                <w:webHidden/>
              </w:rPr>
              <w:fldChar w:fldCharType="separate"/>
            </w:r>
            <w:r>
              <w:rPr>
                <w:noProof/>
                <w:webHidden/>
              </w:rPr>
              <w:t>3</w:t>
            </w:r>
            <w:r>
              <w:rPr>
                <w:noProof/>
                <w:webHidden/>
              </w:rPr>
              <w:fldChar w:fldCharType="end"/>
            </w:r>
          </w:hyperlink>
        </w:p>
        <w:p w14:paraId="4B4E73F7" w14:textId="17C207F1" w:rsidR="00FD0548" w:rsidRDefault="00FD0548">
          <w:pPr>
            <w:pStyle w:val="TOC1"/>
            <w:tabs>
              <w:tab w:val="right" w:leader="dot" w:pos="9019"/>
            </w:tabs>
            <w:rPr>
              <w:noProof/>
            </w:rPr>
          </w:pPr>
          <w:hyperlink w:anchor="_Toc213880409" w:history="1">
            <w:r w:rsidRPr="00C63BD5">
              <w:rPr>
                <w:rStyle w:val="Hyperlink"/>
                <w:rFonts w:asciiTheme="minorBidi" w:hAnsiTheme="minorBidi"/>
                <w:b/>
                <w:bCs/>
                <w:noProof/>
              </w:rPr>
              <w:t>1. Introduction</w:t>
            </w:r>
            <w:r>
              <w:rPr>
                <w:noProof/>
                <w:webHidden/>
              </w:rPr>
              <w:tab/>
            </w:r>
            <w:r>
              <w:rPr>
                <w:noProof/>
                <w:webHidden/>
              </w:rPr>
              <w:fldChar w:fldCharType="begin"/>
            </w:r>
            <w:r>
              <w:rPr>
                <w:noProof/>
                <w:webHidden/>
              </w:rPr>
              <w:instrText xml:space="preserve"> PAGEREF _Toc213880409 \h </w:instrText>
            </w:r>
            <w:r>
              <w:rPr>
                <w:noProof/>
                <w:webHidden/>
              </w:rPr>
            </w:r>
            <w:r>
              <w:rPr>
                <w:noProof/>
                <w:webHidden/>
              </w:rPr>
              <w:fldChar w:fldCharType="separate"/>
            </w:r>
            <w:r>
              <w:rPr>
                <w:noProof/>
                <w:webHidden/>
              </w:rPr>
              <w:t>3</w:t>
            </w:r>
            <w:r>
              <w:rPr>
                <w:noProof/>
                <w:webHidden/>
              </w:rPr>
              <w:fldChar w:fldCharType="end"/>
            </w:r>
          </w:hyperlink>
        </w:p>
        <w:p w14:paraId="1BC39510" w14:textId="5E6E5AE1" w:rsidR="00FD0548" w:rsidRDefault="00FD0548">
          <w:pPr>
            <w:pStyle w:val="TOC1"/>
            <w:tabs>
              <w:tab w:val="right" w:leader="dot" w:pos="9019"/>
            </w:tabs>
            <w:rPr>
              <w:noProof/>
            </w:rPr>
          </w:pPr>
          <w:hyperlink w:anchor="_Toc213880410" w:history="1">
            <w:r w:rsidRPr="00C63BD5">
              <w:rPr>
                <w:rStyle w:val="Hyperlink"/>
                <w:rFonts w:asciiTheme="minorBidi" w:hAnsiTheme="minorBidi"/>
                <w:b/>
                <w:bCs/>
                <w:noProof/>
              </w:rPr>
              <w:t>2. Definition of Person-Centred Care</w:t>
            </w:r>
            <w:r>
              <w:rPr>
                <w:noProof/>
                <w:webHidden/>
              </w:rPr>
              <w:tab/>
            </w:r>
            <w:r>
              <w:rPr>
                <w:noProof/>
                <w:webHidden/>
              </w:rPr>
              <w:fldChar w:fldCharType="begin"/>
            </w:r>
            <w:r>
              <w:rPr>
                <w:noProof/>
                <w:webHidden/>
              </w:rPr>
              <w:instrText xml:space="preserve"> PAGEREF _Toc213880410 \h </w:instrText>
            </w:r>
            <w:r>
              <w:rPr>
                <w:noProof/>
                <w:webHidden/>
              </w:rPr>
            </w:r>
            <w:r>
              <w:rPr>
                <w:noProof/>
                <w:webHidden/>
              </w:rPr>
              <w:fldChar w:fldCharType="separate"/>
            </w:r>
            <w:r>
              <w:rPr>
                <w:noProof/>
                <w:webHidden/>
              </w:rPr>
              <w:t>3</w:t>
            </w:r>
            <w:r>
              <w:rPr>
                <w:noProof/>
                <w:webHidden/>
              </w:rPr>
              <w:fldChar w:fldCharType="end"/>
            </w:r>
          </w:hyperlink>
        </w:p>
        <w:p w14:paraId="393A417B" w14:textId="2B8729F3" w:rsidR="00FD0548" w:rsidRDefault="00FD0548">
          <w:pPr>
            <w:pStyle w:val="TOC1"/>
            <w:tabs>
              <w:tab w:val="right" w:leader="dot" w:pos="9019"/>
            </w:tabs>
            <w:rPr>
              <w:noProof/>
            </w:rPr>
          </w:pPr>
          <w:hyperlink w:anchor="_Toc213880411" w:history="1">
            <w:r w:rsidRPr="00C63BD5">
              <w:rPr>
                <w:rStyle w:val="Hyperlink"/>
                <w:rFonts w:asciiTheme="minorBidi" w:hAnsiTheme="minorBidi"/>
                <w:b/>
                <w:bCs/>
                <w:noProof/>
              </w:rPr>
              <w:t>3. Relevant Theories Underpinning PCC</w:t>
            </w:r>
            <w:r>
              <w:rPr>
                <w:noProof/>
                <w:webHidden/>
              </w:rPr>
              <w:tab/>
            </w:r>
            <w:r>
              <w:rPr>
                <w:noProof/>
                <w:webHidden/>
              </w:rPr>
              <w:fldChar w:fldCharType="begin"/>
            </w:r>
            <w:r>
              <w:rPr>
                <w:noProof/>
                <w:webHidden/>
              </w:rPr>
              <w:instrText xml:space="preserve"> PAGEREF _Toc213880411 \h </w:instrText>
            </w:r>
            <w:r>
              <w:rPr>
                <w:noProof/>
                <w:webHidden/>
              </w:rPr>
            </w:r>
            <w:r>
              <w:rPr>
                <w:noProof/>
                <w:webHidden/>
              </w:rPr>
              <w:fldChar w:fldCharType="separate"/>
            </w:r>
            <w:r>
              <w:rPr>
                <w:noProof/>
                <w:webHidden/>
              </w:rPr>
              <w:t>4</w:t>
            </w:r>
            <w:r>
              <w:rPr>
                <w:noProof/>
                <w:webHidden/>
              </w:rPr>
              <w:fldChar w:fldCharType="end"/>
            </w:r>
          </w:hyperlink>
        </w:p>
        <w:p w14:paraId="0AEEEE25" w14:textId="2A84D264" w:rsidR="00FD0548" w:rsidRDefault="00FD0548">
          <w:pPr>
            <w:pStyle w:val="TOC2"/>
            <w:tabs>
              <w:tab w:val="right" w:leader="dot" w:pos="9019"/>
            </w:tabs>
            <w:rPr>
              <w:noProof/>
            </w:rPr>
          </w:pPr>
          <w:hyperlink w:anchor="_Toc213880412" w:history="1">
            <w:r>
              <w:rPr>
                <w:rStyle w:val="Hyperlink"/>
                <w:rFonts w:asciiTheme="minorBidi" w:hAnsiTheme="minorBidi"/>
                <w:b/>
                <w:bCs/>
                <w:noProof/>
              </w:rPr>
              <w:t>i</w:t>
            </w:r>
            <w:r w:rsidRPr="00C63BD5">
              <w:rPr>
                <w:rStyle w:val="Hyperlink"/>
                <w:rFonts w:asciiTheme="minorBidi" w:hAnsiTheme="minorBidi"/>
                <w:b/>
                <w:bCs/>
                <w:noProof/>
              </w:rPr>
              <w:t>. Prerequisites</w:t>
            </w:r>
            <w:r>
              <w:rPr>
                <w:noProof/>
                <w:webHidden/>
              </w:rPr>
              <w:tab/>
            </w:r>
            <w:r>
              <w:rPr>
                <w:noProof/>
                <w:webHidden/>
              </w:rPr>
              <w:fldChar w:fldCharType="begin"/>
            </w:r>
            <w:r>
              <w:rPr>
                <w:noProof/>
                <w:webHidden/>
              </w:rPr>
              <w:instrText xml:space="preserve"> PAGEREF _Toc213880412 \h </w:instrText>
            </w:r>
            <w:r>
              <w:rPr>
                <w:noProof/>
                <w:webHidden/>
              </w:rPr>
            </w:r>
            <w:r>
              <w:rPr>
                <w:noProof/>
                <w:webHidden/>
              </w:rPr>
              <w:fldChar w:fldCharType="separate"/>
            </w:r>
            <w:r>
              <w:rPr>
                <w:noProof/>
                <w:webHidden/>
              </w:rPr>
              <w:t>4</w:t>
            </w:r>
            <w:r>
              <w:rPr>
                <w:noProof/>
                <w:webHidden/>
              </w:rPr>
              <w:fldChar w:fldCharType="end"/>
            </w:r>
          </w:hyperlink>
        </w:p>
        <w:p w14:paraId="0B32A87C" w14:textId="77FAFFB8" w:rsidR="00FD0548" w:rsidRDefault="00FD0548">
          <w:pPr>
            <w:pStyle w:val="TOC2"/>
            <w:tabs>
              <w:tab w:val="right" w:leader="dot" w:pos="9019"/>
            </w:tabs>
            <w:rPr>
              <w:noProof/>
            </w:rPr>
          </w:pPr>
          <w:hyperlink w:anchor="_Toc213880413" w:history="1">
            <w:r>
              <w:rPr>
                <w:rStyle w:val="Hyperlink"/>
                <w:rFonts w:asciiTheme="minorBidi" w:hAnsiTheme="minorBidi"/>
                <w:b/>
                <w:bCs/>
                <w:noProof/>
              </w:rPr>
              <w:t>ii</w:t>
            </w:r>
            <w:r w:rsidRPr="00C63BD5">
              <w:rPr>
                <w:rStyle w:val="Hyperlink"/>
                <w:rFonts w:asciiTheme="minorBidi" w:hAnsiTheme="minorBidi"/>
                <w:b/>
                <w:bCs/>
                <w:noProof/>
              </w:rPr>
              <w:t xml:space="preserve">. The </w:t>
            </w:r>
            <w:r w:rsidRPr="00C63BD5">
              <w:rPr>
                <w:rStyle w:val="Hyperlink"/>
                <w:rFonts w:asciiTheme="minorBidi" w:hAnsiTheme="minorBidi"/>
                <w:b/>
                <w:bCs/>
                <w:noProof/>
              </w:rPr>
              <w:t>Care E</w:t>
            </w:r>
            <w:r w:rsidRPr="00C63BD5">
              <w:rPr>
                <w:rStyle w:val="Hyperlink"/>
                <w:rFonts w:asciiTheme="minorBidi" w:hAnsiTheme="minorBidi"/>
                <w:b/>
                <w:bCs/>
                <w:noProof/>
              </w:rPr>
              <w:t>nvironment</w:t>
            </w:r>
            <w:r>
              <w:rPr>
                <w:noProof/>
                <w:webHidden/>
              </w:rPr>
              <w:tab/>
            </w:r>
            <w:r>
              <w:rPr>
                <w:noProof/>
                <w:webHidden/>
              </w:rPr>
              <w:fldChar w:fldCharType="begin"/>
            </w:r>
            <w:r>
              <w:rPr>
                <w:noProof/>
                <w:webHidden/>
              </w:rPr>
              <w:instrText xml:space="preserve"> PAGEREF _Toc213880413 \h </w:instrText>
            </w:r>
            <w:r>
              <w:rPr>
                <w:noProof/>
                <w:webHidden/>
              </w:rPr>
            </w:r>
            <w:r>
              <w:rPr>
                <w:noProof/>
                <w:webHidden/>
              </w:rPr>
              <w:fldChar w:fldCharType="separate"/>
            </w:r>
            <w:r>
              <w:rPr>
                <w:noProof/>
                <w:webHidden/>
              </w:rPr>
              <w:t>4</w:t>
            </w:r>
            <w:r>
              <w:rPr>
                <w:noProof/>
                <w:webHidden/>
              </w:rPr>
              <w:fldChar w:fldCharType="end"/>
            </w:r>
          </w:hyperlink>
        </w:p>
        <w:p w14:paraId="31764283" w14:textId="2FC830E6" w:rsidR="00FD0548" w:rsidRDefault="00FD0548">
          <w:pPr>
            <w:pStyle w:val="TOC2"/>
            <w:tabs>
              <w:tab w:val="right" w:leader="dot" w:pos="9019"/>
            </w:tabs>
            <w:rPr>
              <w:noProof/>
            </w:rPr>
          </w:pPr>
          <w:hyperlink w:anchor="_Toc213880414" w:history="1">
            <w:r>
              <w:rPr>
                <w:rStyle w:val="Hyperlink"/>
                <w:rFonts w:asciiTheme="minorBidi" w:hAnsiTheme="minorBidi"/>
                <w:b/>
                <w:bCs/>
                <w:noProof/>
              </w:rPr>
              <w:t>iii</w:t>
            </w:r>
            <w:r w:rsidRPr="00C63BD5">
              <w:rPr>
                <w:rStyle w:val="Hyperlink"/>
                <w:rFonts w:asciiTheme="minorBidi" w:hAnsiTheme="minorBidi"/>
                <w:b/>
                <w:bCs/>
                <w:noProof/>
              </w:rPr>
              <w:t>. Person-Centred Processes</w:t>
            </w:r>
            <w:r>
              <w:rPr>
                <w:noProof/>
                <w:webHidden/>
              </w:rPr>
              <w:tab/>
            </w:r>
            <w:r>
              <w:rPr>
                <w:noProof/>
                <w:webHidden/>
              </w:rPr>
              <w:fldChar w:fldCharType="begin"/>
            </w:r>
            <w:r>
              <w:rPr>
                <w:noProof/>
                <w:webHidden/>
              </w:rPr>
              <w:instrText xml:space="preserve"> PAGEREF _Toc213880414 \h </w:instrText>
            </w:r>
            <w:r>
              <w:rPr>
                <w:noProof/>
                <w:webHidden/>
              </w:rPr>
            </w:r>
            <w:r>
              <w:rPr>
                <w:noProof/>
                <w:webHidden/>
              </w:rPr>
              <w:fldChar w:fldCharType="separate"/>
            </w:r>
            <w:r>
              <w:rPr>
                <w:noProof/>
                <w:webHidden/>
              </w:rPr>
              <w:t>4</w:t>
            </w:r>
            <w:r>
              <w:rPr>
                <w:noProof/>
                <w:webHidden/>
              </w:rPr>
              <w:fldChar w:fldCharType="end"/>
            </w:r>
          </w:hyperlink>
        </w:p>
        <w:p w14:paraId="20E26E8A" w14:textId="1F5157A2" w:rsidR="00FD0548" w:rsidRDefault="00FD0548">
          <w:pPr>
            <w:pStyle w:val="TOC1"/>
            <w:tabs>
              <w:tab w:val="right" w:leader="dot" w:pos="9019"/>
            </w:tabs>
            <w:rPr>
              <w:noProof/>
            </w:rPr>
          </w:pPr>
          <w:hyperlink w:anchor="_Toc213880415" w:history="1">
            <w:r w:rsidRPr="00C63BD5">
              <w:rPr>
                <w:rStyle w:val="Hyperlink"/>
                <w:rFonts w:asciiTheme="minorBidi" w:hAnsiTheme="minorBidi"/>
                <w:b/>
                <w:bCs/>
                <w:noProof/>
              </w:rPr>
              <w:t>4. Ethical Fundament</w:t>
            </w:r>
            <w:r w:rsidRPr="00C63BD5">
              <w:rPr>
                <w:rStyle w:val="Hyperlink"/>
                <w:rFonts w:asciiTheme="minorBidi" w:hAnsiTheme="minorBidi"/>
                <w:b/>
                <w:bCs/>
                <w:noProof/>
              </w:rPr>
              <w:t>als in Health and Social Care</w:t>
            </w:r>
            <w:r>
              <w:rPr>
                <w:noProof/>
                <w:webHidden/>
              </w:rPr>
              <w:tab/>
            </w:r>
            <w:r>
              <w:rPr>
                <w:noProof/>
                <w:webHidden/>
              </w:rPr>
              <w:fldChar w:fldCharType="begin"/>
            </w:r>
            <w:r>
              <w:rPr>
                <w:noProof/>
                <w:webHidden/>
              </w:rPr>
              <w:instrText xml:space="preserve"> PAGEREF _Toc213880415 \h </w:instrText>
            </w:r>
            <w:r>
              <w:rPr>
                <w:noProof/>
                <w:webHidden/>
              </w:rPr>
            </w:r>
            <w:r>
              <w:rPr>
                <w:noProof/>
                <w:webHidden/>
              </w:rPr>
              <w:fldChar w:fldCharType="separate"/>
            </w:r>
            <w:r>
              <w:rPr>
                <w:noProof/>
                <w:webHidden/>
              </w:rPr>
              <w:t>5</w:t>
            </w:r>
            <w:r>
              <w:rPr>
                <w:noProof/>
                <w:webHidden/>
              </w:rPr>
              <w:fldChar w:fldCharType="end"/>
            </w:r>
          </w:hyperlink>
        </w:p>
        <w:p w14:paraId="29B75A88" w14:textId="02A27ED8" w:rsidR="00FD0548" w:rsidRDefault="00FD0548">
          <w:pPr>
            <w:pStyle w:val="TOC1"/>
            <w:tabs>
              <w:tab w:val="right" w:leader="dot" w:pos="9019"/>
            </w:tabs>
            <w:rPr>
              <w:noProof/>
            </w:rPr>
          </w:pPr>
          <w:hyperlink w:anchor="_Toc213880416" w:history="1">
            <w:r w:rsidRPr="00C63BD5">
              <w:rPr>
                <w:rStyle w:val="Hyperlink"/>
                <w:rFonts w:asciiTheme="minorBidi" w:hAnsiTheme="minorBidi"/>
                <w:b/>
                <w:bCs/>
                <w:noProof/>
              </w:rPr>
              <w:t>5. Evaluation of Partnership Working</w:t>
            </w:r>
            <w:r>
              <w:rPr>
                <w:noProof/>
                <w:webHidden/>
              </w:rPr>
              <w:tab/>
            </w:r>
            <w:r>
              <w:rPr>
                <w:noProof/>
                <w:webHidden/>
              </w:rPr>
              <w:fldChar w:fldCharType="begin"/>
            </w:r>
            <w:r>
              <w:rPr>
                <w:noProof/>
                <w:webHidden/>
              </w:rPr>
              <w:instrText xml:space="preserve"> PAGEREF _Toc213880416 \h </w:instrText>
            </w:r>
            <w:r>
              <w:rPr>
                <w:noProof/>
                <w:webHidden/>
              </w:rPr>
            </w:r>
            <w:r>
              <w:rPr>
                <w:noProof/>
                <w:webHidden/>
              </w:rPr>
              <w:fldChar w:fldCharType="separate"/>
            </w:r>
            <w:r>
              <w:rPr>
                <w:noProof/>
                <w:webHidden/>
              </w:rPr>
              <w:t>6</w:t>
            </w:r>
            <w:r>
              <w:rPr>
                <w:noProof/>
                <w:webHidden/>
              </w:rPr>
              <w:fldChar w:fldCharType="end"/>
            </w:r>
          </w:hyperlink>
        </w:p>
        <w:p w14:paraId="7A18E84C" w14:textId="37F5D677" w:rsidR="00FD0548" w:rsidRDefault="00FD0548">
          <w:pPr>
            <w:pStyle w:val="TOC1"/>
            <w:tabs>
              <w:tab w:val="right" w:leader="dot" w:pos="9019"/>
            </w:tabs>
            <w:rPr>
              <w:noProof/>
            </w:rPr>
          </w:pPr>
          <w:hyperlink w:anchor="_Toc213880417" w:history="1">
            <w:r w:rsidRPr="00C63BD5">
              <w:rPr>
                <w:rStyle w:val="Hyperlink"/>
                <w:rFonts w:asciiTheme="minorBidi" w:hAnsiTheme="minorBidi"/>
                <w:b/>
                <w:bCs/>
                <w:noProof/>
              </w:rPr>
              <w:t>6. Policy and Legislation</w:t>
            </w:r>
            <w:r>
              <w:rPr>
                <w:noProof/>
                <w:webHidden/>
              </w:rPr>
              <w:tab/>
            </w:r>
            <w:r>
              <w:rPr>
                <w:noProof/>
                <w:webHidden/>
              </w:rPr>
              <w:fldChar w:fldCharType="begin"/>
            </w:r>
            <w:r>
              <w:rPr>
                <w:noProof/>
                <w:webHidden/>
              </w:rPr>
              <w:instrText xml:space="preserve"> PAGEREF _Toc213880417 \h </w:instrText>
            </w:r>
            <w:r>
              <w:rPr>
                <w:noProof/>
                <w:webHidden/>
              </w:rPr>
            </w:r>
            <w:r>
              <w:rPr>
                <w:noProof/>
                <w:webHidden/>
              </w:rPr>
              <w:fldChar w:fldCharType="separate"/>
            </w:r>
            <w:r>
              <w:rPr>
                <w:noProof/>
                <w:webHidden/>
              </w:rPr>
              <w:t>6</w:t>
            </w:r>
            <w:r>
              <w:rPr>
                <w:noProof/>
                <w:webHidden/>
              </w:rPr>
              <w:fldChar w:fldCharType="end"/>
            </w:r>
          </w:hyperlink>
        </w:p>
        <w:p w14:paraId="2894A419" w14:textId="1B8E4496" w:rsidR="00FD0548" w:rsidRDefault="00FD0548">
          <w:pPr>
            <w:pStyle w:val="TOC1"/>
            <w:tabs>
              <w:tab w:val="right" w:leader="dot" w:pos="9019"/>
            </w:tabs>
            <w:rPr>
              <w:noProof/>
            </w:rPr>
          </w:pPr>
          <w:hyperlink w:anchor="_Toc213880418" w:history="1">
            <w:r w:rsidRPr="00C63BD5">
              <w:rPr>
                <w:rStyle w:val="Hyperlink"/>
                <w:rFonts w:asciiTheme="minorBidi" w:hAnsiTheme="minorBidi"/>
                <w:b/>
                <w:bCs/>
                <w:noProof/>
              </w:rPr>
              <w:t>7. Recommendations</w:t>
            </w:r>
            <w:r>
              <w:rPr>
                <w:noProof/>
                <w:webHidden/>
              </w:rPr>
              <w:tab/>
            </w:r>
            <w:r>
              <w:rPr>
                <w:noProof/>
                <w:webHidden/>
              </w:rPr>
              <w:fldChar w:fldCharType="begin"/>
            </w:r>
            <w:r>
              <w:rPr>
                <w:noProof/>
                <w:webHidden/>
              </w:rPr>
              <w:instrText xml:space="preserve"> PAGEREF _Toc213880418 \h </w:instrText>
            </w:r>
            <w:r>
              <w:rPr>
                <w:noProof/>
                <w:webHidden/>
              </w:rPr>
            </w:r>
            <w:r>
              <w:rPr>
                <w:noProof/>
                <w:webHidden/>
              </w:rPr>
              <w:fldChar w:fldCharType="separate"/>
            </w:r>
            <w:r>
              <w:rPr>
                <w:noProof/>
                <w:webHidden/>
              </w:rPr>
              <w:t>7</w:t>
            </w:r>
            <w:r>
              <w:rPr>
                <w:noProof/>
                <w:webHidden/>
              </w:rPr>
              <w:fldChar w:fldCharType="end"/>
            </w:r>
          </w:hyperlink>
        </w:p>
        <w:p w14:paraId="6968098D" w14:textId="17357144" w:rsidR="00FD0548" w:rsidRDefault="00FD0548">
          <w:pPr>
            <w:pStyle w:val="TOC1"/>
            <w:tabs>
              <w:tab w:val="right" w:leader="dot" w:pos="9019"/>
            </w:tabs>
            <w:rPr>
              <w:noProof/>
            </w:rPr>
          </w:pPr>
          <w:hyperlink w:anchor="_Toc213880419" w:history="1">
            <w:r w:rsidRPr="00C63BD5">
              <w:rPr>
                <w:rStyle w:val="Hyperlink"/>
                <w:rFonts w:asciiTheme="minorBidi" w:hAnsiTheme="minorBidi"/>
                <w:b/>
                <w:bCs/>
                <w:noProof/>
              </w:rPr>
              <w:t>8. Conclusion</w:t>
            </w:r>
            <w:r>
              <w:rPr>
                <w:noProof/>
                <w:webHidden/>
              </w:rPr>
              <w:tab/>
            </w:r>
            <w:r>
              <w:rPr>
                <w:noProof/>
                <w:webHidden/>
              </w:rPr>
              <w:fldChar w:fldCharType="begin"/>
            </w:r>
            <w:r>
              <w:rPr>
                <w:noProof/>
                <w:webHidden/>
              </w:rPr>
              <w:instrText xml:space="preserve"> PAGEREF _Toc213880419 \h </w:instrText>
            </w:r>
            <w:r>
              <w:rPr>
                <w:noProof/>
                <w:webHidden/>
              </w:rPr>
            </w:r>
            <w:r>
              <w:rPr>
                <w:noProof/>
                <w:webHidden/>
              </w:rPr>
              <w:fldChar w:fldCharType="separate"/>
            </w:r>
            <w:r>
              <w:rPr>
                <w:noProof/>
                <w:webHidden/>
              </w:rPr>
              <w:t>9</w:t>
            </w:r>
            <w:r>
              <w:rPr>
                <w:noProof/>
                <w:webHidden/>
              </w:rPr>
              <w:fldChar w:fldCharType="end"/>
            </w:r>
          </w:hyperlink>
        </w:p>
        <w:p w14:paraId="57436872" w14:textId="58FA9134" w:rsidR="00FD0548" w:rsidRDefault="00FD0548">
          <w:pPr>
            <w:pStyle w:val="TOC1"/>
            <w:tabs>
              <w:tab w:val="right" w:leader="dot" w:pos="9019"/>
            </w:tabs>
            <w:rPr>
              <w:noProof/>
            </w:rPr>
          </w:pPr>
          <w:hyperlink w:anchor="_Toc213880420" w:history="1">
            <w:r w:rsidRPr="00C63BD5">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_Toc213880420 \h </w:instrText>
            </w:r>
            <w:r>
              <w:rPr>
                <w:noProof/>
                <w:webHidden/>
              </w:rPr>
            </w:r>
            <w:r>
              <w:rPr>
                <w:noProof/>
                <w:webHidden/>
              </w:rPr>
              <w:fldChar w:fldCharType="separate"/>
            </w:r>
            <w:r>
              <w:rPr>
                <w:noProof/>
                <w:webHidden/>
              </w:rPr>
              <w:t>10</w:t>
            </w:r>
            <w:r>
              <w:rPr>
                <w:noProof/>
                <w:webHidden/>
              </w:rPr>
              <w:fldChar w:fldCharType="end"/>
            </w:r>
          </w:hyperlink>
        </w:p>
        <w:p w14:paraId="6BC7F214" w14:textId="500AD1C7" w:rsidR="00FD0548" w:rsidRDefault="00FD0548">
          <w:r>
            <w:rPr>
              <w:b/>
              <w:bCs/>
              <w:noProof/>
            </w:rPr>
            <w:fldChar w:fldCharType="end"/>
          </w:r>
        </w:p>
      </w:sdtContent>
    </w:sdt>
    <w:p w14:paraId="3655E028" w14:textId="77777777" w:rsidR="00FD0548" w:rsidRDefault="00FD0548" w:rsidP="00A1210E">
      <w:pPr>
        <w:rPr>
          <w:rFonts w:asciiTheme="minorBidi" w:hAnsiTheme="minorBidi"/>
          <w:b/>
          <w:bCs/>
        </w:rPr>
      </w:pPr>
      <w:r>
        <w:rPr>
          <w:rFonts w:asciiTheme="minorBidi" w:hAnsiTheme="minorBidi"/>
          <w:b/>
          <w:bCs/>
        </w:rPr>
        <w:br w:type="page"/>
      </w:r>
    </w:p>
    <w:p w14:paraId="25FB6F6E" w14:textId="4D50F864" w:rsidR="000111E3" w:rsidRPr="00FD0548" w:rsidRDefault="000111E3" w:rsidP="00FD0548">
      <w:pPr>
        <w:pStyle w:val="Heading1"/>
        <w:rPr>
          <w:rFonts w:asciiTheme="minorBidi" w:hAnsiTheme="minorBidi" w:cstheme="minorBidi"/>
          <w:b/>
          <w:bCs/>
          <w:color w:val="000000" w:themeColor="text1"/>
          <w:sz w:val="24"/>
          <w:szCs w:val="24"/>
        </w:rPr>
      </w:pPr>
      <w:bookmarkStart w:id="0" w:name="_Toc213880408"/>
      <w:r w:rsidRPr="00FD0548">
        <w:rPr>
          <w:rFonts w:asciiTheme="minorBidi" w:hAnsiTheme="minorBidi" w:cstheme="minorBidi"/>
          <w:b/>
          <w:bCs/>
          <w:color w:val="000000" w:themeColor="text1"/>
          <w:sz w:val="24"/>
          <w:szCs w:val="24"/>
        </w:rPr>
        <w:lastRenderedPageBreak/>
        <w:t>Abstract</w:t>
      </w:r>
      <w:bookmarkEnd w:id="0"/>
    </w:p>
    <w:p w14:paraId="4E08E273" w14:textId="7B76E0A6" w:rsidR="000111E3" w:rsidRPr="00B50C2B" w:rsidRDefault="000111E3" w:rsidP="00707E6B">
      <w:pPr>
        <w:spacing w:line="360" w:lineRule="auto"/>
        <w:jc w:val="both"/>
        <w:rPr>
          <w:rFonts w:asciiTheme="minorBidi" w:hAnsiTheme="minorBidi"/>
          <w:sz w:val="22"/>
          <w:szCs w:val="22"/>
        </w:rPr>
      </w:pPr>
      <w:r w:rsidRPr="00B50C2B">
        <w:rPr>
          <w:rFonts w:asciiTheme="minorBidi" w:hAnsiTheme="minorBidi"/>
          <w:sz w:val="22"/>
          <w:szCs w:val="22"/>
        </w:rPr>
        <w:t>The critical analysis of the principles and application of Person-</w:t>
      </w:r>
      <w:proofErr w:type="spellStart"/>
      <w:r w:rsidRPr="00B50C2B">
        <w:rPr>
          <w:rFonts w:asciiTheme="minorBidi" w:hAnsiTheme="minorBidi"/>
          <w:sz w:val="22"/>
          <w:szCs w:val="22"/>
        </w:rPr>
        <w:t>Centred</w:t>
      </w:r>
      <w:proofErr w:type="spellEnd"/>
      <w:r w:rsidRPr="00B50C2B">
        <w:rPr>
          <w:rFonts w:asciiTheme="minorBidi" w:hAnsiTheme="minorBidi"/>
          <w:sz w:val="22"/>
          <w:szCs w:val="22"/>
        </w:rPr>
        <w:t xml:space="preserve"> care (PCC) and Partnership Working (PW) in a hospital ward is presented in this report. It examines the ways in which the Person-</w:t>
      </w:r>
      <w:proofErr w:type="spellStart"/>
      <w:r w:rsidRPr="00B50C2B">
        <w:rPr>
          <w:rFonts w:asciiTheme="minorBidi" w:hAnsiTheme="minorBidi"/>
          <w:sz w:val="22"/>
          <w:szCs w:val="22"/>
        </w:rPr>
        <w:t>Centred</w:t>
      </w:r>
      <w:proofErr w:type="spellEnd"/>
      <w:r w:rsidRPr="00B50C2B">
        <w:rPr>
          <w:rFonts w:asciiTheme="minorBidi" w:hAnsiTheme="minorBidi"/>
          <w:sz w:val="22"/>
          <w:szCs w:val="22"/>
        </w:rPr>
        <w:t xml:space="preserve"> Nursing Framework created by McCormack and McCance, (2017) assists in providing holistic care, respectful and collaborative care. Ethical principles, applicable policies, and legislation like the Care Act 2014 and Health and Care Act 2022 are analyzed in the report.</w:t>
      </w:r>
    </w:p>
    <w:p w14:paraId="22534FE2" w14:textId="45E44053" w:rsidR="000111E3" w:rsidRPr="00B50C2B" w:rsidRDefault="000111E3" w:rsidP="00707E6B">
      <w:pPr>
        <w:spacing w:line="360" w:lineRule="auto"/>
        <w:jc w:val="both"/>
        <w:rPr>
          <w:rFonts w:asciiTheme="minorBidi" w:hAnsiTheme="minorBidi"/>
          <w:sz w:val="22"/>
          <w:szCs w:val="22"/>
        </w:rPr>
      </w:pPr>
      <w:r w:rsidRPr="00B50C2B">
        <w:rPr>
          <w:rFonts w:asciiTheme="minorBidi" w:hAnsiTheme="minorBidi"/>
          <w:sz w:val="22"/>
          <w:szCs w:val="22"/>
        </w:rPr>
        <w:t>Major results emphasize the need to prepare staff to cooperate and collaborate with patients, as well as make ethically sound decisions, and high-quality results. To make coordinated care possible, recommendations are the enhancement of interdisciplinary communication, workforce training, and the integration of digital systems. Finally, this report notes that further development of PCC and PW is necessary in order to have an effective, safe, and compassionate healthcare delivery throughout the UK.</w:t>
      </w:r>
    </w:p>
    <w:p w14:paraId="2C9714F7" w14:textId="77777777" w:rsidR="00707E6B" w:rsidRPr="00707E6B" w:rsidRDefault="00707E6B" w:rsidP="00707E6B">
      <w:pPr>
        <w:spacing w:after="0" w:line="360" w:lineRule="auto"/>
        <w:jc w:val="both"/>
        <w:rPr>
          <w:rFonts w:asciiTheme="minorBidi" w:hAnsiTheme="minorBidi"/>
        </w:rPr>
      </w:pPr>
    </w:p>
    <w:p w14:paraId="666C875C" w14:textId="5C8E4D00" w:rsidR="000111E3" w:rsidRPr="00FD0548" w:rsidRDefault="000111E3" w:rsidP="00FD0548">
      <w:pPr>
        <w:pStyle w:val="Heading1"/>
        <w:rPr>
          <w:rFonts w:asciiTheme="minorBidi" w:hAnsiTheme="minorBidi" w:cstheme="minorBidi"/>
          <w:b/>
          <w:bCs/>
          <w:color w:val="000000" w:themeColor="text1"/>
          <w:sz w:val="24"/>
          <w:szCs w:val="24"/>
        </w:rPr>
      </w:pPr>
      <w:bookmarkStart w:id="1" w:name="_Toc213880409"/>
      <w:r w:rsidRPr="00FD0548">
        <w:rPr>
          <w:rFonts w:asciiTheme="minorBidi" w:hAnsiTheme="minorBidi" w:cstheme="minorBidi"/>
          <w:b/>
          <w:bCs/>
          <w:color w:val="000000" w:themeColor="text1"/>
          <w:sz w:val="24"/>
          <w:szCs w:val="24"/>
        </w:rPr>
        <w:t>1. Introduction</w:t>
      </w:r>
      <w:bookmarkEnd w:id="1"/>
    </w:p>
    <w:p w14:paraId="6C91C70F" w14:textId="77777777" w:rsidR="000111E3" w:rsidRDefault="000111E3" w:rsidP="000111E3"/>
    <w:p w14:paraId="52ACA2E0" w14:textId="77777777" w:rsidR="000111E3" w:rsidRPr="00B50C2B" w:rsidRDefault="000111E3" w:rsidP="00707E6B">
      <w:pPr>
        <w:spacing w:line="360" w:lineRule="auto"/>
        <w:jc w:val="both"/>
        <w:rPr>
          <w:rFonts w:asciiTheme="minorBidi" w:hAnsiTheme="minorBidi"/>
          <w:sz w:val="22"/>
          <w:szCs w:val="22"/>
        </w:rPr>
      </w:pPr>
      <w:r w:rsidRPr="00B50C2B">
        <w:rPr>
          <w:rFonts w:asciiTheme="minorBidi" w:hAnsiTheme="minorBidi"/>
          <w:sz w:val="22"/>
          <w:szCs w:val="22"/>
        </w:rPr>
        <w:t>PCC and Partnership Working (PW) are key to effective provision of health and social care. They correspond to the shift towards person-led as opposed to provider-led models of care, which encourage teamwork and individual preference respect.</w:t>
      </w:r>
    </w:p>
    <w:p w14:paraId="43F14F54" w14:textId="77777777" w:rsidR="000111E3" w:rsidRPr="00B50C2B" w:rsidRDefault="000111E3" w:rsidP="00707E6B">
      <w:pPr>
        <w:spacing w:line="360" w:lineRule="auto"/>
        <w:jc w:val="both"/>
        <w:rPr>
          <w:rFonts w:asciiTheme="minorBidi" w:hAnsiTheme="minorBidi"/>
          <w:sz w:val="22"/>
          <w:szCs w:val="22"/>
        </w:rPr>
      </w:pPr>
      <w:r w:rsidRPr="00B50C2B">
        <w:rPr>
          <w:rFonts w:asciiTheme="minorBidi" w:hAnsiTheme="minorBidi"/>
          <w:sz w:val="22"/>
          <w:szCs w:val="22"/>
        </w:rPr>
        <w:t>This report analyzes the application of these principles in a hospital ward setting, its theoretical aspects, considerations in ethics, legal and legislative issues, and its application.</w:t>
      </w:r>
    </w:p>
    <w:p w14:paraId="70424F44" w14:textId="5A2163B1" w:rsidR="000111E3" w:rsidRPr="00B50C2B" w:rsidRDefault="000111E3" w:rsidP="00707E6B">
      <w:pPr>
        <w:spacing w:line="360" w:lineRule="auto"/>
        <w:jc w:val="both"/>
        <w:rPr>
          <w:rFonts w:asciiTheme="minorBidi" w:hAnsiTheme="minorBidi"/>
          <w:sz w:val="22"/>
          <w:szCs w:val="22"/>
        </w:rPr>
      </w:pPr>
      <w:r w:rsidRPr="00B50C2B">
        <w:rPr>
          <w:rFonts w:asciiTheme="minorBidi" w:hAnsiTheme="minorBidi"/>
          <w:sz w:val="22"/>
          <w:szCs w:val="22"/>
        </w:rPr>
        <w:t>Basing the discussion on Person-</w:t>
      </w:r>
      <w:proofErr w:type="spellStart"/>
      <w:r w:rsidRPr="00B50C2B">
        <w:rPr>
          <w:rFonts w:asciiTheme="minorBidi" w:hAnsiTheme="minorBidi"/>
          <w:sz w:val="22"/>
          <w:szCs w:val="22"/>
        </w:rPr>
        <w:t>Centred</w:t>
      </w:r>
      <w:proofErr w:type="spellEnd"/>
      <w:r w:rsidRPr="00B50C2B">
        <w:rPr>
          <w:rFonts w:asciiTheme="minorBidi" w:hAnsiTheme="minorBidi"/>
          <w:sz w:val="22"/>
          <w:szCs w:val="22"/>
        </w:rPr>
        <w:t xml:space="preserve"> Nursing Framework presented by McCormack and McCance (2017), the author illustrates how collaboration between nurses and multidisciplinary teams can be used to address holistic needs of patients. The section each looks at the definitions, underpinning theories, partnership working, policy frameworks, and future practice recommendations.</w:t>
      </w:r>
    </w:p>
    <w:p w14:paraId="3AE7C749" w14:textId="77777777" w:rsidR="000111E3" w:rsidRDefault="000111E3" w:rsidP="000111E3"/>
    <w:p w14:paraId="68D4FE6E" w14:textId="4D49E2B8" w:rsidR="000111E3" w:rsidRPr="00FD0548" w:rsidRDefault="000111E3" w:rsidP="00FD0548">
      <w:pPr>
        <w:pStyle w:val="Heading1"/>
        <w:rPr>
          <w:rFonts w:asciiTheme="minorBidi" w:hAnsiTheme="minorBidi" w:cstheme="minorBidi"/>
          <w:b/>
          <w:bCs/>
          <w:color w:val="000000" w:themeColor="text1"/>
          <w:sz w:val="24"/>
          <w:szCs w:val="24"/>
        </w:rPr>
      </w:pPr>
      <w:bookmarkStart w:id="2" w:name="_Toc213880410"/>
      <w:r w:rsidRPr="00FD0548">
        <w:rPr>
          <w:rFonts w:asciiTheme="minorBidi" w:hAnsiTheme="minorBidi" w:cstheme="minorBidi"/>
          <w:b/>
          <w:bCs/>
          <w:color w:val="000000" w:themeColor="text1"/>
          <w:sz w:val="24"/>
          <w:szCs w:val="24"/>
        </w:rPr>
        <w:t>2. Definition of Person-</w:t>
      </w:r>
      <w:proofErr w:type="spellStart"/>
      <w:r w:rsidRPr="00FD0548">
        <w:rPr>
          <w:rFonts w:asciiTheme="minorBidi" w:hAnsiTheme="minorBidi" w:cstheme="minorBidi"/>
          <w:b/>
          <w:bCs/>
          <w:color w:val="000000" w:themeColor="text1"/>
          <w:sz w:val="24"/>
          <w:szCs w:val="24"/>
        </w:rPr>
        <w:t>Centred</w:t>
      </w:r>
      <w:proofErr w:type="spellEnd"/>
      <w:r w:rsidRPr="00FD0548">
        <w:rPr>
          <w:rFonts w:asciiTheme="minorBidi" w:hAnsiTheme="minorBidi" w:cstheme="minorBidi"/>
          <w:b/>
          <w:bCs/>
          <w:color w:val="000000" w:themeColor="text1"/>
          <w:sz w:val="24"/>
          <w:szCs w:val="24"/>
        </w:rPr>
        <w:t xml:space="preserve"> Care</w:t>
      </w:r>
      <w:bookmarkEnd w:id="2"/>
    </w:p>
    <w:p w14:paraId="4E31A3AB" w14:textId="77777777" w:rsidR="000111E3" w:rsidRDefault="000111E3" w:rsidP="000111E3"/>
    <w:p w14:paraId="781F408C" w14:textId="77777777" w:rsidR="000111E3" w:rsidRPr="00707E6B" w:rsidRDefault="000111E3" w:rsidP="00707E6B">
      <w:pPr>
        <w:spacing w:line="360" w:lineRule="auto"/>
        <w:jc w:val="both"/>
        <w:rPr>
          <w:rFonts w:asciiTheme="minorBidi" w:hAnsiTheme="minorBidi"/>
          <w:sz w:val="22"/>
          <w:szCs w:val="22"/>
        </w:rPr>
      </w:pPr>
      <w:r w:rsidRPr="00707E6B">
        <w:rPr>
          <w:rFonts w:asciiTheme="minorBidi" w:hAnsiTheme="minorBidi"/>
          <w:sz w:val="22"/>
          <w:szCs w:val="22"/>
        </w:rPr>
        <w:t>Person-</w:t>
      </w:r>
      <w:proofErr w:type="spellStart"/>
      <w:r w:rsidRPr="00707E6B">
        <w:rPr>
          <w:rFonts w:asciiTheme="minorBidi" w:hAnsiTheme="minorBidi"/>
          <w:sz w:val="22"/>
          <w:szCs w:val="22"/>
        </w:rPr>
        <w:t>Centred</w:t>
      </w:r>
      <w:proofErr w:type="spellEnd"/>
      <w:r w:rsidRPr="00707E6B">
        <w:rPr>
          <w:rFonts w:asciiTheme="minorBidi" w:hAnsiTheme="minorBidi"/>
          <w:sz w:val="22"/>
          <w:szCs w:val="22"/>
        </w:rPr>
        <w:t xml:space="preserve"> Care (PCC) may be considered as a method in which the person is at the </w:t>
      </w:r>
      <w:proofErr w:type="spellStart"/>
      <w:r w:rsidRPr="00707E6B">
        <w:rPr>
          <w:rFonts w:asciiTheme="minorBidi" w:hAnsiTheme="minorBidi"/>
          <w:sz w:val="22"/>
          <w:szCs w:val="22"/>
        </w:rPr>
        <w:t>centre</w:t>
      </w:r>
      <w:proofErr w:type="spellEnd"/>
      <w:r w:rsidRPr="00707E6B">
        <w:rPr>
          <w:rFonts w:asciiTheme="minorBidi" w:hAnsiTheme="minorBidi"/>
          <w:sz w:val="22"/>
          <w:szCs w:val="22"/>
        </w:rPr>
        <w:t xml:space="preserve"> of decision-making about his or her treatment and care (Health Foundation, 2021). It treats the patients as their own persons, acknowledging their experience, needs and </w:t>
      </w:r>
      <w:r w:rsidRPr="00707E6B">
        <w:rPr>
          <w:rFonts w:asciiTheme="minorBidi" w:hAnsiTheme="minorBidi"/>
          <w:sz w:val="22"/>
          <w:szCs w:val="22"/>
        </w:rPr>
        <w:lastRenderedPageBreak/>
        <w:t>preferences. This translates into active listening, shared decision-making, and patient empowerment in a hospital ward to make decisions about patients being involved in their recovery.</w:t>
      </w:r>
    </w:p>
    <w:p w14:paraId="61FC312B" w14:textId="77777777" w:rsidR="000111E3" w:rsidRPr="00707E6B" w:rsidRDefault="000111E3" w:rsidP="00707E6B">
      <w:pPr>
        <w:spacing w:line="360" w:lineRule="auto"/>
        <w:jc w:val="both"/>
        <w:rPr>
          <w:rFonts w:asciiTheme="minorBidi" w:hAnsiTheme="minorBidi"/>
          <w:sz w:val="22"/>
          <w:szCs w:val="22"/>
        </w:rPr>
      </w:pPr>
    </w:p>
    <w:p w14:paraId="22F737A2" w14:textId="77777777" w:rsidR="000111E3" w:rsidRPr="00707E6B" w:rsidRDefault="000111E3" w:rsidP="00707E6B">
      <w:pPr>
        <w:spacing w:line="360" w:lineRule="auto"/>
        <w:jc w:val="both"/>
        <w:rPr>
          <w:rFonts w:asciiTheme="minorBidi" w:hAnsiTheme="minorBidi"/>
          <w:sz w:val="22"/>
          <w:szCs w:val="22"/>
        </w:rPr>
      </w:pPr>
      <w:r w:rsidRPr="00707E6B">
        <w:rPr>
          <w:rFonts w:asciiTheme="minorBidi" w:hAnsiTheme="minorBidi"/>
          <w:sz w:val="22"/>
          <w:szCs w:val="22"/>
        </w:rPr>
        <w:t>The positive aspects of PCC are the increased patient satisfaction, the higher level of trust in medical professionals, and the positive clinical outcomes (Coulter et al., 2022). It has been found that the patients who are engaged in their care usually show better rates of adherence to treatment plans and decreased readmission rates (Brooker &amp; Latham, 2020).</w:t>
      </w:r>
    </w:p>
    <w:p w14:paraId="011E02BE" w14:textId="77777777" w:rsidR="000111E3" w:rsidRPr="00707E6B" w:rsidRDefault="000111E3" w:rsidP="00707E6B">
      <w:pPr>
        <w:spacing w:line="360" w:lineRule="auto"/>
        <w:jc w:val="both"/>
        <w:rPr>
          <w:rFonts w:asciiTheme="minorBidi" w:hAnsiTheme="minorBidi"/>
          <w:sz w:val="22"/>
          <w:szCs w:val="22"/>
        </w:rPr>
      </w:pPr>
    </w:p>
    <w:p w14:paraId="66459F7B" w14:textId="775BF209" w:rsidR="000111E3" w:rsidRPr="00707E6B" w:rsidRDefault="000111E3" w:rsidP="00707E6B">
      <w:pPr>
        <w:spacing w:line="360" w:lineRule="auto"/>
        <w:jc w:val="both"/>
        <w:rPr>
          <w:rFonts w:asciiTheme="minorBidi" w:hAnsiTheme="minorBidi"/>
          <w:sz w:val="22"/>
          <w:szCs w:val="22"/>
        </w:rPr>
      </w:pPr>
      <w:r w:rsidRPr="00707E6B">
        <w:rPr>
          <w:rFonts w:asciiTheme="minorBidi" w:hAnsiTheme="minorBidi"/>
          <w:sz w:val="22"/>
          <w:szCs w:val="22"/>
        </w:rPr>
        <w:t>Nevertheless, PCC has its constraints especially where the hospitals are intense. Meaningful engagement can be limited due to high workloads, shortage of staff and time constraints. Moreover, there are patients who might not be able and/or not be confident enough to engage fully in decision-making. These obstacles highlight that proper teamwork and leadership is important to maintain a person-</w:t>
      </w:r>
      <w:proofErr w:type="spellStart"/>
      <w:r w:rsidRPr="00707E6B">
        <w:rPr>
          <w:rFonts w:asciiTheme="minorBidi" w:hAnsiTheme="minorBidi"/>
          <w:sz w:val="22"/>
          <w:szCs w:val="22"/>
        </w:rPr>
        <w:t>centred</w:t>
      </w:r>
      <w:proofErr w:type="spellEnd"/>
      <w:r w:rsidRPr="00707E6B">
        <w:rPr>
          <w:rFonts w:asciiTheme="minorBidi" w:hAnsiTheme="minorBidi"/>
          <w:sz w:val="22"/>
          <w:szCs w:val="22"/>
        </w:rPr>
        <w:t xml:space="preserve"> culture in a hospital ward.</w:t>
      </w:r>
    </w:p>
    <w:p w14:paraId="3604C613" w14:textId="77777777" w:rsidR="000111E3" w:rsidRDefault="000111E3" w:rsidP="000111E3"/>
    <w:p w14:paraId="368EFDB1" w14:textId="103BDAE7" w:rsidR="000111E3" w:rsidRPr="00FD0548" w:rsidRDefault="000111E3" w:rsidP="00FD0548">
      <w:pPr>
        <w:pStyle w:val="Heading1"/>
        <w:rPr>
          <w:rFonts w:asciiTheme="minorBidi" w:hAnsiTheme="minorBidi" w:cstheme="minorBidi"/>
          <w:b/>
          <w:bCs/>
          <w:color w:val="000000" w:themeColor="text1"/>
          <w:sz w:val="24"/>
          <w:szCs w:val="24"/>
        </w:rPr>
      </w:pPr>
      <w:bookmarkStart w:id="3" w:name="_Toc213880411"/>
      <w:r w:rsidRPr="00FD0548">
        <w:rPr>
          <w:rFonts w:asciiTheme="minorBidi" w:hAnsiTheme="minorBidi" w:cstheme="minorBidi"/>
          <w:b/>
          <w:bCs/>
          <w:color w:val="000000" w:themeColor="text1"/>
          <w:sz w:val="24"/>
          <w:szCs w:val="24"/>
        </w:rPr>
        <w:t>3. Relevant Theories Underpinning PCC</w:t>
      </w:r>
      <w:bookmarkEnd w:id="3"/>
    </w:p>
    <w:p w14:paraId="26A74AA4" w14:textId="77777777" w:rsidR="000111E3" w:rsidRDefault="000111E3" w:rsidP="000111E3"/>
    <w:p w14:paraId="7AE73929" w14:textId="46D4914E" w:rsidR="000111E3" w:rsidRPr="00707E6B" w:rsidRDefault="000111E3" w:rsidP="00707E6B">
      <w:pPr>
        <w:spacing w:line="360" w:lineRule="auto"/>
        <w:jc w:val="both"/>
        <w:rPr>
          <w:rFonts w:asciiTheme="minorBidi" w:hAnsiTheme="minorBidi"/>
          <w:sz w:val="22"/>
          <w:szCs w:val="22"/>
        </w:rPr>
      </w:pPr>
      <w:r w:rsidRPr="00707E6B">
        <w:rPr>
          <w:rFonts w:asciiTheme="minorBidi" w:hAnsiTheme="minorBidi"/>
          <w:sz w:val="22"/>
          <w:szCs w:val="22"/>
        </w:rPr>
        <w:t>McCormack and McCance’s Person-</w:t>
      </w:r>
      <w:proofErr w:type="spellStart"/>
      <w:r w:rsidRPr="00707E6B">
        <w:rPr>
          <w:rFonts w:asciiTheme="minorBidi" w:hAnsiTheme="minorBidi"/>
          <w:sz w:val="22"/>
          <w:szCs w:val="22"/>
        </w:rPr>
        <w:t>Centred</w:t>
      </w:r>
      <w:proofErr w:type="spellEnd"/>
      <w:r w:rsidRPr="00707E6B">
        <w:rPr>
          <w:rFonts w:asciiTheme="minorBidi" w:hAnsiTheme="minorBidi"/>
          <w:sz w:val="22"/>
          <w:szCs w:val="22"/>
        </w:rPr>
        <w:t xml:space="preserve"> Nursing Framework (2017) provides an evidence-based foundation for implementing PCC in clinical settings. The model identifies four interconnected elements:</w:t>
      </w:r>
    </w:p>
    <w:p w14:paraId="1388D3F5" w14:textId="77777777" w:rsidR="000111E3" w:rsidRDefault="000111E3" w:rsidP="000111E3"/>
    <w:p w14:paraId="03380D70" w14:textId="74ED376C" w:rsidR="000111E3" w:rsidRPr="00707E6B" w:rsidRDefault="000111E3" w:rsidP="00FD0548">
      <w:pPr>
        <w:spacing w:line="360" w:lineRule="auto"/>
        <w:rPr>
          <w:rFonts w:asciiTheme="minorBidi" w:hAnsiTheme="minorBidi"/>
          <w:sz w:val="22"/>
          <w:szCs w:val="22"/>
        </w:rPr>
      </w:pPr>
      <w:bookmarkStart w:id="4" w:name="_Toc213880412"/>
      <w:r w:rsidRPr="00FD0548">
        <w:rPr>
          <w:rStyle w:val="Heading2Char"/>
          <w:rFonts w:asciiTheme="minorBidi" w:hAnsiTheme="minorBidi" w:cstheme="minorBidi"/>
          <w:b/>
          <w:bCs/>
          <w:color w:val="000000" w:themeColor="text1"/>
          <w:sz w:val="22"/>
          <w:szCs w:val="22"/>
        </w:rPr>
        <w:t>1. Prerequisites</w:t>
      </w:r>
      <w:bookmarkEnd w:id="4"/>
      <w:r w:rsidRPr="00FD0548">
        <w:rPr>
          <w:rFonts w:asciiTheme="minorBidi" w:hAnsiTheme="minorBidi"/>
          <w:color w:val="000000" w:themeColor="text1"/>
          <w:sz w:val="16"/>
          <w:szCs w:val="16"/>
        </w:rPr>
        <w:t xml:space="preserve"> </w:t>
      </w:r>
      <w:r w:rsidRPr="00707E6B">
        <w:rPr>
          <w:rFonts w:asciiTheme="minorBidi" w:hAnsiTheme="minorBidi"/>
          <w:sz w:val="22"/>
          <w:szCs w:val="22"/>
        </w:rPr>
        <w:t>– the nurse’s professional competence, interpersonal skills, and commitment to values such as compassion and respect.</w:t>
      </w:r>
    </w:p>
    <w:p w14:paraId="18683457" w14:textId="4D152D7A" w:rsidR="000111E3" w:rsidRPr="00707E6B" w:rsidRDefault="000111E3" w:rsidP="00FD0548">
      <w:pPr>
        <w:spacing w:line="360" w:lineRule="auto"/>
        <w:rPr>
          <w:rFonts w:asciiTheme="minorBidi" w:hAnsiTheme="minorBidi"/>
          <w:sz w:val="22"/>
          <w:szCs w:val="22"/>
        </w:rPr>
      </w:pPr>
      <w:bookmarkStart w:id="5" w:name="_Toc213880413"/>
      <w:r w:rsidRPr="00FD0548">
        <w:rPr>
          <w:rStyle w:val="Heading2Char"/>
          <w:rFonts w:asciiTheme="minorBidi" w:hAnsiTheme="minorBidi" w:cstheme="minorBidi"/>
          <w:b/>
          <w:bCs/>
          <w:color w:val="000000" w:themeColor="text1"/>
          <w:sz w:val="22"/>
          <w:szCs w:val="22"/>
        </w:rPr>
        <w:t>2. The Care Environment</w:t>
      </w:r>
      <w:bookmarkEnd w:id="5"/>
      <w:r w:rsidRPr="00FD0548">
        <w:rPr>
          <w:rFonts w:asciiTheme="minorBidi" w:hAnsiTheme="minorBidi"/>
          <w:color w:val="000000" w:themeColor="text1"/>
          <w:sz w:val="22"/>
          <w:szCs w:val="22"/>
        </w:rPr>
        <w:t xml:space="preserve"> </w:t>
      </w:r>
      <w:r w:rsidRPr="00707E6B">
        <w:rPr>
          <w:rFonts w:asciiTheme="minorBidi" w:hAnsiTheme="minorBidi"/>
          <w:sz w:val="22"/>
          <w:szCs w:val="22"/>
        </w:rPr>
        <w:t>– organizational culture, leadership, and teamwork that support person-</w:t>
      </w:r>
      <w:proofErr w:type="spellStart"/>
      <w:r w:rsidRPr="00707E6B">
        <w:rPr>
          <w:rFonts w:asciiTheme="minorBidi" w:hAnsiTheme="minorBidi"/>
          <w:sz w:val="22"/>
          <w:szCs w:val="22"/>
        </w:rPr>
        <w:t>centred</w:t>
      </w:r>
      <w:proofErr w:type="spellEnd"/>
      <w:r w:rsidRPr="00707E6B">
        <w:rPr>
          <w:rFonts w:asciiTheme="minorBidi" w:hAnsiTheme="minorBidi"/>
          <w:sz w:val="22"/>
          <w:szCs w:val="22"/>
        </w:rPr>
        <w:t xml:space="preserve"> practice.</w:t>
      </w:r>
    </w:p>
    <w:p w14:paraId="70ACBF5A" w14:textId="1F823D17" w:rsidR="000111E3" w:rsidRPr="00707E6B" w:rsidRDefault="000111E3" w:rsidP="00FD0548">
      <w:pPr>
        <w:spacing w:line="360" w:lineRule="auto"/>
        <w:rPr>
          <w:rFonts w:asciiTheme="minorBidi" w:hAnsiTheme="minorBidi"/>
          <w:sz w:val="22"/>
          <w:szCs w:val="22"/>
        </w:rPr>
      </w:pPr>
      <w:bookmarkStart w:id="6" w:name="_Toc213880414"/>
      <w:r w:rsidRPr="00FD0548">
        <w:rPr>
          <w:rStyle w:val="Heading2Char"/>
          <w:rFonts w:asciiTheme="minorBidi" w:hAnsiTheme="minorBidi" w:cstheme="minorBidi"/>
          <w:b/>
          <w:bCs/>
          <w:color w:val="000000" w:themeColor="text1"/>
          <w:sz w:val="22"/>
          <w:szCs w:val="22"/>
        </w:rPr>
        <w:t>3. Person-</w:t>
      </w:r>
      <w:proofErr w:type="spellStart"/>
      <w:r w:rsidRPr="00FD0548">
        <w:rPr>
          <w:rStyle w:val="Heading2Char"/>
          <w:rFonts w:asciiTheme="minorBidi" w:hAnsiTheme="minorBidi" w:cstheme="minorBidi"/>
          <w:b/>
          <w:bCs/>
          <w:color w:val="000000" w:themeColor="text1"/>
          <w:sz w:val="22"/>
          <w:szCs w:val="22"/>
        </w:rPr>
        <w:t>Centred</w:t>
      </w:r>
      <w:proofErr w:type="spellEnd"/>
      <w:r w:rsidRPr="00FD0548">
        <w:rPr>
          <w:rStyle w:val="Heading2Char"/>
          <w:rFonts w:asciiTheme="minorBidi" w:hAnsiTheme="minorBidi" w:cstheme="minorBidi"/>
          <w:b/>
          <w:bCs/>
          <w:color w:val="000000" w:themeColor="text1"/>
          <w:sz w:val="22"/>
          <w:szCs w:val="22"/>
        </w:rPr>
        <w:t xml:space="preserve"> Processes</w:t>
      </w:r>
      <w:bookmarkEnd w:id="6"/>
      <w:r w:rsidRPr="00707E6B">
        <w:rPr>
          <w:rFonts w:asciiTheme="minorBidi" w:hAnsiTheme="minorBidi"/>
          <w:sz w:val="22"/>
          <w:szCs w:val="22"/>
        </w:rPr>
        <w:t>– involving patients through shared decision-making, empathy, and holistic assessment.</w:t>
      </w:r>
    </w:p>
    <w:p w14:paraId="2E35D70F" w14:textId="48438DD8" w:rsidR="000111E3" w:rsidRPr="00707E6B" w:rsidRDefault="000111E3" w:rsidP="00FD0548">
      <w:pPr>
        <w:spacing w:line="360" w:lineRule="auto"/>
        <w:rPr>
          <w:rFonts w:asciiTheme="minorBidi" w:hAnsiTheme="minorBidi"/>
          <w:sz w:val="22"/>
          <w:szCs w:val="22"/>
        </w:rPr>
      </w:pPr>
      <w:r w:rsidRPr="00707E6B">
        <w:rPr>
          <w:rFonts w:asciiTheme="minorBidi" w:hAnsiTheme="minorBidi"/>
          <w:b/>
          <w:bCs/>
          <w:sz w:val="22"/>
          <w:szCs w:val="22"/>
        </w:rPr>
        <w:t>4. Outcomes</w:t>
      </w:r>
      <w:r w:rsidR="00707E6B">
        <w:rPr>
          <w:rFonts w:asciiTheme="minorBidi" w:hAnsiTheme="minorBidi"/>
          <w:b/>
          <w:bCs/>
          <w:sz w:val="22"/>
          <w:szCs w:val="22"/>
        </w:rPr>
        <w:t xml:space="preserve"> </w:t>
      </w:r>
      <w:r w:rsidRPr="00707E6B">
        <w:rPr>
          <w:rFonts w:asciiTheme="minorBidi" w:hAnsiTheme="minorBidi"/>
          <w:sz w:val="22"/>
          <w:szCs w:val="22"/>
        </w:rPr>
        <w:t>– improved satisfaction, wellbeing, and quality of care.</w:t>
      </w:r>
    </w:p>
    <w:p w14:paraId="62881B8F" w14:textId="77777777" w:rsidR="000111E3" w:rsidRDefault="000111E3" w:rsidP="000111E3"/>
    <w:p w14:paraId="3D641B7D" w14:textId="77777777" w:rsidR="000111E3" w:rsidRPr="00707E6B" w:rsidRDefault="000111E3" w:rsidP="00707E6B">
      <w:pPr>
        <w:spacing w:line="360" w:lineRule="auto"/>
        <w:jc w:val="both"/>
        <w:rPr>
          <w:rFonts w:asciiTheme="minorBidi" w:hAnsiTheme="minorBidi"/>
          <w:sz w:val="22"/>
          <w:szCs w:val="22"/>
        </w:rPr>
      </w:pPr>
      <w:r w:rsidRPr="00707E6B">
        <w:rPr>
          <w:rFonts w:asciiTheme="minorBidi" w:hAnsiTheme="minorBidi"/>
          <w:sz w:val="22"/>
          <w:szCs w:val="22"/>
        </w:rPr>
        <w:t xml:space="preserve">This model helps those nurses engaged in the work of a hospital ward to evaluate patients as partners. It is also related to a lot with the humanistic theory, especially the view of Rogers </w:t>
      </w:r>
      <w:r w:rsidRPr="00707E6B">
        <w:rPr>
          <w:rFonts w:asciiTheme="minorBidi" w:hAnsiTheme="minorBidi"/>
          <w:sz w:val="22"/>
          <w:szCs w:val="22"/>
        </w:rPr>
        <w:lastRenderedPageBreak/>
        <w:t>that empathy and unconditional positive regard are beneficial to wellbeing. Indicatively, incorporating a patient who has undergone surgery in the process of setting goals encourages the feeling of ownership of the care and rapid healing.</w:t>
      </w:r>
    </w:p>
    <w:p w14:paraId="1C547677" w14:textId="447F6BE4" w:rsidR="000111E3" w:rsidRPr="00707E6B" w:rsidRDefault="000111E3" w:rsidP="00707E6B">
      <w:pPr>
        <w:spacing w:line="360" w:lineRule="auto"/>
        <w:jc w:val="both"/>
        <w:rPr>
          <w:rFonts w:asciiTheme="minorBidi" w:hAnsiTheme="minorBidi"/>
          <w:sz w:val="22"/>
          <w:szCs w:val="22"/>
        </w:rPr>
      </w:pPr>
      <w:r w:rsidRPr="00707E6B">
        <w:rPr>
          <w:rFonts w:asciiTheme="minorBidi" w:hAnsiTheme="minorBidi"/>
          <w:sz w:val="22"/>
          <w:szCs w:val="22"/>
        </w:rPr>
        <w:t>This theoretical framework shows that successful PCC demands employees and supportive environment whose culture upholds individuality and shared practice.</w:t>
      </w:r>
    </w:p>
    <w:p w14:paraId="6F517072" w14:textId="7F22E40B" w:rsidR="000111E3" w:rsidRPr="00FD0548" w:rsidRDefault="000111E3" w:rsidP="00FD0548">
      <w:pPr>
        <w:pStyle w:val="Heading1"/>
        <w:rPr>
          <w:rFonts w:asciiTheme="minorBidi" w:hAnsiTheme="minorBidi" w:cstheme="minorBidi"/>
          <w:b/>
          <w:bCs/>
          <w:color w:val="000000" w:themeColor="text1"/>
          <w:sz w:val="24"/>
          <w:szCs w:val="24"/>
        </w:rPr>
      </w:pPr>
      <w:bookmarkStart w:id="7" w:name="_Toc213880415"/>
      <w:r w:rsidRPr="00FD0548">
        <w:rPr>
          <w:rFonts w:asciiTheme="minorBidi" w:hAnsiTheme="minorBidi" w:cstheme="minorBidi"/>
          <w:b/>
          <w:bCs/>
          <w:color w:val="000000" w:themeColor="text1"/>
          <w:sz w:val="24"/>
          <w:szCs w:val="24"/>
        </w:rPr>
        <w:t>4. Ethical Fundamentals in Health and Social Care</w:t>
      </w:r>
      <w:bookmarkEnd w:id="7"/>
    </w:p>
    <w:p w14:paraId="2253AE9E" w14:textId="77777777" w:rsidR="000111E3" w:rsidRDefault="000111E3" w:rsidP="000111E3"/>
    <w:p w14:paraId="7F5E97C5" w14:textId="19C0B69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Ethical principles are central to PCC and PW. According to Beauchamp and Childress (2019), four principles guide ethical healthcare practice:</w:t>
      </w:r>
    </w:p>
    <w:p w14:paraId="6AF15F7E" w14:textId="77777777" w:rsidR="000111E3" w:rsidRDefault="000111E3" w:rsidP="000111E3"/>
    <w:p w14:paraId="48E95996" w14:textId="29914CF8"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b/>
          <w:bCs/>
          <w:sz w:val="22"/>
          <w:szCs w:val="22"/>
        </w:rPr>
        <w:t>Autonomy</w:t>
      </w:r>
      <w:r w:rsidRPr="000B7A32">
        <w:rPr>
          <w:rFonts w:asciiTheme="minorBidi" w:hAnsiTheme="minorBidi"/>
          <w:sz w:val="22"/>
          <w:szCs w:val="22"/>
        </w:rPr>
        <w:t xml:space="preserve"> – respecting patients’ rights to make informed choices.</w:t>
      </w:r>
    </w:p>
    <w:p w14:paraId="3B1EB03A" w14:textId="34A01228"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b/>
          <w:bCs/>
          <w:sz w:val="22"/>
          <w:szCs w:val="22"/>
        </w:rPr>
        <w:t>Beneficence</w:t>
      </w:r>
      <w:r w:rsidRPr="000B7A32">
        <w:rPr>
          <w:rFonts w:asciiTheme="minorBidi" w:hAnsiTheme="minorBidi"/>
          <w:sz w:val="22"/>
          <w:szCs w:val="22"/>
        </w:rPr>
        <w:t>– acting in the best interests of the patient.</w:t>
      </w:r>
    </w:p>
    <w:p w14:paraId="235B67A8" w14:textId="57BDED40"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b/>
          <w:bCs/>
          <w:sz w:val="22"/>
          <w:szCs w:val="22"/>
        </w:rPr>
        <w:t>Non-maleficence</w:t>
      </w:r>
      <w:r w:rsidRPr="000B7A32">
        <w:rPr>
          <w:rFonts w:asciiTheme="minorBidi" w:hAnsiTheme="minorBidi"/>
          <w:sz w:val="22"/>
          <w:szCs w:val="22"/>
        </w:rPr>
        <w:t xml:space="preserve"> – avoiding harm.</w:t>
      </w:r>
    </w:p>
    <w:p w14:paraId="04A44F8F" w14:textId="3122E554"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b/>
          <w:bCs/>
          <w:sz w:val="22"/>
          <w:szCs w:val="22"/>
        </w:rPr>
        <w:t>Justice</w:t>
      </w:r>
      <w:r w:rsidRPr="000B7A32">
        <w:rPr>
          <w:rFonts w:asciiTheme="minorBidi" w:hAnsiTheme="minorBidi"/>
          <w:sz w:val="22"/>
          <w:szCs w:val="22"/>
        </w:rPr>
        <w:t xml:space="preserve"> – ensuring fairness and equality.</w:t>
      </w:r>
    </w:p>
    <w:p w14:paraId="2E8CC4EB" w14:textId="77777777" w:rsidR="000111E3" w:rsidRDefault="000111E3" w:rsidP="000111E3"/>
    <w:p w14:paraId="0CFAC882" w14:textId="7777777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The principle of autonomy is manifested in the form of informed consent and respect to treatment preferences of patients in a hospital. The principle of beneficence and non-maleficence ask the clinicians to weigh the risks and benefits when making clinical decisions. Such a case as a patient who does not want to take pain medication because of side effects is an ethical dilemma on whether to respect the autonomy or to stimulate comfort.</w:t>
      </w:r>
    </w:p>
    <w:p w14:paraId="0BEACB2B" w14:textId="7777777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Justice is provided as a means to acquire fair access to care irrespective of age, disability, and background, which are principles of the Equality Act 2010.</w:t>
      </w:r>
    </w:p>
    <w:p w14:paraId="4980DCFA" w14:textId="77777777" w:rsidR="000111E3" w:rsidRPr="000B7A32" w:rsidRDefault="000111E3" w:rsidP="000B7A32">
      <w:pPr>
        <w:spacing w:line="360" w:lineRule="auto"/>
        <w:jc w:val="both"/>
        <w:rPr>
          <w:rFonts w:asciiTheme="minorBidi" w:hAnsiTheme="minorBidi"/>
          <w:sz w:val="22"/>
          <w:szCs w:val="22"/>
        </w:rPr>
      </w:pPr>
    </w:p>
    <w:p w14:paraId="5705F6FE" w14:textId="536F1EB5" w:rsidR="000111E3" w:rsidRDefault="000111E3" w:rsidP="000B7A32">
      <w:pPr>
        <w:spacing w:line="360" w:lineRule="auto"/>
        <w:jc w:val="both"/>
      </w:pPr>
      <w:r w:rsidRPr="000B7A32">
        <w:rPr>
          <w:rFonts w:asciiTheme="minorBidi" w:hAnsiTheme="minorBidi"/>
          <w:sz w:val="22"/>
          <w:szCs w:val="22"/>
        </w:rPr>
        <w:t>Some of the ethical dilemmas commonly arising included conflict in professional judgment as opposed to patient choice. The tension that can be generated in such a situation can be addressed by partnership working, which promotes shared responsibility and interdisciplinary discussion, keeping in mind the welfare of the patient in the focus.</w:t>
      </w:r>
    </w:p>
    <w:p w14:paraId="1AE14A23" w14:textId="77777777" w:rsidR="000111E3" w:rsidRDefault="000111E3" w:rsidP="000111E3"/>
    <w:p w14:paraId="4FE5EEB7" w14:textId="09817831" w:rsidR="000111E3" w:rsidRPr="00FD0548" w:rsidRDefault="000111E3" w:rsidP="00FD0548">
      <w:pPr>
        <w:pStyle w:val="Heading1"/>
        <w:rPr>
          <w:rFonts w:asciiTheme="minorBidi" w:hAnsiTheme="minorBidi" w:cstheme="minorBidi"/>
          <w:b/>
          <w:bCs/>
          <w:color w:val="000000" w:themeColor="text1"/>
          <w:sz w:val="24"/>
          <w:szCs w:val="24"/>
        </w:rPr>
      </w:pPr>
      <w:bookmarkStart w:id="8" w:name="_Toc213880416"/>
      <w:r w:rsidRPr="00FD0548">
        <w:rPr>
          <w:rFonts w:asciiTheme="minorBidi" w:hAnsiTheme="minorBidi" w:cstheme="minorBidi"/>
          <w:b/>
          <w:bCs/>
          <w:color w:val="000000" w:themeColor="text1"/>
          <w:sz w:val="24"/>
          <w:szCs w:val="24"/>
        </w:rPr>
        <w:lastRenderedPageBreak/>
        <w:t>5. Evaluation of Partnership Working</w:t>
      </w:r>
      <w:bookmarkEnd w:id="8"/>
    </w:p>
    <w:p w14:paraId="4303BFB1" w14:textId="77777777" w:rsidR="000111E3" w:rsidRDefault="000111E3" w:rsidP="000111E3"/>
    <w:p w14:paraId="6ACAB63F" w14:textId="7777777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b/>
          <w:bCs/>
          <w:sz w:val="22"/>
          <w:szCs w:val="22"/>
        </w:rPr>
        <w:t>Partnership Working (PW)</w:t>
      </w:r>
      <w:r w:rsidRPr="000B7A32">
        <w:rPr>
          <w:rFonts w:asciiTheme="minorBidi" w:hAnsiTheme="minorBidi"/>
          <w:sz w:val="22"/>
          <w:szCs w:val="22"/>
        </w:rPr>
        <w:t xml:space="preserve"> means joint work of healthcare workers, patients, families, and external agencies in order to achieve common goals (Glasby &amp; Dickinson, 2021). Inside hospital wards, well-coordinated discharge planning, continuity of care and patient safety are based on effective PW.</w:t>
      </w:r>
    </w:p>
    <w:p w14:paraId="7DBE7250" w14:textId="77777777" w:rsidR="000111E3" w:rsidRPr="000B7A32" w:rsidRDefault="000111E3" w:rsidP="000B7A32">
      <w:pPr>
        <w:spacing w:line="360" w:lineRule="auto"/>
        <w:jc w:val="both"/>
        <w:rPr>
          <w:rFonts w:asciiTheme="minorBidi" w:hAnsiTheme="minorBidi"/>
          <w:sz w:val="22"/>
          <w:szCs w:val="22"/>
        </w:rPr>
      </w:pPr>
    </w:p>
    <w:p w14:paraId="0E3468C4" w14:textId="0E65F254"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 xml:space="preserve">PW is represented by the Integrated Care Systems (ICS) which are proposed under the </w:t>
      </w:r>
      <w:r w:rsidRPr="000B7A32">
        <w:rPr>
          <w:rFonts w:asciiTheme="minorBidi" w:hAnsiTheme="minorBidi"/>
          <w:b/>
          <w:bCs/>
          <w:sz w:val="22"/>
          <w:szCs w:val="22"/>
        </w:rPr>
        <w:t>Health and Care Act 2022</w:t>
      </w:r>
      <w:r w:rsidRPr="000B7A32">
        <w:rPr>
          <w:rFonts w:asciiTheme="minorBidi" w:hAnsiTheme="minorBidi"/>
          <w:sz w:val="22"/>
          <w:szCs w:val="22"/>
        </w:rPr>
        <w:t>: the collaboration of the NHS trusts and the local authorities with voluntary organizations (NHS England, 2022). The advantages encompassed efficient services, less duplication and enhanced patient outcomes.</w:t>
      </w:r>
    </w:p>
    <w:p w14:paraId="0BA3EADE" w14:textId="7777777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As an example, interdisciplinary meetings involving nurses, physiotherapist and social workers is guaranteed to carry out whole body discharge planning among old people.</w:t>
      </w:r>
    </w:p>
    <w:p w14:paraId="2A75FAF3" w14:textId="77777777" w:rsidR="000111E3" w:rsidRPr="000B7A32" w:rsidRDefault="000111E3" w:rsidP="000B7A32">
      <w:pPr>
        <w:spacing w:line="360" w:lineRule="auto"/>
        <w:jc w:val="both"/>
        <w:rPr>
          <w:rFonts w:asciiTheme="minorBidi" w:hAnsiTheme="minorBidi"/>
          <w:sz w:val="22"/>
          <w:szCs w:val="22"/>
        </w:rPr>
      </w:pPr>
    </w:p>
    <w:p w14:paraId="0B290DE1" w14:textId="7777777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But still, problems are present. Collaboration may be clogged by communication breakdowns, professional hierarchies and resource constraints. The fact that there are differences in professional culture may also influence decision-making (NHS, 2023).</w:t>
      </w:r>
    </w:p>
    <w:p w14:paraId="51895309" w14:textId="780E3F8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Hospital wards can solve these by focusing on regular interprofessional meetings, sharing digital records and exemplary leadership.</w:t>
      </w:r>
    </w:p>
    <w:p w14:paraId="2C3B9878" w14:textId="77777777" w:rsidR="000111E3" w:rsidRDefault="000111E3" w:rsidP="000111E3"/>
    <w:p w14:paraId="1C4355C4" w14:textId="756038D4" w:rsidR="000111E3" w:rsidRPr="00FD0548" w:rsidRDefault="000111E3" w:rsidP="00FD0548">
      <w:pPr>
        <w:pStyle w:val="Heading1"/>
        <w:rPr>
          <w:rFonts w:asciiTheme="minorBidi" w:hAnsiTheme="minorBidi" w:cstheme="minorBidi"/>
          <w:b/>
          <w:bCs/>
          <w:color w:val="000000" w:themeColor="text1"/>
          <w:sz w:val="24"/>
          <w:szCs w:val="24"/>
        </w:rPr>
      </w:pPr>
      <w:bookmarkStart w:id="9" w:name="_Toc213880417"/>
      <w:r w:rsidRPr="00FD0548">
        <w:rPr>
          <w:rFonts w:asciiTheme="minorBidi" w:hAnsiTheme="minorBidi" w:cstheme="minorBidi"/>
          <w:b/>
          <w:bCs/>
          <w:color w:val="000000" w:themeColor="text1"/>
          <w:sz w:val="24"/>
          <w:szCs w:val="24"/>
        </w:rPr>
        <w:t>6. Policy and Legislation</w:t>
      </w:r>
      <w:bookmarkEnd w:id="9"/>
    </w:p>
    <w:p w14:paraId="5E3DFD58" w14:textId="77777777" w:rsidR="000111E3" w:rsidRDefault="000111E3" w:rsidP="000111E3"/>
    <w:p w14:paraId="0B2CFB34" w14:textId="77777777" w:rsidR="000111E3" w:rsidRPr="000B7A32" w:rsidRDefault="000111E3" w:rsidP="000B7A32">
      <w:pPr>
        <w:spacing w:line="360" w:lineRule="auto"/>
        <w:jc w:val="both"/>
        <w:rPr>
          <w:rFonts w:asciiTheme="minorBidi" w:hAnsiTheme="minorBidi"/>
          <w:sz w:val="22"/>
          <w:szCs w:val="22"/>
        </w:rPr>
      </w:pPr>
      <w:r w:rsidRPr="000B7A32">
        <w:rPr>
          <w:rFonts w:asciiTheme="minorBidi" w:hAnsiTheme="minorBidi"/>
          <w:sz w:val="22"/>
          <w:szCs w:val="22"/>
        </w:rPr>
        <w:t>The UK health and social care framework is guided by multiple legislative and policy instruments promoting PCC and PW:</w:t>
      </w:r>
    </w:p>
    <w:p w14:paraId="57ADB263" w14:textId="77777777" w:rsidR="000111E3" w:rsidRPr="000B7A32" w:rsidRDefault="000111E3" w:rsidP="000B7A32">
      <w:pPr>
        <w:spacing w:line="360" w:lineRule="auto"/>
        <w:jc w:val="both"/>
        <w:rPr>
          <w:rFonts w:asciiTheme="minorBidi" w:hAnsiTheme="minorBidi"/>
          <w:sz w:val="22"/>
          <w:szCs w:val="22"/>
        </w:rPr>
      </w:pPr>
    </w:p>
    <w:p w14:paraId="3DA15828" w14:textId="771EE6A1" w:rsidR="000111E3" w:rsidRPr="000B7A32" w:rsidRDefault="000111E3" w:rsidP="000B7A32">
      <w:pPr>
        <w:pStyle w:val="ListParagraph"/>
        <w:numPr>
          <w:ilvl w:val="0"/>
          <w:numId w:val="1"/>
        </w:numPr>
        <w:spacing w:line="360" w:lineRule="auto"/>
        <w:jc w:val="both"/>
        <w:rPr>
          <w:rFonts w:asciiTheme="minorBidi" w:hAnsiTheme="minorBidi"/>
          <w:sz w:val="22"/>
          <w:szCs w:val="22"/>
        </w:rPr>
      </w:pPr>
      <w:r w:rsidRPr="000B7A32">
        <w:rPr>
          <w:rFonts w:asciiTheme="minorBidi" w:hAnsiTheme="minorBidi"/>
          <w:sz w:val="22"/>
          <w:szCs w:val="22"/>
        </w:rPr>
        <w:t xml:space="preserve">The </w:t>
      </w:r>
      <w:r w:rsidRPr="000B7A32">
        <w:rPr>
          <w:rFonts w:asciiTheme="minorBidi" w:hAnsiTheme="minorBidi"/>
          <w:b/>
          <w:bCs/>
          <w:sz w:val="20"/>
          <w:szCs w:val="20"/>
        </w:rPr>
        <w:t>Care Act 2014</w:t>
      </w:r>
      <w:r w:rsidRPr="000B7A32">
        <w:rPr>
          <w:rFonts w:asciiTheme="minorBidi" w:hAnsiTheme="minorBidi"/>
          <w:sz w:val="20"/>
          <w:szCs w:val="20"/>
        </w:rPr>
        <w:t xml:space="preserve"> </w:t>
      </w:r>
      <w:r w:rsidRPr="000B7A32">
        <w:rPr>
          <w:rFonts w:asciiTheme="minorBidi" w:hAnsiTheme="minorBidi"/>
          <w:sz w:val="22"/>
          <w:szCs w:val="22"/>
        </w:rPr>
        <w:t>emphasizes wellbeing, prevention, and personalization of care.</w:t>
      </w:r>
    </w:p>
    <w:p w14:paraId="71BFC85A" w14:textId="44BD33B4" w:rsidR="000111E3" w:rsidRPr="000B7A32" w:rsidRDefault="000111E3" w:rsidP="000B7A32">
      <w:pPr>
        <w:pStyle w:val="ListParagraph"/>
        <w:numPr>
          <w:ilvl w:val="0"/>
          <w:numId w:val="1"/>
        </w:numPr>
        <w:spacing w:line="360" w:lineRule="auto"/>
        <w:jc w:val="both"/>
        <w:rPr>
          <w:rFonts w:asciiTheme="minorBidi" w:hAnsiTheme="minorBidi"/>
          <w:sz w:val="22"/>
          <w:szCs w:val="22"/>
        </w:rPr>
      </w:pPr>
      <w:r w:rsidRPr="000B7A32">
        <w:rPr>
          <w:rFonts w:asciiTheme="minorBidi" w:hAnsiTheme="minorBidi"/>
          <w:sz w:val="22"/>
          <w:szCs w:val="22"/>
        </w:rPr>
        <w:t xml:space="preserve">The </w:t>
      </w:r>
      <w:r w:rsidRPr="000B7A32">
        <w:rPr>
          <w:rFonts w:asciiTheme="minorBidi" w:hAnsiTheme="minorBidi"/>
          <w:b/>
          <w:bCs/>
          <w:sz w:val="20"/>
          <w:szCs w:val="20"/>
        </w:rPr>
        <w:t>Health and Care Act 2022</w:t>
      </w:r>
      <w:r w:rsidRPr="000B7A32">
        <w:rPr>
          <w:rFonts w:asciiTheme="minorBidi" w:hAnsiTheme="minorBidi"/>
          <w:sz w:val="20"/>
          <w:szCs w:val="20"/>
        </w:rPr>
        <w:t xml:space="preserve"> </w:t>
      </w:r>
      <w:r w:rsidR="00632158" w:rsidRPr="000B7A32">
        <w:rPr>
          <w:rFonts w:asciiTheme="minorBidi" w:hAnsiTheme="minorBidi"/>
          <w:sz w:val="22"/>
          <w:szCs w:val="22"/>
        </w:rPr>
        <w:t>strengthen</w:t>
      </w:r>
      <w:r w:rsidRPr="000B7A32">
        <w:rPr>
          <w:rFonts w:asciiTheme="minorBidi" w:hAnsiTheme="minorBidi"/>
          <w:sz w:val="22"/>
          <w:szCs w:val="22"/>
        </w:rPr>
        <w:t xml:space="preserve"> integration </w:t>
      </w:r>
      <w:r w:rsidRPr="000B7A32">
        <w:rPr>
          <w:rFonts w:asciiTheme="minorBidi" w:hAnsiTheme="minorBidi"/>
          <w:b/>
          <w:bCs/>
          <w:sz w:val="20"/>
          <w:szCs w:val="20"/>
        </w:rPr>
        <w:t>through Integrated Care Systems (ICS)</w:t>
      </w:r>
      <w:r w:rsidRPr="000B7A32">
        <w:rPr>
          <w:rFonts w:asciiTheme="minorBidi" w:hAnsiTheme="minorBidi"/>
          <w:b/>
          <w:bCs/>
          <w:sz w:val="22"/>
          <w:szCs w:val="22"/>
        </w:rPr>
        <w:t>,</w:t>
      </w:r>
      <w:r w:rsidRPr="000B7A32">
        <w:rPr>
          <w:rFonts w:asciiTheme="minorBidi" w:hAnsiTheme="minorBidi"/>
          <w:sz w:val="22"/>
          <w:szCs w:val="22"/>
        </w:rPr>
        <w:t xml:space="preserve"> promoting local collaboration.</w:t>
      </w:r>
    </w:p>
    <w:p w14:paraId="65760C05" w14:textId="55753DAB" w:rsidR="000111E3" w:rsidRPr="000B7A32" w:rsidRDefault="000111E3" w:rsidP="000B7A32">
      <w:pPr>
        <w:pStyle w:val="ListParagraph"/>
        <w:numPr>
          <w:ilvl w:val="0"/>
          <w:numId w:val="1"/>
        </w:numPr>
        <w:spacing w:line="360" w:lineRule="auto"/>
        <w:jc w:val="both"/>
        <w:rPr>
          <w:rFonts w:asciiTheme="minorBidi" w:hAnsiTheme="minorBidi"/>
          <w:sz w:val="22"/>
          <w:szCs w:val="22"/>
        </w:rPr>
      </w:pPr>
      <w:r w:rsidRPr="000B7A32">
        <w:rPr>
          <w:rFonts w:asciiTheme="minorBidi" w:hAnsiTheme="minorBidi"/>
          <w:sz w:val="22"/>
          <w:szCs w:val="22"/>
        </w:rPr>
        <w:t xml:space="preserve">The </w:t>
      </w:r>
      <w:r w:rsidRPr="000B7A32">
        <w:rPr>
          <w:rFonts w:asciiTheme="minorBidi" w:hAnsiTheme="minorBidi"/>
          <w:b/>
          <w:bCs/>
          <w:sz w:val="20"/>
          <w:szCs w:val="20"/>
        </w:rPr>
        <w:t>Health and Social Care Act 2012</w:t>
      </w:r>
      <w:r w:rsidRPr="000B7A32">
        <w:rPr>
          <w:rFonts w:asciiTheme="minorBidi" w:hAnsiTheme="minorBidi"/>
          <w:sz w:val="20"/>
          <w:szCs w:val="20"/>
        </w:rPr>
        <w:t xml:space="preserve"> </w:t>
      </w:r>
      <w:r w:rsidRPr="000B7A32">
        <w:rPr>
          <w:rFonts w:asciiTheme="minorBidi" w:hAnsiTheme="minorBidi"/>
          <w:sz w:val="22"/>
          <w:szCs w:val="22"/>
        </w:rPr>
        <w:t>introduced accountability and patient choice within service provision.</w:t>
      </w:r>
    </w:p>
    <w:p w14:paraId="7CB8083C" w14:textId="37909111" w:rsidR="000111E3" w:rsidRPr="000B7A32" w:rsidRDefault="000111E3" w:rsidP="000B7A32">
      <w:pPr>
        <w:pStyle w:val="ListParagraph"/>
        <w:numPr>
          <w:ilvl w:val="0"/>
          <w:numId w:val="1"/>
        </w:numPr>
        <w:spacing w:line="360" w:lineRule="auto"/>
        <w:jc w:val="both"/>
        <w:rPr>
          <w:rFonts w:asciiTheme="minorBidi" w:hAnsiTheme="minorBidi"/>
          <w:sz w:val="22"/>
          <w:szCs w:val="22"/>
        </w:rPr>
      </w:pPr>
      <w:r w:rsidRPr="000B7A32">
        <w:rPr>
          <w:rFonts w:asciiTheme="minorBidi" w:hAnsiTheme="minorBidi"/>
          <w:sz w:val="22"/>
          <w:szCs w:val="22"/>
        </w:rPr>
        <w:t xml:space="preserve">The </w:t>
      </w:r>
      <w:r w:rsidRPr="000B7A32">
        <w:rPr>
          <w:rFonts w:asciiTheme="minorBidi" w:hAnsiTheme="minorBidi"/>
          <w:b/>
          <w:bCs/>
          <w:sz w:val="20"/>
          <w:szCs w:val="20"/>
        </w:rPr>
        <w:t>Equality Act 2010</w:t>
      </w:r>
      <w:r w:rsidRPr="000B7A32">
        <w:rPr>
          <w:rFonts w:asciiTheme="minorBidi" w:hAnsiTheme="minorBidi"/>
          <w:sz w:val="20"/>
          <w:szCs w:val="20"/>
        </w:rPr>
        <w:t xml:space="preserve"> </w:t>
      </w:r>
      <w:r w:rsidRPr="000B7A32">
        <w:rPr>
          <w:rFonts w:asciiTheme="minorBidi" w:hAnsiTheme="minorBidi"/>
          <w:sz w:val="22"/>
          <w:szCs w:val="22"/>
        </w:rPr>
        <w:t>ensures equity and protects against discrimination.</w:t>
      </w:r>
    </w:p>
    <w:p w14:paraId="3B20DFA2" w14:textId="0879901E" w:rsidR="000111E3" w:rsidRDefault="00632158" w:rsidP="00632158">
      <w:pPr>
        <w:pStyle w:val="ListParagraph"/>
        <w:numPr>
          <w:ilvl w:val="0"/>
          <w:numId w:val="1"/>
        </w:numPr>
      </w:pPr>
      <w:r>
        <w:lastRenderedPageBreak/>
        <w:t>T</w:t>
      </w:r>
      <w:r w:rsidR="000111E3">
        <w:t xml:space="preserve">he </w:t>
      </w:r>
      <w:r w:rsidR="000111E3" w:rsidRPr="000B7A32">
        <w:rPr>
          <w:b/>
          <w:bCs/>
          <w:sz w:val="22"/>
          <w:szCs w:val="22"/>
        </w:rPr>
        <w:t>Human Rights Act 1998</w:t>
      </w:r>
      <w:r w:rsidR="000111E3" w:rsidRPr="000B7A32">
        <w:rPr>
          <w:sz w:val="22"/>
          <w:szCs w:val="22"/>
        </w:rPr>
        <w:t xml:space="preserve"> </w:t>
      </w:r>
      <w:r w:rsidR="000111E3">
        <w:t>underlines dignity, autonomy, and respect in healthcare.</w:t>
      </w:r>
    </w:p>
    <w:p w14:paraId="77300AD0" w14:textId="77777777" w:rsidR="000111E3" w:rsidRDefault="000111E3" w:rsidP="000111E3"/>
    <w:p w14:paraId="47CC96AB"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sz w:val="22"/>
          <w:szCs w:val="22"/>
        </w:rPr>
        <w:t xml:space="preserve">These frameworks are used in hospital wards to direct the professional behavior and the care of the patients. Indicatively, the </w:t>
      </w:r>
      <w:r w:rsidRPr="000B7A32">
        <w:rPr>
          <w:rFonts w:asciiTheme="minorBidi" w:hAnsiTheme="minorBidi"/>
          <w:b/>
          <w:bCs/>
          <w:sz w:val="22"/>
          <w:szCs w:val="22"/>
        </w:rPr>
        <w:t>Care Act 2014</w:t>
      </w:r>
      <w:r w:rsidRPr="000B7A32">
        <w:rPr>
          <w:rFonts w:asciiTheme="minorBidi" w:hAnsiTheme="minorBidi"/>
          <w:sz w:val="22"/>
          <w:szCs w:val="22"/>
        </w:rPr>
        <w:t xml:space="preserve"> notes that hospitals have an obligation to pay attention to holistic wellbeing in their discharge planning, whereas the </w:t>
      </w:r>
      <w:r w:rsidRPr="000B7A32">
        <w:rPr>
          <w:rFonts w:asciiTheme="minorBidi" w:hAnsiTheme="minorBidi"/>
          <w:b/>
          <w:bCs/>
          <w:sz w:val="22"/>
          <w:szCs w:val="22"/>
        </w:rPr>
        <w:t>Health and Care</w:t>
      </w:r>
      <w:r w:rsidRPr="000B7A32">
        <w:rPr>
          <w:rFonts w:asciiTheme="minorBidi" w:hAnsiTheme="minorBidi"/>
          <w:sz w:val="22"/>
          <w:szCs w:val="22"/>
        </w:rPr>
        <w:t xml:space="preserve"> </w:t>
      </w:r>
      <w:r w:rsidRPr="000B7A32">
        <w:rPr>
          <w:rFonts w:asciiTheme="minorBidi" w:hAnsiTheme="minorBidi"/>
          <w:b/>
          <w:bCs/>
          <w:sz w:val="22"/>
          <w:szCs w:val="22"/>
        </w:rPr>
        <w:t>Act 2022</w:t>
      </w:r>
      <w:r w:rsidRPr="000B7A32">
        <w:rPr>
          <w:rFonts w:asciiTheme="minorBidi" w:hAnsiTheme="minorBidi"/>
          <w:sz w:val="22"/>
          <w:szCs w:val="22"/>
        </w:rPr>
        <w:t xml:space="preserve"> notes that hospitals should coordinate with their community services to avoid any delays in the transfer of care.</w:t>
      </w:r>
    </w:p>
    <w:p w14:paraId="77932E79" w14:textId="02A3E87E" w:rsidR="000111E3" w:rsidRPr="000B7A32" w:rsidRDefault="00632158" w:rsidP="000B7A32">
      <w:pPr>
        <w:spacing w:line="360" w:lineRule="auto"/>
        <w:jc w:val="both"/>
        <w:rPr>
          <w:rFonts w:asciiTheme="minorBidi" w:hAnsiTheme="minorBidi"/>
          <w:sz w:val="22"/>
          <w:szCs w:val="22"/>
        </w:rPr>
      </w:pPr>
      <w:r w:rsidRPr="000B7A32">
        <w:rPr>
          <w:rFonts w:asciiTheme="minorBidi" w:hAnsiTheme="minorBidi"/>
          <w:sz w:val="22"/>
          <w:szCs w:val="22"/>
        </w:rPr>
        <w:t>Nonetheless, even with the progressive policy environment, the legislative initiatives are limited by financial reductions, staffing shortages, and bureaucracies. The watchful eye and reform would have to be consistent and on-going so that these legislative principles can be successfully translated into the practice.</w:t>
      </w:r>
    </w:p>
    <w:p w14:paraId="646AD755" w14:textId="77777777" w:rsidR="000111E3" w:rsidRDefault="000111E3" w:rsidP="000111E3"/>
    <w:p w14:paraId="71D3CFFC" w14:textId="2BF386DD" w:rsidR="000111E3" w:rsidRPr="00FD0548" w:rsidRDefault="000111E3" w:rsidP="00FD0548">
      <w:pPr>
        <w:pStyle w:val="Heading1"/>
        <w:rPr>
          <w:rFonts w:asciiTheme="minorBidi" w:hAnsiTheme="minorBidi" w:cstheme="minorBidi"/>
          <w:b/>
          <w:bCs/>
          <w:color w:val="000000" w:themeColor="text1"/>
          <w:sz w:val="24"/>
          <w:szCs w:val="24"/>
        </w:rPr>
      </w:pPr>
      <w:bookmarkStart w:id="10" w:name="_Toc213880418"/>
      <w:r w:rsidRPr="00FD0548">
        <w:rPr>
          <w:rFonts w:asciiTheme="minorBidi" w:hAnsiTheme="minorBidi" w:cstheme="minorBidi"/>
          <w:b/>
          <w:bCs/>
          <w:color w:val="000000" w:themeColor="text1"/>
          <w:sz w:val="24"/>
          <w:szCs w:val="24"/>
        </w:rPr>
        <w:t>7. Recommendations</w:t>
      </w:r>
      <w:bookmarkEnd w:id="10"/>
    </w:p>
    <w:p w14:paraId="65DEFD44" w14:textId="77777777" w:rsidR="000111E3" w:rsidRDefault="000111E3" w:rsidP="000111E3"/>
    <w:p w14:paraId="766B4E00"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sz w:val="22"/>
          <w:szCs w:val="22"/>
        </w:rPr>
        <w:t>In order to enhance the Person-</w:t>
      </w:r>
      <w:proofErr w:type="spellStart"/>
      <w:r w:rsidRPr="000B7A32">
        <w:rPr>
          <w:rFonts w:asciiTheme="minorBidi" w:hAnsiTheme="minorBidi"/>
          <w:sz w:val="22"/>
          <w:szCs w:val="22"/>
        </w:rPr>
        <w:t>Centred</w:t>
      </w:r>
      <w:proofErr w:type="spellEnd"/>
      <w:r w:rsidRPr="000B7A32">
        <w:rPr>
          <w:rFonts w:asciiTheme="minorBidi" w:hAnsiTheme="minorBidi"/>
          <w:sz w:val="22"/>
          <w:szCs w:val="22"/>
        </w:rPr>
        <w:t xml:space="preserve"> Care (PCC) and Partnership Working (PW), several strategies have been recommended that will resonate with each other in the delivery of hospital wards.</w:t>
      </w:r>
    </w:p>
    <w:p w14:paraId="0D9C3CCE" w14:textId="77777777" w:rsidR="00632158" w:rsidRDefault="00632158" w:rsidP="00632158"/>
    <w:p w14:paraId="3DD56668"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b/>
          <w:bCs/>
          <w:sz w:val="22"/>
          <w:szCs w:val="22"/>
        </w:rPr>
        <w:t>Improve Workforce Training:</w:t>
      </w:r>
      <w:r w:rsidRPr="000B7A32">
        <w:rPr>
          <w:rFonts w:asciiTheme="minorBidi" w:hAnsiTheme="minorBidi"/>
          <w:sz w:val="22"/>
          <w:szCs w:val="22"/>
        </w:rPr>
        <w:t xml:space="preserve"> Person-</w:t>
      </w:r>
      <w:proofErr w:type="spellStart"/>
      <w:r w:rsidRPr="000B7A32">
        <w:rPr>
          <w:rFonts w:asciiTheme="minorBidi" w:hAnsiTheme="minorBidi"/>
          <w:sz w:val="22"/>
          <w:szCs w:val="22"/>
        </w:rPr>
        <w:t>centred</w:t>
      </w:r>
      <w:proofErr w:type="spellEnd"/>
      <w:r w:rsidRPr="000B7A32">
        <w:rPr>
          <w:rFonts w:asciiTheme="minorBidi" w:hAnsiTheme="minorBidi"/>
          <w:sz w:val="22"/>
          <w:szCs w:val="22"/>
        </w:rPr>
        <w:t xml:space="preserve"> practice should be of the highest standards, and this is only possible by not stopping to enhance the professionalism of the workforce. Employees are to undergo continuous training on effective communication, empathy, and cultural competencies so that individuality and diversity in care delivery to patients are represented. This would be done by frequent workshops, reflective supervising sessions, and interprofessional education that helps in supporting the ethical decision-making and collaboration (Skills for Care, 2023). Leadership training and emotional intelligence should be also considered to make their training respond to the emotional complexity of patient care, allowing employees to remain compassionate and professional at the same time.</w:t>
      </w:r>
    </w:p>
    <w:p w14:paraId="3EC666C4" w14:textId="77777777" w:rsidR="00632158" w:rsidRPr="000B7A32" w:rsidRDefault="00632158" w:rsidP="000B7A32">
      <w:pPr>
        <w:spacing w:line="360" w:lineRule="auto"/>
        <w:jc w:val="both"/>
        <w:rPr>
          <w:rFonts w:asciiTheme="minorBidi" w:hAnsiTheme="minorBidi"/>
          <w:sz w:val="22"/>
          <w:szCs w:val="22"/>
        </w:rPr>
      </w:pPr>
    </w:p>
    <w:p w14:paraId="5C6155E0"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b/>
          <w:bCs/>
          <w:sz w:val="22"/>
          <w:szCs w:val="22"/>
        </w:rPr>
        <w:t>Use the Digital Technology:</w:t>
      </w:r>
      <w:r w:rsidRPr="000B7A32">
        <w:rPr>
          <w:rFonts w:asciiTheme="minorBidi" w:hAnsiTheme="minorBidi"/>
          <w:sz w:val="22"/>
          <w:szCs w:val="22"/>
        </w:rPr>
        <w:t xml:space="preserve"> Joint electronic care records and patient portals can be used to advance the communication between healthcare professionals and increase patient engagement. Digital systems facilitate the flow of information throughout the department and enhance transparency, which minimizes data replication and mistakes (NHS England, 2022). </w:t>
      </w:r>
      <w:r w:rsidRPr="000B7A32">
        <w:rPr>
          <w:rFonts w:asciiTheme="minorBidi" w:hAnsiTheme="minorBidi"/>
          <w:sz w:val="22"/>
          <w:szCs w:val="22"/>
        </w:rPr>
        <w:lastRenderedPageBreak/>
        <w:t>As an example, multidisciplinary teams can effectively coordinate care and real-time patient data will allow care coordinators to use up-to-date clinical data and patient preferences to develop treatment plans.</w:t>
      </w:r>
    </w:p>
    <w:p w14:paraId="1D286910" w14:textId="77777777" w:rsidR="00632158" w:rsidRPr="000B7A32" w:rsidRDefault="00632158" w:rsidP="000B7A32">
      <w:pPr>
        <w:spacing w:line="360" w:lineRule="auto"/>
        <w:jc w:val="both"/>
        <w:rPr>
          <w:rFonts w:asciiTheme="minorBidi" w:hAnsiTheme="minorBidi"/>
          <w:sz w:val="22"/>
          <w:szCs w:val="22"/>
        </w:rPr>
      </w:pPr>
    </w:p>
    <w:p w14:paraId="325359DD"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b/>
          <w:bCs/>
          <w:sz w:val="22"/>
          <w:szCs w:val="22"/>
        </w:rPr>
        <w:t>Create Collaborative Cultures:</w:t>
      </w:r>
      <w:r w:rsidRPr="000B7A32">
        <w:rPr>
          <w:rFonts w:asciiTheme="minorBidi" w:hAnsiTheme="minorBidi"/>
          <w:sz w:val="22"/>
          <w:szCs w:val="22"/>
        </w:rPr>
        <w:t xml:space="preserve"> Collaborative cultures also require an effective leadership style. Hospitals ought to foster the culture that fosters the involvement of each team member with regard to the importance of respecting the input and reducing the hierarchy levels. This may include routinely arranged multidisciplinary conferences, peer mentoring as well as mutual-accountability and mutual-respect joint-decision-making models. Developing the culture of trust, psychological safety among employees leads to increased motivation levels, burnout reduction, and improved patient outcomes (Glasby and Dickinson, 2021).</w:t>
      </w:r>
    </w:p>
    <w:p w14:paraId="42AB3EF7" w14:textId="77777777" w:rsidR="00632158" w:rsidRPr="000B7A32" w:rsidRDefault="00632158" w:rsidP="000B7A32">
      <w:pPr>
        <w:spacing w:line="360" w:lineRule="auto"/>
        <w:jc w:val="both"/>
        <w:rPr>
          <w:rFonts w:asciiTheme="minorBidi" w:hAnsiTheme="minorBidi"/>
          <w:sz w:val="22"/>
          <w:szCs w:val="22"/>
        </w:rPr>
      </w:pPr>
    </w:p>
    <w:p w14:paraId="3E9B4EBD"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b/>
          <w:bCs/>
          <w:sz w:val="22"/>
          <w:szCs w:val="22"/>
        </w:rPr>
        <w:t>Sustainability and Resources:</w:t>
      </w:r>
      <w:r w:rsidRPr="000B7A32">
        <w:rPr>
          <w:rFonts w:asciiTheme="minorBidi" w:hAnsiTheme="minorBidi"/>
          <w:sz w:val="22"/>
          <w:szCs w:val="22"/>
        </w:rPr>
        <w:t xml:space="preserve"> Discussing the problem of workforce short and funding disparities, it is vital to ensure related deals and guidelines to guarantee the consistent standards of person-</w:t>
      </w:r>
      <w:proofErr w:type="spellStart"/>
      <w:r w:rsidRPr="000B7A32">
        <w:rPr>
          <w:rFonts w:asciiTheme="minorBidi" w:hAnsiTheme="minorBidi"/>
          <w:sz w:val="22"/>
          <w:szCs w:val="22"/>
        </w:rPr>
        <w:t>centred</w:t>
      </w:r>
      <w:proofErr w:type="spellEnd"/>
      <w:r w:rsidRPr="000B7A32">
        <w:rPr>
          <w:rFonts w:asciiTheme="minorBidi" w:hAnsiTheme="minorBidi"/>
          <w:sz w:val="22"/>
          <w:szCs w:val="22"/>
        </w:rPr>
        <w:t xml:space="preserve"> care. Recruitment, distributing of work fairly and proper resourcing should be the prioritized policy reforms to reduce stress and staff retention.</w:t>
      </w:r>
    </w:p>
    <w:p w14:paraId="67288DA9" w14:textId="77777777" w:rsidR="00632158" w:rsidRPr="000B7A32" w:rsidRDefault="00632158" w:rsidP="000B7A32">
      <w:pPr>
        <w:spacing w:line="360" w:lineRule="auto"/>
        <w:jc w:val="both"/>
        <w:rPr>
          <w:rFonts w:asciiTheme="minorBidi" w:hAnsiTheme="minorBidi"/>
          <w:sz w:val="22"/>
          <w:szCs w:val="22"/>
        </w:rPr>
      </w:pPr>
    </w:p>
    <w:p w14:paraId="19CF86E8"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b/>
          <w:bCs/>
          <w:sz w:val="22"/>
          <w:szCs w:val="22"/>
        </w:rPr>
        <w:t xml:space="preserve">Encourage Reflective Practice: </w:t>
      </w:r>
      <w:r w:rsidRPr="000B7A32">
        <w:rPr>
          <w:rFonts w:asciiTheme="minorBidi" w:hAnsiTheme="minorBidi"/>
          <w:sz w:val="22"/>
          <w:szCs w:val="22"/>
        </w:rPr>
        <w:t>Lastly, making reflection practice systemic enables teams to review their practice, recognize the ethical dilemmas, and plan on how to continually improve. Reflection can encourage learning and self-awareness that are fundamental in terms of preserving compassionate and ethical care.</w:t>
      </w:r>
    </w:p>
    <w:p w14:paraId="49772515" w14:textId="77777777" w:rsidR="00632158" w:rsidRPr="000B7A32" w:rsidRDefault="00632158" w:rsidP="000B7A32">
      <w:pPr>
        <w:spacing w:line="360" w:lineRule="auto"/>
        <w:jc w:val="both"/>
        <w:rPr>
          <w:rFonts w:asciiTheme="minorBidi" w:hAnsiTheme="minorBidi"/>
          <w:sz w:val="22"/>
          <w:szCs w:val="22"/>
        </w:rPr>
      </w:pPr>
    </w:p>
    <w:p w14:paraId="0D3214A0" w14:textId="1085B32E" w:rsidR="000111E3" w:rsidRDefault="00632158" w:rsidP="000B7A32">
      <w:pPr>
        <w:spacing w:line="360" w:lineRule="auto"/>
        <w:jc w:val="both"/>
      </w:pPr>
      <w:r w:rsidRPr="000B7A32">
        <w:rPr>
          <w:rFonts w:asciiTheme="minorBidi" w:hAnsiTheme="minorBidi"/>
          <w:sz w:val="22"/>
          <w:szCs w:val="22"/>
        </w:rPr>
        <w:t>Contrary to possible barriers, including financial restraint, change resistance, and staff attitude differences, these suggestions can form a prototype to establish a sustainable, resilient, and compassionate culture in the hospital environment where PCC and PW are likely to develop effectively, the limited financial resources may act as a hindrance, and the resistance to change may prove hard to overcome.</w:t>
      </w:r>
    </w:p>
    <w:p w14:paraId="554DF80B" w14:textId="77777777" w:rsidR="000111E3" w:rsidRDefault="000111E3" w:rsidP="000111E3"/>
    <w:p w14:paraId="1C7296D4" w14:textId="77777777" w:rsidR="000B7A32" w:rsidRDefault="000B7A32" w:rsidP="000111E3">
      <w:pPr>
        <w:rPr>
          <w:b/>
          <w:bCs/>
        </w:rPr>
      </w:pPr>
    </w:p>
    <w:p w14:paraId="7025AAE7" w14:textId="77777777" w:rsidR="000B7A32" w:rsidRDefault="000B7A32" w:rsidP="000111E3">
      <w:pPr>
        <w:rPr>
          <w:b/>
          <w:bCs/>
        </w:rPr>
      </w:pPr>
    </w:p>
    <w:p w14:paraId="3EC3D890" w14:textId="77777777" w:rsidR="000B7A32" w:rsidRDefault="000B7A32" w:rsidP="000111E3">
      <w:pPr>
        <w:rPr>
          <w:b/>
          <w:bCs/>
        </w:rPr>
      </w:pPr>
    </w:p>
    <w:p w14:paraId="2B31A77F" w14:textId="701A5F38" w:rsidR="000111E3" w:rsidRPr="00FD0548" w:rsidRDefault="000111E3" w:rsidP="00FD0548">
      <w:pPr>
        <w:pStyle w:val="Heading1"/>
        <w:rPr>
          <w:rFonts w:asciiTheme="minorBidi" w:hAnsiTheme="minorBidi" w:cstheme="minorBidi"/>
          <w:b/>
          <w:bCs/>
          <w:color w:val="000000" w:themeColor="text1"/>
          <w:sz w:val="24"/>
          <w:szCs w:val="24"/>
        </w:rPr>
      </w:pPr>
      <w:bookmarkStart w:id="11" w:name="_Toc213880419"/>
      <w:r w:rsidRPr="00FD0548">
        <w:rPr>
          <w:rFonts w:asciiTheme="minorBidi" w:hAnsiTheme="minorBidi" w:cstheme="minorBidi"/>
          <w:b/>
          <w:bCs/>
          <w:color w:val="000000" w:themeColor="text1"/>
          <w:sz w:val="24"/>
          <w:szCs w:val="24"/>
        </w:rPr>
        <w:lastRenderedPageBreak/>
        <w:t>8. Conclusion</w:t>
      </w:r>
      <w:bookmarkEnd w:id="11"/>
    </w:p>
    <w:p w14:paraId="2AF38363" w14:textId="77777777" w:rsidR="000111E3" w:rsidRDefault="000111E3" w:rsidP="000111E3"/>
    <w:p w14:paraId="22C934A9"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sz w:val="22"/>
          <w:szCs w:val="22"/>
        </w:rPr>
        <w:t>This report has critically assessed the main principles, theories, and practical application of Person-</w:t>
      </w:r>
      <w:proofErr w:type="spellStart"/>
      <w:r w:rsidRPr="000B7A32">
        <w:rPr>
          <w:rFonts w:asciiTheme="minorBidi" w:hAnsiTheme="minorBidi"/>
          <w:sz w:val="22"/>
          <w:szCs w:val="22"/>
        </w:rPr>
        <w:t>Centred</w:t>
      </w:r>
      <w:proofErr w:type="spellEnd"/>
      <w:r w:rsidRPr="000B7A32">
        <w:rPr>
          <w:rFonts w:asciiTheme="minorBidi" w:hAnsiTheme="minorBidi"/>
          <w:sz w:val="22"/>
          <w:szCs w:val="22"/>
        </w:rPr>
        <w:t xml:space="preserve"> Care (PCC), Partnership Working (PW) with a hospital ward setup. Based on the Person-</w:t>
      </w:r>
      <w:proofErr w:type="spellStart"/>
      <w:r w:rsidRPr="000B7A32">
        <w:rPr>
          <w:rFonts w:asciiTheme="minorBidi" w:hAnsiTheme="minorBidi"/>
          <w:sz w:val="22"/>
          <w:szCs w:val="22"/>
        </w:rPr>
        <w:t>Centred</w:t>
      </w:r>
      <w:proofErr w:type="spellEnd"/>
      <w:r w:rsidRPr="000B7A32">
        <w:rPr>
          <w:rFonts w:asciiTheme="minorBidi" w:hAnsiTheme="minorBidi"/>
          <w:sz w:val="22"/>
          <w:szCs w:val="22"/>
        </w:rPr>
        <w:t xml:space="preserve"> Nursing Framework by McCormack and McCance (2017), it has shown that the effective PCC is based on professional competence, empathetic communication, and </w:t>
      </w:r>
      <w:proofErr w:type="spellStart"/>
      <w:r w:rsidRPr="000B7A32">
        <w:rPr>
          <w:rFonts w:asciiTheme="minorBidi" w:hAnsiTheme="minorBidi"/>
          <w:sz w:val="22"/>
          <w:szCs w:val="22"/>
        </w:rPr>
        <w:t>organisational</w:t>
      </w:r>
      <w:proofErr w:type="spellEnd"/>
      <w:r w:rsidRPr="000B7A32">
        <w:rPr>
          <w:rFonts w:asciiTheme="minorBidi" w:hAnsiTheme="minorBidi"/>
          <w:sz w:val="22"/>
          <w:szCs w:val="22"/>
        </w:rPr>
        <w:t xml:space="preserve"> culture supportive of it. The results have revealed that the achievement of PCC implementation is contingent on individual practitioners, but also the leadership that encourages collaboration, mutual respect, and shared responsibility of the multidisciplinary teams.</w:t>
      </w:r>
    </w:p>
    <w:p w14:paraId="4908C797" w14:textId="77777777" w:rsidR="00632158" w:rsidRPr="000B7A32" w:rsidRDefault="00632158" w:rsidP="000B7A32">
      <w:pPr>
        <w:spacing w:line="360" w:lineRule="auto"/>
        <w:jc w:val="both"/>
        <w:rPr>
          <w:rFonts w:asciiTheme="minorBidi" w:hAnsiTheme="minorBidi"/>
          <w:sz w:val="22"/>
          <w:szCs w:val="22"/>
        </w:rPr>
      </w:pPr>
      <w:r w:rsidRPr="000B7A32">
        <w:rPr>
          <w:rFonts w:asciiTheme="minorBidi" w:hAnsiTheme="minorBidi"/>
          <w:sz w:val="22"/>
          <w:szCs w:val="22"/>
        </w:rPr>
        <w:t>Such ethical values as autonomy, beneficence, non-maleficence, and justice were revealed to support equitable and humane healthcare services provision, where the welfare of patients is placed at the forefront of clinical decision-making. Moreover, national policies and laws, such as Care Act 2014 and Health and Care Act 2022, offer a fundamental guideline to ensure integration, equality and patient-</w:t>
      </w:r>
      <w:proofErr w:type="spellStart"/>
      <w:r w:rsidRPr="000B7A32">
        <w:rPr>
          <w:rFonts w:asciiTheme="minorBidi" w:hAnsiTheme="minorBidi"/>
          <w:sz w:val="22"/>
          <w:szCs w:val="22"/>
        </w:rPr>
        <w:t>centredness</w:t>
      </w:r>
      <w:proofErr w:type="spellEnd"/>
      <w:r w:rsidRPr="000B7A32">
        <w:rPr>
          <w:rFonts w:asciiTheme="minorBidi" w:hAnsiTheme="minorBidi"/>
          <w:sz w:val="22"/>
          <w:szCs w:val="22"/>
        </w:rPr>
        <w:t xml:space="preserve"> in the NHS.</w:t>
      </w:r>
    </w:p>
    <w:p w14:paraId="2BA8D8E4" w14:textId="1C9BBD9B" w:rsidR="000111E3" w:rsidRPr="000B7A32" w:rsidRDefault="00632158" w:rsidP="000B7A32">
      <w:pPr>
        <w:spacing w:line="360" w:lineRule="auto"/>
        <w:jc w:val="both"/>
        <w:rPr>
          <w:rFonts w:asciiTheme="minorBidi" w:hAnsiTheme="minorBidi"/>
          <w:sz w:val="22"/>
          <w:szCs w:val="22"/>
        </w:rPr>
      </w:pPr>
      <w:r w:rsidRPr="000B7A32">
        <w:rPr>
          <w:rFonts w:asciiTheme="minorBidi" w:hAnsiTheme="minorBidi"/>
          <w:sz w:val="22"/>
          <w:szCs w:val="22"/>
        </w:rPr>
        <w:t>Nonetheless, there are still long-term obstacles like staffing crises, limited funding and institutional strains that further frustrate implementation. Strategically, the future of PCC and PW depends on Workforce training, good digital inclusion and sound policy alignment. The inclusion of these strategies will make both PCC and PW core facilitative to the safe, equitable, and high-quality healthcare in the hospitals.</w:t>
      </w:r>
    </w:p>
    <w:p w14:paraId="12CEFD4F" w14:textId="77777777" w:rsidR="000B7A32" w:rsidRDefault="000B7A32" w:rsidP="00707E6B">
      <w:pPr>
        <w:rPr>
          <w:rFonts w:asciiTheme="minorBidi" w:hAnsiTheme="minorBidi"/>
          <w:b/>
          <w:bCs/>
        </w:rPr>
      </w:pPr>
    </w:p>
    <w:p w14:paraId="706E0F84" w14:textId="77777777" w:rsidR="000B7A32" w:rsidRDefault="000B7A32" w:rsidP="00707E6B">
      <w:pPr>
        <w:rPr>
          <w:rFonts w:asciiTheme="minorBidi" w:hAnsiTheme="minorBidi"/>
          <w:b/>
          <w:bCs/>
        </w:rPr>
      </w:pPr>
    </w:p>
    <w:p w14:paraId="0AC3CF51" w14:textId="77777777" w:rsidR="000B7A32" w:rsidRDefault="000B7A32" w:rsidP="00707E6B">
      <w:pPr>
        <w:rPr>
          <w:rFonts w:asciiTheme="minorBidi" w:hAnsiTheme="minorBidi"/>
          <w:b/>
          <w:bCs/>
        </w:rPr>
      </w:pPr>
    </w:p>
    <w:p w14:paraId="1A5B3422" w14:textId="77777777" w:rsidR="000B7A32" w:rsidRDefault="000B7A32" w:rsidP="00707E6B">
      <w:pPr>
        <w:rPr>
          <w:rFonts w:asciiTheme="minorBidi" w:hAnsiTheme="minorBidi"/>
          <w:b/>
          <w:bCs/>
        </w:rPr>
      </w:pPr>
    </w:p>
    <w:p w14:paraId="67EA8801" w14:textId="77777777" w:rsidR="000B7A32" w:rsidRDefault="000B7A32" w:rsidP="00707E6B">
      <w:pPr>
        <w:rPr>
          <w:rFonts w:asciiTheme="minorBidi" w:hAnsiTheme="minorBidi"/>
          <w:b/>
          <w:bCs/>
        </w:rPr>
      </w:pPr>
    </w:p>
    <w:p w14:paraId="15C15D61" w14:textId="77777777" w:rsidR="000B7A32" w:rsidRDefault="000B7A32" w:rsidP="00707E6B">
      <w:pPr>
        <w:rPr>
          <w:rFonts w:asciiTheme="minorBidi" w:hAnsiTheme="minorBidi"/>
          <w:b/>
          <w:bCs/>
        </w:rPr>
      </w:pPr>
    </w:p>
    <w:p w14:paraId="3AF6D20E" w14:textId="77777777" w:rsidR="000B7A32" w:rsidRDefault="000B7A32" w:rsidP="00707E6B">
      <w:pPr>
        <w:rPr>
          <w:rFonts w:asciiTheme="minorBidi" w:hAnsiTheme="minorBidi"/>
          <w:b/>
          <w:bCs/>
        </w:rPr>
      </w:pPr>
    </w:p>
    <w:p w14:paraId="5953CDCC" w14:textId="77777777" w:rsidR="000B7A32" w:rsidRDefault="000B7A32" w:rsidP="00707E6B">
      <w:pPr>
        <w:rPr>
          <w:rFonts w:asciiTheme="minorBidi" w:hAnsiTheme="minorBidi"/>
          <w:b/>
          <w:bCs/>
        </w:rPr>
      </w:pPr>
    </w:p>
    <w:p w14:paraId="5FDE715F" w14:textId="77777777" w:rsidR="000B7A32" w:rsidRDefault="000B7A32" w:rsidP="00707E6B">
      <w:pPr>
        <w:rPr>
          <w:rFonts w:asciiTheme="minorBidi" w:hAnsiTheme="minorBidi"/>
          <w:b/>
          <w:bCs/>
        </w:rPr>
      </w:pPr>
    </w:p>
    <w:p w14:paraId="4845F9FC" w14:textId="77777777" w:rsidR="000B7A32" w:rsidRDefault="000B7A32" w:rsidP="00707E6B">
      <w:pPr>
        <w:rPr>
          <w:rFonts w:asciiTheme="minorBidi" w:hAnsiTheme="minorBidi"/>
          <w:b/>
          <w:bCs/>
        </w:rPr>
      </w:pPr>
    </w:p>
    <w:p w14:paraId="31AB8DF2" w14:textId="77777777" w:rsidR="000B7A32" w:rsidRDefault="000B7A32" w:rsidP="00707E6B">
      <w:pPr>
        <w:rPr>
          <w:rFonts w:asciiTheme="minorBidi" w:hAnsiTheme="minorBidi"/>
          <w:b/>
          <w:bCs/>
        </w:rPr>
      </w:pPr>
    </w:p>
    <w:p w14:paraId="1C4E6780" w14:textId="77777777" w:rsidR="000B7A32" w:rsidRDefault="000B7A32" w:rsidP="00707E6B">
      <w:pPr>
        <w:rPr>
          <w:rFonts w:asciiTheme="minorBidi" w:hAnsiTheme="minorBidi"/>
          <w:b/>
          <w:bCs/>
        </w:rPr>
      </w:pPr>
    </w:p>
    <w:p w14:paraId="726A000B" w14:textId="1D713D6E" w:rsidR="00707E6B" w:rsidRPr="00FD0548" w:rsidRDefault="000111E3" w:rsidP="00FD0548">
      <w:pPr>
        <w:pStyle w:val="Heading1"/>
        <w:rPr>
          <w:rFonts w:asciiTheme="minorBidi" w:hAnsiTheme="minorBidi" w:cstheme="minorBidi"/>
          <w:b/>
          <w:bCs/>
          <w:color w:val="000000" w:themeColor="text1"/>
          <w:sz w:val="24"/>
          <w:szCs w:val="24"/>
        </w:rPr>
      </w:pPr>
      <w:bookmarkStart w:id="12" w:name="_Toc213880420"/>
      <w:r w:rsidRPr="00FD0548">
        <w:rPr>
          <w:rFonts w:asciiTheme="minorBidi" w:hAnsiTheme="minorBidi" w:cstheme="minorBidi"/>
          <w:b/>
          <w:bCs/>
          <w:color w:val="000000" w:themeColor="text1"/>
          <w:sz w:val="24"/>
          <w:szCs w:val="24"/>
        </w:rPr>
        <w:lastRenderedPageBreak/>
        <w:t>References</w:t>
      </w:r>
      <w:r w:rsidR="000B7A32" w:rsidRPr="00FD0548">
        <w:rPr>
          <w:rFonts w:asciiTheme="minorBidi" w:hAnsiTheme="minorBidi" w:cstheme="minorBidi"/>
          <w:b/>
          <w:bCs/>
          <w:color w:val="000000" w:themeColor="text1"/>
          <w:sz w:val="24"/>
          <w:szCs w:val="24"/>
        </w:rPr>
        <w:t>:</w:t>
      </w:r>
      <w:bookmarkEnd w:id="12"/>
    </w:p>
    <w:p w14:paraId="679090EB" w14:textId="77777777" w:rsidR="00707E6B" w:rsidRPr="00707E6B" w:rsidRDefault="00707E6B" w:rsidP="00707E6B">
      <w:pPr>
        <w:numPr>
          <w:ilvl w:val="0"/>
          <w:numId w:val="2"/>
        </w:numPr>
      </w:pPr>
      <w:r w:rsidRPr="00707E6B">
        <w:t xml:space="preserve">Beauchamp, T.L. and Childress, J.F. (2019) </w:t>
      </w:r>
      <w:r w:rsidRPr="00707E6B">
        <w:rPr>
          <w:i/>
          <w:iCs/>
        </w:rPr>
        <w:t>Principles of Biomedical Ethics.</w:t>
      </w:r>
      <w:r w:rsidRPr="00707E6B">
        <w:t xml:space="preserve"> 8th ed. Oxford: Oxford University Press.</w:t>
      </w:r>
    </w:p>
    <w:p w14:paraId="30146901" w14:textId="77777777" w:rsidR="00707E6B" w:rsidRPr="00707E6B" w:rsidRDefault="00707E6B" w:rsidP="00707E6B">
      <w:pPr>
        <w:numPr>
          <w:ilvl w:val="0"/>
          <w:numId w:val="2"/>
        </w:numPr>
      </w:pPr>
      <w:r w:rsidRPr="00707E6B">
        <w:t xml:space="preserve">Brooker, D. and Latham, I. (2020) </w:t>
      </w:r>
      <w:r w:rsidRPr="00707E6B">
        <w:rPr>
          <w:i/>
          <w:iCs/>
        </w:rPr>
        <w:t>Person-</w:t>
      </w:r>
      <w:proofErr w:type="spellStart"/>
      <w:r w:rsidRPr="00707E6B">
        <w:rPr>
          <w:i/>
          <w:iCs/>
        </w:rPr>
        <w:t>Centred</w:t>
      </w:r>
      <w:proofErr w:type="spellEnd"/>
      <w:r w:rsidRPr="00707E6B">
        <w:rPr>
          <w:i/>
          <w:iCs/>
        </w:rPr>
        <w:t xml:space="preserve"> Dementia Care: Making Services Better with the VIPS Framework.</w:t>
      </w:r>
      <w:r w:rsidRPr="00707E6B">
        <w:t xml:space="preserve"> 3rd ed. London: Jessica Kingsley.</w:t>
      </w:r>
    </w:p>
    <w:p w14:paraId="1A0D18D7" w14:textId="77777777" w:rsidR="00707E6B" w:rsidRPr="00707E6B" w:rsidRDefault="00707E6B" w:rsidP="00707E6B">
      <w:pPr>
        <w:numPr>
          <w:ilvl w:val="0"/>
          <w:numId w:val="2"/>
        </w:numPr>
      </w:pPr>
      <w:r w:rsidRPr="00707E6B">
        <w:t xml:space="preserve">Coulter, A., Roberts, S. and Dixon, A. (2022) </w:t>
      </w:r>
      <w:r w:rsidRPr="00707E6B">
        <w:rPr>
          <w:i/>
          <w:iCs/>
        </w:rPr>
        <w:t>Delivering Better Services for People with Long-Term Conditions.</w:t>
      </w:r>
      <w:r w:rsidRPr="00707E6B">
        <w:t xml:space="preserve"> London: The King’s Fund.</w:t>
      </w:r>
    </w:p>
    <w:p w14:paraId="037EC2E8" w14:textId="77777777" w:rsidR="00707E6B" w:rsidRPr="00707E6B" w:rsidRDefault="00707E6B" w:rsidP="00707E6B">
      <w:pPr>
        <w:numPr>
          <w:ilvl w:val="0"/>
          <w:numId w:val="2"/>
        </w:numPr>
      </w:pPr>
      <w:r w:rsidRPr="00707E6B">
        <w:t xml:space="preserve">Department of Health and Social Care (DHSC) (2023) </w:t>
      </w:r>
      <w:r w:rsidRPr="00707E6B">
        <w:rPr>
          <w:i/>
          <w:iCs/>
        </w:rPr>
        <w:t>People at the Heart of Care: Adult Social Care Reform White Paper.</w:t>
      </w:r>
      <w:r w:rsidRPr="00707E6B">
        <w:t xml:space="preserve"> London: HMSO.</w:t>
      </w:r>
    </w:p>
    <w:p w14:paraId="3107E6BE" w14:textId="77777777" w:rsidR="00707E6B" w:rsidRPr="00707E6B" w:rsidRDefault="00707E6B" w:rsidP="00707E6B">
      <w:pPr>
        <w:numPr>
          <w:ilvl w:val="0"/>
          <w:numId w:val="2"/>
        </w:numPr>
      </w:pPr>
      <w:r w:rsidRPr="00707E6B">
        <w:t xml:space="preserve">Glasby, J. and Dickinson, H. (2021) </w:t>
      </w:r>
      <w:r w:rsidRPr="00707E6B">
        <w:rPr>
          <w:i/>
          <w:iCs/>
        </w:rPr>
        <w:t>Partnership Working in Health and Social Care: What Is Integrated Care and How Can We Deliver It?</w:t>
      </w:r>
      <w:r w:rsidRPr="00707E6B">
        <w:t xml:space="preserve"> 3rd ed. Bristol: Policy Press.</w:t>
      </w:r>
    </w:p>
    <w:p w14:paraId="172BE42A" w14:textId="77777777" w:rsidR="00707E6B" w:rsidRPr="00707E6B" w:rsidRDefault="00707E6B" w:rsidP="00707E6B">
      <w:pPr>
        <w:numPr>
          <w:ilvl w:val="0"/>
          <w:numId w:val="2"/>
        </w:numPr>
      </w:pPr>
      <w:r w:rsidRPr="00707E6B">
        <w:t xml:space="preserve">Health Foundation (2021) </w:t>
      </w:r>
      <w:r w:rsidRPr="00707E6B">
        <w:rPr>
          <w:i/>
          <w:iCs/>
        </w:rPr>
        <w:t>Person-</w:t>
      </w:r>
      <w:proofErr w:type="spellStart"/>
      <w:r w:rsidRPr="00707E6B">
        <w:rPr>
          <w:i/>
          <w:iCs/>
        </w:rPr>
        <w:t>Centred</w:t>
      </w:r>
      <w:proofErr w:type="spellEnd"/>
      <w:r w:rsidRPr="00707E6B">
        <w:rPr>
          <w:i/>
          <w:iCs/>
        </w:rPr>
        <w:t xml:space="preserve"> Care.</w:t>
      </w:r>
      <w:r w:rsidRPr="00707E6B">
        <w:t xml:space="preserve"> Available at: </w:t>
      </w:r>
      <w:hyperlink r:id="rId10" w:history="1">
        <w:r w:rsidRPr="00707E6B">
          <w:rPr>
            <w:rStyle w:val="Hyperlink"/>
          </w:rPr>
          <w:t>https://www.health.org.uk/</w:t>
        </w:r>
      </w:hyperlink>
      <w:r w:rsidRPr="00707E6B">
        <w:t xml:space="preserve"> (Accessed: 10 November 2025).</w:t>
      </w:r>
    </w:p>
    <w:p w14:paraId="09DCCA45" w14:textId="77777777" w:rsidR="00707E6B" w:rsidRPr="00707E6B" w:rsidRDefault="00707E6B" w:rsidP="00707E6B">
      <w:pPr>
        <w:numPr>
          <w:ilvl w:val="0"/>
          <w:numId w:val="2"/>
        </w:numPr>
      </w:pPr>
      <w:r w:rsidRPr="00707E6B">
        <w:t xml:space="preserve">McCormack, B. and McCance, T. (2017) </w:t>
      </w:r>
      <w:r w:rsidRPr="00707E6B">
        <w:rPr>
          <w:i/>
          <w:iCs/>
        </w:rPr>
        <w:t>Person-</w:t>
      </w:r>
      <w:proofErr w:type="spellStart"/>
      <w:r w:rsidRPr="00707E6B">
        <w:rPr>
          <w:i/>
          <w:iCs/>
        </w:rPr>
        <w:t>Centred</w:t>
      </w:r>
      <w:proofErr w:type="spellEnd"/>
      <w:r w:rsidRPr="00707E6B">
        <w:rPr>
          <w:i/>
          <w:iCs/>
        </w:rPr>
        <w:t xml:space="preserve"> Practice in Nursing and Health Care: Theory and Practice.</w:t>
      </w:r>
      <w:r w:rsidRPr="00707E6B">
        <w:t xml:space="preserve"> 2nd ed. Oxford: Wiley Blackwell.</w:t>
      </w:r>
    </w:p>
    <w:p w14:paraId="76487694" w14:textId="77777777" w:rsidR="00707E6B" w:rsidRPr="00707E6B" w:rsidRDefault="00707E6B" w:rsidP="00707E6B">
      <w:pPr>
        <w:numPr>
          <w:ilvl w:val="0"/>
          <w:numId w:val="2"/>
        </w:numPr>
      </w:pPr>
      <w:r w:rsidRPr="00707E6B">
        <w:t xml:space="preserve">NHS (2023) </w:t>
      </w:r>
      <w:r w:rsidRPr="00707E6B">
        <w:rPr>
          <w:i/>
          <w:iCs/>
        </w:rPr>
        <w:t>Working in Partnership to Improve Patient Care.</w:t>
      </w:r>
      <w:r w:rsidRPr="00707E6B">
        <w:t xml:space="preserve"> Available at: </w:t>
      </w:r>
      <w:hyperlink r:id="rId11" w:history="1">
        <w:r w:rsidRPr="00707E6B">
          <w:rPr>
            <w:rStyle w:val="Hyperlink"/>
          </w:rPr>
          <w:t>https://www.nhs.uk/</w:t>
        </w:r>
      </w:hyperlink>
      <w:r w:rsidRPr="00707E6B">
        <w:t xml:space="preserve"> (Accessed: 10 November 2025).</w:t>
      </w:r>
    </w:p>
    <w:p w14:paraId="54FA10D6" w14:textId="77777777" w:rsidR="00707E6B" w:rsidRPr="00707E6B" w:rsidRDefault="00707E6B" w:rsidP="00707E6B">
      <w:pPr>
        <w:numPr>
          <w:ilvl w:val="0"/>
          <w:numId w:val="2"/>
        </w:numPr>
      </w:pPr>
      <w:r w:rsidRPr="00707E6B">
        <w:t xml:space="preserve">NHS England (2022) </w:t>
      </w:r>
      <w:r w:rsidRPr="00707E6B">
        <w:rPr>
          <w:i/>
          <w:iCs/>
        </w:rPr>
        <w:t>Integrated Care Systems.</w:t>
      </w:r>
      <w:r w:rsidRPr="00707E6B">
        <w:t xml:space="preserve"> Available at: </w:t>
      </w:r>
      <w:hyperlink r:id="rId12" w:history="1">
        <w:r w:rsidRPr="00707E6B">
          <w:rPr>
            <w:rStyle w:val="Hyperlink"/>
          </w:rPr>
          <w:t>https://www.england.nhs.uk/integratedcare/</w:t>
        </w:r>
      </w:hyperlink>
      <w:r w:rsidRPr="00707E6B">
        <w:t xml:space="preserve"> (Accessed: 10 November 2025).</w:t>
      </w:r>
    </w:p>
    <w:p w14:paraId="1864D25D" w14:textId="77777777" w:rsidR="00707E6B" w:rsidRPr="00707E6B" w:rsidRDefault="00707E6B" w:rsidP="00707E6B">
      <w:pPr>
        <w:numPr>
          <w:ilvl w:val="0"/>
          <w:numId w:val="2"/>
        </w:numPr>
      </w:pPr>
      <w:r w:rsidRPr="00707E6B">
        <w:t xml:space="preserve">Nolan, M., Brown, J. and Davies, S. (2020) </w:t>
      </w:r>
      <w:r w:rsidRPr="00707E6B">
        <w:rPr>
          <w:i/>
          <w:iCs/>
        </w:rPr>
        <w:t>The Senses Framework: Improving Care Quality in Health and Social Care.</w:t>
      </w:r>
      <w:r w:rsidRPr="00707E6B">
        <w:t xml:space="preserve"> 2nd ed. London: Open University Press.</w:t>
      </w:r>
    </w:p>
    <w:p w14:paraId="6EE6ED7C" w14:textId="77777777" w:rsidR="00707E6B" w:rsidRPr="00707E6B" w:rsidRDefault="00707E6B" w:rsidP="00707E6B">
      <w:pPr>
        <w:numPr>
          <w:ilvl w:val="0"/>
          <w:numId w:val="2"/>
        </w:numPr>
      </w:pPr>
      <w:r w:rsidRPr="00707E6B">
        <w:t xml:space="preserve">RCN (Royal College of Nursing) (2022) </w:t>
      </w:r>
      <w:r w:rsidRPr="00707E6B">
        <w:rPr>
          <w:i/>
          <w:iCs/>
        </w:rPr>
        <w:t>Principles of Nursing Practice.</w:t>
      </w:r>
      <w:r w:rsidRPr="00707E6B">
        <w:t xml:space="preserve"> Available at: </w:t>
      </w:r>
      <w:hyperlink r:id="rId13" w:history="1">
        <w:r w:rsidRPr="00707E6B">
          <w:rPr>
            <w:rStyle w:val="Hyperlink"/>
          </w:rPr>
          <w:t>https://www.rcn.org.uk/</w:t>
        </w:r>
      </w:hyperlink>
      <w:r w:rsidRPr="00707E6B">
        <w:t xml:space="preserve"> (Accessed: 10 November 2025).</w:t>
      </w:r>
    </w:p>
    <w:p w14:paraId="2C3194A0" w14:textId="77777777" w:rsidR="00707E6B" w:rsidRPr="00707E6B" w:rsidRDefault="00707E6B" w:rsidP="00707E6B">
      <w:pPr>
        <w:numPr>
          <w:ilvl w:val="0"/>
          <w:numId w:val="2"/>
        </w:numPr>
      </w:pPr>
      <w:r w:rsidRPr="00707E6B">
        <w:t xml:space="preserve">Skills for Care (2023) </w:t>
      </w:r>
      <w:r w:rsidRPr="00707E6B">
        <w:rPr>
          <w:i/>
          <w:iCs/>
        </w:rPr>
        <w:t>Workforce Development in Health and Social Care.</w:t>
      </w:r>
      <w:r w:rsidRPr="00707E6B">
        <w:t xml:space="preserve"> Available at: </w:t>
      </w:r>
      <w:hyperlink r:id="rId14" w:history="1">
        <w:r w:rsidRPr="00707E6B">
          <w:rPr>
            <w:rStyle w:val="Hyperlink"/>
          </w:rPr>
          <w:t>https://www.skillsforcare.org.uk/</w:t>
        </w:r>
      </w:hyperlink>
      <w:r w:rsidRPr="00707E6B">
        <w:t xml:space="preserve"> (Accessed: 10 November 2025).</w:t>
      </w:r>
    </w:p>
    <w:p w14:paraId="051F8B3B" w14:textId="77777777" w:rsidR="00707E6B" w:rsidRPr="00707E6B" w:rsidRDefault="00707E6B" w:rsidP="00707E6B">
      <w:pPr>
        <w:numPr>
          <w:ilvl w:val="0"/>
          <w:numId w:val="2"/>
        </w:numPr>
      </w:pPr>
      <w:r w:rsidRPr="00707E6B">
        <w:t xml:space="preserve">West, M., Bailey, S. and Williams, E. (2020) </w:t>
      </w:r>
      <w:r w:rsidRPr="00707E6B">
        <w:rPr>
          <w:i/>
          <w:iCs/>
        </w:rPr>
        <w:t>The Courage of Compassion: Supporting Nurses and Midwives to Deliver High-Quality Care.</w:t>
      </w:r>
      <w:r w:rsidRPr="00707E6B">
        <w:t xml:space="preserve"> London: The King’s Fund.</w:t>
      </w:r>
    </w:p>
    <w:p w14:paraId="262D0664" w14:textId="77777777" w:rsidR="00707E6B" w:rsidRPr="00707E6B" w:rsidRDefault="00707E6B" w:rsidP="00707E6B">
      <w:pPr>
        <w:numPr>
          <w:ilvl w:val="0"/>
          <w:numId w:val="2"/>
        </w:numPr>
      </w:pPr>
      <w:r w:rsidRPr="00707E6B">
        <w:t xml:space="preserve">World Health Organization (WHO) (2021) </w:t>
      </w:r>
      <w:r w:rsidRPr="00707E6B">
        <w:rPr>
          <w:i/>
          <w:iCs/>
        </w:rPr>
        <w:t>Framework on Integrated, People-</w:t>
      </w:r>
      <w:proofErr w:type="spellStart"/>
      <w:r w:rsidRPr="00707E6B">
        <w:rPr>
          <w:i/>
          <w:iCs/>
        </w:rPr>
        <w:t>Centred</w:t>
      </w:r>
      <w:proofErr w:type="spellEnd"/>
      <w:r w:rsidRPr="00707E6B">
        <w:rPr>
          <w:i/>
          <w:iCs/>
        </w:rPr>
        <w:t xml:space="preserve"> Health Services.</w:t>
      </w:r>
      <w:r w:rsidRPr="00707E6B">
        <w:t xml:space="preserve"> Geneva: WHO Press.</w:t>
      </w:r>
    </w:p>
    <w:p w14:paraId="6FCD2D63" w14:textId="7C0DF663" w:rsidR="00983E98" w:rsidRDefault="00707E6B" w:rsidP="00707E6B">
      <w:pPr>
        <w:numPr>
          <w:ilvl w:val="0"/>
          <w:numId w:val="2"/>
        </w:numPr>
      </w:pPr>
      <w:r w:rsidRPr="00707E6B">
        <w:t xml:space="preserve">World Health Organization (WHO) (2022) </w:t>
      </w:r>
      <w:r w:rsidRPr="00707E6B">
        <w:rPr>
          <w:i/>
          <w:iCs/>
        </w:rPr>
        <w:t>Global Report on Quality and Safety of Health Services.</w:t>
      </w:r>
      <w:r w:rsidRPr="00707E6B">
        <w:t xml:space="preserve"> Geneva: WHO Press.</w:t>
      </w:r>
    </w:p>
    <w:sectPr w:rsidR="00983E98" w:rsidSect="000B7A32">
      <w:pgSz w:w="11909" w:h="16834" w:code="9"/>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9C1F9" w14:textId="77777777" w:rsidR="00EA2CD8" w:rsidRDefault="00EA2CD8" w:rsidP="00A1210E">
      <w:pPr>
        <w:spacing w:after="0" w:line="240" w:lineRule="auto"/>
      </w:pPr>
      <w:r>
        <w:separator/>
      </w:r>
    </w:p>
  </w:endnote>
  <w:endnote w:type="continuationSeparator" w:id="0">
    <w:p w14:paraId="718C83D8" w14:textId="77777777" w:rsidR="00EA2CD8" w:rsidRDefault="00EA2CD8" w:rsidP="00A12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8A121" w14:textId="77777777" w:rsidR="00EA2CD8" w:rsidRDefault="00EA2CD8" w:rsidP="00A1210E">
      <w:pPr>
        <w:spacing w:after="0" w:line="240" w:lineRule="auto"/>
      </w:pPr>
      <w:r>
        <w:separator/>
      </w:r>
    </w:p>
  </w:footnote>
  <w:footnote w:type="continuationSeparator" w:id="0">
    <w:p w14:paraId="5DE8D564" w14:textId="77777777" w:rsidR="00EA2CD8" w:rsidRDefault="00EA2CD8" w:rsidP="00A121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403B5"/>
    <w:multiLevelType w:val="hybridMultilevel"/>
    <w:tmpl w:val="AA109344"/>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3A2A19D3"/>
    <w:multiLevelType w:val="multilevel"/>
    <w:tmpl w:val="41E2D2BA"/>
    <w:lvl w:ilvl="0">
      <w:start w:val="1"/>
      <w:numFmt w:val="decimal"/>
      <w:lvlText w:val="%1."/>
      <w:lvlJc w:val="left"/>
      <w:pPr>
        <w:tabs>
          <w:tab w:val="num" w:pos="720"/>
        </w:tabs>
        <w:ind w:left="720" w:hanging="360"/>
      </w:pPr>
      <w:rPr>
        <w:rFonts w:asciiTheme="minorBidi" w:hAnsiTheme="minorBidi" w:cstheme="minorBidi"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9374235">
    <w:abstractNumId w:val="0"/>
  </w:num>
  <w:num w:numId="2" w16cid:durableId="1211261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1E3"/>
    <w:rsid w:val="000111E3"/>
    <w:rsid w:val="000B7A32"/>
    <w:rsid w:val="000C69F7"/>
    <w:rsid w:val="001478F8"/>
    <w:rsid w:val="002A50B6"/>
    <w:rsid w:val="003E5E70"/>
    <w:rsid w:val="006300DE"/>
    <w:rsid w:val="00632158"/>
    <w:rsid w:val="006741E5"/>
    <w:rsid w:val="00707E6B"/>
    <w:rsid w:val="007C7C82"/>
    <w:rsid w:val="0080143E"/>
    <w:rsid w:val="009609C2"/>
    <w:rsid w:val="00983E98"/>
    <w:rsid w:val="00A013D4"/>
    <w:rsid w:val="00A1210E"/>
    <w:rsid w:val="00B50C2B"/>
    <w:rsid w:val="00C01DA2"/>
    <w:rsid w:val="00EA2CD8"/>
    <w:rsid w:val="00EC22BD"/>
    <w:rsid w:val="00FD0548"/>
    <w:rsid w:val="00FD1F0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5B1A2"/>
  <w15:chartTrackingRefBased/>
  <w15:docId w15:val="{C1D3B2D3-BBE2-40D7-8615-8E82DDA2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1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111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11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11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11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11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1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1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1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1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111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11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11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11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11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1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1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1E3"/>
    <w:rPr>
      <w:rFonts w:eastAsiaTheme="majorEastAsia" w:cstheme="majorBidi"/>
      <w:color w:val="272727" w:themeColor="text1" w:themeTint="D8"/>
    </w:rPr>
  </w:style>
  <w:style w:type="paragraph" w:styleId="Title">
    <w:name w:val="Title"/>
    <w:basedOn w:val="Normal"/>
    <w:next w:val="Normal"/>
    <w:link w:val="TitleChar"/>
    <w:uiPriority w:val="10"/>
    <w:qFormat/>
    <w:rsid w:val="000111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1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1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1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1E3"/>
    <w:pPr>
      <w:spacing w:before="160"/>
      <w:jc w:val="center"/>
    </w:pPr>
    <w:rPr>
      <w:i/>
      <w:iCs/>
      <w:color w:val="404040" w:themeColor="text1" w:themeTint="BF"/>
    </w:rPr>
  </w:style>
  <w:style w:type="character" w:customStyle="1" w:styleId="QuoteChar">
    <w:name w:val="Quote Char"/>
    <w:basedOn w:val="DefaultParagraphFont"/>
    <w:link w:val="Quote"/>
    <w:uiPriority w:val="29"/>
    <w:rsid w:val="000111E3"/>
    <w:rPr>
      <w:i/>
      <w:iCs/>
      <w:color w:val="404040" w:themeColor="text1" w:themeTint="BF"/>
    </w:rPr>
  </w:style>
  <w:style w:type="paragraph" w:styleId="ListParagraph">
    <w:name w:val="List Paragraph"/>
    <w:basedOn w:val="Normal"/>
    <w:uiPriority w:val="34"/>
    <w:qFormat/>
    <w:rsid w:val="000111E3"/>
    <w:pPr>
      <w:ind w:left="720"/>
      <w:contextualSpacing/>
    </w:pPr>
  </w:style>
  <w:style w:type="character" w:styleId="IntenseEmphasis">
    <w:name w:val="Intense Emphasis"/>
    <w:basedOn w:val="DefaultParagraphFont"/>
    <w:uiPriority w:val="21"/>
    <w:qFormat/>
    <w:rsid w:val="000111E3"/>
    <w:rPr>
      <w:i/>
      <w:iCs/>
      <w:color w:val="2F5496" w:themeColor="accent1" w:themeShade="BF"/>
    </w:rPr>
  </w:style>
  <w:style w:type="paragraph" w:styleId="IntenseQuote">
    <w:name w:val="Intense Quote"/>
    <w:basedOn w:val="Normal"/>
    <w:next w:val="Normal"/>
    <w:link w:val="IntenseQuoteChar"/>
    <w:uiPriority w:val="30"/>
    <w:qFormat/>
    <w:rsid w:val="000111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11E3"/>
    <w:rPr>
      <w:i/>
      <w:iCs/>
      <w:color w:val="2F5496" w:themeColor="accent1" w:themeShade="BF"/>
    </w:rPr>
  </w:style>
  <w:style w:type="character" w:styleId="IntenseReference">
    <w:name w:val="Intense Reference"/>
    <w:basedOn w:val="DefaultParagraphFont"/>
    <w:uiPriority w:val="32"/>
    <w:qFormat/>
    <w:rsid w:val="000111E3"/>
    <w:rPr>
      <w:b/>
      <w:bCs/>
      <w:smallCaps/>
      <w:color w:val="2F5496" w:themeColor="accent1" w:themeShade="BF"/>
      <w:spacing w:val="5"/>
    </w:rPr>
  </w:style>
  <w:style w:type="character" w:styleId="Hyperlink">
    <w:name w:val="Hyperlink"/>
    <w:basedOn w:val="DefaultParagraphFont"/>
    <w:uiPriority w:val="99"/>
    <w:unhideWhenUsed/>
    <w:rsid w:val="00707E6B"/>
    <w:rPr>
      <w:color w:val="0563C1" w:themeColor="hyperlink"/>
      <w:u w:val="single"/>
    </w:rPr>
  </w:style>
  <w:style w:type="character" w:styleId="UnresolvedMention">
    <w:name w:val="Unresolved Mention"/>
    <w:basedOn w:val="DefaultParagraphFont"/>
    <w:uiPriority w:val="99"/>
    <w:semiHidden/>
    <w:unhideWhenUsed/>
    <w:rsid w:val="00707E6B"/>
    <w:rPr>
      <w:color w:val="605E5C"/>
      <w:shd w:val="clear" w:color="auto" w:fill="E1DFDD"/>
    </w:rPr>
  </w:style>
  <w:style w:type="paragraph" w:styleId="Header">
    <w:name w:val="header"/>
    <w:basedOn w:val="Normal"/>
    <w:link w:val="HeaderChar"/>
    <w:uiPriority w:val="99"/>
    <w:unhideWhenUsed/>
    <w:rsid w:val="00A121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210E"/>
  </w:style>
  <w:style w:type="paragraph" w:styleId="Footer">
    <w:name w:val="footer"/>
    <w:basedOn w:val="Normal"/>
    <w:link w:val="FooterChar"/>
    <w:uiPriority w:val="99"/>
    <w:unhideWhenUsed/>
    <w:rsid w:val="00A121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10E"/>
  </w:style>
  <w:style w:type="paragraph" w:styleId="TOCHeading">
    <w:name w:val="TOC Heading"/>
    <w:basedOn w:val="Heading1"/>
    <w:next w:val="Normal"/>
    <w:uiPriority w:val="39"/>
    <w:unhideWhenUsed/>
    <w:qFormat/>
    <w:rsid w:val="00FD054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D0548"/>
    <w:pPr>
      <w:spacing w:after="100"/>
    </w:pPr>
  </w:style>
  <w:style w:type="paragraph" w:styleId="TOC2">
    <w:name w:val="toc 2"/>
    <w:basedOn w:val="Normal"/>
    <w:next w:val="Normal"/>
    <w:autoRedefine/>
    <w:uiPriority w:val="39"/>
    <w:unhideWhenUsed/>
    <w:rsid w:val="00FD054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cn.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integratedca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ealth.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67D11-5850-4332-8352-28EB488B4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2470</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Fahad Iqbal</dc:creator>
  <cp:keywords/>
  <dc:description/>
  <cp:lastModifiedBy>Fahad Iqbal</cp:lastModifiedBy>
  <cp:revision>2</cp:revision>
  <dcterms:created xsi:type="dcterms:W3CDTF">2025-11-13T06:55:00Z</dcterms:created>
  <dcterms:modified xsi:type="dcterms:W3CDTF">2025-11-13T06:55:00Z</dcterms:modified>
</cp:coreProperties>
</file>