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DD59" w14:textId="77777777" w:rsidR="00724F12" w:rsidRPr="00691F14" w:rsidRDefault="00724F12" w:rsidP="00724F12">
      <w:pPr>
        <w:jc w:val="both"/>
        <w:rPr>
          <w:rFonts w:ascii="Arial" w:hAnsi="Arial"/>
          <w:b/>
          <w:bCs/>
          <w:color w:val="000000" w:themeColor="text1"/>
          <w:sz w:val="22"/>
        </w:rPr>
      </w:pPr>
    </w:p>
    <w:p w14:paraId="782055BA" w14:textId="77777777" w:rsidR="00724F12" w:rsidRPr="00691F14" w:rsidRDefault="00724F12" w:rsidP="00724F12">
      <w:pPr>
        <w:rPr>
          <w:color w:val="000000" w:themeColor="text1"/>
        </w:rPr>
      </w:pPr>
      <w:r w:rsidRPr="00691F14">
        <w:rPr>
          <w:color w:val="000000" w:themeColor="text1"/>
        </w:rPr>
        <w:fldChar w:fldCharType="begin"/>
      </w:r>
      <w:r>
        <w:rPr>
          <w:color w:val="000000" w:themeColor="text1"/>
        </w:rPr>
        <w:instrText xml:space="preserve"> INCLUDEPICTURE "E:\\Users\\biancasanfilippo\\Library\\Group Containers\\UBF8T346G9.ms\\WebArchiveCopyPasteTempFiles\\com.microsoft.Word\\UWTSD-Logo.jpg" \* MERGEFORMAT </w:instrText>
      </w:r>
      <w:r w:rsidRPr="00691F14">
        <w:rPr>
          <w:color w:val="000000" w:themeColor="text1"/>
        </w:rPr>
        <w:fldChar w:fldCharType="separate"/>
      </w:r>
      <w:r w:rsidRPr="00691F14">
        <w:rPr>
          <w:noProof/>
          <w:color w:val="000000" w:themeColor="text1"/>
        </w:rPr>
        <w:drawing>
          <wp:inline distT="0" distB="0" distL="0" distR="0" wp14:anchorId="02F09203" wp14:editId="621E343C">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Pr="00691F14">
        <w:rPr>
          <w:color w:val="000000" w:themeColor="text1"/>
        </w:rPr>
        <w:fldChar w:fldCharType="end"/>
      </w:r>
    </w:p>
    <w:p w14:paraId="0B85BBD5" w14:textId="77777777" w:rsidR="00724F12" w:rsidRPr="00691F14" w:rsidRDefault="00724F12" w:rsidP="00724F12">
      <w:pPr>
        <w:rPr>
          <w:rStyle w:val="Strong"/>
          <w:rFonts w:ascii="Segoe UI" w:hAnsi="Segoe UI" w:cs="Segoe UI"/>
          <w:color w:val="000000" w:themeColor="text1"/>
        </w:rPr>
      </w:pPr>
    </w:p>
    <w:p w14:paraId="24838637" w14:textId="77777777" w:rsidR="00724F12" w:rsidRPr="00691F14" w:rsidRDefault="00724F12" w:rsidP="00724F12">
      <w:pPr>
        <w:rPr>
          <w:rStyle w:val="Strong"/>
          <w:rFonts w:ascii="Arial" w:hAnsi="Arial"/>
          <w:color w:val="000000" w:themeColor="text1"/>
          <w:sz w:val="36"/>
          <w:szCs w:val="36"/>
        </w:rPr>
      </w:pPr>
    </w:p>
    <w:p w14:paraId="64C0A96B" w14:textId="3EC7E950" w:rsidR="00724F12" w:rsidRPr="00691F14" w:rsidRDefault="00724F12" w:rsidP="00724F12">
      <w:pPr>
        <w:jc w:val="center"/>
        <w:rPr>
          <w:rStyle w:val="Strong"/>
          <w:rFonts w:ascii="Arial" w:hAnsi="Arial"/>
          <w:color w:val="000000" w:themeColor="text1"/>
          <w:sz w:val="36"/>
          <w:szCs w:val="36"/>
        </w:rPr>
      </w:pPr>
      <w:r>
        <w:rPr>
          <w:rStyle w:val="Strong"/>
          <w:rFonts w:ascii="Arial" w:hAnsi="Arial"/>
          <w:color w:val="000000" w:themeColor="text1"/>
          <w:sz w:val="36"/>
          <w:szCs w:val="36"/>
        </w:rPr>
        <w:t>BSc (Hons) Health and Social Care</w:t>
      </w:r>
    </w:p>
    <w:p w14:paraId="4E306BFA" w14:textId="763D32E7" w:rsidR="00724F12" w:rsidRPr="00724F12" w:rsidRDefault="00724F12" w:rsidP="00724F12">
      <w:pPr>
        <w:jc w:val="center"/>
        <w:rPr>
          <w:rStyle w:val="Strong"/>
          <w:rFonts w:ascii="Arial" w:hAnsi="Arial"/>
          <w:color w:val="000000" w:themeColor="text1"/>
          <w:sz w:val="28"/>
          <w:szCs w:val="28"/>
        </w:rPr>
      </w:pPr>
      <w:r w:rsidRPr="00724F12">
        <w:rPr>
          <w:rStyle w:val="Strong"/>
          <w:rFonts w:ascii="Arial" w:hAnsi="Arial"/>
          <w:color w:val="000000" w:themeColor="text1"/>
          <w:sz w:val="28"/>
          <w:szCs w:val="28"/>
        </w:rPr>
        <w:t>BMHP6030-Health, Wellbeing and Sustainable Development</w:t>
      </w:r>
    </w:p>
    <w:p w14:paraId="32AB2432" w14:textId="77777777" w:rsidR="00724F12" w:rsidRPr="00691F14" w:rsidRDefault="00724F12" w:rsidP="00724F12">
      <w:pPr>
        <w:jc w:val="center"/>
        <w:rPr>
          <w:rStyle w:val="Strong"/>
          <w:rFonts w:ascii="Arial" w:hAnsi="Arial"/>
          <w:color w:val="000000" w:themeColor="text1"/>
          <w:sz w:val="36"/>
          <w:szCs w:val="36"/>
        </w:rPr>
      </w:pPr>
    </w:p>
    <w:p w14:paraId="6A986BDA" w14:textId="77777777" w:rsidR="00724F12" w:rsidRPr="00691F14" w:rsidRDefault="00724F12" w:rsidP="00724F12">
      <w:pPr>
        <w:jc w:val="center"/>
        <w:rPr>
          <w:rStyle w:val="Strong"/>
          <w:rFonts w:ascii="Arial" w:hAnsi="Arial"/>
          <w:color w:val="000000" w:themeColor="text1"/>
          <w:sz w:val="36"/>
          <w:szCs w:val="36"/>
        </w:rPr>
      </w:pPr>
    </w:p>
    <w:p w14:paraId="746E744A" w14:textId="77777777" w:rsidR="00724F12" w:rsidRPr="00691F14" w:rsidRDefault="00724F12" w:rsidP="00724F12">
      <w:pPr>
        <w:jc w:val="center"/>
        <w:rPr>
          <w:rStyle w:val="Strong"/>
          <w:rFonts w:ascii="Arial" w:hAnsi="Arial"/>
          <w:color w:val="000000" w:themeColor="text1"/>
          <w:sz w:val="36"/>
          <w:szCs w:val="36"/>
        </w:rPr>
      </w:pPr>
    </w:p>
    <w:p w14:paraId="4C7042E1" w14:textId="77777777" w:rsidR="00724F12" w:rsidRPr="00724F12" w:rsidRDefault="00724F12" w:rsidP="00724F12">
      <w:pPr>
        <w:rPr>
          <w:rStyle w:val="Strong"/>
          <w:rFonts w:ascii="Arial" w:hAnsi="Arial"/>
          <w:b w:val="0"/>
          <w:bCs w:val="0"/>
          <w:color w:val="000000" w:themeColor="text1"/>
          <w:sz w:val="28"/>
          <w:szCs w:val="28"/>
        </w:rPr>
      </w:pPr>
      <w:r w:rsidRPr="00724F12">
        <w:rPr>
          <w:rFonts w:ascii="Arial" w:hAnsi="Arial"/>
          <w:b/>
          <w:bCs/>
          <w:color w:val="000000" w:themeColor="text1"/>
          <w:sz w:val="28"/>
          <w:szCs w:val="28"/>
        </w:rPr>
        <w:t xml:space="preserve">Component 2: </w:t>
      </w:r>
      <w:r w:rsidRPr="00724F12">
        <w:rPr>
          <w:rFonts w:ascii="Arial" w:hAnsi="Arial"/>
          <w:color w:val="000000" w:themeColor="text1"/>
          <w:sz w:val="28"/>
          <w:szCs w:val="28"/>
        </w:rPr>
        <w:t>Written Assignment (Report)</w:t>
      </w:r>
      <w:r w:rsidRPr="00724F12">
        <w:rPr>
          <w:rStyle w:val="Strong"/>
          <w:rFonts w:ascii="Arial" w:hAnsi="Arial"/>
          <w:color w:val="000000" w:themeColor="text1"/>
          <w:sz w:val="28"/>
          <w:szCs w:val="28"/>
        </w:rPr>
        <w:t xml:space="preserve"> </w:t>
      </w:r>
    </w:p>
    <w:p w14:paraId="09C27F4B" w14:textId="77777777" w:rsidR="00724F12" w:rsidRPr="00724F12" w:rsidRDefault="00724F12" w:rsidP="00724F12">
      <w:pPr>
        <w:rPr>
          <w:rStyle w:val="Strong"/>
          <w:rFonts w:ascii="Arial" w:hAnsi="Arial"/>
          <w:b w:val="0"/>
          <w:bCs w:val="0"/>
          <w:color w:val="000000" w:themeColor="text1"/>
          <w:sz w:val="28"/>
          <w:szCs w:val="28"/>
        </w:rPr>
      </w:pPr>
      <w:r w:rsidRPr="00724F12">
        <w:rPr>
          <w:rStyle w:val="Strong"/>
          <w:rFonts w:ascii="Arial" w:hAnsi="Arial"/>
          <w:color w:val="000000" w:themeColor="text1"/>
          <w:sz w:val="28"/>
          <w:szCs w:val="28"/>
        </w:rPr>
        <w:t xml:space="preserve">Student name: </w:t>
      </w:r>
      <w:r w:rsidRPr="00724F12">
        <w:rPr>
          <w:rStyle w:val="Strong"/>
          <w:rFonts w:ascii="Arial" w:hAnsi="Arial"/>
          <w:b w:val="0"/>
          <w:bCs w:val="0"/>
          <w:color w:val="000000" w:themeColor="text1"/>
          <w:sz w:val="28"/>
          <w:szCs w:val="28"/>
        </w:rPr>
        <w:t>Joycelyn Dzewu</w:t>
      </w:r>
    </w:p>
    <w:p w14:paraId="059A13A7" w14:textId="77777777" w:rsidR="00724F12" w:rsidRDefault="00724F12" w:rsidP="00724F12">
      <w:pPr>
        <w:rPr>
          <w:rStyle w:val="Strong"/>
          <w:rFonts w:ascii="Arial" w:hAnsi="Arial"/>
          <w:b w:val="0"/>
          <w:bCs w:val="0"/>
          <w:color w:val="000000" w:themeColor="text1"/>
          <w:sz w:val="28"/>
          <w:szCs w:val="28"/>
        </w:rPr>
      </w:pPr>
      <w:bookmarkStart w:id="0" w:name="_Hlk216351323"/>
      <w:r w:rsidRPr="00724F12">
        <w:rPr>
          <w:rStyle w:val="Strong"/>
          <w:rFonts w:ascii="Arial" w:hAnsi="Arial"/>
          <w:color w:val="000000" w:themeColor="text1"/>
          <w:sz w:val="28"/>
          <w:szCs w:val="28"/>
        </w:rPr>
        <w:t xml:space="preserve">Student </w:t>
      </w:r>
      <w:bookmarkEnd w:id="0"/>
      <w:r w:rsidRPr="00724F12">
        <w:rPr>
          <w:rStyle w:val="Strong"/>
          <w:rFonts w:ascii="Arial" w:hAnsi="Arial"/>
          <w:color w:val="000000" w:themeColor="text1"/>
          <w:sz w:val="28"/>
          <w:szCs w:val="28"/>
        </w:rPr>
        <w:t xml:space="preserve">number: </w:t>
      </w:r>
      <w:r w:rsidRPr="00724F12">
        <w:rPr>
          <w:rStyle w:val="Strong"/>
          <w:rFonts w:ascii="Arial" w:hAnsi="Arial"/>
          <w:b w:val="0"/>
          <w:bCs w:val="0"/>
          <w:color w:val="000000" w:themeColor="text1"/>
          <w:sz w:val="28"/>
          <w:szCs w:val="28"/>
        </w:rPr>
        <w:t>2230856</w:t>
      </w:r>
    </w:p>
    <w:p w14:paraId="46C298E6" w14:textId="121BFD3D" w:rsidR="009644F9" w:rsidRPr="009644F9" w:rsidRDefault="009644F9" w:rsidP="00724F12">
      <w:pPr>
        <w:rPr>
          <w:rStyle w:val="Strong"/>
          <w:rFonts w:ascii="Arial" w:hAnsi="Arial"/>
          <w:b w:val="0"/>
          <w:bCs w:val="0"/>
          <w:color w:val="000000" w:themeColor="text1"/>
          <w:sz w:val="28"/>
          <w:szCs w:val="28"/>
        </w:rPr>
      </w:pPr>
      <w:r>
        <w:rPr>
          <w:rStyle w:val="Strong"/>
          <w:rFonts w:ascii="Arial" w:hAnsi="Arial"/>
          <w:color w:val="000000" w:themeColor="text1"/>
          <w:sz w:val="28"/>
          <w:szCs w:val="28"/>
        </w:rPr>
        <w:t xml:space="preserve">Lecturer name: </w:t>
      </w:r>
      <w:r>
        <w:rPr>
          <w:rStyle w:val="Strong"/>
          <w:rFonts w:ascii="Arial" w:hAnsi="Arial"/>
          <w:b w:val="0"/>
          <w:bCs w:val="0"/>
          <w:color w:val="000000" w:themeColor="text1"/>
          <w:sz w:val="28"/>
          <w:szCs w:val="28"/>
        </w:rPr>
        <w:t>Shepherd Ziko</w:t>
      </w:r>
    </w:p>
    <w:p w14:paraId="4E9527A3" w14:textId="4765A8B5" w:rsidR="009B0356" w:rsidRDefault="009B0356" w:rsidP="00D5424D"/>
    <w:p w14:paraId="69F91588" w14:textId="13BBF486" w:rsidR="009B0356" w:rsidRDefault="009B0356" w:rsidP="00D5424D"/>
    <w:p w14:paraId="2CA084A9" w14:textId="250E01EA" w:rsidR="009B0356" w:rsidRDefault="009B0356" w:rsidP="00D5424D"/>
    <w:p w14:paraId="256C4287" w14:textId="45410AB0" w:rsidR="009B0356" w:rsidRDefault="009B0356" w:rsidP="00D5424D"/>
    <w:p w14:paraId="6B43CD03" w14:textId="231CEC72" w:rsidR="009B0356" w:rsidRDefault="009B0356" w:rsidP="00D5424D"/>
    <w:p w14:paraId="27A78ABC" w14:textId="61822669" w:rsidR="009B0356" w:rsidRDefault="009B0356" w:rsidP="00D5424D"/>
    <w:p w14:paraId="59087B5C" w14:textId="357163DF" w:rsidR="009B0356" w:rsidRDefault="009B0356" w:rsidP="00D5424D"/>
    <w:p w14:paraId="5A11279E" w14:textId="5F29CEC9" w:rsidR="009B0356" w:rsidRDefault="009B0356" w:rsidP="00D5424D"/>
    <w:p w14:paraId="61EECE8F" w14:textId="2177201D" w:rsidR="009B0356" w:rsidRDefault="009B0356" w:rsidP="00D5424D"/>
    <w:p w14:paraId="7217BC0B" w14:textId="1395E517" w:rsidR="009B0356" w:rsidRDefault="009B0356" w:rsidP="00D5424D"/>
    <w:p w14:paraId="5B3A5CDE" w14:textId="69099C18" w:rsidR="009B0356" w:rsidRDefault="009B0356" w:rsidP="00D5424D"/>
    <w:sdt>
      <w:sdtPr>
        <w:rPr>
          <w:rFonts w:ascii="Times New Roman" w:eastAsiaTheme="minorHAnsi" w:hAnsi="Times New Roman" w:cs="Arial"/>
          <w:color w:val="auto"/>
          <w:sz w:val="24"/>
          <w:szCs w:val="20"/>
          <w:lang w:val="en-GB" w:bidi="ne-NP"/>
        </w:rPr>
        <w:id w:val="911895162"/>
        <w:docPartObj>
          <w:docPartGallery w:val="Table of Contents"/>
          <w:docPartUnique/>
        </w:docPartObj>
      </w:sdtPr>
      <w:sdtEndPr>
        <w:rPr>
          <w:b/>
          <w:bCs/>
          <w:noProof/>
        </w:rPr>
      </w:sdtEndPr>
      <w:sdtContent>
        <w:p w14:paraId="16BFAE6A" w14:textId="3C4F724E" w:rsidR="009145B7" w:rsidRPr="009145B7" w:rsidRDefault="009145B7" w:rsidP="009145B7">
          <w:pPr>
            <w:pStyle w:val="TOCHeading"/>
            <w:spacing w:before="0" w:line="360" w:lineRule="auto"/>
            <w:rPr>
              <w:rFonts w:ascii="Times New Roman" w:hAnsi="Times New Roman" w:cs="Times New Roman"/>
              <w:b/>
              <w:bCs/>
              <w:color w:val="auto"/>
              <w:sz w:val="24"/>
              <w:szCs w:val="24"/>
            </w:rPr>
          </w:pPr>
          <w:r w:rsidRPr="009145B7">
            <w:rPr>
              <w:rFonts w:ascii="Times New Roman" w:hAnsi="Times New Roman" w:cs="Times New Roman"/>
              <w:b/>
              <w:bCs/>
              <w:color w:val="auto"/>
              <w:sz w:val="24"/>
              <w:szCs w:val="24"/>
            </w:rPr>
            <w:t>TABLE OF CONTENTS</w:t>
          </w:r>
        </w:p>
        <w:p w14:paraId="27F4AFEC" w14:textId="5F0073E1" w:rsidR="009145B7" w:rsidRPr="009145B7" w:rsidRDefault="009145B7" w:rsidP="009145B7">
          <w:pPr>
            <w:pStyle w:val="TOC1"/>
          </w:pPr>
          <w:r w:rsidRPr="009145B7">
            <w:fldChar w:fldCharType="begin"/>
          </w:r>
          <w:r w:rsidRPr="009145B7">
            <w:instrText xml:space="preserve"> TOC \o "1-3" \h \z \u </w:instrText>
          </w:r>
          <w:r w:rsidRPr="009145B7">
            <w:fldChar w:fldCharType="separate"/>
          </w:r>
          <w:hyperlink w:anchor="_Toc214922075" w:history="1">
            <w:r w:rsidRPr="009145B7">
              <w:rPr>
                <w:rStyle w:val="Hyperlink"/>
              </w:rPr>
              <w:t>1.</w:t>
            </w:r>
            <w:r w:rsidRPr="009145B7">
              <w:tab/>
            </w:r>
            <w:r w:rsidRPr="009145B7">
              <w:rPr>
                <w:rStyle w:val="Hyperlink"/>
              </w:rPr>
              <w:t>Introduction</w:t>
            </w:r>
            <w:r w:rsidRPr="009145B7">
              <w:rPr>
                <w:webHidden/>
              </w:rPr>
              <w:tab/>
            </w:r>
            <w:r w:rsidRPr="009145B7">
              <w:rPr>
                <w:webHidden/>
              </w:rPr>
              <w:fldChar w:fldCharType="begin"/>
            </w:r>
            <w:r w:rsidRPr="009145B7">
              <w:rPr>
                <w:webHidden/>
              </w:rPr>
              <w:instrText xml:space="preserve"> PAGEREF _Toc214922075 \h </w:instrText>
            </w:r>
            <w:r w:rsidRPr="009145B7">
              <w:rPr>
                <w:webHidden/>
              </w:rPr>
            </w:r>
            <w:r w:rsidRPr="009145B7">
              <w:rPr>
                <w:webHidden/>
              </w:rPr>
              <w:fldChar w:fldCharType="separate"/>
            </w:r>
            <w:r w:rsidR="008012DC">
              <w:rPr>
                <w:webHidden/>
              </w:rPr>
              <w:t>1</w:t>
            </w:r>
            <w:r w:rsidRPr="009145B7">
              <w:rPr>
                <w:webHidden/>
              </w:rPr>
              <w:fldChar w:fldCharType="end"/>
            </w:r>
          </w:hyperlink>
        </w:p>
        <w:p w14:paraId="710DAA0D" w14:textId="06DFC335" w:rsidR="009145B7" w:rsidRPr="009145B7" w:rsidRDefault="009145B7" w:rsidP="009145B7">
          <w:pPr>
            <w:pStyle w:val="TOC1"/>
          </w:pPr>
          <w:hyperlink w:anchor="_Toc214922076" w:history="1">
            <w:r w:rsidRPr="009145B7">
              <w:rPr>
                <w:rStyle w:val="Hyperlink"/>
              </w:rPr>
              <w:t>2.</w:t>
            </w:r>
            <w:r w:rsidRPr="009145B7">
              <w:tab/>
            </w:r>
            <w:r w:rsidRPr="009145B7">
              <w:rPr>
                <w:rStyle w:val="Hyperlink"/>
              </w:rPr>
              <w:t>Sustainable Development Goal 3: Good Health and Well-being</w:t>
            </w:r>
            <w:r w:rsidRPr="009145B7">
              <w:rPr>
                <w:webHidden/>
              </w:rPr>
              <w:tab/>
            </w:r>
            <w:r w:rsidRPr="009145B7">
              <w:rPr>
                <w:webHidden/>
              </w:rPr>
              <w:fldChar w:fldCharType="begin"/>
            </w:r>
            <w:r w:rsidRPr="009145B7">
              <w:rPr>
                <w:webHidden/>
              </w:rPr>
              <w:instrText xml:space="preserve"> PAGEREF _Toc214922076 \h </w:instrText>
            </w:r>
            <w:r w:rsidRPr="009145B7">
              <w:rPr>
                <w:webHidden/>
              </w:rPr>
            </w:r>
            <w:r w:rsidRPr="009145B7">
              <w:rPr>
                <w:webHidden/>
              </w:rPr>
              <w:fldChar w:fldCharType="separate"/>
            </w:r>
            <w:r w:rsidR="008012DC">
              <w:rPr>
                <w:webHidden/>
              </w:rPr>
              <w:t>1</w:t>
            </w:r>
            <w:r w:rsidRPr="009145B7">
              <w:rPr>
                <w:webHidden/>
              </w:rPr>
              <w:fldChar w:fldCharType="end"/>
            </w:r>
          </w:hyperlink>
        </w:p>
        <w:p w14:paraId="3441B334" w14:textId="14EA262A" w:rsidR="009145B7" w:rsidRPr="009145B7" w:rsidRDefault="009145B7" w:rsidP="009145B7">
          <w:pPr>
            <w:pStyle w:val="TOC2"/>
            <w:tabs>
              <w:tab w:val="right" w:leader="dot" w:pos="9350"/>
            </w:tabs>
            <w:spacing w:after="0"/>
            <w:ind w:left="450"/>
            <w:rPr>
              <w:rFonts w:cs="Times New Roman"/>
              <w:noProof/>
              <w:szCs w:val="24"/>
            </w:rPr>
          </w:pPr>
          <w:hyperlink w:anchor="_Toc214922077" w:history="1">
            <w:r w:rsidRPr="009145B7">
              <w:rPr>
                <w:rStyle w:val="Hyperlink"/>
                <w:rFonts w:cs="Times New Roman"/>
                <w:noProof/>
                <w:szCs w:val="24"/>
              </w:rPr>
              <w:t>Overview of SDG 3 Main Constructs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_Toc214922077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1</w:t>
            </w:r>
            <w:r w:rsidRPr="009145B7">
              <w:rPr>
                <w:rFonts w:cs="Times New Roman"/>
                <w:noProof/>
                <w:webHidden/>
                <w:szCs w:val="24"/>
              </w:rPr>
              <w:fldChar w:fldCharType="end"/>
            </w:r>
          </w:hyperlink>
        </w:p>
        <w:p w14:paraId="57849CBE" w14:textId="67CE4CC6" w:rsidR="009145B7" w:rsidRPr="009145B7" w:rsidRDefault="009145B7" w:rsidP="009145B7">
          <w:pPr>
            <w:pStyle w:val="TOC2"/>
            <w:tabs>
              <w:tab w:val="right" w:leader="dot" w:pos="9350"/>
            </w:tabs>
            <w:spacing w:after="0"/>
            <w:ind w:left="450"/>
            <w:rPr>
              <w:rFonts w:cs="Times New Roman"/>
              <w:noProof/>
              <w:szCs w:val="24"/>
            </w:rPr>
          </w:pPr>
          <w:hyperlink w:anchor="_Toc214922078" w:history="1">
            <w:r w:rsidRPr="009145B7">
              <w:rPr>
                <w:rStyle w:val="Hyperlink"/>
                <w:rFonts w:cs="Times New Roman"/>
                <w:noProof/>
                <w:szCs w:val="24"/>
              </w:rPr>
              <w:t>Global Progress and Implementation Challenges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_Toc214922078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1</w:t>
            </w:r>
            <w:r w:rsidRPr="009145B7">
              <w:rPr>
                <w:rFonts w:cs="Times New Roman"/>
                <w:noProof/>
                <w:webHidden/>
                <w:szCs w:val="24"/>
              </w:rPr>
              <w:fldChar w:fldCharType="end"/>
            </w:r>
          </w:hyperlink>
        </w:p>
        <w:p w14:paraId="157E1079" w14:textId="525E0FF4" w:rsidR="009145B7" w:rsidRPr="009145B7" w:rsidRDefault="009145B7" w:rsidP="009145B7">
          <w:pPr>
            <w:pStyle w:val="TOC2"/>
            <w:tabs>
              <w:tab w:val="right" w:leader="dot" w:pos="9350"/>
            </w:tabs>
            <w:spacing w:after="0"/>
            <w:ind w:left="450"/>
            <w:rPr>
              <w:rFonts w:cs="Times New Roman"/>
              <w:noProof/>
              <w:szCs w:val="24"/>
            </w:rPr>
          </w:pPr>
          <w:hyperlink w:anchor="_Toc214922079" w:history="1">
            <w:r w:rsidRPr="009145B7">
              <w:rPr>
                <w:rStyle w:val="Hyperlink"/>
                <w:rFonts w:cs="Times New Roman"/>
                <w:noProof/>
                <w:szCs w:val="24"/>
              </w:rPr>
              <w:t>Impact on Health and Well-being of Citizens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_Toc214922079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2</w:t>
            </w:r>
            <w:r w:rsidRPr="009145B7">
              <w:rPr>
                <w:rFonts w:cs="Times New Roman"/>
                <w:noProof/>
                <w:webHidden/>
                <w:szCs w:val="24"/>
              </w:rPr>
              <w:fldChar w:fldCharType="end"/>
            </w:r>
          </w:hyperlink>
        </w:p>
        <w:p w14:paraId="204AB791" w14:textId="214DF741" w:rsidR="009145B7" w:rsidRPr="009145B7" w:rsidRDefault="009145B7" w:rsidP="009145B7">
          <w:pPr>
            <w:pStyle w:val="TOC1"/>
          </w:pPr>
          <w:hyperlink w:anchor="_Toc214922080" w:history="1">
            <w:r w:rsidRPr="009145B7">
              <w:rPr>
                <w:rStyle w:val="Hyperlink"/>
              </w:rPr>
              <w:t>3.</w:t>
            </w:r>
            <w:r w:rsidRPr="009145B7">
              <w:tab/>
            </w:r>
            <w:r w:rsidRPr="009145B7">
              <w:rPr>
                <w:rStyle w:val="Hyperlink"/>
              </w:rPr>
              <w:t>Sustainable Development Goal 5: Gender Equality</w:t>
            </w:r>
            <w:r w:rsidRPr="009145B7">
              <w:rPr>
                <w:webHidden/>
              </w:rPr>
              <w:tab/>
            </w:r>
            <w:r w:rsidRPr="009145B7">
              <w:rPr>
                <w:webHidden/>
              </w:rPr>
              <w:fldChar w:fldCharType="begin"/>
            </w:r>
            <w:r w:rsidRPr="009145B7">
              <w:rPr>
                <w:webHidden/>
              </w:rPr>
              <w:instrText xml:space="preserve"> PAGEREF _Toc214922080 \h </w:instrText>
            </w:r>
            <w:r w:rsidRPr="009145B7">
              <w:rPr>
                <w:webHidden/>
              </w:rPr>
            </w:r>
            <w:r w:rsidRPr="009145B7">
              <w:rPr>
                <w:webHidden/>
              </w:rPr>
              <w:fldChar w:fldCharType="separate"/>
            </w:r>
            <w:r w:rsidR="008012DC">
              <w:rPr>
                <w:webHidden/>
              </w:rPr>
              <w:t>2</w:t>
            </w:r>
            <w:r w:rsidRPr="009145B7">
              <w:rPr>
                <w:webHidden/>
              </w:rPr>
              <w:fldChar w:fldCharType="end"/>
            </w:r>
          </w:hyperlink>
        </w:p>
        <w:p w14:paraId="6D7105B2" w14:textId="454A4322" w:rsidR="009145B7" w:rsidRPr="009145B7" w:rsidRDefault="009145B7" w:rsidP="009145B7">
          <w:pPr>
            <w:pStyle w:val="TOC2"/>
            <w:tabs>
              <w:tab w:val="right" w:leader="dot" w:pos="9350"/>
            </w:tabs>
            <w:spacing w:after="0"/>
            <w:ind w:left="450"/>
            <w:rPr>
              <w:rFonts w:cs="Times New Roman"/>
              <w:noProof/>
              <w:szCs w:val="24"/>
            </w:rPr>
          </w:pPr>
          <w:hyperlink w:anchor="_Toc214922081" w:history="1">
            <w:r w:rsidRPr="009145B7">
              <w:rPr>
                <w:rStyle w:val="Hyperlink"/>
                <w:rFonts w:cs="Times New Roman"/>
                <w:noProof/>
                <w:szCs w:val="24"/>
              </w:rPr>
              <w:t>Introduction to SDG 5 Main Constructs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_Toc214922081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2</w:t>
            </w:r>
            <w:r w:rsidRPr="009145B7">
              <w:rPr>
                <w:rFonts w:cs="Times New Roman"/>
                <w:noProof/>
                <w:webHidden/>
                <w:szCs w:val="24"/>
              </w:rPr>
              <w:fldChar w:fldCharType="end"/>
            </w:r>
          </w:hyperlink>
        </w:p>
        <w:p w14:paraId="23F47D92" w14:textId="4FCC8B2F" w:rsidR="009145B7" w:rsidRPr="009145B7" w:rsidRDefault="009145B7" w:rsidP="009145B7">
          <w:pPr>
            <w:pStyle w:val="TOC2"/>
            <w:tabs>
              <w:tab w:val="right" w:leader="dot" w:pos="9350"/>
            </w:tabs>
            <w:spacing w:after="0"/>
            <w:ind w:left="450"/>
            <w:rPr>
              <w:rFonts w:cs="Times New Roman"/>
              <w:noProof/>
              <w:szCs w:val="24"/>
            </w:rPr>
          </w:pPr>
          <w:hyperlink w:anchor="_Toc214922082" w:history="1">
            <w:r w:rsidRPr="009145B7">
              <w:rPr>
                <w:rStyle w:val="Hyperlink"/>
                <w:rFonts w:cs="Times New Roman"/>
                <w:noProof/>
                <w:szCs w:val="24"/>
              </w:rPr>
              <w:t>Global Progress and Implementation Challenges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_Toc214922082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3</w:t>
            </w:r>
            <w:r w:rsidRPr="009145B7">
              <w:rPr>
                <w:rFonts w:cs="Times New Roman"/>
                <w:noProof/>
                <w:webHidden/>
                <w:szCs w:val="24"/>
              </w:rPr>
              <w:fldChar w:fldCharType="end"/>
            </w:r>
          </w:hyperlink>
        </w:p>
        <w:p w14:paraId="7581FFE9" w14:textId="4388648B" w:rsidR="009145B7" w:rsidRPr="009145B7" w:rsidRDefault="009145B7" w:rsidP="009145B7">
          <w:pPr>
            <w:pStyle w:val="TOC2"/>
            <w:tabs>
              <w:tab w:val="right" w:leader="dot" w:pos="9350"/>
            </w:tabs>
            <w:spacing w:after="0"/>
            <w:ind w:left="450"/>
            <w:rPr>
              <w:rFonts w:cs="Times New Roman"/>
              <w:noProof/>
              <w:szCs w:val="24"/>
            </w:rPr>
          </w:pPr>
          <w:hyperlink w:anchor="_Toc214922083" w:history="1">
            <w:r w:rsidRPr="009145B7">
              <w:rPr>
                <w:rStyle w:val="Hyperlink"/>
                <w:rFonts w:cs="Times New Roman"/>
                <w:noProof/>
                <w:szCs w:val="24"/>
              </w:rPr>
              <w:t>Impact on Health and Wellbeing of Citizens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_Toc214922083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3</w:t>
            </w:r>
            <w:r w:rsidRPr="009145B7">
              <w:rPr>
                <w:rFonts w:cs="Times New Roman"/>
                <w:noProof/>
                <w:webHidden/>
                <w:szCs w:val="24"/>
              </w:rPr>
              <w:fldChar w:fldCharType="end"/>
            </w:r>
          </w:hyperlink>
        </w:p>
        <w:p w14:paraId="17437E7D" w14:textId="4A2B6DE1" w:rsidR="009145B7" w:rsidRPr="009145B7" w:rsidRDefault="009145B7" w:rsidP="009145B7">
          <w:pPr>
            <w:pStyle w:val="TOC1"/>
          </w:pPr>
          <w:hyperlink w:anchor="_Toc214922084" w:history="1">
            <w:r w:rsidRPr="009145B7">
              <w:rPr>
                <w:rStyle w:val="Hyperlink"/>
              </w:rPr>
              <w:t>4.</w:t>
            </w:r>
            <w:r w:rsidRPr="009145B7">
              <w:tab/>
            </w:r>
            <w:r w:rsidRPr="009145B7">
              <w:rPr>
                <w:rStyle w:val="Hyperlink"/>
              </w:rPr>
              <w:t>National Wellbeing Initiative</w:t>
            </w:r>
            <w:r w:rsidRPr="009145B7">
              <w:rPr>
                <w:webHidden/>
              </w:rPr>
              <w:tab/>
            </w:r>
            <w:r w:rsidRPr="009145B7">
              <w:rPr>
                <w:webHidden/>
              </w:rPr>
              <w:fldChar w:fldCharType="begin"/>
            </w:r>
            <w:r w:rsidRPr="009145B7">
              <w:rPr>
                <w:webHidden/>
              </w:rPr>
              <w:instrText xml:space="preserve"> PAGEREF _Toc214922084 \h </w:instrText>
            </w:r>
            <w:r w:rsidRPr="009145B7">
              <w:rPr>
                <w:webHidden/>
              </w:rPr>
            </w:r>
            <w:r w:rsidRPr="009145B7">
              <w:rPr>
                <w:webHidden/>
              </w:rPr>
              <w:fldChar w:fldCharType="separate"/>
            </w:r>
            <w:r w:rsidR="008012DC">
              <w:rPr>
                <w:webHidden/>
              </w:rPr>
              <w:t>4</w:t>
            </w:r>
            <w:r w:rsidRPr="009145B7">
              <w:rPr>
                <w:webHidden/>
              </w:rPr>
              <w:fldChar w:fldCharType="end"/>
            </w:r>
          </w:hyperlink>
        </w:p>
        <w:p w14:paraId="13584A2B" w14:textId="03E2F8E8" w:rsidR="009145B7" w:rsidRPr="009145B7" w:rsidRDefault="009145B7" w:rsidP="009145B7">
          <w:pPr>
            <w:pStyle w:val="TOC2"/>
            <w:tabs>
              <w:tab w:val="right" w:leader="dot" w:pos="9350"/>
            </w:tabs>
            <w:spacing w:after="0"/>
            <w:ind w:left="450"/>
            <w:rPr>
              <w:rFonts w:cs="Times New Roman"/>
              <w:noProof/>
              <w:szCs w:val="24"/>
            </w:rPr>
          </w:pPr>
          <w:hyperlink w:anchor="_Toc214922085" w:history="1">
            <w:r w:rsidRPr="009145B7">
              <w:rPr>
                <w:rStyle w:val="Hyperlink"/>
                <w:rFonts w:cs="Times New Roman"/>
                <w:noProof/>
                <w:szCs w:val="24"/>
              </w:rPr>
              <w:t>NHS Long Term Plan</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_Toc214922085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4</w:t>
            </w:r>
            <w:r w:rsidRPr="009145B7">
              <w:rPr>
                <w:rFonts w:cs="Times New Roman"/>
                <w:noProof/>
                <w:webHidden/>
                <w:szCs w:val="24"/>
              </w:rPr>
              <w:fldChar w:fldCharType="end"/>
            </w:r>
          </w:hyperlink>
        </w:p>
        <w:p w14:paraId="3D221569" w14:textId="2CC95DE0" w:rsidR="009145B7" w:rsidRPr="009145B7" w:rsidRDefault="009145B7" w:rsidP="009145B7">
          <w:pPr>
            <w:pStyle w:val="TOC2"/>
            <w:tabs>
              <w:tab w:val="right" w:leader="dot" w:pos="9350"/>
            </w:tabs>
            <w:spacing w:after="0"/>
            <w:ind w:left="450"/>
            <w:rPr>
              <w:rFonts w:cs="Times New Roman"/>
              <w:noProof/>
              <w:szCs w:val="24"/>
            </w:rPr>
          </w:pPr>
          <w:hyperlink w:anchor="_Toc214922086" w:history="1">
            <w:r w:rsidRPr="009145B7">
              <w:rPr>
                <w:rStyle w:val="Hyperlink"/>
                <w:rFonts w:cs="Times New Roman"/>
                <w:noProof/>
                <w:szCs w:val="24"/>
              </w:rPr>
              <w:t>Violence Against Women and Girls Strategy</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_Toc214922086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5</w:t>
            </w:r>
            <w:r w:rsidRPr="009145B7">
              <w:rPr>
                <w:rFonts w:cs="Times New Roman"/>
                <w:noProof/>
                <w:webHidden/>
                <w:szCs w:val="24"/>
              </w:rPr>
              <w:fldChar w:fldCharType="end"/>
            </w:r>
          </w:hyperlink>
        </w:p>
        <w:p w14:paraId="5F9C230D" w14:textId="13244FD9" w:rsidR="009145B7" w:rsidRPr="009145B7" w:rsidRDefault="009145B7" w:rsidP="009145B7">
          <w:pPr>
            <w:pStyle w:val="TOC1"/>
          </w:pPr>
          <w:hyperlink w:anchor="_Toc214922087" w:history="1">
            <w:r w:rsidRPr="009145B7">
              <w:rPr>
                <w:rStyle w:val="Hyperlink"/>
              </w:rPr>
              <w:t>5.</w:t>
            </w:r>
            <w:r w:rsidRPr="009145B7">
              <w:tab/>
            </w:r>
            <w:r w:rsidRPr="009145B7">
              <w:rPr>
                <w:rStyle w:val="Hyperlink"/>
              </w:rPr>
              <w:t>Local Wellbeing Initiative</w:t>
            </w:r>
            <w:r w:rsidRPr="009145B7">
              <w:rPr>
                <w:webHidden/>
              </w:rPr>
              <w:tab/>
            </w:r>
            <w:r w:rsidRPr="009145B7">
              <w:rPr>
                <w:webHidden/>
              </w:rPr>
              <w:fldChar w:fldCharType="begin"/>
            </w:r>
            <w:r w:rsidRPr="009145B7">
              <w:rPr>
                <w:webHidden/>
              </w:rPr>
              <w:instrText xml:space="preserve"> PAGEREF _Toc214922087 \h </w:instrText>
            </w:r>
            <w:r w:rsidRPr="009145B7">
              <w:rPr>
                <w:webHidden/>
              </w:rPr>
            </w:r>
            <w:r w:rsidRPr="009145B7">
              <w:rPr>
                <w:webHidden/>
              </w:rPr>
              <w:fldChar w:fldCharType="separate"/>
            </w:r>
            <w:r w:rsidR="008012DC">
              <w:rPr>
                <w:webHidden/>
              </w:rPr>
              <w:t>5</w:t>
            </w:r>
            <w:r w:rsidRPr="009145B7">
              <w:rPr>
                <w:webHidden/>
              </w:rPr>
              <w:fldChar w:fldCharType="end"/>
            </w:r>
          </w:hyperlink>
        </w:p>
        <w:p w14:paraId="03F995A0" w14:textId="7A00EC78" w:rsidR="009145B7" w:rsidRPr="009145B7" w:rsidRDefault="009145B7" w:rsidP="009145B7">
          <w:pPr>
            <w:pStyle w:val="TOC2"/>
            <w:tabs>
              <w:tab w:val="right" w:leader="dot" w:pos="9350"/>
            </w:tabs>
            <w:spacing w:after="0"/>
            <w:ind w:left="450"/>
            <w:rPr>
              <w:rFonts w:cs="Times New Roman"/>
              <w:noProof/>
              <w:szCs w:val="24"/>
            </w:rPr>
          </w:pPr>
          <w:hyperlink w:anchor="_Toc214922088" w:history="1">
            <w:r w:rsidRPr="009145B7">
              <w:rPr>
                <w:rStyle w:val="Hyperlink"/>
                <w:rFonts w:cs="Times New Roman"/>
                <w:noProof/>
                <w:szCs w:val="24"/>
              </w:rPr>
              <w:t>Implementation of Wellbeing of Future Generations Act</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_Toc214922088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5</w:t>
            </w:r>
            <w:r w:rsidRPr="009145B7">
              <w:rPr>
                <w:rFonts w:cs="Times New Roman"/>
                <w:noProof/>
                <w:webHidden/>
                <w:szCs w:val="24"/>
              </w:rPr>
              <w:fldChar w:fldCharType="end"/>
            </w:r>
          </w:hyperlink>
        </w:p>
        <w:p w14:paraId="18EDBDD2" w14:textId="199E7623" w:rsidR="009145B7" w:rsidRPr="009145B7" w:rsidRDefault="009145B7" w:rsidP="009145B7">
          <w:pPr>
            <w:pStyle w:val="TOC2"/>
            <w:tabs>
              <w:tab w:val="right" w:leader="dot" w:pos="9350"/>
            </w:tabs>
            <w:spacing w:after="0"/>
            <w:ind w:left="450"/>
            <w:rPr>
              <w:rFonts w:cs="Times New Roman"/>
              <w:noProof/>
              <w:szCs w:val="24"/>
            </w:rPr>
          </w:pPr>
          <w:hyperlink w:anchor="_Toc214922089" w:history="1">
            <w:r w:rsidRPr="009145B7">
              <w:rPr>
                <w:rStyle w:val="Hyperlink"/>
                <w:rFonts w:cs="Times New Roman"/>
                <w:noProof/>
                <w:szCs w:val="24"/>
              </w:rPr>
              <w:t>Flying Start Programme</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_Toc214922089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6</w:t>
            </w:r>
            <w:r w:rsidRPr="009145B7">
              <w:rPr>
                <w:rFonts w:cs="Times New Roman"/>
                <w:noProof/>
                <w:webHidden/>
                <w:szCs w:val="24"/>
              </w:rPr>
              <w:fldChar w:fldCharType="end"/>
            </w:r>
          </w:hyperlink>
        </w:p>
        <w:p w14:paraId="7397D895" w14:textId="41F637FA" w:rsidR="009145B7" w:rsidRPr="009145B7" w:rsidRDefault="009145B7" w:rsidP="009145B7">
          <w:pPr>
            <w:pStyle w:val="TOC1"/>
          </w:pPr>
          <w:hyperlink w:anchor="_Toc214922090" w:history="1">
            <w:r w:rsidRPr="009145B7">
              <w:rPr>
                <w:rStyle w:val="Hyperlink"/>
              </w:rPr>
              <w:t>6.</w:t>
            </w:r>
            <w:r w:rsidRPr="009145B7">
              <w:tab/>
            </w:r>
            <w:r w:rsidRPr="009145B7">
              <w:rPr>
                <w:rStyle w:val="Hyperlink"/>
              </w:rPr>
              <w:t>Conclusion</w:t>
            </w:r>
            <w:r w:rsidRPr="009145B7">
              <w:rPr>
                <w:webHidden/>
              </w:rPr>
              <w:tab/>
            </w:r>
            <w:r w:rsidRPr="009145B7">
              <w:rPr>
                <w:webHidden/>
              </w:rPr>
              <w:fldChar w:fldCharType="begin"/>
            </w:r>
            <w:r w:rsidRPr="009145B7">
              <w:rPr>
                <w:webHidden/>
              </w:rPr>
              <w:instrText xml:space="preserve"> PAGEREF _Toc214922090 \h </w:instrText>
            </w:r>
            <w:r w:rsidRPr="009145B7">
              <w:rPr>
                <w:webHidden/>
              </w:rPr>
            </w:r>
            <w:r w:rsidRPr="009145B7">
              <w:rPr>
                <w:webHidden/>
              </w:rPr>
              <w:fldChar w:fldCharType="separate"/>
            </w:r>
            <w:r w:rsidR="008012DC">
              <w:rPr>
                <w:webHidden/>
              </w:rPr>
              <w:t>6</w:t>
            </w:r>
            <w:r w:rsidRPr="009145B7">
              <w:rPr>
                <w:webHidden/>
              </w:rPr>
              <w:fldChar w:fldCharType="end"/>
            </w:r>
          </w:hyperlink>
        </w:p>
        <w:p w14:paraId="235CCE48" w14:textId="0F3098F3" w:rsidR="009145B7" w:rsidRPr="009145B7" w:rsidRDefault="009145B7" w:rsidP="009145B7">
          <w:pPr>
            <w:pStyle w:val="TOC1"/>
          </w:pPr>
          <w:hyperlink w:anchor="_Toc214922091" w:history="1">
            <w:r w:rsidRPr="009145B7">
              <w:rPr>
                <w:rStyle w:val="Hyperlink"/>
              </w:rPr>
              <w:t>7.</w:t>
            </w:r>
            <w:r w:rsidRPr="009145B7">
              <w:tab/>
            </w:r>
            <w:r w:rsidRPr="009145B7">
              <w:rPr>
                <w:rStyle w:val="Hyperlink"/>
              </w:rPr>
              <w:t>References</w:t>
            </w:r>
            <w:r w:rsidRPr="009145B7">
              <w:rPr>
                <w:webHidden/>
              </w:rPr>
              <w:tab/>
            </w:r>
            <w:r w:rsidRPr="009145B7">
              <w:rPr>
                <w:webHidden/>
              </w:rPr>
              <w:fldChar w:fldCharType="begin"/>
            </w:r>
            <w:r w:rsidRPr="009145B7">
              <w:rPr>
                <w:webHidden/>
              </w:rPr>
              <w:instrText xml:space="preserve"> PAGEREF _Toc214922091 \h </w:instrText>
            </w:r>
            <w:r w:rsidRPr="009145B7">
              <w:rPr>
                <w:webHidden/>
              </w:rPr>
            </w:r>
            <w:r w:rsidRPr="009145B7">
              <w:rPr>
                <w:webHidden/>
              </w:rPr>
              <w:fldChar w:fldCharType="separate"/>
            </w:r>
            <w:r w:rsidR="008012DC">
              <w:rPr>
                <w:webHidden/>
              </w:rPr>
              <w:t>7</w:t>
            </w:r>
            <w:r w:rsidRPr="009145B7">
              <w:rPr>
                <w:webHidden/>
              </w:rPr>
              <w:fldChar w:fldCharType="end"/>
            </w:r>
          </w:hyperlink>
        </w:p>
        <w:p w14:paraId="5292E802" w14:textId="7BDDEAF8" w:rsidR="009145B7" w:rsidRDefault="009145B7" w:rsidP="009145B7">
          <w:r w:rsidRPr="009145B7">
            <w:rPr>
              <w:rFonts w:cs="Times New Roman"/>
              <w:b/>
              <w:bCs/>
              <w:noProof/>
              <w:szCs w:val="24"/>
            </w:rPr>
            <w:fldChar w:fldCharType="end"/>
          </w:r>
        </w:p>
      </w:sdtContent>
    </w:sdt>
    <w:p w14:paraId="30B630B1" w14:textId="5876C653" w:rsidR="009B0356" w:rsidRDefault="009B0356" w:rsidP="00D5424D"/>
    <w:p w14:paraId="5FA337B1" w14:textId="139C5D77" w:rsidR="009B0356" w:rsidRDefault="009B0356" w:rsidP="00D5424D"/>
    <w:p w14:paraId="70BA61BD" w14:textId="394482C0" w:rsidR="009B0356" w:rsidRDefault="009B0356" w:rsidP="00D5424D"/>
    <w:p w14:paraId="1458D998" w14:textId="2FA04787" w:rsidR="009B0356" w:rsidRDefault="009B0356" w:rsidP="00D5424D"/>
    <w:p w14:paraId="32E4DF6F" w14:textId="115C738D" w:rsidR="009B0356" w:rsidRDefault="009B0356" w:rsidP="00D5424D"/>
    <w:p w14:paraId="22C9B3FA" w14:textId="2F0A49CD" w:rsidR="009B0356" w:rsidRDefault="009B0356" w:rsidP="00D5424D"/>
    <w:p w14:paraId="38BDF7FE" w14:textId="6ADF9FCA" w:rsidR="009B0356" w:rsidRDefault="009B0356" w:rsidP="00D5424D"/>
    <w:p w14:paraId="20020464" w14:textId="086F3B7C" w:rsidR="009B0356" w:rsidRDefault="009B0356" w:rsidP="00D5424D"/>
    <w:p w14:paraId="7784309E" w14:textId="77777777" w:rsidR="009B0356" w:rsidRDefault="009B0356" w:rsidP="00D5424D">
      <w:pPr>
        <w:sectPr w:rsidR="009B0356" w:rsidSect="000A3F5A">
          <w:footerReference w:type="default" r:id="rId9"/>
          <w:pgSz w:w="12240" w:h="15840"/>
          <w:pgMar w:top="1440" w:right="1440" w:bottom="1440" w:left="1440" w:header="720" w:footer="720" w:gutter="0"/>
          <w:pgNumType w:fmt="lowerRoman" w:start="1"/>
          <w:cols w:space="720"/>
          <w:titlePg/>
          <w:docGrid w:linePitch="360"/>
        </w:sectPr>
      </w:pPr>
    </w:p>
    <w:p w14:paraId="77844809" w14:textId="68B39869" w:rsidR="00107D4A" w:rsidRPr="009B0356" w:rsidRDefault="00107D4A" w:rsidP="009B0356">
      <w:pPr>
        <w:pStyle w:val="Heading1"/>
        <w:spacing w:before="0" w:after="0" w:line="360" w:lineRule="auto"/>
        <w:jc w:val="both"/>
        <w:rPr>
          <w:rFonts w:cs="Times New Roman"/>
          <w:szCs w:val="24"/>
        </w:rPr>
      </w:pPr>
      <w:bookmarkStart w:id="1" w:name="_Toc214922075"/>
      <w:r w:rsidRPr="009B0356">
        <w:rPr>
          <w:rFonts w:cs="Times New Roman"/>
          <w:szCs w:val="24"/>
        </w:rPr>
        <w:lastRenderedPageBreak/>
        <w:t>Introduction</w:t>
      </w:r>
      <w:bookmarkEnd w:id="1"/>
    </w:p>
    <w:p w14:paraId="28CC8AFD" w14:textId="77777777" w:rsidR="00107D4A" w:rsidRPr="009B0356" w:rsidRDefault="00107D4A" w:rsidP="009B0356">
      <w:pPr>
        <w:jc w:val="both"/>
        <w:rPr>
          <w:rFonts w:cs="Times New Roman"/>
          <w:szCs w:val="24"/>
        </w:rPr>
      </w:pPr>
      <w:r w:rsidRPr="009B0356">
        <w:rPr>
          <w:rFonts w:cs="Times New Roman"/>
          <w:szCs w:val="24"/>
        </w:rPr>
        <w:t>Health, wellbeing, and sustainable development have been established as core priorities in the current global policy context. The United Nations adopted the 2030 Agenda for sustainable development. This involves the achievement of 17 Sustainable Development Goals (SDGs) to respond to global challenges (United Nations, 2023). This report will critically evaluate SDG 3 (Good Health and Well-being) and SDG 5 (Gender Equality) with regard to their implementation at global, national, or local levels. This assessment will consider two UK initiatives and two Welsh programs.</w:t>
      </w:r>
    </w:p>
    <w:p w14:paraId="49FCE05B" w14:textId="488E5FEB" w:rsidR="00107D4A" w:rsidRPr="009B0356" w:rsidRDefault="00107D4A" w:rsidP="009B0356">
      <w:pPr>
        <w:pStyle w:val="Heading1"/>
        <w:spacing w:before="0" w:after="0" w:line="360" w:lineRule="auto"/>
        <w:jc w:val="both"/>
        <w:rPr>
          <w:rFonts w:cs="Times New Roman"/>
          <w:szCs w:val="24"/>
        </w:rPr>
      </w:pPr>
      <w:bookmarkStart w:id="2" w:name="_Toc214922076"/>
      <w:r w:rsidRPr="009B0356">
        <w:rPr>
          <w:rFonts w:cs="Times New Roman"/>
          <w:szCs w:val="24"/>
        </w:rPr>
        <w:t>Sustainable Development Goal 3: Good Health and Well-being</w:t>
      </w:r>
      <w:bookmarkEnd w:id="2"/>
    </w:p>
    <w:p w14:paraId="0537D1BD" w14:textId="4DE2ABA1" w:rsidR="00107D4A" w:rsidRPr="009B0356" w:rsidRDefault="00107D4A" w:rsidP="009B0356">
      <w:pPr>
        <w:pStyle w:val="Heading2"/>
        <w:jc w:val="both"/>
        <w:rPr>
          <w:rFonts w:cs="Times New Roman"/>
          <w:szCs w:val="24"/>
        </w:rPr>
      </w:pPr>
      <w:bookmarkStart w:id="3" w:name="_Toc214922077"/>
      <w:r w:rsidRPr="009B0356">
        <w:rPr>
          <w:rFonts w:cs="Times New Roman"/>
          <w:szCs w:val="24"/>
        </w:rPr>
        <w:t>Overview of SDG 3 Main Constructs</w:t>
      </w:r>
      <w:bookmarkEnd w:id="3"/>
    </w:p>
    <w:p w14:paraId="4975E87F" w14:textId="5CD235A8" w:rsidR="00107D4A" w:rsidRPr="009B0356" w:rsidRDefault="00107D4A" w:rsidP="009B0356">
      <w:pPr>
        <w:jc w:val="both"/>
        <w:rPr>
          <w:rFonts w:cs="Times New Roman"/>
          <w:szCs w:val="24"/>
        </w:rPr>
      </w:pPr>
      <w:r w:rsidRPr="009B0356">
        <w:rPr>
          <w:rFonts w:cs="Times New Roman"/>
          <w:szCs w:val="24"/>
        </w:rPr>
        <w:t>SDG 3 includes 13 targets for dealing with important health objectives such as reducing maternal mortality (Target 3.1), ending preventable child deaths (Target 3.2), fighting communicable diseases (Target 3.3), decreasing premature deaths due to non-communicable diseases (Target 3.4), and securing universal health coverage (Target 3.8) (United Nations, 2024). The proposed Sustainable Development Goals include a holistic or lifespan concept that understands the need to deal with varied health determinants to ensure health and wellbeing (World Health Organization, 2023</w:t>
      </w:r>
      <w:r w:rsidR="00A227B3" w:rsidRPr="009B0356">
        <w:rPr>
          <w:rFonts w:cs="Times New Roman"/>
          <w:szCs w:val="24"/>
        </w:rPr>
        <w:t>a</w:t>
      </w:r>
      <w:r w:rsidRPr="009B0356">
        <w:rPr>
          <w:rFonts w:cs="Times New Roman"/>
          <w:szCs w:val="24"/>
        </w:rPr>
        <w:t>).</w:t>
      </w:r>
    </w:p>
    <w:p w14:paraId="4B6529C0" w14:textId="63C1BD13" w:rsidR="00107D4A" w:rsidRPr="009B0356" w:rsidRDefault="00107D4A" w:rsidP="009B0356">
      <w:pPr>
        <w:jc w:val="both"/>
        <w:rPr>
          <w:rFonts w:cs="Times New Roman"/>
          <w:szCs w:val="24"/>
        </w:rPr>
      </w:pPr>
      <w:r w:rsidRPr="009B0356">
        <w:rPr>
          <w:rFonts w:cs="Times New Roman"/>
          <w:szCs w:val="24"/>
        </w:rPr>
        <w:t>Universal health coverage is one of the foundational principles that ensures every community is able to receive quality essential health services and affordable medication (World Health Organization, 202</w:t>
      </w:r>
      <w:r w:rsidR="00A227B3" w:rsidRPr="009B0356">
        <w:rPr>
          <w:rFonts w:cs="Times New Roman"/>
          <w:szCs w:val="24"/>
        </w:rPr>
        <w:t>3b</w:t>
      </w:r>
      <w:r w:rsidRPr="009B0356">
        <w:rPr>
          <w:rFonts w:cs="Times New Roman"/>
          <w:szCs w:val="24"/>
        </w:rPr>
        <w:t>). It is associated with strong health systems with requisite infrastructure and governance priorities that focus on equity (Marmot et al., 2020). The focus is placed on evident prevention as well as treatment as it is understood that improving health inequities is more sustainable and less reactive with regard to health care.</w:t>
      </w:r>
    </w:p>
    <w:p w14:paraId="02FF8DE2" w14:textId="0A8757D4" w:rsidR="00107D4A" w:rsidRPr="009B0356" w:rsidRDefault="00107D4A" w:rsidP="009B0356">
      <w:pPr>
        <w:pStyle w:val="Heading2"/>
        <w:jc w:val="both"/>
        <w:rPr>
          <w:rFonts w:cs="Times New Roman"/>
          <w:szCs w:val="24"/>
        </w:rPr>
      </w:pPr>
      <w:bookmarkStart w:id="4" w:name="_Toc214922078"/>
      <w:r w:rsidRPr="009B0356">
        <w:rPr>
          <w:rFonts w:cs="Times New Roman"/>
          <w:szCs w:val="24"/>
        </w:rPr>
        <w:t>Global Progress and Implementation Challenges</w:t>
      </w:r>
      <w:bookmarkEnd w:id="4"/>
    </w:p>
    <w:p w14:paraId="20F2D67E" w14:textId="258D1B90" w:rsidR="00107D4A" w:rsidRPr="009B0356" w:rsidRDefault="00107D4A" w:rsidP="009B0356">
      <w:pPr>
        <w:jc w:val="both"/>
        <w:rPr>
          <w:rFonts w:cs="Times New Roman"/>
          <w:szCs w:val="24"/>
        </w:rPr>
      </w:pPr>
      <w:r w:rsidRPr="009B0356">
        <w:rPr>
          <w:rFonts w:cs="Times New Roman"/>
          <w:szCs w:val="24"/>
        </w:rPr>
        <w:t>Data highlights both the success and the continuing struggles. Successful treatment of those infected with HIV led to a 52% decrease in global AIDS-related deaths since 2010, with 146 countries having either succeeded or been on target to meet goals for children under the age of five (World Health Organization, 2023</w:t>
      </w:r>
      <w:r w:rsidR="00A227B3" w:rsidRPr="009B0356">
        <w:rPr>
          <w:rFonts w:cs="Times New Roman"/>
          <w:szCs w:val="24"/>
        </w:rPr>
        <w:t>a</w:t>
      </w:r>
      <w:r w:rsidRPr="009B0356">
        <w:rPr>
          <w:rFonts w:cs="Times New Roman"/>
          <w:szCs w:val="24"/>
        </w:rPr>
        <w:t xml:space="preserve">). Also, 54 countries have eliminated at least one neglected tropical disease as of 2024 (United Nations, 2024). But the COVID-19 pandemic caused setbacks. It led to the greatest fall in vaccination rates for children in three decades, with tuberculosis again </w:t>
      </w:r>
      <w:r w:rsidRPr="009B0356">
        <w:rPr>
          <w:rFonts w:cs="Times New Roman"/>
          <w:szCs w:val="24"/>
        </w:rPr>
        <w:lastRenderedPageBreak/>
        <w:t>becoming the leading cause of death from a single disease-causing pathogen and cases of malaria rising (World Health Organization, 2023</w:t>
      </w:r>
      <w:r w:rsidR="00A227B3" w:rsidRPr="009B0356">
        <w:rPr>
          <w:rFonts w:cs="Times New Roman"/>
          <w:szCs w:val="24"/>
        </w:rPr>
        <w:t>a</w:t>
      </w:r>
      <w:r w:rsidRPr="009B0356">
        <w:rPr>
          <w:rFonts w:cs="Times New Roman"/>
          <w:szCs w:val="24"/>
        </w:rPr>
        <w:t>).</w:t>
      </w:r>
    </w:p>
    <w:p w14:paraId="1F1B6CE1" w14:textId="31673B94" w:rsidR="00107D4A" w:rsidRPr="009B0356" w:rsidRDefault="00107D4A" w:rsidP="009B0356">
      <w:pPr>
        <w:jc w:val="both"/>
        <w:rPr>
          <w:rFonts w:cs="Times New Roman"/>
          <w:szCs w:val="24"/>
        </w:rPr>
      </w:pPr>
      <w:r w:rsidRPr="009B0356">
        <w:rPr>
          <w:rFonts w:cs="Times New Roman"/>
          <w:szCs w:val="24"/>
        </w:rPr>
        <w:t>Maternal mortality rates continue to be high at 260,000 in 2023 (World Health Organization, 2023</w:t>
      </w:r>
      <w:r w:rsidR="00A227B3" w:rsidRPr="009B0356">
        <w:rPr>
          <w:rFonts w:cs="Times New Roman"/>
          <w:szCs w:val="24"/>
        </w:rPr>
        <w:t>a</w:t>
      </w:r>
      <w:r w:rsidRPr="009B0356">
        <w:rPr>
          <w:rFonts w:cs="Times New Roman"/>
          <w:szCs w:val="24"/>
        </w:rPr>
        <w:t>). About 18 million people under 70 years of age have been recorded to have died from non-communicable diseases (NCDs) in 2021 (United Nations, 2024). Financial protection is still not attained at 344 million people forced into extreme poverty in 2019 because of out-of-pocket health expenditure (World Health Organization, 202</w:t>
      </w:r>
      <w:r w:rsidR="002B47C8" w:rsidRPr="009B0356">
        <w:rPr>
          <w:rFonts w:cs="Times New Roman"/>
          <w:szCs w:val="24"/>
        </w:rPr>
        <w:t>3b</w:t>
      </w:r>
      <w:r w:rsidRPr="009B0356">
        <w:rPr>
          <w:rFonts w:cs="Times New Roman"/>
          <w:szCs w:val="24"/>
        </w:rPr>
        <w:t>).</w:t>
      </w:r>
    </w:p>
    <w:p w14:paraId="7A2CBAB1" w14:textId="12FA3467" w:rsidR="00107D4A" w:rsidRPr="009B0356" w:rsidRDefault="00107D4A" w:rsidP="009B0356">
      <w:pPr>
        <w:pStyle w:val="Heading2"/>
        <w:jc w:val="both"/>
        <w:rPr>
          <w:rFonts w:cs="Times New Roman"/>
          <w:szCs w:val="24"/>
        </w:rPr>
      </w:pPr>
      <w:bookmarkStart w:id="5" w:name="_Toc214922079"/>
      <w:r w:rsidRPr="009B0356">
        <w:rPr>
          <w:rFonts w:cs="Times New Roman"/>
          <w:szCs w:val="24"/>
        </w:rPr>
        <w:t>Impact on Health and Well-being of Citizens</w:t>
      </w:r>
      <w:bookmarkEnd w:id="5"/>
    </w:p>
    <w:p w14:paraId="21031908" w14:textId="5B4FF14C" w:rsidR="00107D4A" w:rsidRPr="009B0356" w:rsidRDefault="00107D4A" w:rsidP="009B0356">
      <w:pPr>
        <w:jc w:val="both"/>
        <w:rPr>
          <w:rFonts w:cs="Times New Roman"/>
          <w:szCs w:val="24"/>
        </w:rPr>
      </w:pPr>
      <w:r w:rsidRPr="009B0356">
        <w:rPr>
          <w:rFonts w:cs="Times New Roman"/>
          <w:szCs w:val="24"/>
        </w:rPr>
        <w:t>SDG 3 is directly influential to the health and well-being of citizens. It does so in several ways. Universal health coverage provides people with accessibility to health care at instances when they need it. This prevents a cycle of poverty due to catastrophic health care expenditure (Wagstaff et al., 20</w:t>
      </w:r>
      <w:r w:rsidR="00DF1EF2" w:rsidRPr="009B0356">
        <w:rPr>
          <w:rFonts w:cs="Times New Roman"/>
          <w:szCs w:val="24"/>
        </w:rPr>
        <w:t>16</w:t>
      </w:r>
      <w:r w:rsidRPr="009B0356">
        <w:rPr>
          <w:rFonts w:cs="Times New Roman"/>
          <w:szCs w:val="24"/>
        </w:rPr>
        <w:t>). Health care programs related to disease prevention improve health. Maternal and child health programs ensure healthy pregnancies, which prevent unnecessary losses of life (Hosseinpoor et al., 2018).</w:t>
      </w:r>
    </w:p>
    <w:p w14:paraId="0EE3FDC8" w14:textId="6065758E" w:rsidR="00107D4A" w:rsidRPr="009B0356" w:rsidRDefault="00107D4A" w:rsidP="009B0356">
      <w:pPr>
        <w:jc w:val="both"/>
        <w:rPr>
          <w:rFonts w:cs="Times New Roman"/>
          <w:szCs w:val="24"/>
        </w:rPr>
      </w:pPr>
      <w:r w:rsidRPr="009B0356">
        <w:rPr>
          <w:rFonts w:cs="Times New Roman"/>
          <w:szCs w:val="24"/>
        </w:rPr>
        <w:t>Nonetheless, such discrepancies have been perpetuating ineffectiveness. Reproductive, maternal, child and adolescent health service coverage indicates greater accessibility in wealthier and more educated groups within urban areas, especially in poorer countries (World Health Organization, 2023</w:t>
      </w:r>
      <w:r w:rsidR="00A227B3" w:rsidRPr="009B0356">
        <w:rPr>
          <w:rFonts w:cs="Times New Roman"/>
          <w:szCs w:val="24"/>
        </w:rPr>
        <w:t>a</w:t>
      </w:r>
      <w:r w:rsidRPr="009B0356">
        <w:rPr>
          <w:rFonts w:cs="Times New Roman"/>
          <w:szCs w:val="24"/>
        </w:rPr>
        <w:t>). These inequalities can be attributed to larger social determinants such as poverty rates, education levels, living standards, and employment status that contribute to differential health outcomes (Marmot et al., 2020). A health system working in silos fails to rectify the situation when non-optimal social determinants prevail, requiring inter-sectoral efforts to address the roots (Stenberg et al., 2017). Social health crises have been exposed by the current pandemic situation with greater vulnerabilities to health crises.</w:t>
      </w:r>
    </w:p>
    <w:p w14:paraId="5B8BAC22" w14:textId="1F101725" w:rsidR="00107D4A" w:rsidRPr="009B0356" w:rsidRDefault="00107D4A" w:rsidP="009B0356">
      <w:pPr>
        <w:pStyle w:val="Heading1"/>
        <w:spacing w:before="0" w:after="0" w:line="360" w:lineRule="auto"/>
        <w:jc w:val="both"/>
        <w:rPr>
          <w:rFonts w:cs="Times New Roman"/>
          <w:szCs w:val="24"/>
        </w:rPr>
      </w:pPr>
      <w:bookmarkStart w:id="6" w:name="_Toc214922080"/>
      <w:r w:rsidRPr="009B0356">
        <w:rPr>
          <w:rFonts w:cs="Times New Roman"/>
          <w:szCs w:val="24"/>
        </w:rPr>
        <w:t>Sustainable Development Goal 5: Gender Equality</w:t>
      </w:r>
      <w:bookmarkEnd w:id="6"/>
    </w:p>
    <w:p w14:paraId="18578353" w14:textId="2BA78D85" w:rsidR="00107D4A" w:rsidRPr="009B0356" w:rsidRDefault="00107D4A" w:rsidP="009B0356">
      <w:pPr>
        <w:pStyle w:val="Heading2"/>
        <w:jc w:val="both"/>
        <w:rPr>
          <w:rFonts w:cs="Times New Roman"/>
          <w:szCs w:val="24"/>
        </w:rPr>
      </w:pPr>
      <w:bookmarkStart w:id="7" w:name="_Toc214922081"/>
      <w:r w:rsidRPr="009B0356">
        <w:rPr>
          <w:rFonts w:cs="Times New Roman"/>
          <w:szCs w:val="24"/>
        </w:rPr>
        <w:t>Introduction to SDG 5 Main Constructs</w:t>
      </w:r>
      <w:bookmarkEnd w:id="7"/>
    </w:p>
    <w:p w14:paraId="7055BB00" w14:textId="77777777" w:rsidR="00107D4A" w:rsidRPr="009B0356" w:rsidRDefault="00107D4A" w:rsidP="009B0356">
      <w:pPr>
        <w:jc w:val="both"/>
        <w:rPr>
          <w:rFonts w:cs="Times New Roman"/>
          <w:szCs w:val="24"/>
        </w:rPr>
      </w:pPr>
      <w:r w:rsidRPr="009B0356">
        <w:rPr>
          <w:rFonts w:cs="Times New Roman"/>
          <w:szCs w:val="24"/>
        </w:rPr>
        <w:t xml:space="preserve">SDG 5 is focused on gender equality and women's empowerment. It has a total of nine goals that include eliminating discrimination (Target 5.1), eliminating violence (Target 5.2), ending harmful practices such as child marriage and female genital mutilation (Target 5.3), recogniton of unpaid care work (Target 5.4), women's participation in politics (Target 5.5), and universal access to sexual and reproductive health rights (Target 5.6) (United Nations, 2024). This Sustainable </w:t>
      </w:r>
      <w:r w:rsidRPr="009B0356">
        <w:rPr>
          <w:rFonts w:cs="Times New Roman"/>
          <w:szCs w:val="24"/>
        </w:rPr>
        <w:lastRenderedPageBreak/>
        <w:t>Development Goal identifies gender inequality as a basic human right and a cross-cutting issue in order to attain sustainable development (Sen and Ostlin, 2008).</w:t>
      </w:r>
    </w:p>
    <w:p w14:paraId="23F3E384" w14:textId="77777777" w:rsidR="00107D4A" w:rsidRPr="009B0356" w:rsidRDefault="00107D4A" w:rsidP="009B0356">
      <w:pPr>
        <w:jc w:val="both"/>
        <w:rPr>
          <w:rFonts w:cs="Times New Roman"/>
          <w:szCs w:val="24"/>
        </w:rPr>
      </w:pPr>
      <w:r w:rsidRPr="009B0356">
        <w:rPr>
          <w:rFonts w:cs="Times New Roman"/>
          <w:szCs w:val="24"/>
        </w:rPr>
        <w:t>Effective implementation requires overall policy reforms and legislation changes to deal with systemic discrimination. Target 5.A calls for reforms to ensure women have equal right to economic resources. Target 5.C calls for enactment of legislations to ensure gender equality that can be enforced at all levels (United Nations, 2024). All this recognizes that gender inequality requires overall reforms to eliminate barriers embedded within legislation and economic systems.</w:t>
      </w:r>
    </w:p>
    <w:p w14:paraId="5E6C03D0" w14:textId="04C5423C" w:rsidR="00107D4A" w:rsidRPr="009B0356" w:rsidRDefault="00107D4A" w:rsidP="009B0356">
      <w:pPr>
        <w:pStyle w:val="Heading2"/>
        <w:jc w:val="both"/>
        <w:rPr>
          <w:rFonts w:cs="Times New Roman"/>
          <w:szCs w:val="24"/>
        </w:rPr>
      </w:pPr>
      <w:bookmarkStart w:id="8" w:name="_Toc214922082"/>
      <w:r w:rsidRPr="009B0356">
        <w:rPr>
          <w:rFonts w:cs="Times New Roman"/>
          <w:szCs w:val="24"/>
        </w:rPr>
        <w:t>Global Progress and Implementation Challenges</w:t>
      </w:r>
      <w:bookmarkEnd w:id="8"/>
    </w:p>
    <w:p w14:paraId="70DB19A0" w14:textId="77777777" w:rsidR="00107D4A" w:rsidRPr="009B0356" w:rsidRDefault="00107D4A" w:rsidP="009B0356">
      <w:pPr>
        <w:jc w:val="both"/>
        <w:rPr>
          <w:rFonts w:cs="Times New Roman"/>
          <w:szCs w:val="24"/>
        </w:rPr>
      </w:pPr>
      <w:r w:rsidRPr="009B0356">
        <w:rPr>
          <w:rFonts w:cs="Times New Roman"/>
          <w:szCs w:val="24"/>
        </w:rPr>
        <w:t>Substantial progress is noted with 99 forward-looking legal reform measures adopted between 2019-2024 to eliminate discriminatory laws and develop gender equality frameworks (United Nations, 2024). Child marriage and female genital mutilations have decreased, and women's participation at the politics level is increasing. But at the current pace, gender equality will take 300 years to attain to stop child marriage, 286 to close the gender gap in legal protections, 140 to attain parity at work, and 47 to attain parity in parliament (United Nations Development Programme, 2025).</w:t>
      </w:r>
    </w:p>
    <w:p w14:paraId="207311E1" w14:textId="3E8D561A" w:rsidR="00107D4A" w:rsidRPr="009B0356" w:rsidRDefault="00107D4A" w:rsidP="009B0356">
      <w:pPr>
        <w:jc w:val="both"/>
        <w:rPr>
          <w:rFonts w:cs="Times New Roman"/>
          <w:szCs w:val="24"/>
        </w:rPr>
      </w:pPr>
      <w:r w:rsidRPr="009B0356">
        <w:rPr>
          <w:rFonts w:cs="Times New Roman"/>
          <w:szCs w:val="24"/>
        </w:rPr>
        <w:t>At present, 43.7 per cent of married women worldwide have no control over their sexual and reproductive health decisions (United Nations, 2024). Thirty-five per cent of women between 15-49 have been physically or sexually battered or forced to engage in sexual intimate partner violence (World Health Organization, 2021). More than 230 million girls and women have been subjected to female genital mutilation. Four million girls and women are at risk every year (United Nations, 2024). Only 30 per cent of women in management posts earn 23 per cent less money, working two and a half times longer hours among unpaid caregivers (Office for National Statistics, 202</w:t>
      </w:r>
      <w:r w:rsidR="00B46104" w:rsidRPr="009B0356">
        <w:rPr>
          <w:rFonts w:cs="Times New Roman"/>
          <w:szCs w:val="24"/>
        </w:rPr>
        <w:t>3</w:t>
      </w:r>
      <w:r w:rsidRPr="009B0356">
        <w:rPr>
          <w:rFonts w:cs="Times New Roman"/>
          <w:szCs w:val="24"/>
        </w:rPr>
        <w:t>). The COVID-19 crisis led to intensified violence against women and an extension of their roles to provide unpaid care.</w:t>
      </w:r>
    </w:p>
    <w:p w14:paraId="798196DD" w14:textId="64EF6EE5" w:rsidR="00107D4A" w:rsidRPr="009B0356" w:rsidRDefault="00107D4A" w:rsidP="009B0356">
      <w:pPr>
        <w:pStyle w:val="Heading2"/>
        <w:jc w:val="both"/>
        <w:rPr>
          <w:rFonts w:cs="Times New Roman"/>
          <w:szCs w:val="24"/>
        </w:rPr>
      </w:pPr>
      <w:bookmarkStart w:id="9" w:name="_Toc214922083"/>
      <w:r w:rsidRPr="009B0356">
        <w:rPr>
          <w:rFonts w:cs="Times New Roman"/>
          <w:szCs w:val="24"/>
        </w:rPr>
        <w:t>Impact on Health and Wellbeing of Citizens</w:t>
      </w:r>
      <w:bookmarkEnd w:id="9"/>
    </w:p>
    <w:p w14:paraId="7B8589FA" w14:textId="77777777" w:rsidR="00107D4A" w:rsidRPr="009B0356" w:rsidRDefault="00107D4A" w:rsidP="009B0356">
      <w:pPr>
        <w:jc w:val="both"/>
        <w:rPr>
          <w:rFonts w:cs="Times New Roman"/>
          <w:szCs w:val="24"/>
        </w:rPr>
      </w:pPr>
      <w:r w:rsidRPr="009B0356">
        <w:rPr>
          <w:rFonts w:cs="Times New Roman"/>
          <w:szCs w:val="24"/>
        </w:rPr>
        <w:t xml:space="preserve">Gender inequalities are primary health determinants that shape health risk exposures, healthcare accessibility, and health outcomes (Sen &amp; Ostlin, 2008). Gender violence directly precipitates physical injuries, psycho-social health problems such as depression and post-traumatic disorder, sexual and reproductive health issues, and chronic health problems (Heise &amp; Kotsadam, 2015). The denial of women's control over sexual and reproductive health directly influences women's </w:t>
      </w:r>
      <w:r w:rsidRPr="009B0356">
        <w:rPr>
          <w:rFonts w:cs="Times New Roman"/>
          <w:szCs w:val="24"/>
        </w:rPr>
        <w:lastRenderedPageBreak/>
        <w:t>health outcomes related to maternal health and the avoidance of sexual infections (World Health Organization, 2021).</w:t>
      </w:r>
    </w:p>
    <w:p w14:paraId="4D0B3906" w14:textId="6B496DA6" w:rsidR="00107D4A" w:rsidRPr="009B0356" w:rsidRDefault="00107D4A" w:rsidP="009B0356">
      <w:pPr>
        <w:jc w:val="both"/>
        <w:rPr>
          <w:rFonts w:cs="Times New Roman"/>
          <w:szCs w:val="24"/>
        </w:rPr>
      </w:pPr>
      <w:r w:rsidRPr="009B0356">
        <w:rPr>
          <w:rFonts w:cs="Times New Roman"/>
          <w:szCs w:val="24"/>
        </w:rPr>
        <w:t>Social inequalities directly or indirectly impact health because of chronic stressing, decreased affordability of health care services, unhealthy food, and poor dwelling spaces (Fawcett Society, 20</w:t>
      </w:r>
      <w:r w:rsidR="007853D4" w:rsidRPr="009B0356">
        <w:rPr>
          <w:rFonts w:cs="Times New Roman"/>
          <w:szCs w:val="24"/>
        </w:rPr>
        <w:t>18</w:t>
      </w:r>
      <w:r w:rsidRPr="009B0356">
        <w:rPr>
          <w:rFonts w:cs="Times New Roman"/>
          <w:szCs w:val="24"/>
        </w:rPr>
        <w:t>). Unbalanced unpaid care work contributes to decreased women's participation in the workforce and decreased health. Child marriage is a serious health concern related to health complications during pregnancy, health limitations during education pursuit, and increased vulnerabilities to domestic violence (United Nations, 2024). Female genital mutilation is associated with serious health hazards such as increased bleeding during childbirth, infections, and health-related death (World Health Organization, 2021). These gender-related health hazards emphasize the reason for accomplishing SDG 5 to accomplish SDG 3 because gender equality is a crucial indicator to ensure health equity.</w:t>
      </w:r>
    </w:p>
    <w:p w14:paraId="4297891A" w14:textId="2AA2F112" w:rsidR="00107D4A" w:rsidRPr="009B0356" w:rsidRDefault="00107D4A" w:rsidP="009B0356">
      <w:pPr>
        <w:pStyle w:val="Heading1"/>
        <w:spacing w:before="0" w:after="0" w:line="360" w:lineRule="auto"/>
        <w:jc w:val="both"/>
        <w:rPr>
          <w:rFonts w:cs="Times New Roman"/>
          <w:szCs w:val="24"/>
        </w:rPr>
      </w:pPr>
      <w:bookmarkStart w:id="10" w:name="_Toc214922084"/>
      <w:r w:rsidRPr="009B0356">
        <w:rPr>
          <w:rFonts w:cs="Times New Roman"/>
          <w:szCs w:val="24"/>
        </w:rPr>
        <w:t>National Wellbeing Initiative</w:t>
      </w:r>
      <w:bookmarkEnd w:id="10"/>
    </w:p>
    <w:p w14:paraId="4A736FD4" w14:textId="72903589" w:rsidR="00107D4A" w:rsidRPr="009B0356" w:rsidRDefault="00107D4A" w:rsidP="009B0356">
      <w:pPr>
        <w:pStyle w:val="Heading2"/>
        <w:jc w:val="both"/>
        <w:rPr>
          <w:rFonts w:cs="Times New Roman"/>
          <w:szCs w:val="24"/>
        </w:rPr>
      </w:pPr>
      <w:bookmarkStart w:id="11" w:name="_Toc214922085"/>
      <w:r w:rsidRPr="009B0356">
        <w:rPr>
          <w:rFonts w:cs="Times New Roman"/>
          <w:szCs w:val="24"/>
        </w:rPr>
        <w:t>NHS Long Term Plan</w:t>
      </w:r>
      <w:bookmarkEnd w:id="11"/>
    </w:p>
    <w:p w14:paraId="4995F97F" w14:textId="77777777" w:rsidR="00107D4A" w:rsidRPr="009B0356" w:rsidRDefault="00107D4A" w:rsidP="009B0356">
      <w:pPr>
        <w:jc w:val="both"/>
        <w:rPr>
          <w:rFonts w:cs="Times New Roman"/>
          <w:szCs w:val="24"/>
        </w:rPr>
      </w:pPr>
      <w:r w:rsidRPr="009B0356">
        <w:rPr>
          <w:rFonts w:cs="Times New Roman"/>
          <w:szCs w:val="24"/>
        </w:rPr>
        <w:t>It is important to note that there is a plan known as the National Health Service Long Term Plan (2019) that provides a wide range of commitments to improve the health of the public and their health inequalities. The priority areas include cardiovascular disease prevention, cancer early diagnosis, mental health services extension, maternity and neonatal services improvement, and the enhancement of care systems. These aims will be achieved through investment in community health services and information technology.</w:t>
      </w:r>
    </w:p>
    <w:p w14:paraId="1991630B" w14:textId="23B963DC" w:rsidR="00107D4A" w:rsidRPr="009B0356" w:rsidRDefault="00107D4A" w:rsidP="009B0356">
      <w:pPr>
        <w:jc w:val="both"/>
        <w:rPr>
          <w:rFonts w:cs="Times New Roman"/>
          <w:szCs w:val="24"/>
        </w:rPr>
      </w:pPr>
      <w:r w:rsidRPr="009B0356">
        <w:rPr>
          <w:rFonts w:cs="Times New Roman"/>
          <w:szCs w:val="24"/>
        </w:rPr>
        <w:t xml:space="preserve">Assessment indicates variable efficacy. On the positive side, there have been improved mental health care provisions, enhanced cancer screening programs, and support for the establishment of care systems to ensure coordinated care </w:t>
      </w:r>
      <w:r w:rsidR="0098125E" w:rsidRPr="009B0356">
        <w:rPr>
          <w:rFonts w:cs="Times New Roman"/>
          <w:szCs w:val="24"/>
        </w:rPr>
        <w:t>(Tallack et al., 2021)</w:t>
      </w:r>
      <w:r w:rsidRPr="009B0356">
        <w:rPr>
          <w:rFonts w:cs="Times New Roman"/>
          <w:szCs w:val="24"/>
        </w:rPr>
        <w:t>. Nonetheless, there have been limitations to the effectiveness of this implementation because of funding challenges and the effects of the pandemic. This is because health inequalities have increased among the UK public. Indeed, there have been variations in life expectancy of up to 19 years between the most and least disadvantaged sections (Marmot et al., 2020). Increases in life expectancy have stagnated for the first time in more than 100 years. This is because there have been actual declines among the disadvantaged groups (Marmot et al., 2020).</w:t>
      </w:r>
    </w:p>
    <w:p w14:paraId="799151AB" w14:textId="04580D4F" w:rsidR="00107D4A" w:rsidRPr="009B0356" w:rsidRDefault="00107D4A" w:rsidP="009B0356">
      <w:pPr>
        <w:pStyle w:val="Heading2"/>
        <w:jc w:val="both"/>
        <w:rPr>
          <w:rFonts w:cs="Times New Roman"/>
          <w:szCs w:val="24"/>
        </w:rPr>
      </w:pPr>
      <w:bookmarkStart w:id="12" w:name="_Toc214922086"/>
      <w:r w:rsidRPr="009B0356">
        <w:rPr>
          <w:rFonts w:cs="Times New Roman"/>
          <w:szCs w:val="24"/>
        </w:rPr>
        <w:lastRenderedPageBreak/>
        <w:t>Violence Against Women and Girls Strategy</w:t>
      </w:r>
      <w:bookmarkEnd w:id="12"/>
    </w:p>
    <w:p w14:paraId="56F7018F" w14:textId="5736657F" w:rsidR="00107D4A" w:rsidRPr="009B0356" w:rsidRDefault="00107D4A" w:rsidP="009B0356">
      <w:pPr>
        <w:jc w:val="both"/>
        <w:rPr>
          <w:rFonts w:cs="Times New Roman"/>
          <w:szCs w:val="24"/>
        </w:rPr>
      </w:pPr>
      <w:r w:rsidRPr="009B0356">
        <w:rPr>
          <w:rFonts w:cs="Times New Roman"/>
          <w:szCs w:val="24"/>
        </w:rPr>
        <w:t>The Violence Against Women and Girls Strategy (2021-2024) of the UK Government provides a framework for multiple agencies to tackle domestic abuse, sexual violence, stalking and harassment, and harmful practices (Home Office, 2021). The strategy uses four pillars that include prevention of violence through education, support for survivors through specialist services, pursuit of perpetrators through the criminal justice system, and partnership working. This is accomplished through increased specialist services budgets, improved training for professionals, and improved legislation through the Domestic Abuse Act 2021.</w:t>
      </w:r>
    </w:p>
    <w:p w14:paraId="5D03AF47" w14:textId="66A53D65" w:rsidR="00107D4A" w:rsidRPr="009B0356" w:rsidRDefault="00107D4A" w:rsidP="009B0356">
      <w:pPr>
        <w:jc w:val="both"/>
        <w:rPr>
          <w:rFonts w:cs="Times New Roman"/>
          <w:szCs w:val="24"/>
        </w:rPr>
      </w:pPr>
      <w:r w:rsidRPr="009B0356">
        <w:rPr>
          <w:rFonts w:cs="Times New Roman"/>
          <w:szCs w:val="24"/>
        </w:rPr>
        <w:t>Assessment indicates continued challenges despite the strengths of the framework. Specialist services are working at full capacity and cannot meet current demand because of the lack of sustainable funds (</w:t>
      </w:r>
      <w:r w:rsidR="00DF1EF2" w:rsidRPr="009B0356">
        <w:rPr>
          <w:rFonts w:cs="Times New Roman"/>
          <w:szCs w:val="24"/>
        </w:rPr>
        <w:t>Dean et al.</w:t>
      </w:r>
      <w:r w:rsidRPr="009B0356">
        <w:rPr>
          <w:rFonts w:cs="Times New Roman"/>
          <w:szCs w:val="24"/>
        </w:rPr>
        <w:t>, 202</w:t>
      </w:r>
      <w:r w:rsidR="00DF1EF2" w:rsidRPr="009B0356">
        <w:rPr>
          <w:rFonts w:cs="Times New Roman"/>
          <w:szCs w:val="24"/>
        </w:rPr>
        <w:t>3</w:t>
      </w:r>
      <w:r w:rsidRPr="009B0356">
        <w:rPr>
          <w:rFonts w:cs="Times New Roman"/>
          <w:szCs w:val="24"/>
        </w:rPr>
        <w:t>). Healthcare workers have variable training; therefore, there is no consistent service or lost opportunities for intervention (</w:t>
      </w:r>
      <w:r w:rsidR="008E575C" w:rsidRPr="009B0356">
        <w:rPr>
          <w:rFonts w:cs="Times New Roman"/>
          <w:color w:val="222222"/>
          <w:szCs w:val="24"/>
          <w:shd w:val="clear" w:color="auto" w:fill="FFFFFF"/>
        </w:rPr>
        <w:t>Hegarty</w:t>
      </w:r>
      <w:r w:rsidR="008E575C" w:rsidRPr="009B0356">
        <w:rPr>
          <w:rFonts w:cs="Times New Roman"/>
          <w:szCs w:val="24"/>
        </w:rPr>
        <w:t xml:space="preserve"> </w:t>
      </w:r>
      <w:r w:rsidRPr="009B0356">
        <w:rPr>
          <w:rFonts w:cs="Times New Roman"/>
          <w:szCs w:val="24"/>
        </w:rPr>
        <w:t>et al., 2020). Strengths of the framework include awareness, inter-agency working, and support pathways for survivors. The recommendations include guaranteed sustainable funds for specialist services, training for healthcare workers, incorporation of regular inquiry protocols in primary care, and improved pathways between health services and specialist support services.</w:t>
      </w:r>
    </w:p>
    <w:p w14:paraId="716818F2" w14:textId="005F9236" w:rsidR="00107D4A" w:rsidRPr="009B0356" w:rsidRDefault="00107D4A" w:rsidP="009B0356">
      <w:pPr>
        <w:pStyle w:val="Heading1"/>
        <w:spacing w:before="0" w:after="0" w:line="360" w:lineRule="auto"/>
        <w:jc w:val="both"/>
        <w:rPr>
          <w:rFonts w:cs="Times New Roman"/>
          <w:szCs w:val="24"/>
        </w:rPr>
      </w:pPr>
      <w:bookmarkStart w:id="13" w:name="_Toc214922087"/>
      <w:r w:rsidRPr="009B0356">
        <w:rPr>
          <w:rFonts w:cs="Times New Roman"/>
          <w:szCs w:val="24"/>
        </w:rPr>
        <w:t>Local Wellbeing Initiative</w:t>
      </w:r>
      <w:bookmarkEnd w:id="13"/>
    </w:p>
    <w:p w14:paraId="4191FA2B" w14:textId="3EB935D3" w:rsidR="00107D4A" w:rsidRPr="009B0356" w:rsidRDefault="00107D4A" w:rsidP="009B0356">
      <w:pPr>
        <w:pStyle w:val="Heading2"/>
        <w:jc w:val="both"/>
        <w:rPr>
          <w:rFonts w:cs="Times New Roman"/>
          <w:szCs w:val="24"/>
        </w:rPr>
      </w:pPr>
      <w:bookmarkStart w:id="14" w:name="_Toc214922088"/>
      <w:r w:rsidRPr="009B0356">
        <w:rPr>
          <w:rFonts w:cs="Times New Roman"/>
          <w:szCs w:val="24"/>
        </w:rPr>
        <w:t>Implementation of Wellbeing of Future Generations Act</w:t>
      </w:r>
      <w:bookmarkEnd w:id="14"/>
    </w:p>
    <w:p w14:paraId="18372003" w14:textId="36D73D12" w:rsidR="00107D4A" w:rsidRPr="009B0356" w:rsidRDefault="00107D4A" w:rsidP="009B0356">
      <w:pPr>
        <w:jc w:val="both"/>
        <w:rPr>
          <w:rFonts w:cs="Times New Roman"/>
          <w:szCs w:val="24"/>
        </w:rPr>
      </w:pPr>
      <w:r w:rsidRPr="009B0356">
        <w:rPr>
          <w:rFonts w:cs="Times New Roman"/>
          <w:szCs w:val="24"/>
        </w:rPr>
        <w:t>The Well-being of Future Generations (Wales) Act 2015 is considered innovative legislation that requires public bodies in Wales to follow principles of sustainable development (Welsh Government, 2015). The legislation is formulated within seven well-being goals that reflect the principles of SDG. The legislation requires public bodies to report their activities and services' contribution to the well-being goals through well-being objectives and sustainable principles of development and forward thinking. In health settings, the strategy is formulated through the participation of Public Health Wales and health boards in the production of Health and Well-being Strategies (</w:t>
      </w:r>
      <w:r w:rsidR="00B46104" w:rsidRPr="009B0356">
        <w:rPr>
          <w:rFonts w:cs="Times New Roman"/>
          <w:color w:val="222222"/>
          <w:szCs w:val="24"/>
          <w:shd w:val="clear" w:color="auto" w:fill="FFFFFF"/>
        </w:rPr>
        <w:t>Dyakova et al.</w:t>
      </w:r>
      <w:r w:rsidRPr="009B0356">
        <w:rPr>
          <w:rFonts w:cs="Times New Roman"/>
          <w:szCs w:val="24"/>
        </w:rPr>
        <w:t>, 20</w:t>
      </w:r>
      <w:r w:rsidR="00B46104" w:rsidRPr="009B0356">
        <w:rPr>
          <w:rFonts w:cs="Times New Roman"/>
          <w:szCs w:val="24"/>
        </w:rPr>
        <w:t>16</w:t>
      </w:r>
      <w:r w:rsidRPr="009B0356">
        <w:rPr>
          <w:rFonts w:cs="Times New Roman"/>
          <w:szCs w:val="24"/>
        </w:rPr>
        <w:t>).</w:t>
      </w:r>
    </w:p>
    <w:p w14:paraId="15D3C525" w14:textId="77777777" w:rsidR="00107D4A" w:rsidRPr="009B0356" w:rsidRDefault="00107D4A" w:rsidP="009B0356">
      <w:pPr>
        <w:jc w:val="both"/>
        <w:rPr>
          <w:rFonts w:cs="Times New Roman"/>
          <w:szCs w:val="24"/>
        </w:rPr>
      </w:pPr>
      <w:r w:rsidRPr="009B0356">
        <w:rPr>
          <w:rFonts w:cs="Times New Roman"/>
          <w:szCs w:val="24"/>
        </w:rPr>
        <w:t xml:space="preserve">Assessment of the Act supports the evidence of its benefits such as improving inter-sector working, increased expenditure on prevention, and improved community engagement. The Act has led to a change in cultures within organizations to think and act in the longer term. It is noted that there could be tensions between short-termism and longer-term change. Recommendations include investing in strong frameworks to measure wellbeing to support monitoring of progress towards </w:t>
      </w:r>
      <w:r w:rsidRPr="009B0356">
        <w:rPr>
          <w:rFonts w:cs="Times New Roman"/>
          <w:szCs w:val="24"/>
        </w:rPr>
        <w:lastRenderedPageBreak/>
        <w:t>overall wellbeing outcomes. Training to support implementation is also recommended. Resources to support monitoring should also be improved. Best practice examples to support learning can be encouraged.</w:t>
      </w:r>
    </w:p>
    <w:p w14:paraId="783EDCCD" w14:textId="00CE90B5" w:rsidR="00107D4A" w:rsidRPr="009B0356" w:rsidRDefault="00107D4A" w:rsidP="009B0356">
      <w:pPr>
        <w:pStyle w:val="Heading2"/>
        <w:jc w:val="both"/>
        <w:rPr>
          <w:rFonts w:cs="Times New Roman"/>
          <w:szCs w:val="24"/>
        </w:rPr>
      </w:pPr>
      <w:bookmarkStart w:id="15" w:name="_Toc214922089"/>
      <w:r w:rsidRPr="009B0356">
        <w:rPr>
          <w:rFonts w:cs="Times New Roman"/>
          <w:szCs w:val="24"/>
        </w:rPr>
        <w:t>Flying Start Programme</w:t>
      </w:r>
      <w:bookmarkEnd w:id="15"/>
    </w:p>
    <w:p w14:paraId="1EA9A5CD" w14:textId="77777777" w:rsidR="00107D4A" w:rsidRPr="009B0356" w:rsidRDefault="00107D4A" w:rsidP="009B0356">
      <w:pPr>
        <w:jc w:val="both"/>
        <w:rPr>
          <w:rFonts w:cs="Times New Roman"/>
          <w:szCs w:val="24"/>
        </w:rPr>
      </w:pPr>
      <w:r w:rsidRPr="009B0356">
        <w:rPr>
          <w:rFonts w:cs="Times New Roman"/>
          <w:szCs w:val="24"/>
        </w:rPr>
        <w:t>Flying Start is the Welsh government's flagship initiative in the early years sector. It provides intensive support to families with children under four in disadvantaged communities (Welsh Government, 2020). This initiative involves improved health visiting care and free childcare as well as support with parenting and young children's early language skills. This is incorporated because it is well understood that the early years have a crucial influence on health in adulthood.</w:t>
      </w:r>
    </w:p>
    <w:p w14:paraId="6D4A70BA" w14:textId="77777777" w:rsidR="00107D4A" w:rsidRPr="009B0356" w:rsidRDefault="00107D4A" w:rsidP="009B0356">
      <w:pPr>
        <w:jc w:val="both"/>
        <w:rPr>
          <w:rFonts w:cs="Times New Roman"/>
          <w:szCs w:val="24"/>
        </w:rPr>
      </w:pPr>
      <w:r w:rsidRPr="009B0356">
        <w:rPr>
          <w:rFonts w:cs="Times New Roman"/>
          <w:szCs w:val="24"/>
        </w:rPr>
        <w:t>Assessment indicates a range of positive outcomes with children evidencing improved language skills, social-emotional skills, and schooling readiness when participating in the initiative compared to those not participating (Welsh Government, 2020). Beneficiaries have noted improved parenting self-efficacy beliefs and improved parent-child relationships. While the initiative is contributing to SDG 3 and SDG 5 goals by closing health inequalities among women and improving gender inequality among women through increased childcare services to support employment, it faces a number of limitations. These include the potential restriction of benefits to targeted postcodes, which could leave the disadvantaged unsupported in non-postcoded regions. Suggestions for improvement include increasing the target postcodes to ensure that the disadvantaged have access to support services.</w:t>
      </w:r>
    </w:p>
    <w:p w14:paraId="5BD385CE" w14:textId="49535368" w:rsidR="00107D4A" w:rsidRPr="009B0356" w:rsidRDefault="00107D4A" w:rsidP="009B0356">
      <w:pPr>
        <w:pStyle w:val="Heading1"/>
        <w:spacing w:before="0" w:after="0" w:line="360" w:lineRule="auto"/>
        <w:jc w:val="both"/>
        <w:rPr>
          <w:rFonts w:cs="Times New Roman"/>
          <w:szCs w:val="24"/>
        </w:rPr>
      </w:pPr>
      <w:bookmarkStart w:id="16" w:name="_Toc214922090"/>
      <w:r w:rsidRPr="009B0356">
        <w:rPr>
          <w:rFonts w:cs="Times New Roman"/>
          <w:szCs w:val="24"/>
        </w:rPr>
        <w:t>Conclusion</w:t>
      </w:r>
      <w:bookmarkEnd w:id="16"/>
    </w:p>
    <w:p w14:paraId="2618154A" w14:textId="3D165447" w:rsidR="00E36D4F" w:rsidRPr="009B0356" w:rsidRDefault="00107D4A" w:rsidP="009B0356">
      <w:pPr>
        <w:jc w:val="both"/>
        <w:rPr>
          <w:rFonts w:cs="Times New Roman"/>
          <w:szCs w:val="24"/>
        </w:rPr>
      </w:pPr>
      <w:r w:rsidRPr="009B0356">
        <w:rPr>
          <w:rFonts w:cs="Times New Roman"/>
          <w:szCs w:val="24"/>
        </w:rPr>
        <w:t>This critical appraisal makes it apparent that although there have been marked achievements towards meeting SDG 3 and SDG 5, there have been implementation bottlenecks. The COVID-19 pandemics have rolled back health achievements, especially among the at-risk groups. Gender inequalities and gender inequities form inherent health determinants. UK national initiatives have established holistic frameworks although they have been hampered by costs and disparities. Welsh community initiatives reveal innovation through health legislation and early intervention strategies. Meeting the targets of SDGs in 2030 requires urgent high-level politics commitment, increased sustainable investment in health to address social determinants, gender-equitable health systems with accountability mechanisms.</w:t>
      </w:r>
    </w:p>
    <w:p w14:paraId="1CAC03F5" w14:textId="0E209185" w:rsidR="00F66F14" w:rsidRDefault="00F66F14" w:rsidP="00107D4A"/>
    <w:p w14:paraId="4023E665" w14:textId="3C4A8A15" w:rsidR="00F66F14" w:rsidRDefault="00F66F14" w:rsidP="00107D4A"/>
    <w:p w14:paraId="22733E50" w14:textId="77777777" w:rsidR="00F66F14" w:rsidRPr="00680ED9" w:rsidRDefault="00F66F14" w:rsidP="009B0356">
      <w:pPr>
        <w:pStyle w:val="Heading1"/>
        <w:rPr>
          <w:lang w:eastAsia="en-GB"/>
        </w:rPr>
      </w:pPr>
      <w:bookmarkStart w:id="17" w:name="_Toc214922091"/>
      <w:r w:rsidRPr="00680ED9">
        <w:rPr>
          <w:lang w:eastAsia="en-GB"/>
        </w:rPr>
        <w:lastRenderedPageBreak/>
        <w:t>References</w:t>
      </w:r>
      <w:bookmarkEnd w:id="17"/>
    </w:p>
    <w:p w14:paraId="371D6B19" w14:textId="77777777" w:rsidR="009B0356" w:rsidRPr="009B0356" w:rsidRDefault="009B0356" w:rsidP="009B0356">
      <w:pPr>
        <w:ind w:left="720" w:hanging="720"/>
        <w:jc w:val="both"/>
        <w:rPr>
          <w:rFonts w:eastAsia="Times New Roman" w:cs="Times New Roman"/>
          <w:color w:val="FF0000"/>
          <w:szCs w:val="24"/>
          <w:lang w:eastAsia="en-GB"/>
        </w:rPr>
      </w:pPr>
      <w:r w:rsidRPr="009B0356">
        <w:rPr>
          <w:rFonts w:cs="Times New Roman"/>
          <w:color w:val="222222"/>
          <w:szCs w:val="24"/>
          <w:shd w:val="clear" w:color="auto" w:fill="FFFFFF"/>
        </w:rPr>
        <w:t>Dean, K., Samuel, M., Nicholson-Pallett, P., Clark, E. and Wood, G., (2023) The domestic abuse report 2023: The annual audit.</w:t>
      </w:r>
    </w:p>
    <w:p w14:paraId="7EA28149" w14:textId="77777777" w:rsidR="009B0356" w:rsidRPr="009B0356" w:rsidRDefault="009B0356" w:rsidP="009B0356">
      <w:pPr>
        <w:ind w:left="720" w:hanging="720"/>
        <w:jc w:val="both"/>
        <w:rPr>
          <w:rFonts w:eastAsia="Times New Roman" w:cs="Times New Roman"/>
          <w:color w:val="FF0000"/>
          <w:szCs w:val="24"/>
          <w:lang w:eastAsia="en-GB"/>
        </w:rPr>
      </w:pPr>
      <w:r w:rsidRPr="009B0356">
        <w:rPr>
          <w:rFonts w:cs="Times New Roman"/>
          <w:color w:val="222222"/>
          <w:szCs w:val="24"/>
          <w:shd w:val="clear" w:color="auto" w:fill="FFFFFF"/>
        </w:rPr>
        <w:t>Dyakova, M., Knight, T. and Price, S., (2016) </w:t>
      </w:r>
      <w:r w:rsidRPr="009B0356">
        <w:rPr>
          <w:rFonts w:cs="Times New Roman"/>
          <w:i/>
          <w:iCs/>
          <w:color w:val="222222"/>
          <w:szCs w:val="24"/>
          <w:shd w:val="clear" w:color="auto" w:fill="FFFFFF"/>
        </w:rPr>
        <w:t>Making a difference: investing in sustainable health and well-being for the people of Wales: supporting evidence 2016</w:t>
      </w:r>
      <w:r w:rsidRPr="009B0356">
        <w:rPr>
          <w:rFonts w:cs="Times New Roman"/>
          <w:color w:val="222222"/>
          <w:szCs w:val="24"/>
          <w:shd w:val="clear" w:color="auto" w:fill="FFFFFF"/>
        </w:rPr>
        <w:t>. Public Health Wales NHS Trust.</w:t>
      </w:r>
    </w:p>
    <w:p w14:paraId="3B46BA3E"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Fawcett Society (2018) </w:t>
      </w:r>
      <w:r w:rsidRPr="009B0356">
        <w:rPr>
          <w:rFonts w:eastAsia="Times New Roman" w:cs="Times New Roman"/>
          <w:i/>
          <w:iCs/>
          <w:szCs w:val="24"/>
          <w:lang w:eastAsia="en-GB"/>
        </w:rPr>
        <w:t xml:space="preserve">Sex discrimination law review. </w:t>
      </w:r>
      <w:r w:rsidRPr="009B0356">
        <w:rPr>
          <w:rFonts w:eastAsia="Times New Roman" w:cs="Times New Roman"/>
          <w:szCs w:val="24"/>
          <w:lang w:eastAsia="en-GB"/>
        </w:rPr>
        <w:t>Available at: https://www.fawcettsociety.org.uk/Handlers/Download.ashx?IDMF=e473a103-28c1-4a6c-aa43-5099d34c0116 [Accessed 07 Nov. 2025].</w:t>
      </w:r>
    </w:p>
    <w:p w14:paraId="2363A595" w14:textId="77777777" w:rsidR="009B0356" w:rsidRPr="009B0356" w:rsidRDefault="009B0356" w:rsidP="009B0356">
      <w:pPr>
        <w:ind w:left="720" w:hanging="720"/>
        <w:jc w:val="both"/>
        <w:rPr>
          <w:rFonts w:eastAsia="Times New Roman" w:cs="Times New Roman"/>
          <w:szCs w:val="24"/>
          <w:lang w:eastAsia="en-GB"/>
        </w:rPr>
      </w:pPr>
      <w:r w:rsidRPr="009B0356">
        <w:rPr>
          <w:rFonts w:cs="Times New Roman"/>
          <w:color w:val="222222"/>
          <w:szCs w:val="24"/>
          <w:shd w:val="clear" w:color="auto" w:fill="FFFFFF"/>
        </w:rPr>
        <w:t>Hegarty, K., McKibbin, G., Hameed, M., Koziol-McLain, J., Feder, G., Tarzia, L. and Hooker, L., (2020) Health practitioners' readiness to address domestic violence and abuse: A qualitative meta-synthesis. </w:t>
      </w:r>
      <w:r w:rsidRPr="009B0356">
        <w:rPr>
          <w:rFonts w:cs="Times New Roman"/>
          <w:i/>
          <w:iCs/>
          <w:color w:val="222222"/>
          <w:szCs w:val="24"/>
          <w:shd w:val="clear" w:color="auto" w:fill="FFFFFF"/>
        </w:rPr>
        <w:t>PLoS one</w:t>
      </w:r>
      <w:r w:rsidRPr="009B0356">
        <w:rPr>
          <w:rFonts w:cs="Times New Roman"/>
          <w:color w:val="222222"/>
          <w:szCs w:val="24"/>
          <w:shd w:val="clear" w:color="auto" w:fill="FFFFFF"/>
        </w:rPr>
        <w:t>, </w:t>
      </w:r>
      <w:r w:rsidRPr="009B0356">
        <w:rPr>
          <w:rFonts w:cs="Times New Roman"/>
          <w:i/>
          <w:iCs/>
          <w:color w:val="222222"/>
          <w:szCs w:val="24"/>
          <w:shd w:val="clear" w:color="auto" w:fill="FFFFFF"/>
        </w:rPr>
        <w:t>15</w:t>
      </w:r>
      <w:r w:rsidRPr="009B0356">
        <w:rPr>
          <w:rFonts w:cs="Times New Roman"/>
          <w:color w:val="222222"/>
          <w:szCs w:val="24"/>
          <w:shd w:val="clear" w:color="auto" w:fill="FFFFFF"/>
        </w:rPr>
        <w:t>(6), p.e0234067.</w:t>
      </w:r>
    </w:p>
    <w:p w14:paraId="40D3FC6D"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Heise, L.L. and Kotsadam, A., (2015) Cross-national and multilevel correlates of partner violence: an analysis of data from population-based surveys. </w:t>
      </w:r>
      <w:r w:rsidRPr="009B0356">
        <w:rPr>
          <w:rFonts w:cs="Times New Roman"/>
          <w:i/>
          <w:iCs/>
          <w:color w:val="222222"/>
          <w:szCs w:val="24"/>
          <w:shd w:val="clear" w:color="auto" w:fill="FFFFFF"/>
        </w:rPr>
        <w:t>The Lancet Global Health</w:t>
      </w:r>
      <w:r w:rsidRPr="009B0356">
        <w:rPr>
          <w:rFonts w:cs="Times New Roman"/>
          <w:color w:val="222222"/>
          <w:szCs w:val="24"/>
          <w:shd w:val="clear" w:color="auto" w:fill="FFFFFF"/>
        </w:rPr>
        <w:t>, </w:t>
      </w:r>
      <w:r w:rsidRPr="009B0356">
        <w:rPr>
          <w:rFonts w:cs="Times New Roman"/>
          <w:i/>
          <w:iCs/>
          <w:color w:val="222222"/>
          <w:szCs w:val="24"/>
          <w:shd w:val="clear" w:color="auto" w:fill="FFFFFF"/>
        </w:rPr>
        <w:t>3</w:t>
      </w:r>
      <w:r w:rsidRPr="009B0356">
        <w:rPr>
          <w:rFonts w:cs="Times New Roman"/>
          <w:color w:val="222222"/>
          <w:szCs w:val="24"/>
          <w:shd w:val="clear" w:color="auto" w:fill="FFFFFF"/>
        </w:rPr>
        <w:t>(6), pp.e332-e340.</w:t>
      </w:r>
    </w:p>
    <w:p w14:paraId="1F87BD63"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Home Office (2021) </w:t>
      </w:r>
      <w:r w:rsidRPr="009B0356">
        <w:rPr>
          <w:rFonts w:eastAsia="Times New Roman" w:cs="Times New Roman"/>
          <w:i/>
          <w:iCs/>
          <w:szCs w:val="24"/>
          <w:lang w:eastAsia="en-GB"/>
        </w:rPr>
        <w:t>Tackling Violence Against Women and Girls Strategy</w:t>
      </w:r>
      <w:r w:rsidRPr="009B0356">
        <w:rPr>
          <w:rFonts w:eastAsia="Times New Roman" w:cs="Times New Roman"/>
          <w:szCs w:val="24"/>
          <w:lang w:eastAsia="en-GB"/>
        </w:rPr>
        <w:t>. Available at: https://www.gov.uk/government/publications/tackling-violence-against-women-and-girls-strategy#full-publication-update-history [Accessed 5 Nov. 2025].</w:t>
      </w:r>
    </w:p>
    <w:p w14:paraId="357945FF"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Hosseinpoor, A.R., Bergen, N., Schlotheuber, A. and Boerma, T., (2018) National health inequality monitoring: current challenges and opportunities. </w:t>
      </w:r>
      <w:r w:rsidRPr="009B0356">
        <w:rPr>
          <w:rFonts w:cs="Times New Roman"/>
          <w:i/>
          <w:iCs/>
          <w:color w:val="222222"/>
          <w:szCs w:val="24"/>
          <w:shd w:val="clear" w:color="auto" w:fill="FFFFFF"/>
        </w:rPr>
        <w:t>Global health action</w:t>
      </w:r>
      <w:r w:rsidRPr="009B0356">
        <w:rPr>
          <w:rFonts w:cs="Times New Roman"/>
          <w:color w:val="222222"/>
          <w:szCs w:val="24"/>
          <w:shd w:val="clear" w:color="auto" w:fill="FFFFFF"/>
        </w:rPr>
        <w:t>, </w:t>
      </w:r>
      <w:r w:rsidRPr="009B0356">
        <w:rPr>
          <w:rFonts w:cs="Times New Roman"/>
          <w:i/>
          <w:iCs/>
          <w:color w:val="222222"/>
          <w:szCs w:val="24"/>
          <w:shd w:val="clear" w:color="auto" w:fill="FFFFFF"/>
        </w:rPr>
        <w:t>11</w:t>
      </w:r>
      <w:r w:rsidRPr="009B0356">
        <w:rPr>
          <w:rFonts w:cs="Times New Roman"/>
          <w:color w:val="222222"/>
          <w:szCs w:val="24"/>
          <w:shd w:val="clear" w:color="auto" w:fill="FFFFFF"/>
        </w:rPr>
        <w:t>(sup1), pp.70-74.</w:t>
      </w:r>
    </w:p>
    <w:p w14:paraId="087F28F9"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Marmot, M., Allen, J., Boyce, T., Goldblatt, P. and Morrison, J. (2020) </w:t>
      </w:r>
      <w:r w:rsidRPr="009B0356">
        <w:rPr>
          <w:rFonts w:eastAsia="Times New Roman" w:cs="Times New Roman"/>
          <w:i/>
          <w:iCs/>
          <w:szCs w:val="24"/>
          <w:lang w:eastAsia="en-GB"/>
        </w:rPr>
        <w:t>Health equity in England: The Marmot Review 10 years on</w:t>
      </w:r>
      <w:r w:rsidRPr="009B0356">
        <w:rPr>
          <w:rFonts w:eastAsia="Times New Roman" w:cs="Times New Roman"/>
          <w:szCs w:val="24"/>
          <w:lang w:eastAsia="en-GB"/>
        </w:rPr>
        <w:t>. London: Institute of Health Equity.</w:t>
      </w:r>
    </w:p>
    <w:p w14:paraId="11538A10"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NHS England (2019) </w:t>
      </w:r>
      <w:r w:rsidRPr="009B0356">
        <w:rPr>
          <w:rFonts w:eastAsia="Times New Roman" w:cs="Times New Roman"/>
          <w:i/>
          <w:iCs/>
          <w:szCs w:val="24"/>
          <w:lang w:eastAsia="en-GB"/>
        </w:rPr>
        <w:t>The NHS Long Term Plan</w:t>
      </w:r>
      <w:r w:rsidRPr="009B0356">
        <w:rPr>
          <w:rFonts w:eastAsia="Times New Roman" w:cs="Times New Roman"/>
          <w:szCs w:val="24"/>
          <w:lang w:eastAsia="en-GB"/>
        </w:rPr>
        <w:t>. Available at: https://www.longtermplan.nhs.uk/ [Accessed 5 Nov. 2025].</w:t>
      </w:r>
    </w:p>
    <w:p w14:paraId="4CE444BB" w14:textId="77777777" w:rsidR="009B0356" w:rsidRPr="009B0356" w:rsidRDefault="009B0356" w:rsidP="009B0356">
      <w:pPr>
        <w:pStyle w:val="NormalWeb"/>
        <w:spacing w:before="0" w:beforeAutospacing="0" w:after="0" w:afterAutospacing="0" w:line="360" w:lineRule="auto"/>
        <w:ind w:left="720" w:hanging="720"/>
        <w:jc w:val="both"/>
      </w:pPr>
      <w:r w:rsidRPr="009B0356">
        <w:t xml:space="preserve">Office for National Statistics (2023) </w:t>
      </w:r>
      <w:r w:rsidRPr="009B0356">
        <w:rPr>
          <w:i/>
          <w:iCs/>
        </w:rPr>
        <w:t>Unpaid care, England and Wales: Census 2021.</w:t>
      </w:r>
      <w:r w:rsidRPr="009B0356">
        <w:t xml:space="preserve"> Available at: https://www.ons.gov.uk/peoplepopulationandcommunity/healthandsocialcare/healthandwellbeing/bulletins/unpaidcareenglandandwales/census2021 [Accessed 7 Nov. 2025]</w:t>
      </w:r>
    </w:p>
    <w:p w14:paraId="6C2D8742"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Sen, G. and Östlin, P., (2008) Gender inequity in health: why it exists and how we can change it.</w:t>
      </w:r>
    </w:p>
    <w:p w14:paraId="29AADA33"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 xml:space="preserve">Stenberg, K., Hanssen, O., Edejer, T.T.T., Bertram, M., Brindley, C., Meshreky, A., Rosen, J.E., Stover, J., Verboom, P., Sanders, R. and Soucat, A., (2017) Financing transformative health </w:t>
      </w:r>
      <w:r w:rsidRPr="009B0356">
        <w:rPr>
          <w:rFonts w:cs="Times New Roman"/>
          <w:color w:val="222222"/>
          <w:szCs w:val="24"/>
          <w:shd w:val="clear" w:color="auto" w:fill="FFFFFF"/>
        </w:rPr>
        <w:lastRenderedPageBreak/>
        <w:t>systems towards achievement of the health Sustainable Development Goals: a model for projected resource needs in 67 low-income and middle-income countries. </w:t>
      </w:r>
      <w:r w:rsidRPr="009B0356">
        <w:rPr>
          <w:rFonts w:cs="Times New Roman"/>
          <w:i/>
          <w:iCs/>
          <w:color w:val="222222"/>
          <w:szCs w:val="24"/>
          <w:shd w:val="clear" w:color="auto" w:fill="FFFFFF"/>
        </w:rPr>
        <w:t>The Lancet Global Health</w:t>
      </w:r>
      <w:r w:rsidRPr="009B0356">
        <w:rPr>
          <w:rFonts w:cs="Times New Roman"/>
          <w:color w:val="222222"/>
          <w:szCs w:val="24"/>
          <w:shd w:val="clear" w:color="auto" w:fill="FFFFFF"/>
        </w:rPr>
        <w:t>, </w:t>
      </w:r>
      <w:r w:rsidRPr="009B0356">
        <w:rPr>
          <w:rFonts w:cs="Times New Roman"/>
          <w:i/>
          <w:iCs/>
          <w:color w:val="222222"/>
          <w:szCs w:val="24"/>
          <w:shd w:val="clear" w:color="auto" w:fill="FFFFFF"/>
        </w:rPr>
        <w:t>5</w:t>
      </w:r>
      <w:r w:rsidRPr="009B0356">
        <w:rPr>
          <w:rFonts w:cs="Times New Roman"/>
          <w:color w:val="222222"/>
          <w:szCs w:val="24"/>
          <w:shd w:val="clear" w:color="auto" w:fill="FFFFFF"/>
        </w:rPr>
        <w:t>(9), pp.e875-e887.</w:t>
      </w:r>
    </w:p>
    <w:p w14:paraId="1A81ADAC" w14:textId="3423420F" w:rsidR="009B0356" w:rsidRPr="009B0356" w:rsidRDefault="009B0356" w:rsidP="009B0356">
      <w:pPr>
        <w:pStyle w:val="NormalWeb"/>
        <w:spacing w:before="0" w:beforeAutospacing="0" w:after="0" w:afterAutospacing="0" w:line="360" w:lineRule="auto"/>
        <w:ind w:left="720" w:hanging="720"/>
        <w:jc w:val="both"/>
      </w:pPr>
      <w:r w:rsidRPr="009B0356">
        <w:t xml:space="preserve">Tallack, C., Shembavnekar, N., Boccarini, G., Rocks, S. and Finch, D. (2021) </w:t>
      </w:r>
      <w:r w:rsidRPr="009B0356">
        <w:rPr>
          <w:i/>
          <w:iCs/>
        </w:rPr>
        <w:t>Spending Review 2021: what it means for health and social care</w:t>
      </w:r>
      <w:r w:rsidRPr="009B0356">
        <w:t>. Available at: https://www.health.org.uk/reports-and-analysis/analysis/spending-review-2021-what-it-means-for-health-and-social-care [Accessed 7 Nov. 2025]</w:t>
      </w:r>
    </w:p>
    <w:p w14:paraId="7BF05C79" w14:textId="77777777" w:rsidR="009B0356" w:rsidRPr="009B0356" w:rsidRDefault="009B0356" w:rsidP="009B0356">
      <w:pPr>
        <w:pStyle w:val="NormalWeb"/>
        <w:spacing w:before="0" w:beforeAutospacing="0" w:after="0" w:afterAutospacing="0" w:line="360" w:lineRule="auto"/>
        <w:ind w:left="720" w:hanging="720"/>
        <w:jc w:val="both"/>
      </w:pPr>
      <w:r w:rsidRPr="009B0356">
        <w:t xml:space="preserve">United Nations (2023) </w:t>
      </w:r>
      <w:r w:rsidRPr="009B0356">
        <w:rPr>
          <w:i/>
          <w:iCs/>
        </w:rPr>
        <w:t>The Sustainable Development Goals Report 2023</w:t>
      </w:r>
      <w:r w:rsidRPr="009B0356">
        <w:t>. Available at: https://sdgs.un.org/documents/sustainable-development-goals-report-2023-53220 [Accessed 6 Nov. 2025]</w:t>
      </w:r>
    </w:p>
    <w:p w14:paraId="4F18889D"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United Nations (2024) </w:t>
      </w:r>
      <w:r w:rsidRPr="009B0356">
        <w:rPr>
          <w:rFonts w:eastAsia="Times New Roman" w:cs="Times New Roman"/>
          <w:i/>
          <w:iCs/>
          <w:szCs w:val="24"/>
          <w:lang w:eastAsia="en-GB"/>
        </w:rPr>
        <w:t>Sustainable Development Goals</w:t>
      </w:r>
      <w:r w:rsidRPr="009B0356">
        <w:rPr>
          <w:rFonts w:eastAsia="Times New Roman" w:cs="Times New Roman"/>
          <w:szCs w:val="24"/>
          <w:lang w:eastAsia="en-GB"/>
        </w:rPr>
        <w:t xml:space="preserve">. Available at: </w:t>
      </w:r>
      <w:r w:rsidRPr="009B0356">
        <w:rPr>
          <w:rFonts w:cs="Times New Roman"/>
          <w:szCs w:val="24"/>
        </w:rPr>
        <w:t>https://www.un.org/sustainabledevelopment/development-goals/</w:t>
      </w:r>
      <w:r w:rsidRPr="009B0356">
        <w:rPr>
          <w:rFonts w:eastAsia="Times New Roman" w:cs="Times New Roman"/>
          <w:szCs w:val="24"/>
          <w:lang w:eastAsia="en-GB"/>
        </w:rPr>
        <w:t xml:space="preserve"> [Accessed: 4 Nov. 2025].</w:t>
      </w:r>
    </w:p>
    <w:p w14:paraId="7B3DD635"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United Nations Development Programme (2025) </w:t>
      </w:r>
      <w:r w:rsidRPr="009B0356">
        <w:rPr>
          <w:rFonts w:eastAsia="Times New Roman" w:cs="Times New Roman"/>
          <w:i/>
          <w:iCs/>
          <w:szCs w:val="24"/>
          <w:lang w:eastAsia="en-GB"/>
        </w:rPr>
        <w:t>Gender Equality and Women's Empowerment</w:t>
      </w:r>
      <w:r w:rsidRPr="009B0356">
        <w:rPr>
          <w:rFonts w:eastAsia="Times New Roman" w:cs="Times New Roman"/>
          <w:szCs w:val="24"/>
          <w:lang w:eastAsia="en-GB"/>
        </w:rPr>
        <w:t>. Available at: https://www.undp.org/vietnam/gender-equality-and-women-empowerment [Accessed 4 Nov. 2025]</w:t>
      </w:r>
    </w:p>
    <w:p w14:paraId="0E4FB408" w14:textId="77777777" w:rsidR="009B0356" w:rsidRPr="009B0356" w:rsidRDefault="009B0356" w:rsidP="009B0356">
      <w:pPr>
        <w:ind w:left="720" w:hanging="720"/>
        <w:jc w:val="both"/>
        <w:rPr>
          <w:rFonts w:eastAsia="Times New Roman" w:cs="Times New Roman"/>
          <w:szCs w:val="24"/>
          <w:lang w:eastAsia="en-GB"/>
        </w:rPr>
      </w:pPr>
      <w:r w:rsidRPr="009B0356">
        <w:rPr>
          <w:rFonts w:cs="Times New Roman"/>
          <w:color w:val="222222"/>
          <w:szCs w:val="24"/>
          <w:shd w:val="clear" w:color="auto" w:fill="FFFFFF"/>
        </w:rPr>
        <w:t>Wagstaff, A., Cotlear, D., Eozenou, P.H.V. and Buisman, L.R., (2016) Measuring progress towards universal health coverage: with an application to 24 developing countries. </w:t>
      </w:r>
      <w:r w:rsidRPr="009B0356">
        <w:rPr>
          <w:rFonts w:cs="Times New Roman"/>
          <w:i/>
          <w:iCs/>
          <w:color w:val="222222"/>
          <w:szCs w:val="24"/>
          <w:shd w:val="clear" w:color="auto" w:fill="FFFFFF"/>
        </w:rPr>
        <w:t>Oxford Review of Economic Policy</w:t>
      </w:r>
      <w:r w:rsidRPr="009B0356">
        <w:rPr>
          <w:rFonts w:cs="Times New Roman"/>
          <w:color w:val="222222"/>
          <w:szCs w:val="24"/>
          <w:shd w:val="clear" w:color="auto" w:fill="FFFFFF"/>
        </w:rPr>
        <w:t>, </w:t>
      </w:r>
      <w:r w:rsidRPr="009B0356">
        <w:rPr>
          <w:rFonts w:cs="Times New Roman"/>
          <w:i/>
          <w:iCs/>
          <w:color w:val="222222"/>
          <w:szCs w:val="24"/>
          <w:shd w:val="clear" w:color="auto" w:fill="FFFFFF"/>
        </w:rPr>
        <w:t>32</w:t>
      </w:r>
      <w:r w:rsidRPr="009B0356">
        <w:rPr>
          <w:rFonts w:cs="Times New Roman"/>
          <w:color w:val="222222"/>
          <w:szCs w:val="24"/>
          <w:shd w:val="clear" w:color="auto" w:fill="FFFFFF"/>
        </w:rPr>
        <w:t>(1), pp.147-189.</w:t>
      </w:r>
    </w:p>
    <w:p w14:paraId="22BA454A"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Welsh Government (2020) </w:t>
      </w:r>
      <w:r w:rsidRPr="009B0356">
        <w:rPr>
          <w:rFonts w:eastAsia="Times New Roman" w:cs="Times New Roman"/>
          <w:i/>
          <w:iCs/>
          <w:szCs w:val="24"/>
          <w:lang w:eastAsia="en-GB"/>
        </w:rPr>
        <w:t>Flying Start: quality report</w:t>
      </w:r>
      <w:r w:rsidRPr="009B0356">
        <w:rPr>
          <w:rFonts w:eastAsia="Times New Roman" w:cs="Times New Roman"/>
          <w:szCs w:val="24"/>
          <w:lang w:eastAsia="en-GB"/>
        </w:rPr>
        <w:t>. Available at: https://www.gov.wales/flying-start-quality-report-html [Accessed 6 Nov 2025]</w:t>
      </w:r>
    </w:p>
    <w:p w14:paraId="5F00EC11"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Welsh Government, (2015) Well-being of future generations (Wales) act 2015. </w:t>
      </w:r>
      <w:r w:rsidRPr="009B0356">
        <w:rPr>
          <w:rFonts w:cs="Times New Roman"/>
          <w:i/>
          <w:iCs/>
          <w:color w:val="222222"/>
          <w:szCs w:val="24"/>
          <w:shd w:val="clear" w:color="auto" w:fill="FFFFFF"/>
        </w:rPr>
        <w:t>Acts of the National Assembly for Wales</w:t>
      </w:r>
      <w:r w:rsidRPr="009B0356">
        <w:rPr>
          <w:rFonts w:cs="Times New Roman"/>
          <w:color w:val="222222"/>
          <w:szCs w:val="24"/>
          <w:shd w:val="clear" w:color="auto" w:fill="FFFFFF"/>
        </w:rPr>
        <w:t xml:space="preserve">. </w:t>
      </w:r>
    </w:p>
    <w:p w14:paraId="416D2D41" w14:textId="77777777" w:rsidR="009B0356" w:rsidRPr="009B0356" w:rsidRDefault="009B0356" w:rsidP="009B0356">
      <w:pPr>
        <w:ind w:left="720" w:hanging="720"/>
        <w:jc w:val="both"/>
        <w:rPr>
          <w:rFonts w:eastAsia="Times New Roman" w:cs="Times New Roman"/>
          <w:color w:val="000000" w:themeColor="text1"/>
          <w:szCs w:val="24"/>
          <w:lang w:eastAsia="en-GB"/>
        </w:rPr>
      </w:pPr>
      <w:r w:rsidRPr="009B0356">
        <w:rPr>
          <w:rFonts w:eastAsia="Times New Roman" w:cs="Times New Roman"/>
          <w:color w:val="000000" w:themeColor="text1"/>
          <w:szCs w:val="24"/>
          <w:lang w:eastAsia="en-GB"/>
        </w:rPr>
        <w:t xml:space="preserve">World Health Organization (2021) </w:t>
      </w:r>
      <w:r w:rsidRPr="009B0356">
        <w:rPr>
          <w:rFonts w:eastAsia="Times New Roman" w:cs="Times New Roman"/>
          <w:i/>
          <w:iCs/>
          <w:color w:val="000000" w:themeColor="text1"/>
          <w:szCs w:val="24"/>
          <w:lang w:eastAsia="en-GB"/>
        </w:rPr>
        <w:t>Gender and health</w:t>
      </w:r>
      <w:r w:rsidRPr="009B0356">
        <w:rPr>
          <w:rFonts w:eastAsia="Times New Roman" w:cs="Times New Roman"/>
          <w:color w:val="000000" w:themeColor="text1"/>
          <w:szCs w:val="24"/>
          <w:lang w:eastAsia="en-GB"/>
        </w:rPr>
        <w:t>. Available at: https://www.who.int/news-room/questions-and-answers/item/gender-and-health [Accessed Nov 5. 2025]</w:t>
      </w:r>
    </w:p>
    <w:p w14:paraId="146DF1BB" w14:textId="77777777" w:rsidR="009B0356" w:rsidRPr="009B0356" w:rsidRDefault="009B0356" w:rsidP="009B0356">
      <w:pPr>
        <w:ind w:left="720" w:hanging="720"/>
        <w:jc w:val="both"/>
        <w:rPr>
          <w:rFonts w:eastAsia="Times New Roman" w:cs="Times New Roman"/>
          <w:color w:val="FF0000"/>
          <w:szCs w:val="24"/>
          <w:lang w:eastAsia="en-GB"/>
        </w:rPr>
      </w:pPr>
      <w:r w:rsidRPr="009B0356">
        <w:rPr>
          <w:rFonts w:cs="Times New Roman"/>
          <w:color w:val="222222"/>
          <w:szCs w:val="24"/>
          <w:shd w:val="clear" w:color="auto" w:fill="FFFFFF"/>
        </w:rPr>
        <w:t>World Health Organization (2023a) </w:t>
      </w:r>
      <w:r w:rsidRPr="009B0356">
        <w:rPr>
          <w:rFonts w:cs="Times New Roman"/>
          <w:i/>
          <w:iCs/>
          <w:color w:val="222222"/>
          <w:szCs w:val="24"/>
          <w:shd w:val="clear" w:color="auto" w:fill="FFFFFF"/>
        </w:rPr>
        <w:t>World health statistics 2023: monitoring health for the SDGs, Sustainable Development Goals</w:t>
      </w:r>
      <w:r w:rsidRPr="009B0356">
        <w:rPr>
          <w:rFonts w:cs="Times New Roman"/>
          <w:color w:val="222222"/>
          <w:szCs w:val="24"/>
          <w:shd w:val="clear" w:color="auto" w:fill="FFFFFF"/>
        </w:rPr>
        <w:t>. World Health Organization</w:t>
      </w:r>
      <w:r w:rsidRPr="009B0356">
        <w:rPr>
          <w:rStyle w:val="ng-star-inserted"/>
          <w:rFonts w:cs="Times New Roman"/>
          <w:color w:val="212529"/>
          <w:szCs w:val="24"/>
          <w:shd w:val="clear" w:color="auto" w:fill="FFFFFF"/>
        </w:rPr>
        <w:t xml:space="preserve">. Available at: </w:t>
      </w:r>
      <w:r w:rsidRPr="009B0356">
        <w:rPr>
          <w:rFonts w:cs="Times New Roman"/>
          <w:szCs w:val="24"/>
          <w:shd w:val="clear" w:color="auto" w:fill="FFFFFF"/>
        </w:rPr>
        <w:t>https://iris.who.int/handle/10665/367912</w:t>
      </w:r>
      <w:r w:rsidRPr="009B0356">
        <w:rPr>
          <w:rStyle w:val="ng-star-inserted"/>
          <w:rFonts w:cs="Times New Roman"/>
          <w:color w:val="212529"/>
          <w:szCs w:val="24"/>
          <w:shd w:val="clear" w:color="auto" w:fill="FFFFFF"/>
        </w:rPr>
        <w:t xml:space="preserve"> [Accessed 5 Nov. 2025]</w:t>
      </w:r>
    </w:p>
    <w:p w14:paraId="12A015DB" w14:textId="47AA16CF" w:rsidR="00F66F14" w:rsidRPr="009B0356" w:rsidRDefault="009B0356" w:rsidP="009B0356">
      <w:pPr>
        <w:ind w:left="720" w:hanging="720"/>
        <w:jc w:val="both"/>
        <w:rPr>
          <w:rFonts w:eastAsia="Times New Roman" w:cs="Times New Roman"/>
          <w:szCs w:val="24"/>
          <w:lang w:eastAsia="en-GB"/>
        </w:rPr>
      </w:pPr>
      <w:r w:rsidRPr="009B0356">
        <w:rPr>
          <w:rFonts w:cs="Times New Roman"/>
          <w:color w:val="222222"/>
          <w:szCs w:val="24"/>
          <w:shd w:val="clear" w:color="auto" w:fill="FFFFFF"/>
        </w:rPr>
        <w:t>World Health Organization (2023b) </w:t>
      </w:r>
      <w:r w:rsidRPr="009B0356">
        <w:rPr>
          <w:rFonts w:cs="Times New Roman"/>
          <w:i/>
          <w:iCs/>
          <w:color w:val="222222"/>
          <w:szCs w:val="24"/>
          <w:shd w:val="clear" w:color="auto" w:fill="FFFFFF"/>
        </w:rPr>
        <w:t>Tracking universal health coverage: 2023 global monitoring report</w:t>
      </w:r>
      <w:r w:rsidRPr="009B0356">
        <w:rPr>
          <w:rFonts w:cs="Times New Roman"/>
          <w:color w:val="222222"/>
          <w:szCs w:val="24"/>
          <w:shd w:val="clear" w:color="auto" w:fill="FFFFFF"/>
        </w:rPr>
        <w:t>. World Health Organization. Available at: https://www.who.int/publications/i/item/9789240080379 [Accessed 5 Nov. 2025]</w:t>
      </w:r>
    </w:p>
    <w:sectPr w:rsidR="00F66F14" w:rsidRPr="009B0356" w:rsidSect="009145B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866DC" w14:textId="77777777" w:rsidR="00850A2C" w:rsidRDefault="00850A2C" w:rsidP="009145B7">
      <w:pPr>
        <w:spacing w:line="240" w:lineRule="auto"/>
      </w:pPr>
      <w:r>
        <w:separator/>
      </w:r>
    </w:p>
  </w:endnote>
  <w:endnote w:type="continuationSeparator" w:id="0">
    <w:p w14:paraId="653BF79D" w14:textId="77777777" w:rsidR="00850A2C" w:rsidRDefault="00850A2C" w:rsidP="00914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221464"/>
      <w:docPartObj>
        <w:docPartGallery w:val="Page Numbers (Bottom of Page)"/>
        <w:docPartUnique/>
      </w:docPartObj>
    </w:sdtPr>
    <w:sdtEndPr>
      <w:rPr>
        <w:color w:val="7F7F7F" w:themeColor="background1" w:themeShade="7F"/>
        <w:spacing w:val="60"/>
      </w:rPr>
    </w:sdtEndPr>
    <w:sdtContent>
      <w:p w14:paraId="00000B93" w14:textId="59CC72B7" w:rsidR="009145B7" w:rsidRDefault="009145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11F64F" w14:textId="77777777" w:rsidR="009145B7" w:rsidRDefault="009145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400694"/>
      <w:docPartObj>
        <w:docPartGallery w:val="Page Numbers (Bottom of Page)"/>
        <w:docPartUnique/>
      </w:docPartObj>
    </w:sdtPr>
    <w:sdtEndPr>
      <w:rPr>
        <w:color w:val="7F7F7F" w:themeColor="background1" w:themeShade="7F"/>
        <w:spacing w:val="60"/>
      </w:rPr>
    </w:sdtEndPr>
    <w:sdtContent>
      <w:p w14:paraId="10BFF351" w14:textId="77777777" w:rsidR="009145B7" w:rsidRDefault="009145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EE62F5C" w14:textId="77777777" w:rsidR="009145B7" w:rsidRDefault="00914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41551" w14:textId="77777777" w:rsidR="00850A2C" w:rsidRDefault="00850A2C" w:rsidP="009145B7">
      <w:pPr>
        <w:spacing w:line="240" w:lineRule="auto"/>
      </w:pPr>
      <w:r>
        <w:separator/>
      </w:r>
    </w:p>
  </w:footnote>
  <w:footnote w:type="continuationSeparator" w:id="0">
    <w:p w14:paraId="31715D0D" w14:textId="77777777" w:rsidR="00850A2C" w:rsidRDefault="00850A2C" w:rsidP="009145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32E69"/>
    <w:multiLevelType w:val="hybridMultilevel"/>
    <w:tmpl w:val="4FFE48FE"/>
    <w:lvl w:ilvl="0" w:tplc="C754809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3982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4A"/>
    <w:rsid w:val="000A3F5A"/>
    <w:rsid w:val="000C2BFC"/>
    <w:rsid w:val="00107D4A"/>
    <w:rsid w:val="00232446"/>
    <w:rsid w:val="00294183"/>
    <w:rsid w:val="002B47C8"/>
    <w:rsid w:val="00315774"/>
    <w:rsid w:val="003A0040"/>
    <w:rsid w:val="004B2ACC"/>
    <w:rsid w:val="005E40F7"/>
    <w:rsid w:val="006571F5"/>
    <w:rsid w:val="00700435"/>
    <w:rsid w:val="00724F12"/>
    <w:rsid w:val="00763D1B"/>
    <w:rsid w:val="007853D4"/>
    <w:rsid w:val="008012DC"/>
    <w:rsid w:val="008250FA"/>
    <w:rsid w:val="00850A2C"/>
    <w:rsid w:val="008B409A"/>
    <w:rsid w:val="008E575C"/>
    <w:rsid w:val="009145B7"/>
    <w:rsid w:val="009644F9"/>
    <w:rsid w:val="0098125E"/>
    <w:rsid w:val="009B0356"/>
    <w:rsid w:val="00A227B3"/>
    <w:rsid w:val="00AE3E39"/>
    <w:rsid w:val="00B1522D"/>
    <w:rsid w:val="00B2207A"/>
    <w:rsid w:val="00B46104"/>
    <w:rsid w:val="00BF5908"/>
    <w:rsid w:val="00D1047F"/>
    <w:rsid w:val="00D26BB6"/>
    <w:rsid w:val="00D5424D"/>
    <w:rsid w:val="00D95822"/>
    <w:rsid w:val="00DA08B3"/>
    <w:rsid w:val="00DF1EF2"/>
    <w:rsid w:val="00E36D4F"/>
    <w:rsid w:val="00ED3B2D"/>
    <w:rsid w:val="00F612C5"/>
    <w:rsid w:val="00F66F14"/>
    <w:rsid w:val="00FC598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18BA"/>
  <w15:chartTrackingRefBased/>
  <w15:docId w15:val="{AFA50F23-CEB3-4A7A-9E44-66EA6638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GB"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8D"/>
    <w:pPr>
      <w:spacing w:after="0" w:line="360" w:lineRule="auto"/>
    </w:pPr>
    <w:rPr>
      <w:rFonts w:ascii="Times New Roman" w:hAnsi="Times New Roman" w:cs="Arial"/>
      <w:sz w:val="24"/>
    </w:rPr>
  </w:style>
  <w:style w:type="paragraph" w:styleId="Heading1">
    <w:name w:val="heading 1"/>
    <w:basedOn w:val="Normal"/>
    <w:next w:val="Normal"/>
    <w:link w:val="Heading1Char"/>
    <w:autoRedefine/>
    <w:uiPriority w:val="9"/>
    <w:qFormat/>
    <w:rsid w:val="00D5424D"/>
    <w:pPr>
      <w:keepNext/>
      <w:keepLines/>
      <w:numPr>
        <w:numId w:val="1"/>
      </w:numPr>
      <w:spacing w:before="400" w:after="120" w:line="276" w:lineRule="auto"/>
      <w:ind w:left="360"/>
      <w:outlineLvl w:val="0"/>
    </w:pPr>
    <w:rPr>
      <w:b/>
      <w:caps/>
      <w:szCs w:val="40"/>
    </w:rPr>
  </w:style>
  <w:style w:type="paragraph" w:styleId="Heading2">
    <w:name w:val="heading 2"/>
    <w:basedOn w:val="Normal"/>
    <w:next w:val="Normal"/>
    <w:link w:val="Heading2Char"/>
    <w:uiPriority w:val="9"/>
    <w:unhideWhenUsed/>
    <w:qFormat/>
    <w:rsid w:val="00FC598D"/>
    <w:pPr>
      <w:keepNext/>
      <w:keepLines/>
      <w:outlineLvl w:val="1"/>
    </w:pPr>
    <w:rPr>
      <w:b/>
      <w:szCs w:val="32"/>
    </w:rPr>
  </w:style>
  <w:style w:type="paragraph" w:styleId="Heading3">
    <w:name w:val="heading 3"/>
    <w:basedOn w:val="Normal"/>
    <w:next w:val="Normal"/>
    <w:link w:val="Heading3Char"/>
    <w:uiPriority w:val="9"/>
    <w:unhideWhenUsed/>
    <w:qFormat/>
    <w:rsid w:val="00FC598D"/>
    <w:pPr>
      <w:keepNext/>
      <w:keepLines/>
      <w:outlineLvl w:val="2"/>
    </w:pPr>
    <w:rPr>
      <w:b/>
      <w:color w:val="434343"/>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24D"/>
    <w:rPr>
      <w:rFonts w:ascii="Times New Roman" w:hAnsi="Times New Roman" w:cs="Arial"/>
      <w:b/>
      <w:caps/>
      <w:sz w:val="24"/>
      <w:szCs w:val="40"/>
    </w:rPr>
  </w:style>
  <w:style w:type="character" w:customStyle="1" w:styleId="Heading2Char">
    <w:name w:val="Heading 2 Char"/>
    <w:basedOn w:val="DefaultParagraphFont"/>
    <w:link w:val="Heading2"/>
    <w:uiPriority w:val="9"/>
    <w:rsid w:val="00FC598D"/>
    <w:rPr>
      <w:rFonts w:ascii="Times New Roman" w:eastAsia="Arial" w:hAnsi="Times New Roman" w:cs="Arial"/>
      <w:b/>
      <w:sz w:val="24"/>
      <w:szCs w:val="32"/>
      <w:lang w:val="en-GB" w:eastAsia="en-GB"/>
    </w:rPr>
  </w:style>
  <w:style w:type="character" w:customStyle="1" w:styleId="Heading3Char">
    <w:name w:val="Heading 3 Char"/>
    <w:basedOn w:val="DefaultParagraphFont"/>
    <w:link w:val="Heading3"/>
    <w:uiPriority w:val="9"/>
    <w:rsid w:val="00FC598D"/>
    <w:rPr>
      <w:rFonts w:ascii="Times New Roman" w:eastAsia="Arial" w:hAnsi="Times New Roman" w:cs="Arial"/>
      <w:b/>
      <w:color w:val="434343"/>
      <w:sz w:val="24"/>
      <w:szCs w:val="28"/>
      <w:lang w:val="en-GB" w:eastAsia="en-GB"/>
    </w:rPr>
  </w:style>
  <w:style w:type="character" w:customStyle="1" w:styleId="dont-break-out">
    <w:name w:val="dont-break-out"/>
    <w:basedOn w:val="DefaultParagraphFont"/>
    <w:rsid w:val="002B47C8"/>
  </w:style>
  <w:style w:type="character" w:customStyle="1" w:styleId="ng-star-inserted">
    <w:name w:val="ng-star-inserted"/>
    <w:basedOn w:val="DefaultParagraphFont"/>
    <w:rsid w:val="002B47C8"/>
  </w:style>
  <w:style w:type="character" w:styleId="Hyperlink">
    <w:name w:val="Hyperlink"/>
    <w:basedOn w:val="DefaultParagraphFont"/>
    <w:uiPriority w:val="99"/>
    <w:unhideWhenUsed/>
    <w:rsid w:val="002B47C8"/>
    <w:rPr>
      <w:color w:val="0000FF"/>
      <w:u w:val="single"/>
    </w:rPr>
  </w:style>
  <w:style w:type="paragraph" w:styleId="NormalWeb">
    <w:name w:val="Normal (Web)"/>
    <w:basedOn w:val="Normal"/>
    <w:uiPriority w:val="99"/>
    <w:unhideWhenUsed/>
    <w:rsid w:val="0098125E"/>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9145B7"/>
    <w:pPr>
      <w:tabs>
        <w:tab w:val="center" w:pos="4513"/>
        <w:tab w:val="right" w:pos="9026"/>
      </w:tabs>
      <w:spacing w:line="240" w:lineRule="auto"/>
    </w:pPr>
  </w:style>
  <w:style w:type="character" w:customStyle="1" w:styleId="HeaderChar">
    <w:name w:val="Header Char"/>
    <w:basedOn w:val="DefaultParagraphFont"/>
    <w:link w:val="Header"/>
    <w:uiPriority w:val="99"/>
    <w:rsid w:val="009145B7"/>
    <w:rPr>
      <w:rFonts w:ascii="Times New Roman" w:hAnsi="Times New Roman" w:cs="Arial"/>
      <w:sz w:val="24"/>
    </w:rPr>
  </w:style>
  <w:style w:type="paragraph" w:styleId="Footer">
    <w:name w:val="footer"/>
    <w:basedOn w:val="Normal"/>
    <w:link w:val="FooterChar"/>
    <w:uiPriority w:val="99"/>
    <w:unhideWhenUsed/>
    <w:rsid w:val="009145B7"/>
    <w:pPr>
      <w:tabs>
        <w:tab w:val="center" w:pos="4513"/>
        <w:tab w:val="right" w:pos="9026"/>
      </w:tabs>
      <w:spacing w:line="240" w:lineRule="auto"/>
    </w:pPr>
  </w:style>
  <w:style w:type="character" w:customStyle="1" w:styleId="FooterChar">
    <w:name w:val="Footer Char"/>
    <w:basedOn w:val="DefaultParagraphFont"/>
    <w:link w:val="Footer"/>
    <w:uiPriority w:val="99"/>
    <w:rsid w:val="009145B7"/>
    <w:rPr>
      <w:rFonts w:ascii="Times New Roman" w:hAnsi="Times New Roman" w:cs="Arial"/>
      <w:sz w:val="24"/>
    </w:rPr>
  </w:style>
  <w:style w:type="paragraph" w:styleId="TOCHeading">
    <w:name w:val="TOC Heading"/>
    <w:basedOn w:val="Heading1"/>
    <w:next w:val="Normal"/>
    <w:uiPriority w:val="39"/>
    <w:unhideWhenUsed/>
    <w:qFormat/>
    <w:rsid w:val="009145B7"/>
    <w:pPr>
      <w:numPr>
        <w:numId w:val="0"/>
      </w:numPr>
      <w:spacing w:before="240" w:after="0" w:line="259" w:lineRule="auto"/>
      <w:outlineLvl w:val="9"/>
    </w:pPr>
    <w:rPr>
      <w:rFonts w:asciiTheme="majorHAnsi" w:eastAsiaTheme="majorEastAsia" w:hAnsiTheme="majorHAnsi" w:cstheme="majorBidi"/>
      <w:b w:val="0"/>
      <w:caps w:val="0"/>
      <w:color w:val="2F5496" w:themeColor="accent1" w:themeShade="BF"/>
      <w:sz w:val="32"/>
      <w:szCs w:val="32"/>
      <w:lang w:val="en-US" w:bidi="ar-SA"/>
    </w:rPr>
  </w:style>
  <w:style w:type="paragraph" w:styleId="TOC1">
    <w:name w:val="toc 1"/>
    <w:basedOn w:val="Normal"/>
    <w:next w:val="Normal"/>
    <w:autoRedefine/>
    <w:uiPriority w:val="39"/>
    <w:unhideWhenUsed/>
    <w:rsid w:val="009145B7"/>
    <w:pPr>
      <w:tabs>
        <w:tab w:val="left" w:pos="440"/>
        <w:tab w:val="right" w:leader="dot" w:pos="9350"/>
      </w:tabs>
    </w:pPr>
    <w:rPr>
      <w:rFonts w:cs="Times New Roman"/>
      <w:b/>
      <w:bCs/>
      <w:noProof/>
      <w:szCs w:val="24"/>
      <w:lang w:eastAsia="en-GB"/>
    </w:rPr>
  </w:style>
  <w:style w:type="paragraph" w:styleId="TOC2">
    <w:name w:val="toc 2"/>
    <w:basedOn w:val="Normal"/>
    <w:next w:val="Normal"/>
    <w:autoRedefine/>
    <w:uiPriority w:val="39"/>
    <w:unhideWhenUsed/>
    <w:rsid w:val="009145B7"/>
    <w:pPr>
      <w:spacing w:after="100"/>
      <w:ind w:left="240"/>
    </w:pPr>
  </w:style>
  <w:style w:type="character" w:styleId="Strong">
    <w:name w:val="Strong"/>
    <w:basedOn w:val="DefaultParagraphFont"/>
    <w:uiPriority w:val="22"/>
    <w:qFormat/>
    <w:rsid w:val="00724F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5874">
      <w:bodyDiv w:val="1"/>
      <w:marLeft w:val="0"/>
      <w:marRight w:val="0"/>
      <w:marTop w:val="0"/>
      <w:marBottom w:val="0"/>
      <w:divBdr>
        <w:top w:val="none" w:sz="0" w:space="0" w:color="auto"/>
        <w:left w:val="none" w:sz="0" w:space="0" w:color="auto"/>
        <w:bottom w:val="none" w:sz="0" w:space="0" w:color="auto"/>
        <w:right w:val="none" w:sz="0" w:space="0" w:color="auto"/>
      </w:divBdr>
      <w:divsChild>
        <w:div w:id="1372996553">
          <w:marLeft w:val="0"/>
          <w:marRight w:val="0"/>
          <w:marTop w:val="0"/>
          <w:marBottom w:val="0"/>
          <w:divBdr>
            <w:top w:val="none" w:sz="0" w:space="0" w:color="auto"/>
            <w:left w:val="none" w:sz="0" w:space="0" w:color="auto"/>
            <w:bottom w:val="none" w:sz="0" w:space="0" w:color="auto"/>
            <w:right w:val="none" w:sz="0" w:space="0" w:color="auto"/>
          </w:divBdr>
        </w:div>
      </w:divsChild>
    </w:div>
    <w:div w:id="336730303">
      <w:bodyDiv w:val="1"/>
      <w:marLeft w:val="0"/>
      <w:marRight w:val="0"/>
      <w:marTop w:val="0"/>
      <w:marBottom w:val="0"/>
      <w:divBdr>
        <w:top w:val="none" w:sz="0" w:space="0" w:color="auto"/>
        <w:left w:val="none" w:sz="0" w:space="0" w:color="auto"/>
        <w:bottom w:val="none" w:sz="0" w:space="0" w:color="auto"/>
        <w:right w:val="none" w:sz="0" w:space="0" w:color="auto"/>
      </w:divBdr>
    </w:div>
    <w:div w:id="838040677">
      <w:bodyDiv w:val="1"/>
      <w:marLeft w:val="0"/>
      <w:marRight w:val="0"/>
      <w:marTop w:val="0"/>
      <w:marBottom w:val="0"/>
      <w:divBdr>
        <w:top w:val="none" w:sz="0" w:space="0" w:color="auto"/>
        <w:left w:val="none" w:sz="0" w:space="0" w:color="auto"/>
        <w:bottom w:val="none" w:sz="0" w:space="0" w:color="auto"/>
        <w:right w:val="none" w:sz="0" w:space="0" w:color="auto"/>
      </w:divBdr>
      <w:divsChild>
        <w:div w:id="1555311043">
          <w:marLeft w:val="0"/>
          <w:marRight w:val="0"/>
          <w:marTop w:val="0"/>
          <w:marBottom w:val="0"/>
          <w:divBdr>
            <w:top w:val="none" w:sz="0" w:space="0" w:color="auto"/>
            <w:left w:val="none" w:sz="0" w:space="0" w:color="auto"/>
            <w:bottom w:val="none" w:sz="0" w:space="0" w:color="auto"/>
            <w:right w:val="none" w:sz="0" w:space="0" w:color="auto"/>
          </w:divBdr>
        </w:div>
      </w:divsChild>
    </w:div>
    <w:div w:id="974792768">
      <w:bodyDiv w:val="1"/>
      <w:marLeft w:val="0"/>
      <w:marRight w:val="0"/>
      <w:marTop w:val="0"/>
      <w:marBottom w:val="0"/>
      <w:divBdr>
        <w:top w:val="none" w:sz="0" w:space="0" w:color="auto"/>
        <w:left w:val="none" w:sz="0" w:space="0" w:color="auto"/>
        <w:bottom w:val="none" w:sz="0" w:space="0" w:color="auto"/>
        <w:right w:val="none" w:sz="0" w:space="0" w:color="auto"/>
      </w:divBdr>
      <w:divsChild>
        <w:div w:id="1394621199">
          <w:marLeft w:val="0"/>
          <w:marRight w:val="0"/>
          <w:marTop w:val="0"/>
          <w:marBottom w:val="0"/>
          <w:divBdr>
            <w:top w:val="none" w:sz="0" w:space="0" w:color="auto"/>
            <w:left w:val="none" w:sz="0" w:space="0" w:color="auto"/>
            <w:bottom w:val="none" w:sz="0" w:space="0" w:color="auto"/>
            <w:right w:val="none" w:sz="0" w:space="0" w:color="auto"/>
          </w:divBdr>
        </w:div>
      </w:divsChild>
    </w:div>
    <w:div w:id="1628123905">
      <w:bodyDiv w:val="1"/>
      <w:marLeft w:val="0"/>
      <w:marRight w:val="0"/>
      <w:marTop w:val="0"/>
      <w:marBottom w:val="0"/>
      <w:divBdr>
        <w:top w:val="none" w:sz="0" w:space="0" w:color="auto"/>
        <w:left w:val="none" w:sz="0" w:space="0" w:color="auto"/>
        <w:bottom w:val="none" w:sz="0" w:space="0" w:color="auto"/>
        <w:right w:val="none" w:sz="0" w:space="0" w:color="auto"/>
      </w:divBdr>
      <w:divsChild>
        <w:div w:id="1956207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62553-F318-46A3-BED4-0AEBC0866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3196</Words>
  <Characters>18221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SURAJ GURUNG</dc:creator>
  <cp:keywords/>
  <dc:description/>
  <cp:lastModifiedBy>Jamie JJ</cp:lastModifiedBy>
  <cp:revision>3</cp:revision>
  <cp:lastPrinted>2025-12-02T17:14:00Z</cp:lastPrinted>
  <dcterms:created xsi:type="dcterms:W3CDTF">2025-12-11T13:17:00Z</dcterms:created>
  <dcterms:modified xsi:type="dcterms:W3CDTF">2025-12-11T13:18:00Z</dcterms:modified>
</cp:coreProperties>
</file>