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B4DA3" w14:textId="77777777" w:rsidR="00800D1C" w:rsidRDefault="00800D1C" w:rsidP="00086B39">
      <w:pPr>
        <w:jc w:val="center"/>
      </w:pPr>
    </w:p>
    <w:p w14:paraId="0289E0C2" w14:textId="77777777" w:rsidR="00561261" w:rsidRDefault="00561261" w:rsidP="00086B39">
      <w:pPr>
        <w:jc w:val="center"/>
      </w:pPr>
    </w:p>
    <w:p w14:paraId="176D5A19" w14:textId="77777777" w:rsidR="00561261" w:rsidRDefault="00561261" w:rsidP="00086B39">
      <w:pPr>
        <w:jc w:val="center"/>
      </w:pPr>
    </w:p>
    <w:p w14:paraId="2B042934" w14:textId="77777777" w:rsidR="00561261" w:rsidRDefault="00561261" w:rsidP="00086B39">
      <w:pPr>
        <w:jc w:val="center"/>
      </w:pPr>
    </w:p>
    <w:p w14:paraId="47656214" w14:textId="77777777" w:rsidR="00800D1C" w:rsidRPr="00561261" w:rsidRDefault="00800D1C" w:rsidP="00086B39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FD74629" w14:textId="77777777" w:rsidR="00800D1C" w:rsidRPr="00561261" w:rsidRDefault="00086B39" w:rsidP="00086B39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561261">
        <w:rPr>
          <w:rFonts w:ascii="Times New Roman" w:hAnsi="Times New Roman" w:cs="Times New Roman"/>
          <w:b/>
          <w:bCs/>
          <w:sz w:val="40"/>
          <w:szCs w:val="40"/>
        </w:rPr>
        <w:t xml:space="preserve">Revitalizing The Seacrest Lodge: </w:t>
      </w:r>
    </w:p>
    <w:p w14:paraId="7F2E7719" w14:textId="17707222" w:rsidR="00086B39" w:rsidRPr="00561261" w:rsidRDefault="00086B39" w:rsidP="00086B39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561261">
        <w:rPr>
          <w:rFonts w:ascii="Times New Roman" w:hAnsi="Times New Roman" w:cs="Times New Roman"/>
          <w:b/>
          <w:bCs/>
          <w:sz w:val="40"/>
          <w:szCs w:val="40"/>
        </w:rPr>
        <w:t>A Financial and Operational Turnaround Strategy</w:t>
      </w:r>
    </w:p>
    <w:p w14:paraId="349C0633" w14:textId="77777777" w:rsidR="00086B39" w:rsidRPr="00561261" w:rsidRDefault="00086B39" w:rsidP="00086B3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98D4509" w14:textId="77777777" w:rsidR="0026644C" w:rsidRPr="0026644C" w:rsidRDefault="0026644C" w:rsidP="00086B3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E719CD4" w14:textId="77777777" w:rsidR="0026644C" w:rsidRPr="0026644C" w:rsidRDefault="0026644C" w:rsidP="00086B3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0A69FC7" w14:textId="042AB161" w:rsidR="00086B39" w:rsidRPr="00561261" w:rsidRDefault="00CA5F1D" w:rsidP="00086B3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61261">
        <w:rPr>
          <w:rFonts w:ascii="Times New Roman" w:hAnsi="Times New Roman" w:cs="Times New Roman"/>
          <w:b/>
          <w:bCs/>
          <w:sz w:val="32"/>
          <w:szCs w:val="32"/>
        </w:rPr>
        <w:t>Codruta-Daniela Bogatean</w:t>
      </w:r>
    </w:p>
    <w:p w14:paraId="10C3215D" w14:textId="0D9C7896" w:rsidR="00E93702" w:rsidRPr="00561261" w:rsidRDefault="00E93702" w:rsidP="00086B3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61261">
        <w:rPr>
          <w:rFonts w:ascii="Times New Roman" w:hAnsi="Times New Roman" w:cs="Times New Roman"/>
          <w:b/>
          <w:bCs/>
          <w:sz w:val="32"/>
          <w:szCs w:val="32"/>
        </w:rPr>
        <w:t>2210404</w:t>
      </w:r>
    </w:p>
    <w:p w14:paraId="734C798B" w14:textId="231DF91B" w:rsidR="00086B39" w:rsidRPr="00561261" w:rsidRDefault="0063437D" w:rsidP="00086B3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61261">
        <w:rPr>
          <w:rFonts w:ascii="Times New Roman" w:hAnsi="Times New Roman" w:cs="Times New Roman"/>
          <w:b/>
          <w:bCs/>
          <w:sz w:val="32"/>
          <w:szCs w:val="32"/>
        </w:rPr>
        <w:t>Financial Management for the Hotel Industry</w:t>
      </w:r>
    </w:p>
    <w:p w14:paraId="6B963021" w14:textId="505FB682" w:rsidR="0063437D" w:rsidRPr="00561261" w:rsidRDefault="0063437D" w:rsidP="00086B39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61261">
        <w:rPr>
          <w:rFonts w:ascii="Times New Roman" w:hAnsi="Times New Roman" w:cs="Times New Roman"/>
          <w:b/>
          <w:bCs/>
          <w:sz w:val="32"/>
          <w:szCs w:val="32"/>
        </w:rPr>
        <w:t>BMIH5007</w:t>
      </w:r>
    </w:p>
    <w:p w14:paraId="3F7D6772" w14:textId="6060F374" w:rsidR="00086B39" w:rsidRPr="00561261" w:rsidRDefault="00800D1C" w:rsidP="00800D1C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61261">
        <w:rPr>
          <w:rFonts w:ascii="Times New Roman" w:hAnsi="Times New Roman" w:cs="Times New Roman"/>
          <w:b/>
          <w:bCs/>
          <w:sz w:val="32"/>
          <w:szCs w:val="32"/>
        </w:rPr>
        <w:t>Tristan Hawkins</w:t>
      </w:r>
    </w:p>
    <w:p w14:paraId="48F66352" w14:textId="77777777" w:rsidR="00086B39" w:rsidRPr="00561261" w:rsidRDefault="00086B39" w:rsidP="00086B39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F4D11A3" w14:textId="10594A60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6F96960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21F27CD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438B3884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678FA70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04F4466A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259C49B5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453CC14B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39E71EA2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6D828F43" w14:textId="77777777" w:rsidR="00086B39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5AABF560" w14:textId="77777777" w:rsidR="00561261" w:rsidRPr="0026644C" w:rsidRDefault="00561261" w:rsidP="00086B39">
      <w:pPr>
        <w:rPr>
          <w:rFonts w:ascii="Times New Roman" w:hAnsi="Times New Roman" w:cs="Times New Roman"/>
          <w:sz w:val="24"/>
          <w:szCs w:val="24"/>
        </w:rPr>
      </w:pPr>
    </w:p>
    <w:p w14:paraId="3AAA73AE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3824AF68" w14:textId="77777777" w:rsidR="00086B39" w:rsidRDefault="00086B39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6644C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452E067E" w14:textId="77777777" w:rsidR="00FC20C1" w:rsidRPr="0026644C" w:rsidRDefault="00FC20C1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A1060B0" w14:textId="29243661" w:rsidR="00086B39" w:rsidRDefault="00086B39" w:rsidP="00332EAF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This was once an enchanting destination for tourists nested in a beautiful coastal site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with Seacrest Lodge, the famous lodge known for its accommodation facilities</w:t>
      </w:r>
      <w:r w:rsidR="00E16858">
        <w:rPr>
          <w:rFonts w:ascii="Times New Roman" w:hAnsi="Times New Roman" w:cs="Times New Roman"/>
          <w:sz w:val="24"/>
          <w:szCs w:val="24"/>
        </w:rPr>
        <w:t>,</w:t>
      </w:r>
      <w:r w:rsidRPr="0026644C">
        <w:rPr>
          <w:rFonts w:ascii="Times New Roman" w:hAnsi="Times New Roman" w:cs="Times New Roman"/>
          <w:sz w:val="24"/>
          <w:szCs w:val="24"/>
        </w:rPr>
        <w:t xml:space="preserve"> eating place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and bar as well as places to conduct symposiums among others (Lau and Yip, 2020). But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lately, the legendary vacation spot has attempted to recoup its loss in terms of revenue as well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drop took place for occupancy rates have been </w:t>
      </w:r>
      <w:r w:rsidR="005D23C9" w:rsidRPr="0026644C">
        <w:rPr>
          <w:rFonts w:ascii="Times New Roman" w:hAnsi="Times New Roman" w:cs="Times New Roman"/>
          <w:sz w:val="24"/>
          <w:szCs w:val="24"/>
        </w:rPr>
        <w:t>automatically decreasing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reason- customer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satisfaction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="005D23C9">
        <w:rPr>
          <w:rFonts w:ascii="Times New Roman" w:hAnsi="Times New Roman" w:cs="Times New Roman"/>
          <w:sz w:val="24"/>
          <w:szCs w:val="24"/>
        </w:rPr>
        <w:t>levels</w:t>
      </w:r>
      <w:r w:rsidRPr="0026644C">
        <w:rPr>
          <w:rFonts w:ascii="Times New Roman" w:hAnsi="Times New Roman" w:cs="Times New Roman"/>
          <w:sz w:val="24"/>
          <w:szCs w:val="24"/>
        </w:rPr>
        <w:t xml:space="preserve"> went </w:t>
      </w:r>
      <w:r w:rsidR="008B1D07" w:rsidRPr="0026644C">
        <w:rPr>
          <w:rFonts w:ascii="Times New Roman" w:hAnsi="Times New Roman" w:cs="Times New Roman"/>
          <w:sz w:val="24"/>
          <w:szCs w:val="24"/>
        </w:rPr>
        <w:t>south,</w:t>
      </w:r>
      <w:r w:rsidRPr="0026644C">
        <w:rPr>
          <w:rFonts w:ascii="Times New Roman" w:hAnsi="Times New Roman" w:cs="Times New Roman"/>
          <w:sz w:val="24"/>
          <w:szCs w:val="24"/>
        </w:rPr>
        <w:t xml:space="preserve"> </w:t>
      </w:r>
      <w:r w:rsidR="005D23C9" w:rsidRPr="0026644C">
        <w:rPr>
          <w:rFonts w:ascii="Times New Roman" w:hAnsi="Times New Roman" w:cs="Times New Roman"/>
          <w:sz w:val="24"/>
          <w:szCs w:val="24"/>
        </w:rPr>
        <w:t>and</w:t>
      </w:r>
      <w:r w:rsidRPr="0026644C">
        <w:rPr>
          <w:rFonts w:ascii="Times New Roman" w:hAnsi="Times New Roman" w:cs="Times New Roman"/>
          <w:sz w:val="24"/>
          <w:szCs w:val="24"/>
        </w:rPr>
        <w:t xml:space="preserve"> critiques were far from being favourable (Robinson,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2020). Management is worried as to whether this business would not be sustainable in the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future and has had a report generated over The Seacrest Lodge which should enable it to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assess if that would develop </w:t>
      </w:r>
      <w:r w:rsidR="008B1D07">
        <w:rPr>
          <w:rFonts w:ascii="Times New Roman" w:hAnsi="Times New Roman" w:cs="Times New Roman"/>
          <w:sz w:val="24"/>
          <w:szCs w:val="24"/>
        </w:rPr>
        <w:t>cost-effectively</w:t>
      </w:r>
      <w:r w:rsidRPr="0026644C">
        <w:rPr>
          <w:rFonts w:ascii="Times New Roman" w:hAnsi="Times New Roman" w:cs="Times New Roman"/>
          <w:sz w:val="24"/>
          <w:szCs w:val="24"/>
        </w:rPr>
        <w:t xml:space="preserve"> through having an effective revitalization plan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accordingly. The goals are to evaluate </w:t>
      </w:r>
      <w:r w:rsidR="00357EA1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 xml:space="preserve">performance of the lodge during </w:t>
      </w:r>
      <w:r w:rsidR="00357EA1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>past 3 years,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determine sources behind </w:t>
      </w:r>
      <w:r w:rsidR="00357EA1">
        <w:rPr>
          <w:rFonts w:ascii="Times New Roman" w:hAnsi="Times New Roman" w:cs="Times New Roman"/>
          <w:sz w:val="24"/>
          <w:szCs w:val="24"/>
        </w:rPr>
        <w:t>ongoing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profitability failure and formulate a comprehensive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turnaround plan that will restore business health (Shabbir and Wisdom, 2020). The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competitive market for coastal hospitality services, changes in client tastes and preferences as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="009F3BFC" w:rsidRPr="0026644C">
        <w:rPr>
          <w:rFonts w:ascii="Times New Roman" w:hAnsi="Times New Roman" w:cs="Times New Roman"/>
          <w:sz w:val="24"/>
          <w:szCs w:val="24"/>
        </w:rPr>
        <w:t>well,</w:t>
      </w:r>
      <w:r w:rsidRPr="0026644C">
        <w:rPr>
          <w:rFonts w:ascii="Times New Roman" w:hAnsi="Times New Roman" w:cs="Times New Roman"/>
          <w:sz w:val="24"/>
          <w:szCs w:val="24"/>
        </w:rPr>
        <w:t xml:space="preserve"> </w:t>
      </w:r>
      <w:r w:rsidR="009F3BFC">
        <w:rPr>
          <w:rFonts w:ascii="Times New Roman" w:hAnsi="Times New Roman" w:cs="Times New Roman"/>
          <w:sz w:val="24"/>
          <w:szCs w:val="24"/>
        </w:rPr>
        <w:t xml:space="preserve">as </w:t>
      </w:r>
      <w:r w:rsidRPr="0026644C">
        <w:rPr>
          <w:rFonts w:ascii="Times New Roman" w:hAnsi="Times New Roman" w:cs="Times New Roman"/>
          <w:sz w:val="24"/>
          <w:szCs w:val="24"/>
        </w:rPr>
        <w:t xml:space="preserve">the poor looks of the lodge will be discussed </w:t>
      </w:r>
      <w:r w:rsidR="009F3BFC">
        <w:rPr>
          <w:rFonts w:ascii="Times New Roman" w:hAnsi="Times New Roman" w:cs="Times New Roman"/>
          <w:sz w:val="24"/>
          <w:szCs w:val="24"/>
        </w:rPr>
        <w:t xml:space="preserve">and </w:t>
      </w:r>
      <w:r w:rsidRPr="0026644C">
        <w:rPr>
          <w:rFonts w:ascii="Times New Roman" w:hAnsi="Times New Roman" w:cs="Times New Roman"/>
          <w:sz w:val="24"/>
          <w:szCs w:val="24"/>
        </w:rPr>
        <w:t>addressed during analysis. The report will</w:t>
      </w:r>
      <w:r w:rsidR="0093059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in the long run propose whether a profitable turnaround is possible or </w:t>
      </w:r>
      <w:r w:rsidR="00930594">
        <w:rPr>
          <w:rFonts w:ascii="Times New Roman" w:hAnsi="Times New Roman" w:cs="Times New Roman"/>
          <w:sz w:val="24"/>
          <w:szCs w:val="24"/>
        </w:rPr>
        <w:t xml:space="preserve">whether </w:t>
      </w:r>
      <w:r w:rsidRPr="0026644C">
        <w:rPr>
          <w:rFonts w:ascii="Times New Roman" w:hAnsi="Times New Roman" w:cs="Times New Roman"/>
          <w:sz w:val="24"/>
          <w:szCs w:val="24"/>
        </w:rPr>
        <w:t>other alternatives</w:t>
      </w:r>
      <w:r w:rsidR="0093059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should be put into consideration following observations on </w:t>
      </w:r>
      <w:r w:rsidR="00930594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>company’s financial statements,</w:t>
      </w:r>
      <w:r w:rsidR="0093059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market and responding customer feedback. Sources will be cited to affirm the analysis and</w:t>
      </w:r>
      <w:r w:rsidR="0090463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recommendations.</w:t>
      </w:r>
    </w:p>
    <w:p w14:paraId="57154974" w14:textId="77777777" w:rsidR="00FC20C1" w:rsidRDefault="00FC20C1" w:rsidP="00233E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820CB8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F3CE09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4B68FA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16F8F3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DD90E4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4133FB" w14:textId="77777777" w:rsidR="00FC20C1" w:rsidRDefault="00FC20C1" w:rsidP="00904634">
      <w:pPr>
        <w:spacing w:line="276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07F9C3" w14:textId="77777777" w:rsidR="00FC20C1" w:rsidRPr="0026644C" w:rsidRDefault="00FC20C1" w:rsidP="00086B39">
      <w:pPr>
        <w:rPr>
          <w:rFonts w:ascii="Times New Roman" w:hAnsi="Times New Roman" w:cs="Times New Roman"/>
          <w:sz w:val="24"/>
          <w:szCs w:val="24"/>
        </w:rPr>
      </w:pPr>
    </w:p>
    <w:p w14:paraId="415A3666" w14:textId="77777777" w:rsidR="00086B39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5449B8BE" w14:textId="77777777" w:rsidR="00332EAF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013B0DC0" w14:textId="77777777" w:rsidR="00332EAF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638E72B1" w14:textId="77777777" w:rsidR="00332EAF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34F1E99F" w14:textId="77777777" w:rsidR="00332EAF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67C6D5E5" w14:textId="77777777" w:rsidR="00332EAF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31746C97" w14:textId="77777777" w:rsidR="00332EAF" w:rsidRPr="0026644C" w:rsidRDefault="00332EAF" w:rsidP="00086B39">
      <w:pPr>
        <w:rPr>
          <w:rFonts w:ascii="Times New Roman" w:hAnsi="Times New Roman" w:cs="Times New Roman"/>
          <w:sz w:val="24"/>
          <w:szCs w:val="24"/>
        </w:rPr>
      </w:pPr>
    </w:p>
    <w:p w14:paraId="3CE5C790" w14:textId="77777777" w:rsidR="00086B39" w:rsidRDefault="00086B39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lastRenderedPageBreak/>
        <w:t>Analysis of Financial Performance</w:t>
      </w:r>
    </w:p>
    <w:p w14:paraId="26FF495D" w14:textId="77777777" w:rsidR="00233EA4" w:rsidRPr="00FC20C1" w:rsidRDefault="00233EA4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625B75A" w14:textId="77777777" w:rsidR="00086B39" w:rsidRPr="00FC20C1" w:rsidRDefault="00086B39" w:rsidP="00086B3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Review of Income Statements from 2021 to 2023</w:t>
      </w:r>
    </w:p>
    <w:p w14:paraId="073CD5CA" w14:textId="26DA19C4" w:rsidR="00086B39" w:rsidRPr="0026644C" w:rsidRDefault="00086B39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Across 2021-2023, a look at The Seacrest Lodge’s income statements </w:t>
      </w:r>
      <w:r w:rsidR="00233EA4">
        <w:rPr>
          <w:rFonts w:ascii="Times New Roman" w:hAnsi="Times New Roman" w:cs="Times New Roman"/>
          <w:sz w:val="24"/>
          <w:szCs w:val="24"/>
        </w:rPr>
        <w:t>indicates</w:t>
      </w:r>
      <w:r w:rsidRPr="0026644C">
        <w:rPr>
          <w:rFonts w:ascii="Times New Roman" w:hAnsi="Times New Roman" w:cs="Times New Roman"/>
          <w:sz w:val="24"/>
          <w:szCs w:val="24"/>
        </w:rPr>
        <w:t xml:space="preserve"> a worrisome</w:t>
      </w:r>
      <w:r w:rsidR="001B221C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diminishing trend in its financial performance. By 2023, the revenue of the trust has been</w:t>
      </w:r>
      <w:r w:rsidR="001B221C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decreasing consistently from £1.2 million in 2021 to £950,000 in three years, with a</w:t>
      </w:r>
      <w:r w:rsidR="001B221C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decrease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="00316612">
        <w:rPr>
          <w:rFonts w:ascii="Times New Roman" w:hAnsi="Times New Roman" w:cs="Times New Roman"/>
          <w:sz w:val="24"/>
          <w:szCs w:val="24"/>
        </w:rPr>
        <w:t xml:space="preserve">of </w:t>
      </w:r>
      <w:r w:rsidRPr="0026644C">
        <w:rPr>
          <w:rFonts w:ascii="Times New Roman" w:hAnsi="Times New Roman" w:cs="Times New Roman"/>
          <w:sz w:val="24"/>
          <w:szCs w:val="24"/>
        </w:rPr>
        <w:t xml:space="preserve">more than 20%. This signals a </w:t>
      </w:r>
      <w:r w:rsidR="00316612" w:rsidRPr="0026644C">
        <w:rPr>
          <w:rFonts w:ascii="Times New Roman" w:hAnsi="Times New Roman" w:cs="Times New Roman"/>
          <w:sz w:val="24"/>
          <w:szCs w:val="24"/>
        </w:rPr>
        <w:t>worrying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decline in business and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sales volumes (Fridson and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Alvarez, 2022). The operating charges have coincidentally risen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from £900,000 to £1.1 million during the same period. This indicates weak cost management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and operational ineffectiveness. Consequently, the net income is decreasing starting from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£300,000 in 2021 </w:t>
      </w:r>
      <w:r w:rsidR="000736AC">
        <w:rPr>
          <w:rFonts w:ascii="Times New Roman" w:hAnsi="Times New Roman" w:cs="Times New Roman"/>
          <w:sz w:val="24"/>
          <w:szCs w:val="24"/>
        </w:rPr>
        <w:t>to</w:t>
      </w:r>
      <w:r w:rsidRPr="0026644C">
        <w:rPr>
          <w:rFonts w:ascii="Times New Roman" w:hAnsi="Times New Roman" w:cs="Times New Roman"/>
          <w:sz w:val="24"/>
          <w:szCs w:val="24"/>
        </w:rPr>
        <w:t xml:space="preserve"> £150,000 by 2023.</w:t>
      </w:r>
    </w:p>
    <w:p w14:paraId="5A6AF082" w14:textId="0EFD7900" w:rsidR="00086B39" w:rsidRDefault="00086B39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The profitability factors are analysed from the income statements. The declining costs of</w:t>
      </w:r>
      <w:r w:rsidR="008314B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occupancy in the rooms have in turn resulted </w:t>
      </w:r>
      <w:r w:rsidR="001A541E">
        <w:rPr>
          <w:rFonts w:ascii="Times New Roman" w:hAnsi="Times New Roman" w:cs="Times New Roman"/>
          <w:sz w:val="24"/>
          <w:szCs w:val="24"/>
        </w:rPr>
        <w:t>in</w:t>
      </w:r>
      <w:r w:rsidRPr="0026644C">
        <w:rPr>
          <w:rFonts w:ascii="Times New Roman" w:hAnsi="Times New Roman" w:cs="Times New Roman"/>
          <w:sz w:val="24"/>
          <w:szCs w:val="24"/>
        </w:rPr>
        <w:t xml:space="preserve"> reduced revenues. Over </w:t>
      </w:r>
      <w:r w:rsidR="001A541E">
        <w:rPr>
          <w:rFonts w:ascii="Times New Roman" w:hAnsi="Times New Roman" w:cs="Times New Roman"/>
          <w:sz w:val="24"/>
          <w:szCs w:val="24"/>
        </w:rPr>
        <w:t>the three years</w:t>
      </w:r>
      <w:r w:rsidRPr="0026644C">
        <w:rPr>
          <w:rFonts w:ascii="Times New Roman" w:hAnsi="Times New Roman" w:cs="Times New Roman"/>
          <w:sz w:val="24"/>
          <w:szCs w:val="24"/>
        </w:rPr>
        <w:t>,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whilst occupancy declined from 65% to 50%, the average room rate was cut back from £ 260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in 2021 to £ 210 in 2023. This trend is </w:t>
      </w:r>
      <w:r w:rsidR="00E15DDF">
        <w:rPr>
          <w:rFonts w:ascii="Times New Roman" w:hAnsi="Times New Roman" w:cs="Times New Roman"/>
          <w:sz w:val="24"/>
          <w:szCs w:val="24"/>
        </w:rPr>
        <w:t>possibly</w:t>
      </w:r>
      <w:r w:rsidRPr="0026644C">
        <w:rPr>
          <w:rFonts w:ascii="Times New Roman" w:hAnsi="Times New Roman" w:cs="Times New Roman"/>
          <w:sz w:val="24"/>
          <w:szCs w:val="24"/>
        </w:rPr>
        <w:t xml:space="preserve"> determined by the increased competition</w:t>
      </w:r>
      <w:r w:rsidR="001A541E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from more contemporary resorts in the region (Pelaez-Verdet and Loscertales-Sanchez,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2021). On the other hand, an increasing level of operating expenses shows that the lodge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may spend money ineffectively thus bearing costs that are avoidable or its facilities demand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significant funds. Hence, maintenance costs can often be more than those for older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properties (Economist, 2023). Overall, </w:t>
      </w:r>
      <w:r w:rsidR="00E15DDF">
        <w:rPr>
          <w:rFonts w:ascii="Times New Roman" w:hAnsi="Times New Roman" w:cs="Times New Roman"/>
          <w:sz w:val="24"/>
          <w:szCs w:val="24"/>
        </w:rPr>
        <w:t xml:space="preserve">a </w:t>
      </w:r>
      <w:r w:rsidRPr="0026644C">
        <w:rPr>
          <w:rFonts w:ascii="Times New Roman" w:hAnsi="Times New Roman" w:cs="Times New Roman"/>
          <w:sz w:val="24"/>
          <w:szCs w:val="24"/>
        </w:rPr>
        <w:t xml:space="preserve">profit and loss account </w:t>
      </w:r>
      <w:r w:rsidR="00561261">
        <w:rPr>
          <w:rFonts w:ascii="Times New Roman" w:hAnsi="Times New Roman" w:cs="Times New Roman"/>
          <w:sz w:val="24"/>
          <w:szCs w:val="24"/>
        </w:rPr>
        <w:t>indicates</w:t>
      </w:r>
      <w:r w:rsidRPr="0026644C">
        <w:rPr>
          <w:rFonts w:ascii="Times New Roman" w:hAnsi="Times New Roman" w:cs="Times New Roman"/>
          <w:sz w:val="24"/>
          <w:szCs w:val="24"/>
        </w:rPr>
        <w:t xml:space="preserve"> a bankrupt business</w:t>
      </w:r>
      <w:r w:rsidR="00F331E9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where sales have turned to decrease, </w:t>
      </w:r>
      <w:r w:rsidR="00E15DDF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 xml:space="preserve">profit margin has been under pressure and </w:t>
      </w:r>
      <w:r w:rsidR="00E15DDF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>financial</w:t>
      </w:r>
      <w:r w:rsidR="00E15DD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position has been deteriorating. Immediate steps ought to be taken </w:t>
      </w:r>
      <w:r w:rsidR="00E15DDF">
        <w:rPr>
          <w:rFonts w:ascii="Times New Roman" w:hAnsi="Times New Roman" w:cs="Times New Roman"/>
          <w:sz w:val="24"/>
          <w:szCs w:val="24"/>
        </w:rPr>
        <w:t>to modify</w:t>
      </w:r>
      <w:r w:rsidRPr="0026644C">
        <w:rPr>
          <w:rFonts w:ascii="Times New Roman" w:hAnsi="Times New Roman" w:cs="Times New Roman"/>
          <w:sz w:val="24"/>
          <w:szCs w:val="24"/>
        </w:rPr>
        <w:t xml:space="preserve"> the</w:t>
      </w:r>
      <w:r w:rsidR="00E15DD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situation in case revenues continue to decline.</w:t>
      </w:r>
    </w:p>
    <w:p w14:paraId="1CDC84F6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0E4BA0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BE7C6F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C9A6F5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D13ABA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F8808C" w14:textId="77777777" w:rsidR="00192297" w:rsidRDefault="00192297" w:rsidP="000736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8E92DDA" w14:textId="77777777" w:rsidR="00FC20C1" w:rsidRPr="0026644C" w:rsidRDefault="00FC20C1" w:rsidP="00086B39">
      <w:pPr>
        <w:rPr>
          <w:rFonts w:ascii="Times New Roman" w:hAnsi="Times New Roman" w:cs="Times New Roman"/>
          <w:sz w:val="24"/>
          <w:szCs w:val="24"/>
        </w:rPr>
      </w:pPr>
    </w:p>
    <w:p w14:paraId="539995EC" w14:textId="77777777" w:rsidR="00086B39" w:rsidRDefault="00086B39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lastRenderedPageBreak/>
        <w:t>Track in revenue, track in expenses, track in net income.</w:t>
      </w:r>
    </w:p>
    <w:p w14:paraId="15327C72" w14:textId="77777777" w:rsidR="00E15DDF" w:rsidRPr="00FC20C1" w:rsidRDefault="00E15DDF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61971C0" w14:textId="77777777" w:rsidR="00086B39" w:rsidRPr="00FC20C1" w:rsidRDefault="00086B39" w:rsidP="00086B3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Revenue Trends</w:t>
      </w:r>
    </w:p>
    <w:p w14:paraId="4F154A78" w14:textId="0D587CC3" w:rsidR="00086B39" w:rsidRPr="0026644C" w:rsidRDefault="00E15DDF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Over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3 years the total map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086B39" w:rsidRPr="0026644C">
        <w:rPr>
          <w:rFonts w:ascii="Times New Roman" w:hAnsi="Times New Roman" w:cs="Times New Roman"/>
          <w:sz w:val="24"/>
          <w:szCs w:val="24"/>
        </w:rPr>
        <w:t>£1.2 million in 2021 to £950, 000 in 2023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totals a fall in the total revenue worth 20%. This is a consistent and alarming decline in total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business activities and sales. The main revenue drivers of percentage occupancy and average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room rates have dropped drastically. The amount of occupancy declined from 65% to 50%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while the average rates per room mechanically plunged from £260 to £210. Reduced demand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is responsible for the decrease in the rate of rooms as well as the occupancy. This means that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the competency of the lodge is losing favour from the demand side perhaps due to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competition with new resorts in the region and the ability to bargain for higher prices is lost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(Alrawabdeh, 2021). The use of the outdated amenities at The Seacrest is also compromised</w:t>
      </w:r>
      <w:r w:rsidR="00E2323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making it less attractive to let.</w:t>
      </w:r>
    </w:p>
    <w:p w14:paraId="7AC357DB" w14:textId="77777777" w:rsidR="00E52BF2" w:rsidRDefault="00E52BF2" w:rsidP="00086B3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D6CB83" w14:textId="347B56F2" w:rsidR="00086B39" w:rsidRPr="00FC20C1" w:rsidRDefault="00086B39" w:rsidP="00086B3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Expense Trends</w:t>
      </w:r>
    </w:p>
    <w:p w14:paraId="571445E5" w14:textId="4FA6CB76" w:rsidR="00332EAF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Operating costs have risen by £900,000 or 22% between the year 2021, and 2023, the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total operating costs that would be experienced in 2023 are £1.1 million. The increment in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the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costs but without a corresponding rise in the revenues has squeezed the profit margins.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DE07B8" w14:textId="6957CCE0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Rising costs could be attributable to increased inflation, increased wage bills, weak control of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costs or the increased costs of maintaining old facilities (Valerie Watts, 2022). The rising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operating costs of the resort imply that the resource is not efficient in its books of accounts as</w:t>
      </w:r>
      <w:r w:rsidR="00332EAF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well as costs of operations.</w:t>
      </w:r>
    </w:p>
    <w:p w14:paraId="3035DD9B" w14:textId="77777777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835D60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Net Income Trend</w:t>
      </w:r>
    </w:p>
    <w:p w14:paraId="2843489A" w14:textId="5DFD5C46" w:rsid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Earnings for tax </w:t>
      </w:r>
      <w:r w:rsidR="009A67C2">
        <w:rPr>
          <w:rFonts w:ascii="Times New Roman" w:hAnsi="Times New Roman" w:cs="Times New Roman"/>
          <w:sz w:val="24"/>
          <w:szCs w:val="24"/>
        </w:rPr>
        <w:t>have</w:t>
      </w:r>
      <w:r w:rsidRPr="0026644C">
        <w:rPr>
          <w:rFonts w:ascii="Times New Roman" w:hAnsi="Times New Roman" w:cs="Times New Roman"/>
          <w:sz w:val="24"/>
          <w:szCs w:val="24"/>
        </w:rPr>
        <w:t xml:space="preserve"> plummeted from a profit of £ 300,000 in 2021 to a loss of </w:t>
      </w:r>
      <w:r w:rsidR="009A2E6B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£150,000 in 2023. The catching loge has gone from a </w:t>
      </w:r>
      <w:r w:rsidR="00263800">
        <w:rPr>
          <w:rFonts w:ascii="Times New Roman" w:hAnsi="Times New Roman" w:cs="Times New Roman"/>
          <w:sz w:val="24"/>
          <w:szCs w:val="24"/>
        </w:rPr>
        <w:t>profit-making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structure to a loss-making</w:t>
      </w:r>
      <w:r w:rsidR="0026380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structure. </w:t>
      </w:r>
      <w:r w:rsidR="005850A2">
        <w:rPr>
          <w:rFonts w:ascii="Times New Roman" w:hAnsi="Times New Roman" w:cs="Times New Roman"/>
          <w:sz w:val="24"/>
          <w:szCs w:val="24"/>
        </w:rPr>
        <w:t>The three years</w:t>
      </w:r>
      <w:r w:rsidRPr="0026644C">
        <w:rPr>
          <w:rFonts w:ascii="Times New Roman" w:hAnsi="Times New Roman" w:cs="Times New Roman"/>
          <w:sz w:val="24"/>
          <w:szCs w:val="24"/>
        </w:rPr>
        <w:t xml:space="preserve"> </w:t>
      </w:r>
      <w:r w:rsidR="005850A2">
        <w:rPr>
          <w:rFonts w:ascii="Times New Roman" w:hAnsi="Times New Roman" w:cs="Times New Roman"/>
          <w:sz w:val="24"/>
          <w:szCs w:val="24"/>
        </w:rPr>
        <w:t>have</w:t>
      </w:r>
      <w:r w:rsidRPr="0026644C">
        <w:rPr>
          <w:rFonts w:ascii="Times New Roman" w:hAnsi="Times New Roman" w:cs="Times New Roman"/>
          <w:sz w:val="24"/>
          <w:szCs w:val="24"/>
        </w:rPr>
        <w:t xml:space="preserve"> been marked by a negative streak after declining</w:t>
      </w:r>
      <w:r w:rsidR="009A2E6B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revenues coupled with increasing costs </w:t>
      </w:r>
      <w:r w:rsidR="005850A2">
        <w:rPr>
          <w:rFonts w:ascii="Times New Roman" w:hAnsi="Times New Roman" w:cs="Times New Roman"/>
          <w:sz w:val="24"/>
          <w:szCs w:val="24"/>
        </w:rPr>
        <w:t>wiped</w:t>
      </w:r>
      <w:r w:rsidRPr="0026644C">
        <w:rPr>
          <w:rFonts w:ascii="Times New Roman" w:hAnsi="Times New Roman" w:cs="Times New Roman"/>
          <w:sz w:val="24"/>
          <w:szCs w:val="24"/>
        </w:rPr>
        <w:t xml:space="preserve"> out the profitability (CFA Institute, 2024). If</w:t>
      </w:r>
      <w:r w:rsidR="009A2E6B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nothing is done to reverse these negative </w:t>
      </w:r>
      <w:r w:rsidR="005850A2" w:rsidRPr="0026644C">
        <w:rPr>
          <w:rFonts w:ascii="Times New Roman" w:hAnsi="Times New Roman" w:cs="Times New Roman"/>
          <w:sz w:val="24"/>
          <w:szCs w:val="24"/>
        </w:rPr>
        <w:t>trends</w:t>
      </w:r>
      <w:r w:rsidR="005850A2">
        <w:rPr>
          <w:rFonts w:ascii="Times New Roman" w:hAnsi="Times New Roman" w:cs="Times New Roman"/>
          <w:sz w:val="24"/>
          <w:szCs w:val="24"/>
        </w:rPr>
        <w:t>,</w:t>
      </w:r>
      <w:r w:rsidRPr="0026644C">
        <w:rPr>
          <w:rFonts w:ascii="Times New Roman" w:hAnsi="Times New Roman" w:cs="Times New Roman"/>
          <w:sz w:val="24"/>
          <w:szCs w:val="24"/>
        </w:rPr>
        <w:t xml:space="preserve"> it </w:t>
      </w:r>
      <w:r w:rsidR="005850A2">
        <w:rPr>
          <w:rFonts w:ascii="Times New Roman" w:hAnsi="Times New Roman" w:cs="Times New Roman"/>
          <w:sz w:val="24"/>
          <w:szCs w:val="24"/>
        </w:rPr>
        <w:t>won’t</w:t>
      </w:r>
      <w:r w:rsidRPr="0026644C">
        <w:rPr>
          <w:rFonts w:ascii="Times New Roman" w:hAnsi="Times New Roman" w:cs="Times New Roman"/>
          <w:sz w:val="24"/>
          <w:szCs w:val="24"/>
        </w:rPr>
        <w:t xml:space="preserve"> be long before the question arises</w:t>
      </w:r>
      <w:r w:rsidR="009A2E6B">
        <w:rPr>
          <w:rFonts w:ascii="Times New Roman" w:hAnsi="Times New Roman" w:cs="Times New Roman"/>
          <w:sz w:val="24"/>
          <w:szCs w:val="24"/>
        </w:rPr>
        <w:t xml:space="preserve"> of</w:t>
      </w:r>
      <w:r w:rsidRPr="0026644C">
        <w:rPr>
          <w:rFonts w:ascii="Times New Roman" w:hAnsi="Times New Roman" w:cs="Times New Roman"/>
          <w:sz w:val="24"/>
          <w:szCs w:val="24"/>
        </w:rPr>
        <w:t xml:space="preserve"> whether the lodge is financially viable.</w:t>
      </w:r>
    </w:p>
    <w:p w14:paraId="30ECA4F5" w14:textId="77777777" w:rsidR="00192297" w:rsidRPr="0026644C" w:rsidRDefault="00192297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A7723D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lastRenderedPageBreak/>
        <w:t>Balance Sheet and Ratio Analysis</w:t>
      </w:r>
    </w:p>
    <w:p w14:paraId="60BDF62B" w14:textId="52BFC085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Balance sheets show a company’s light </w:t>
      </w:r>
      <w:r w:rsidR="002F19D4">
        <w:rPr>
          <w:rFonts w:ascii="Times New Roman" w:hAnsi="Times New Roman" w:cs="Times New Roman"/>
          <w:sz w:val="24"/>
          <w:szCs w:val="24"/>
        </w:rPr>
        <w:t xml:space="preserve">on </w:t>
      </w:r>
      <w:r w:rsidRPr="0026644C">
        <w:rPr>
          <w:rFonts w:ascii="Times New Roman" w:hAnsi="Times New Roman" w:cs="Times New Roman"/>
          <w:sz w:val="24"/>
          <w:szCs w:val="24"/>
        </w:rPr>
        <w:t>its sources of funding and asset allocations at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 certain point in time. The analysis of the balance sheet of The Seacrest Lodge also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demonstrates the deterioration of its financial position during 2021-2023. However, from the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above cash flow statement, there is a sharp decline </w:t>
      </w:r>
      <w:r w:rsidR="007353A7">
        <w:rPr>
          <w:rFonts w:ascii="Times New Roman" w:hAnsi="Times New Roman" w:cs="Times New Roman"/>
          <w:sz w:val="24"/>
          <w:szCs w:val="24"/>
        </w:rPr>
        <w:t>in</w:t>
      </w:r>
      <w:r w:rsidRPr="0026644C">
        <w:rPr>
          <w:rFonts w:ascii="Times New Roman" w:hAnsi="Times New Roman" w:cs="Times New Roman"/>
          <w:sz w:val="24"/>
          <w:szCs w:val="24"/>
        </w:rPr>
        <w:t xml:space="preserve"> cash and cash </w:t>
      </w:r>
      <w:r w:rsidR="007353A7">
        <w:rPr>
          <w:rFonts w:ascii="Times New Roman" w:hAnsi="Times New Roman" w:cs="Times New Roman"/>
          <w:sz w:val="24"/>
          <w:szCs w:val="24"/>
        </w:rPr>
        <w:t>equivalents</w:t>
      </w:r>
      <w:r w:rsidRPr="0026644C">
        <w:rPr>
          <w:rFonts w:ascii="Times New Roman" w:hAnsi="Times New Roman" w:cs="Times New Roman"/>
          <w:sz w:val="24"/>
          <w:szCs w:val="24"/>
        </w:rPr>
        <w:t xml:space="preserve"> from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£100,000 to £20,000 over the three years. This </w:t>
      </w:r>
      <w:r w:rsidR="007353A7" w:rsidRPr="0026644C">
        <w:rPr>
          <w:rFonts w:ascii="Times New Roman" w:hAnsi="Times New Roman" w:cs="Times New Roman"/>
          <w:sz w:val="24"/>
          <w:szCs w:val="24"/>
        </w:rPr>
        <w:t>extreme</w:t>
      </w:r>
      <w:r w:rsidRPr="0026644C">
        <w:rPr>
          <w:rFonts w:ascii="Times New Roman" w:hAnsi="Times New Roman" w:cs="Times New Roman"/>
          <w:sz w:val="24"/>
          <w:szCs w:val="24"/>
        </w:rPr>
        <w:t xml:space="preserve"> reduction in assets leaves the lodge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exposed to unforeseen expenses or aggravated health of business conditions (HBR Online,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2019). It is also evident that accounts receivable </w:t>
      </w:r>
      <w:r w:rsidR="00192297">
        <w:rPr>
          <w:rFonts w:ascii="Times New Roman" w:hAnsi="Times New Roman" w:cs="Times New Roman"/>
          <w:sz w:val="24"/>
          <w:szCs w:val="24"/>
        </w:rPr>
        <w:t>have</w:t>
      </w:r>
      <w:r w:rsidRPr="0026644C">
        <w:rPr>
          <w:rFonts w:ascii="Times New Roman" w:hAnsi="Times New Roman" w:cs="Times New Roman"/>
          <w:sz w:val="24"/>
          <w:szCs w:val="24"/>
        </w:rPr>
        <w:t xml:space="preserve"> reduced from £50,000 to £30,000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which is an indication that customers are not paying for goods delivered timely.</w:t>
      </w:r>
    </w:p>
    <w:p w14:paraId="2428918B" w14:textId="4D4A1865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In terms of assets, property and equipment value registered a decrease in 2023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depreciation by £200,000 presumably because of facilities being outdated. The total assets in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three </w:t>
      </w:r>
      <w:r w:rsidR="00F065D8">
        <w:rPr>
          <w:rFonts w:ascii="Times New Roman" w:hAnsi="Times New Roman" w:cs="Times New Roman"/>
          <w:sz w:val="24"/>
          <w:szCs w:val="24"/>
        </w:rPr>
        <w:t>years</w:t>
      </w:r>
      <w:r w:rsidRPr="0026644C">
        <w:rPr>
          <w:rFonts w:ascii="Times New Roman" w:hAnsi="Times New Roman" w:cs="Times New Roman"/>
          <w:sz w:val="24"/>
          <w:szCs w:val="24"/>
        </w:rPr>
        <w:t xml:space="preserve"> were a decrease of £300,000. In the liabilities accounts payable increased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from £30,000 to £50,000 indicating that the lodge has been paying its suppliers very slowly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(Williamson, Wardle and Hasmi, 2021). The long-term debt of £1.5 million has, however,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remained high and will only become increasingly difficult to manage as it is the lodge is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sustaining a decrease in equity and profitability.</w:t>
      </w:r>
    </w:p>
    <w:p w14:paraId="7C5BBEAA" w14:textId="465A686D" w:rsidR="00086B39" w:rsidRDefault="0014204B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conclusion, the balance sheet reflects deteriorating current assets unable to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support the infrastructure, growing payables, and a highly leveraged business. Observing the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liquidity, </w:t>
      </w:r>
      <w:r w:rsidR="00F046A2" w:rsidRPr="0026644C">
        <w:rPr>
          <w:rFonts w:ascii="Times New Roman" w:hAnsi="Times New Roman" w:cs="Times New Roman"/>
          <w:sz w:val="24"/>
          <w:szCs w:val="24"/>
        </w:rPr>
        <w:t>efficiency,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and leverage indicators, one can conclude that the financial position of</w:t>
      </w:r>
      <w:r w:rsidR="00FC3945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The Seacrest Lodge is failing. Together with the trends indicated by the income statement,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the balance sheet reflects the need </w:t>
      </w:r>
      <w:r w:rsidR="00F046A2">
        <w:rPr>
          <w:rFonts w:ascii="Times New Roman" w:hAnsi="Times New Roman" w:cs="Times New Roman"/>
          <w:sz w:val="24"/>
          <w:szCs w:val="24"/>
        </w:rPr>
        <w:t>for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strategic changes and considerable improvement </w:t>
      </w:r>
      <w:r w:rsidR="00F046A2">
        <w:rPr>
          <w:rFonts w:ascii="Times New Roman" w:hAnsi="Times New Roman" w:cs="Times New Roman"/>
          <w:sz w:val="24"/>
          <w:szCs w:val="24"/>
        </w:rPr>
        <w:t>in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business performance urgently.</w:t>
      </w:r>
    </w:p>
    <w:p w14:paraId="60C2B268" w14:textId="77777777" w:rsidR="00FC20C1" w:rsidRPr="0026644C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E8AE6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t>Identifying key issues</w:t>
      </w:r>
    </w:p>
    <w:p w14:paraId="51137F3B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Falling occupancy and ADR rates</w:t>
      </w:r>
    </w:p>
    <w:p w14:paraId="0B5A1D38" w14:textId="67CF6FFC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One such </w:t>
      </w:r>
      <w:r w:rsidR="000140C0">
        <w:rPr>
          <w:rFonts w:ascii="Times New Roman" w:hAnsi="Times New Roman" w:cs="Times New Roman"/>
          <w:sz w:val="24"/>
          <w:szCs w:val="24"/>
        </w:rPr>
        <w:t>issue</w:t>
      </w:r>
      <w:r w:rsidRPr="0026644C">
        <w:rPr>
          <w:rFonts w:ascii="Times New Roman" w:hAnsi="Times New Roman" w:cs="Times New Roman"/>
          <w:sz w:val="24"/>
          <w:szCs w:val="24"/>
        </w:rPr>
        <w:t xml:space="preserve"> is the occupancy rates and the average daily room rates of The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Seacrest Lodge that are </w:t>
      </w:r>
      <w:r w:rsidR="002E2DE3">
        <w:rPr>
          <w:rFonts w:ascii="Times New Roman" w:hAnsi="Times New Roman" w:cs="Times New Roman"/>
          <w:sz w:val="24"/>
          <w:szCs w:val="24"/>
        </w:rPr>
        <w:t>in</w:t>
      </w:r>
      <w:r w:rsidRPr="0026644C">
        <w:rPr>
          <w:rFonts w:ascii="Times New Roman" w:hAnsi="Times New Roman" w:cs="Times New Roman"/>
          <w:sz w:val="24"/>
          <w:szCs w:val="24"/>
        </w:rPr>
        <w:t xml:space="preserve"> the fall. In three years, the occupancy has reduced from 65% to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just 50% which shows that the hotel is performing poorly in attracting its customers.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Meanwhile, despite the limping demand that warranted discounts, the average pricing per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room has declined by almost 20% to £210 from £260. Under-utilisation causes idle capacity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and lost opportunity. </w:t>
      </w:r>
      <w:r w:rsidR="00553E2A">
        <w:rPr>
          <w:rFonts w:ascii="Times New Roman" w:hAnsi="Times New Roman" w:cs="Times New Roman"/>
          <w:sz w:val="24"/>
          <w:szCs w:val="24"/>
        </w:rPr>
        <w:t>Reduced</w:t>
      </w:r>
      <w:r w:rsidRPr="0026644C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lastRenderedPageBreak/>
        <w:t>room rates are a direct sign of decreasing revenue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(Vervotech Solutions Pvt. Ltd., 2023). These constant revenue declines have been a result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of the </w:t>
      </w:r>
      <w:r w:rsidR="00F81842">
        <w:rPr>
          <w:rFonts w:ascii="Times New Roman" w:hAnsi="Times New Roman" w:cs="Times New Roman"/>
          <w:sz w:val="24"/>
          <w:szCs w:val="24"/>
        </w:rPr>
        <w:t>two-pronged</w:t>
      </w:r>
      <w:r w:rsidRPr="0026644C">
        <w:rPr>
          <w:rFonts w:ascii="Times New Roman" w:hAnsi="Times New Roman" w:cs="Times New Roman"/>
          <w:sz w:val="24"/>
          <w:szCs w:val="24"/>
        </w:rPr>
        <w:t xml:space="preserve"> negative effects.</w:t>
      </w:r>
    </w:p>
    <w:p w14:paraId="4F7BA5FE" w14:textId="77777777" w:rsidR="00FC20C1" w:rsidRPr="0026644C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1FB2F4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Increasing Operating Expenses</w:t>
      </w:r>
    </w:p>
    <w:p w14:paraId="0B735393" w14:textId="481BC286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Although the revenues are declining, the operating expenses are </w:t>
      </w:r>
      <w:r w:rsidR="00192297" w:rsidRPr="0026644C">
        <w:rPr>
          <w:rFonts w:ascii="Times New Roman" w:hAnsi="Times New Roman" w:cs="Times New Roman"/>
          <w:sz w:val="24"/>
          <w:szCs w:val="24"/>
        </w:rPr>
        <w:t>rising,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this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reduces the margins. Over three years, costs have increased by 22% from £900,000 to £1.1m.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It is in so many cases these costs of production rise because of inflation, large bills on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wages, superfluous </w:t>
      </w:r>
      <w:r w:rsidR="00F81842" w:rsidRPr="0026644C">
        <w:rPr>
          <w:rFonts w:ascii="Times New Roman" w:hAnsi="Times New Roman" w:cs="Times New Roman"/>
          <w:sz w:val="24"/>
          <w:szCs w:val="24"/>
        </w:rPr>
        <w:t>payments,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the growing cost of maintenance of old buildings.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Irrespective of its causes, the cost trend is unhealthy for the profitability of the company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especially in the face of declining revenues (Robinson, 2020). However, there needs to be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stricter control of costs and better operating efficiency to better match the expenses relative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to revenues.</w:t>
      </w:r>
    </w:p>
    <w:p w14:paraId="566E4200" w14:textId="77777777" w:rsidR="00FC20C1" w:rsidRPr="0026644C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59D643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Dated facilities and mediocre guesting</w:t>
      </w:r>
    </w:p>
    <w:p w14:paraId="25218857" w14:textId="18ED31DC" w:rsidR="00086B39" w:rsidRDefault="009817A3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Reviews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from customers show that only amenity updating issues and reduction in the</w:t>
      </w:r>
      <w:r w:rsidR="000140C0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quality of some services </w:t>
      </w:r>
      <w:r w:rsidR="005D4143" w:rsidRPr="0026644C">
        <w:rPr>
          <w:rFonts w:ascii="Times New Roman" w:hAnsi="Times New Roman" w:cs="Times New Roman"/>
          <w:sz w:val="24"/>
          <w:szCs w:val="24"/>
        </w:rPr>
        <w:t>prevents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their satisfaction. The Seacrest Lodge may lose its relevance</w:t>
      </w:r>
      <w:r w:rsidR="005D4143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to the newer competitors who come into the market with </w:t>
      </w:r>
      <w:r w:rsidR="005D4143">
        <w:rPr>
          <w:rFonts w:ascii="Times New Roman" w:hAnsi="Times New Roman" w:cs="Times New Roman"/>
          <w:sz w:val="24"/>
          <w:szCs w:val="24"/>
        </w:rPr>
        <w:t xml:space="preserve">the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latest room styles, </w:t>
      </w:r>
      <w:r w:rsidR="005D4143">
        <w:rPr>
          <w:rFonts w:ascii="Times New Roman" w:hAnsi="Times New Roman" w:cs="Times New Roman"/>
          <w:sz w:val="24"/>
          <w:szCs w:val="24"/>
        </w:rPr>
        <w:t xml:space="preserve">family–oriented </w:t>
      </w:r>
      <w:r w:rsidR="00086B39" w:rsidRPr="0026644C">
        <w:rPr>
          <w:rFonts w:ascii="Times New Roman" w:hAnsi="Times New Roman" w:cs="Times New Roman"/>
          <w:sz w:val="24"/>
          <w:szCs w:val="24"/>
        </w:rPr>
        <w:t>facilities alongside upscale spas and restaurants (Shabbir and Wisdom, 2020). In the absence</w:t>
      </w:r>
      <w:r w:rsidR="00C352AB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of some capital to revitalise an aged property, it will be hard to charge premium rates or even</w:t>
      </w:r>
      <w:r w:rsidR="00C352AB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attract the targeted entire clientele. Negative appraisals also affect the quality and perception</w:t>
      </w:r>
      <w:r w:rsidR="00C352AB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of the brand’s image and reputation, which also </w:t>
      </w:r>
      <w:r w:rsidR="00026720">
        <w:rPr>
          <w:rFonts w:ascii="Times New Roman" w:hAnsi="Times New Roman" w:cs="Times New Roman"/>
          <w:sz w:val="24"/>
          <w:szCs w:val="24"/>
        </w:rPr>
        <w:t>damages</w:t>
      </w:r>
      <w:r w:rsidR="00086B39" w:rsidRPr="0026644C">
        <w:rPr>
          <w:rFonts w:ascii="Times New Roman" w:hAnsi="Times New Roman" w:cs="Times New Roman"/>
          <w:sz w:val="24"/>
          <w:szCs w:val="24"/>
        </w:rPr>
        <w:t xml:space="preserve"> the level of occupancy and the</w:t>
      </w:r>
      <w:r w:rsidR="00026720">
        <w:rPr>
          <w:rFonts w:ascii="Times New Roman" w:hAnsi="Times New Roman" w:cs="Times New Roman"/>
          <w:sz w:val="24"/>
          <w:szCs w:val="24"/>
        </w:rPr>
        <w:t xml:space="preserve"> </w:t>
      </w:r>
      <w:r w:rsidR="00086B39" w:rsidRPr="0026644C">
        <w:rPr>
          <w:rFonts w:ascii="Times New Roman" w:hAnsi="Times New Roman" w:cs="Times New Roman"/>
          <w:sz w:val="24"/>
          <w:szCs w:val="24"/>
        </w:rPr>
        <w:t>revenue generated.</w:t>
      </w:r>
    </w:p>
    <w:p w14:paraId="127849B9" w14:textId="77777777" w:rsidR="00086B39" w:rsidRPr="00FC20C1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FC20C1">
        <w:rPr>
          <w:rFonts w:ascii="Times New Roman" w:hAnsi="Times New Roman" w:cs="Times New Roman"/>
          <w:b/>
          <w:bCs/>
          <w:sz w:val="24"/>
          <w:szCs w:val="24"/>
        </w:rPr>
        <w:t>Increased Market Competition</w:t>
      </w:r>
    </w:p>
    <w:p w14:paraId="63AA7374" w14:textId="19A9293B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On the other hand, the hospitality market in the region has also gained from </w:t>
      </w:r>
      <w:r w:rsidR="00026720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>notable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entrance of newer resorts which have succeeded in taking away The Seacrest Lodge guests in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some instances. In terms of features and value proposition, the property has the problem of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having archaic amenities; as a result, it cannot </w:t>
      </w:r>
      <w:r w:rsidR="00AF353A">
        <w:rPr>
          <w:rFonts w:ascii="Times New Roman" w:hAnsi="Times New Roman" w:cs="Times New Roman"/>
          <w:sz w:val="24"/>
          <w:szCs w:val="24"/>
        </w:rPr>
        <w:t>be</w:t>
      </w:r>
      <w:r w:rsidRPr="0026644C">
        <w:rPr>
          <w:rFonts w:ascii="Times New Roman" w:hAnsi="Times New Roman" w:cs="Times New Roman"/>
          <w:sz w:val="24"/>
          <w:szCs w:val="24"/>
        </w:rPr>
        <w:t xml:space="preserve"> competitive. If the resort cannot find what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differentiates it from others and what can be used from its past and place, the resort will keep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losing its customers to entrants in the market with fresher establishments and accessories(Mejjad et al., 2022). </w:t>
      </w:r>
      <w:r w:rsidR="00AF353A">
        <w:rPr>
          <w:rFonts w:ascii="Times New Roman" w:hAnsi="Times New Roman" w:cs="Times New Roman"/>
          <w:sz w:val="24"/>
          <w:szCs w:val="24"/>
        </w:rPr>
        <w:t>Maintaining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uniqueness requires focused positioning and investments</w:t>
      </w:r>
      <w:r w:rsidR="0083569E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in areas of competitive advantage.</w:t>
      </w:r>
    </w:p>
    <w:p w14:paraId="5A08DD61" w14:textId="77777777" w:rsidR="00FC20C1" w:rsidRPr="0026644C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1C0288" w14:textId="77777777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t>Recommended Turnaround Strategy</w:t>
      </w:r>
    </w:p>
    <w:p w14:paraId="62996DE7" w14:textId="77777777" w:rsidR="005C19A5" w:rsidRPr="00FC20C1" w:rsidRDefault="005C19A5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E903D59" w14:textId="1C3461D8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To execute a successful turnaround, The Seacrest Lodge should focus on several key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initiatives. However, such </w:t>
      </w:r>
      <w:r w:rsidR="0083569E">
        <w:rPr>
          <w:rFonts w:ascii="Times New Roman" w:hAnsi="Times New Roman" w:cs="Times New Roman"/>
          <w:sz w:val="24"/>
          <w:szCs w:val="24"/>
        </w:rPr>
        <w:t xml:space="preserve">a </w:t>
      </w:r>
      <w:r w:rsidRPr="0026644C">
        <w:rPr>
          <w:rFonts w:ascii="Times New Roman" w:hAnsi="Times New Roman" w:cs="Times New Roman"/>
          <w:sz w:val="24"/>
          <w:szCs w:val="24"/>
        </w:rPr>
        <w:t xml:space="preserve">rate of strong overvaluation was not sustainable, so </w:t>
      </w:r>
      <w:proofErr w:type="gramStart"/>
      <w:r w:rsidRPr="0026644C">
        <w:rPr>
          <w:rFonts w:ascii="Times New Roman" w:hAnsi="Times New Roman" w:cs="Times New Roman"/>
          <w:sz w:val="24"/>
          <w:szCs w:val="24"/>
        </w:rPr>
        <w:t>as long as</w:t>
      </w:r>
      <w:proofErr w:type="gramEnd"/>
      <w:r w:rsidRPr="0026644C">
        <w:rPr>
          <w:rFonts w:ascii="Times New Roman" w:hAnsi="Times New Roman" w:cs="Times New Roman"/>
          <w:sz w:val="24"/>
          <w:szCs w:val="24"/>
        </w:rPr>
        <w:t xml:space="preserve"> this</w:t>
      </w:r>
      <w:r w:rsidR="0083569E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was not an outright </w:t>
      </w:r>
      <w:r w:rsidR="00B622A0" w:rsidRPr="0026644C">
        <w:rPr>
          <w:rFonts w:ascii="Times New Roman" w:hAnsi="Times New Roman" w:cs="Times New Roman"/>
          <w:sz w:val="24"/>
          <w:szCs w:val="24"/>
        </w:rPr>
        <w:t>misalignment,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it is almost always the case whereby there is </w:t>
      </w:r>
      <w:r w:rsidR="00D23031">
        <w:rPr>
          <w:rFonts w:ascii="Times New Roman" w:hAnsi="Times New Roman" w:cs="Times New Roman"/>
          <w:sz w:val="24"/>
          <w:szCs w:val="24"/>
        </w:rPr>
        <w:t xml:space="preserve">a </w:t>
      </w:r>
      <w:r w:rsidRPr="0026644C">
        <w:rPr>
          <w:rFonts w:ascii="Times New Roman" w:hAnsi="Times New Roman" w:cs="Times New Roman"/>
          <w:sz w:val="24"/>
          <w:szCs w:val="24"/>
        </w:rPr>
        <w:t>positive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overshooting following a decade-long accumulation of undervaluation even though moderate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as possible, the bottom-line upside-overvaluation might be something desirable.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B622A0">
        <w:rPr>
          <w:rFonts w:ascii="Times New Roman" w:hAnsi="Times New Roman" w:cs="Times New Roman"/>
          <w:i/>
          <w:iCs/>
          <w:sz w:val="24"/>
          <w:szCs w:val="24"/>
        </w:rPr>
        <w:t>Facilities improvement</w:t>
      </w:r>
      <w:r w:rsidRPr="0026644C">
        <w:rPr>
          <w:rFonts w:ascii="Times New Roman" w:hAnsi="Times New Roman" w:cs="Times New Roman"/>
          <w:sz w:val="24"/>
          <w:szCs w:val="24"/>
        </w:rPr>
        <w:t xml:space="preserve"> – One of the most immediate agenda will include the</w:t>
      </w:r>
      <w:r w:rsidR="00D23031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improvements on amenities such as guest rooms, restaurants and others including the spa.</w:t>
      </w:r>
    </w:p>
    <w:p w14:paraId="5069A907" w14:textId="77777777" w:rsidR="007E6344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The occupancy and rates can be increased </w:t>
      </w:r>
      <w:r w:rsidR="00553107">
        <w:rPr>
          <w:rFonts w:ascii="Times New Roman" w:hAnsi="Times New Roman" w:cs="Times New Roman"/>
          <w:sz w:val="24"/>
          <w:szCs w:val="24"/>
        </w:rPr>
        <w:t>using</w:t>
      </w:r>
      <w:r w:rsidRPr="0026644C">
        <w:rPr>
          <w:rFonts w:ascii="Times New Roman" w:hAnsi="Times New Roman" w:cs="Times New Roman"/>
          <w:sz w:val="24"/>
          <w:szCs w:val="24"/>
        </w:rPr>
        <w:t xml:space="preserve"> such targeted refurbishments to the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rooms, the new family pool complex and updating the fine-dining offer to some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contemporary standards (Goyal and Kumar, 2021). Despite their high cost, such investments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are prerequisites to competitiveness. Based on guest feedback and preference, the upgrades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need to touch on the areas that will offer the greatest value to the hotel.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65C784" w14:textId="7214F754" w:rsidR="007E6344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3107">
        <w:rPr>
          <w:rFonts w:ascii="Times New Roman" w:hAnsi="Times New Roman" w:cs="Times New Roman"/>
          <w:i/>
          <w:iCs/>
          <w:sz w:val="24"/>
          <w:szCs w:val="24"/>
        </w:rPr>
        <w:t>Better Customer Service</w:t>
      </w:r>
      <w:r w:rsidRPr="0026644C">
        <w:rPr>
          <w:rFonts w:ascii="Times New Roman" w:hAnsi="Times New Roman" w:cs="Times New Roman"/>
          <w:sz w:val="24"/>
          <w:szCs w:val="24"/>
        </w:rPr>
        <w:t xml:space="preserve"> – Negative reviews depict a drop in quality in how services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are served. In this resort, there is an urgent need to carry out customer service training for all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the staff to revive its previous status of remarkable hospitality </w:t>
      </w:r>
      <w:r w:rsidR="00D458B7" w:rsidRPr="0026644C">
        <w:rPr>
          <w:rFonts w:ascii="Times New Roman" w:hAnsi="Times New Roman" w:cs="Times New Roman"/>
          <w:sz w:val="24"/>
          <w:szCs w:val="24"/>
        </w:rPr>
        <w:t>and</w:t>
      </w:r>
      <w:r w:rsidRPr="0026644C">
        <w:rPr>
          <w:rFonts w:ascii="Times New Roman" w:hAnsi="Times New Roman" w:cs="Times New Roman"/>
          <w:sz w:val="24"/>
          <w:szCs w:val="24"/>
        </w:rPr>
        <w:t xml:space="preserve"> to generate a demand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for the ornamentation of revisit (Karsavuran, 2021). Service is given a high profile by The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="007E6344" w:rsidRPr="0026644C">
        <w:rPr>
          <w:rFonts w:ascii="Times New Roman" w:hAnsi="Times New Roman" w:cs="Times New Roman"/>
          <w:sz w:val="24"/>
          <w:szCs w:val="24"/>
        </w:rPr>
        <w:t>Seacrest,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this will act to make it different from these current contestants.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0B1F22" w14:textId="1C996C70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458B7">
        <w:rPr>
          <w:rFonts w:ascii="Times New Roman" w:hAnsi="Times New Roman" w:cs="Times New Roman"/>
          <w:i/>
          <w:iCs/>
          <w:sz w:val="24"/>
          <w:szCs w:val="24"/>
        </w:rPr>
        <w:t>Cost Controls</w:t>
      </w:r>
      <w:r w:rsidRPr="0026644C">
        <w:rPr>
          <w:rFonts w:ascii="Times New Roman" w:hAnsi="Times New Roman" w:cs="Times New Roman"/>
          <w:sz w:val="24"/>
          <w:szCs w:val="24"/>
        </w:rPr>
        <w:t xml:space="preserve"> – They need to manage their expense mechanisms more effectively to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increase efficiency as they lay a foundation </w:t>
      </w:r>
      <w:r w:rsidR="00A016A0">
        <w:rPr>
          <w:rFonts w:ascii="Times New Roman" w:hAnsi="Times New Roman" w:cs="Times New Roman"/>
          <w:sz w:val="24"/>
          <w:szCs w:val="24"/>
        </w:rPr>
        <w:t>for</w:t>
      </w:r>
      <w:r w:rsidRPr="0026644C">
        <w:rPr>
          <w:rFonts w:ascii="Times New Roman" w:hAnsi="Times New Roman" w:cs="Times New Roman"/>
          <w:sz w:val="24"/>
          <w:szCs w:val="24"/>
        </w:rPr>
        <w:t xml:space="preserve"> increased revenues (Williamson et al., 2021).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Some potential areas of focus for cost containment are energy costs—consisting of upgrades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such as the use of low-flow showerheads, obtaining better supplier contracts, waste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minimization and staffing </w:t>
      </w:r>
      <w:r w:rsidR="00A016A0" w:rsidRPr="0026644C">
        <w:rPr>
          <w:rFonts w:ascii="Times New Roman" w:hAnsi="Times New Roman" w:cs="Times New Roman"/>
          <w:sz w:val="24"/>
          <w:szCs w:val="24"/>
        </w:rPr>
        <w:t>right sized</w:t>
      </w:r>
      <w:r w:rsidRPr="0026644C">
        <w:rPr>
          <w:rFonts w:ascii="Times New Roman" w:hAnsi="Times New Roman" w:cs="Times New Roman"/>
          <w:sz w:val="24"/>
          <w:szCs w:val="24"/>
        </w:rPr>
        <w:t xml:space="preserve"> against occupancy levels.</w:t>
      </w:r>
    </w:p>
    <w:p w14:paraId="62F1EE18" w14:textId="544700BF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016A0">
        <w:rPr>
          <w:rFonts w:ascii="Times New Roman" w:hAnsi="Times New Roman" w:cs="Times New Roman"/>
          <w:i/>
          <w:iCs/>
          <w:sz w:val="24"/>
          <w:szCs w:val="24"/>
        </w:rPr>
        <w:t xml:space="preserve">Marketing </w:t>
      </w:r>
      <w:r w:rsidRPr="0026644C">
        <w:rPr>
          <w:rFonts w:ascii="Times New Roman" w:hAnsi="Times New Roman" w:cs="Times New Roman"/>
          <w:sz w:val="24"/>
          <w:szCs w:val="24"/>
        </w:rPr>
        <w:t>– The resort can reposition itself through rebranding and marketing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campaigns targeting a few demographics. Advertisements revealing the historical account of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the place, perfect coastal </w:t>
      </w:r>
      <w:r w:rsidR="00133F2E">
        <w:rPr>
          <w:rFonts w:ascii="Times New Roman" w:hAnsi="Times New Roman" w:cs="Times New Roman"/>
          <w:sz w:val="24"/>
          <w:szCs w:val="24"/>
        </w:rPr>
        <w:t>attractions</w:t>
      </w:r>
      <w:r w:rsidRPr="0026644C">
        <w:rPr>
          <w:rFonts w:ascii="Times New Roman" w:hAnsi="Times New Roman" w:cs="Times New Roman"/>
          <w:sz w:val="24"/>
          <w:szCs w:val="24"/>
        </w:rPr>
        <w:t>, and renovated facilities can boost bookings and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occupancy (Alrawabdeh, 2021). Packages created for the festive season or packages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creatively introduced in line with a specific theme or special seasons will ensure that unused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capacity fills up as quickly as possible.</w:t>
      </w:r>
    </w:p>
    <w:p w14:paraId="4004E3DF" w14:textId="068B4417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6291AA" w14:textId="77777777" w:rsidR="007E6344" w:rsidRPr="0026644C" w:rsidRDefault="007E6344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CB29E2" w14:textId="4C5F1A92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 xml:space="preserve">The objective for the resort is </w:t>
      </w:r>
      <w:r w:rsidR="00485730">
        <w:rPr>
          <w:rFonts w:ascii="Times New Roman" w:hAnsi="Times New Roman" w:cs="Times New Roman"/>
          <w:sz w:val="24"/>
          <w:szCs w:val="24"/>
        </w:rPr>
        <w:t xml:space="preserve">to </w:t>
      </w:r>
      <w:r w:rsidRPr="0026644C">
        <w:rPr>
          <w:rFonts w:ascii="Times New Roman" w:hAnsi="Times New Roman" w:cs="Times New Roman"/>
          <w:sz w:val="24"/>
          <w:szCs w:val="24"/>
        </w:rPr>
        <w:t>return to fiscal soundness, utilizing directed investment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capital for increasing competition and liquidity, blinked with tightened operations and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performance. Analysis reveals that if enough funds are availed to upgrade the operations and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="00485730">
        <w:rPr>
          <w:rFonts w:ascii="Times New Roman" w:hAnsi="Times New Roman" w:cs="Times New Roman"/>
          <w:sz w:val="24"/>
          <w:szCs w:val="24"/>
        </w:rPr>
        <w:t>complement</w:t>
      </w:r>
      <w:r w:rsidRPr="0026644C">
        <w:rPr>
          <w:rFonts w:ascii="Times New Roman" w:hAnsi="Times New Roman" w:cs="Times New Roman"/>
          <w:sz w:val="24"/>
          <w:szCs w:val="24"/>
        </w:rPr>
        <w:t xml:space="preserve"> with a new marketing outlook, a turnaround seems feasible.</w:t>
      </w:r>
    </w:p>
    <w:p w14:paraId="231B5537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AD2B04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EE3982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E7FBB5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3CBC7F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F389A5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D7B4B6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43B1D9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7A78E9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7A10E9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414CDC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354C7E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9E7C80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974BE1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5C4376" w14:textId="77777777" w:rsidR="00485730" w:rsidRDefault="00485730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72C58E5" w14:textId="77777777" w:rsidR="00485730" w:rsidRDefault="00485730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EC94EE" w14:textId="77777777" w:rsidR="007E6344" w:rsidRDefault="007E6344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A80B67" w14:textId="77777777" w:rsidR="007E6344" w:rsidRDefault="007E6344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128A0F" w14:textId="77777777" w:rsidR="00086B39" w:rsidRPr="0026644C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473BD0" w14:textId="77777777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lastRenderedPageBreak/>
        <w:t>Conclusion</w:t>
      </w:r>
    </w:p>
    <w:p w14:paraId="26162245" w14:textId="77777777" w:rsidR="007E6344" w:rsidRPr="00FC20C1" w:rsidRDefault="007E6344" w:rsidP="0019229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F24D97D" w14:textId="68C20A68" w:rsidR="00086B39" w:rsidRDefault="00086B39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Overall, The Seacrest Lodge’s loss of financial strength is associated with declining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occupancy rates and room charges alongside escalating </w:t>
      </w:r>
      <w:r w:rsidR="00EC08E9">
        <w:rPr>
          <w:rFonts w:ascii="Times New Roman" w:hAnsi="Times New Roman" w:cs="Times New Roman"/>
          <w:sz w:val="24"/>
          <w:szCs w:val="24"/>
        </w:rPr>
        <w:t>alternative</w:t>
      </w:r>
      <w:r w:rsidRPr="0026644C">
        <w:rPr>
          <w:rFonts w:ascii="Times New Roman" w:hAnsi="Times New Roman" w:cs="Times New Roman"/>
          <w:sz w:val="24"/>
          <w:szCs w:val="24"/>
        </w:rPr>
        <w:t xml:space="preserve"> costs </w:t>
      </w:r>
      <w:r w:rsidR="00EC08E9">
        <w:rPr>
          <w:rFonts w:ascii="Times New Roman" w:hAnsi="Times New Roman" w:cs="Times New Roman"/>
          <w:sz w:val="24"/>
          <w:szCs w:val="24"/>
        </w:rPr>
        <w:t xml:space="preserve">for </w:t>
      </w:r>
      <w:r w:rsidRPr="0026644C">
        <w:rPr>
          <w:rFonts w:ascii="Times New Roman" w:hAnsi="Times New Roman" w:cs="Times New Roman"/>
          <w:sz w:val="24"/>
          <w:szCs w:val="24"/>
        </w:rPr>
        <w:t>other muscle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groups. Nevertheless, with a considered spend to revamp the amenities upgrades of service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values followed by better cost management and good marketing in place, this historic coastal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resort can realize an effective turnaround effort. Despite the fierce competition in </w:t>
      </w:r>
      <w:r w:rsidR="00EC08E9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>hospitality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market The Seacrest Lodge still has its advantages which are primarily associated with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reputation, </w:t>
      </w:r>
      <w:r w:rsidR="00EC08E9" w:rsidRPr="0026644C">
        <w:rPr>
          <w:rFonts w:ascii="Times New Roman" w:hAnsi="Times New Roman" w:cs="Times New Roman"/>
          <w:sz w:val="24"/>
          <w:szCs w:val="24"/>
        </w:rPr>
        <w:t>position,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unique character. With </w:t>
      </w:r>
      <w:r w:rsidR="00EC08E9">
        <w:rPr>
          <w:rFonts w:ascii="Times New Roman" w:hAnsi="Times New Roman" w:cs="Times New Roman"/>
          <w:sz w:val="24"/>
          <w:szCs w:val="24"/>
        </w:rPr>
        <w:t xml:space="preserve">a </w:t>
      </w:r>
      <w:r w:rsidRPr="0026644C">
        <w:rPr>
          <w:rFonts w:ascii="Times New Roman" w:hAnsi="Times New Roman" w:cs="Times New Roman"/>
          <w:sz w:val="24"/>
          <w:szCs w:val="24"/>
        </w:rPr>
        <w:t>proper focus on demand-driven facility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 xml:space="preserve">upgrades, enhanced </w:t>
      </w:r>
      <w:r w:rsidR="001B221C" w:rsidRPr="0026644C">
        <w:rPr>
          <w:rFonts w:ascii="Times New Roman" w:hAnsi="Times New Roman" w:cs="Times New Roman"/>
          <w:sz w:val="24"/>
          <w:szCs w:val="24"/>
        </w:rPr>
        <w:t>productivity,</w:t>
      </w:r>
      <w:r w:rsidRPr="0026644C">
        <w:rPr>
          <w:rFonts w:ascii="Times New Roman" w:hAnsi="Times New Roman" w:cs="Times New Roman"/>
          <w:sz w:val="24"/>
          <w:szCs w:val="24"/>
        </w:rPr>
        <w:t xml:space="preserve"> and reimaging </w:t>
      </w:r>
      <w:r w:rsidR="001B221C">
        <w:rPr>
          <w:rFonts w:ascii="Times New Roman" w:hAnsi="Times New Roman" w:cs="Times New Roman"/>
          <w:sz w:val="24"/>
          <w:szCs w:val="24"/>
        </w:rPr>
        <w:t xml:space="preserve">the </w:t>
      </w:r>
      <w:r w:rsidRPr="0026644C">
        <w:rPr>
          <w:rFonts w:ascii="Times New Roman" w:hAnsi="Times New Roman" w:cs="Times New Roman"/>
          <w:sz w:val="24"/>
          <w:szCs w:val="24"/>
        </w:rPr>
        <w:t xml:space="preserve">brand name the lodge can </w:t>
      </w:r>
      <w:r w:rsidR="001B221C">
        <w:rPr>
          <w:rFonts w:ascii="Times New Roman" w:hAnsi="Times New Roman" w:cs="Times New Roman"/>
          <w:sz w:val="24"/>
          <w:szCs w:val="24"/>
        </w:rPr>
        <w:t>be</w:t>
      </w:r>
      <w:r w:rsidRPr="0026644C">
        <w:rPr>
          <w:rFonts w:ascii="Times New Roman" w:hAnsi="Times New Roman" w:cs="Times New Roman"/>
          <w:sz w:val="24"/>
          <w:szCs w:val="24"/>
        </w:rPr>
        <w:t xml:space="preserve"> revived into a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landmark holiday destination. Yet, adequate capital and forward-thinking management would</w:t>
      </w:r>
      <w:r w:rsidR="007E6344">
        <w:rPr>
          <w:rFonts w:ascii="Times New Roman" w:hAnsi="Times New Roman" w:cs="Times New Roman"/>
          <w:sz w:val="24"/>
          <w:szCs w:val="24"/>
        </w:rPr>
        <w:t xml:space="preserve"> </w:t>
      </w:r>
      <w:r w:rsidRPr="0026644C">
        <w:rPr>
          <w:rFonts w:ascii="Times New Roman" w:hAnsi="Times New Roman" w:cs="Times New Roman"/>
          <w:sz w:val="24"/>
          <w:szCs w:val="24"/>
        </w:rPr>
        <w:t>see the needed injection of transformation.</w:t>
      </w:r>
    </w:p>
    <w:p w14:paraId="760497B6" w14:textId="77777777" w:rsidR="00FC20C1" w:rsidRDefault="00FC20C1" w:rsidP="0019229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6AE197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C656DE6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D291D7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07AEAB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09463D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6563700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C1B4A2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58CA0EC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995A37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B7F7206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7594162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33AD217" w14:textId="77777777" w:rsidR="00FC20C1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87F1E89" w14:textId="77777777" w:rsidR="00FC20C1" w:rsidRPr="0026644C" w:rsidRDefault="00FC20C1" w:rsidP="004C075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B87B4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075D6DB8" w14:textId="27BFE572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22D5F32B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651C3EC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2646DE1F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07C42089" w14:textId="77777777" w:rsidR="00086B39" w:rsidRPr="00FC20C1" w:rsidRDefault="00086B39" w:rsidP="00086B39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C20C1">
        <w:rPr>
          <w:rFonts w:ascii="Times New Roman" w:hAnsi="Times New Roman" w:cs="Times New Roman"/>
          <w:b/>
          <w:bCs/>
          <w:sz w:val="28"/>
          <w:szCs w:val="28"/>
        </w:rPr>
        <w:t>References List</w:t>
      </w:r>
    </w:p>
    <w:p w14:paraId="0A20D002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Alrawabdeh, W., 2021. Seasonal balancing of revenue and demand in hotel industry:</w:t>
      </w:r>
    </w:p>
    <w:p w14:paraId="27D8A4F6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the case of Dubai City. Journal of Revenue and Pricing Management, pp.1-14.</w:t>
      </w:r>
    </w:p>
    <w:p w14:paraId="3D3D28BD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CFA Institute, 2024. Profit After Tax (PAT). [Online]</w:t>
      </w:r>
    </w:p>
    <w:p w14:paraId="6E50BD6A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Available at: https://www.wallstreetmojo.com/profit-after-tax-pat/</w:t>
      </w:r>
    </w:p>
    <w:p w14:paraId="2A7F74C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[Accessed 2024].</w:t>
      </w:r>
    </w:p>
    <w:p w14:paraId="76AFFE6F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Economist, I., 2023. Operating Costs: An In-depth Analysis of Business Expenses.</w:t>
      </w:r>
    </w:p>
    <w:p w14:paraId="58C0EA1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[Online]</w:t>
      </w:r>
    </w:p>
    <w:p w14:paraId="7BE1B1FF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Available at: https://inspiredeconomist.com/articles/operating-costs/</w:t>
      </w:r>
    </w:p>
    <w:p w14:paraId="1C767994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[Accessed 2024].</w:t>
      </w:r>
    </w:p>
    <w:p w14:paraId="0822D2A6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Fridson, M.S. and Alvarez, F., 2022. Financial statement analysis: a practitioner&amp;#39;s</w:t>
      </w:r>
    </w:p>
    <w:p w14:paraId="3AF7E067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guide. John Wiley &amp;amp; Sons.</w:t>
      </w:r>
    </w:p>
    <w:p w14:paraId="5268AECD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Goyal, K. and Kumar, S., 2021. Financial literacy: A systematic review and</w:t>
      </w:r>
    </w:p>
    <w:p w14:paraId="1506D115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bibliometric analysis. International Journal of Consumer Studies, 45(1), pp.80-105.</w:t>
      </w:r>
    </w:p>
    <w:p w14:paraId="418FC79A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HBR Online, 2019. HOW TO READ &amp;amp; UNDERSTAND A BALANCE SHEET.</w:t>
      </w:r>
    </w:p>
    <w:p w14:paraId="43E948E5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[Online]</w:t>
      </w:r>
    </w:p>
    <w:p w14:paraId="679E4CE2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Available at: https://online.hbs.edu/blog/post/how-to-prepare-a-balance-sheet</w:t>
      </w:r>
    </w:p>
    <w:p w14:paraId="3EF8762F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[Accessed 2024].</w:t>
      </w:r>
    </w:p>
    <w:p w14:paraId="5CDABB1F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Lau, Y.Y. and Yip, T.L., 2020. The Asia cruise tourism industry: Current trend and</w:t>
      </w:r>
    </w:p>
    <w:p w14:paraId="4E496A2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future outlook. The Asian Journal of Shipping and Logistics, 36(4), pp.202-213.</w:t>
      </w:r>
    </w:p>
    <w:p w14:paraId="717953F8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Karsavuran, Z., 2021. Surviving a major crisis: the case of dismissed tourism and</w:t>
      </w:r>
    </w:p>
    <w:p w14:paraId="56974515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hospitality employees. Journal of Policy Research in Tourism, Leisure and Events, 13(2),</w:t>
      </w:r>
    </w:p>
    <w:p w14:paraId="0442175E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pp.243-265.</w:t>
      </w:r>
    </w:p>
    <w:p w14:paraId="7687115D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Mejjad, N., Rossi, A. and Pavel, A.B., 2022. The coastal tourism industry in the</w:t>
      </w:r>
    </w:p>
    <w:p w14:paraId="36B2210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Mediterranean: A critical review of the socio-economic and environmental pressures &amp;amp;</w:t>
      </w:r>
    </w:p>
    <w:p w14:paraId="6AAA20AC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impacts. Tourism Management Perspectives, 44, p.101007.</w:t>
      </w:r>
    </w:p>
    <w:p w14:paraId="1BB44E7D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Pelaez-Verdet, A. and Loscertales-Sanchez, P., 2021. Key ratios for long-term</w:t>
      </w:r>
    </w:p>
    <w:p w14:paraId="6F33C96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prediction of hotel financial distress and corporate default: Survival analysis for an economic</w:t>
      </w:r>
    </w:p>
    <w:p w14:paraId="30C1826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stagnation. Sustainability, 13(3), p.1473.</w:t>
      </w:r>
    </w:p>
    <w:p w14:paraId="0AB38BB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2502F7F1" w14:textId="58876744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</w:p>
    <w:p w14:paraId="7DEEAEF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Robinson, T.R., 2020. International financial statement analysis. John Wiley &amp;amp; Sons.</w:t>
      </w:r>
    </w:p>
    <w:p w14:paraId="48BA3DF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Shabbir, M.S. and Wisdom, O., 2020. The relationship between corporate social</w:t>
      </w:r>
    </w:p>
    <w:p w14:paraId="2BE76A6C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responsibility, environmental investments and financial performance: evidence from</w:t>
      </w:r>
    </w:p>
    <w:p w14:paraId="67EA6E39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manufacturing companies. Environmental Science and Pollution Research, 27, pp.39946-</w:t>
      </w:r>
    </w:p>
    <w:p w14:paraId="27937B5E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39957.</w:t>
      </w:r>
    </w:p>
    <w:p w14:paraId="5FF085E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Williamson, J., Wardle, K. and Hasmi, H., 2021. Developing WIL curriculum which</w:t>
      </w:r>
    </w:p>
    <w:p w14:paraId="294D2CE8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enhances hospitality students capabilities. Higher Education, Skills and Work-Based</w:t>
      </w:r>
    </w:p>
    <w:p w14:paraId="10C09926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Learning, 11(3), pp.635-648.</w:t>
      </w:r>
    </w:p>
    <w:p w14:paraId="47C00A9D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Valerie Watts, 2022. 2.2 REVENUE AND COST FUNCTIONS. [Online]</w:t>
      </w:r>
    </w:p>
    <w:p w14:paraId="2D6411A3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Available at: https://ecampusontario.pressbooks.pub/businessfinancialmath/chapter/2-2-</w:t>
      </w:r>
    </w:p>
    <w:p w14:paraId="7305639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revenue-and-cost-functions/</w:t>
      </w:r>
    </w:p>
    <w:p w14:paraId="30C9AB36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[Accessed 2023].</w:t>
      </w:r>
    </w:p>
    <w:p w14:paraId="43BA0212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Vervotech Solutions Pvt. Ltd., 2023. Calculating A Property’s Performance:</w:t>
      </w:r>
    </w:p>
    <w:p w14:paraId="51EE4301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RevPAR, ADR, Occupancy Rate – Learn These Hotel Metrics And Formulae. [Online]</w:t>
      </w:r>
    </w:p>
    <w:p w14:paraId="3C8D6EBB" w14:textId="77777777" w:rsidR="00086B39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Available at: https://vervotech.com/blog/calculating-revpar-adr-occupancy-rate</w:t>
      </w:r>
    </w:p>
    <w:p w14:paraId="3822EC91" w14:textId="18DDCEF5" w:rsidR="00B90EE0" w:rsidRPr="0026644C" w:rsidRDefault="00086B39" w:rsidP="00086B39">
      <w:pPr>
        <w:rPr>
          <w:rFonts w:ascii="Times New Roman" w:hAnsi="Times New Roman" w:cs="Times New Roman"/>
          <w:sz w:val="24"/>
          <w:szCs w:val="24"/>
        </w:rPr>
      </w:pPr>
      <w:r w:rsidRPr="0026644C">
        <w:rPr>
          <w:rFonts w:ascii="Times New Roman" w:hAnsi="Times New Roman" w:cs="Times New Roman"/>
          <w:sz w:val="24"/>
          <w:szCs w:val="24"/>
        </w:rPr>
        <w:t>[Accessed 2024].</w:t>
      </w:r>
    </w:p>
    <w:sectPr w:rsidR="00B90EE0" w:rsidRPr="002664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B39"/>
    <w:rsid w:val="000140C0"/>
    <w:rsid w:val="00026720"/>
    <w:rsid w:val="000736AC"/>
    <w:rsid w:val="00086B39"/>
    <w:rsid w:val="00133F2E"/>
    <w:rsid w:val="0014204B"/>
    <w:rsid w:val="00145D2B"/>
    <w:rsid w:val="00192297"/>
    <w:rsid w:val="001A541E"/>
    <w:rsid w:val="001B221C"/>
    <w:rsid w:val="00233EA4"/>
    <w:rsid w:val="00263800"/>
    <w:rsid w:val="0026644C"/>
    <w:rsid w:val="002E2DE3"/>
    <w:rsid w:val="002F19D4"/>
    <w:rsid w:val="00316612"/>
    <w:rsid w:val="00332EAF"/>
    <w:rsid w:val="00357EA1"/>
    <w:rsid w:val="00485730"/>
    <w:rsid w:val="004C0751"/>
    <w:rsid w:val="00553107"/>
    <w:rsid w:val="00553E2A"/>
    <w:rsid w:val="00561261"/>
    <w:rsid w:val="005850A2"/>
    <w:rsid w:val="00587C7A"/>
    <w:rsid w:val="005C19A5"/>
    <w:rsid w:val="005D23C9"/>
    <w:rsid w:val="005D4143"/>
    <w:rsid w:val="0063437D"/>
    <w:rsid w:val="00664863"/>
    <w:rsid w:val="007353A7"/>
    <w:rsid w:val="007E6344"/>
    <w:rsid w:val="00800D1C"/>
    <w:rsid w:val="008314B4"/>
    <w:rsid w:val="0083569E"/>
    <w:rsid w:val="008B1D07"/>
    <w:rsid w:val="00904634"/>
    <w:rsid w:val="00930594"/>
    <w:rsid w:val="00955D40"/>
    <w:rsid w:val="009817A3"/>
    <w:rsid w:val="009A2E6B"/>
    <w:rsid w:val="009A67C2"/>
    <w:rsid w:val="009F3BFC"/>
    <w:rsid w:val="00A016A0"/>
    <w:rsid w:val="00AF353A"/>
    <w:rsid w:val="00B622A0"/>
    <w:rsid w:val="00B90EE0"/>
    <w:rsid w:val="00C352AB"/>
    <w:rsid w:val="00CA5F1D"/>
    <w:rsid w:val="00D23031"/>
    <w:rsid w:val="00D458B7"/>
    <w:rsid w:val="00D93D96"/>
    <w:rsid w:val="00E15DDF"/>
    <w:rsid w:val="00E16858"/>
    <w:rsid w:val="00E23233"/>
    <w:rsid w:val="00E45E34"/>
    <w:rsid w:val="00E52BF2"/>
    <w:rsid w:val="00E93702"/>
    <w:rsid w:val="00EC08E9"/>
    <w:rsid w:val="00F046A2"/>
    <w:rsid w:val="00F065D8"/>
    <w:rsid w:val="00F331E9"/>
    <w:rsid w:val="00F81842"/>
    <w:rsid w:val="00FC20C1"/>
    <w:rsid w:val="00FC39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997AD2"/>
  <w15:chartTrackingRefBased/>
  <w15:docId w15:val="{DFCDAE3E-A789-4894-805C-5E4C51AB4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2447</Words>
  <Characters>14076</Characters>
  <Application>Microsoft Office Word</Application>
  <DocSecurity>0</DocSecurity>
  <Lines>319</Lines>
  <Paragraphs>103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Codruta Bogatean</dc:creator>
  <cp:keywords/>
  <dc:description/>
  <cp:lastModifiedBy>Codruta Bogatean</cp:lastModifiedBy>
  <cp:revision>2</cp:revision>
  <dcterms:created xsi:type="dcterms:W3CDTF">2024-02-27T12:12:00Z</dcterms:created>
  <dcterms:modified xsi:type="dcterms:W3CDTF">2024-02-27T12:12:00Z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8add543f-c55e-48ca-96dc-4f255de76c1a</vt:lpwstr>
  </property>
</Properties>
</file>