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4F81BD" w:themeColor="accent1"/>
          <w:lang w:val="en-GB"/>
        </w:rPr>
        <w:id w:val="1397629802"/>
        <w:docPartObj>
          <w:docPartGallery w:val="Cover Pages"/>
          <w:docPartUnique/>
        </w:docPartObj>
      </w:sdtPr>
      <w:sdtEndPr>
        <w:rPr>
          <w:color w:val="auto"/>
          <w:sz w:val="24"/>
          <w:szCs w:val="24"/>
        </w:rPr>
      </w:sdtEndPr>
      <w:sdtContent>
        <w:p w14:paraId="5598AB42" w14:textId="669628C7" w:rsidR="00610D81" w:rsidRPr="00CA464A" w:rsidRDefault="00610D81">
          <w:pPr>
            <w:pStyle w:val="NoSpacing"/>
            <w:spacing w:before="1540" w:after="240"/>
            <w:jc w:val="center"/>
            <w:rPr>
              <w:rFonts w:ascii="Arial" w:hAnsi="Arial" w:cs="Arial"/>
              <w:color w:val="4F81BD" w:themeColor="accent1"/>
              <w:lang w:val="en-GB"/>
            </w:rPr>
          </w:pPr>
          <w:r w:rsidRPr="00CA464A">
            <w:rPr>
              <w:rFonts w:ascii="Arial" w:hAnsi="Arial" w:cs="Arial"/>
              <w:noProof/>
              <w:color w:val="4F81BD" w:themeColor="accent1"/>
              <w:lang w:val="en-GB"/>
            </w:rPr>
            <w:drawing>
              <wp:inline distT="0" distB="0" distL="0" distR="0" wp14:anchorId="10DE4380" wp14:editId="39D04B1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F81BD" w:themeColor="accent1"/>
              <w:sz w:val="72"/>
              <w:szCs w:val="72"/>
              <w:lang w:val="en-GB"/>
            </w:rPr>
            <w:alias w:val="Title"/>
            <w:tag w:val=""/>
            <w:id w:val="1735040861"/>
            <w:placeholder>
              <w:docPart w:val="7FBC06FE30044085BB28D1E702345667"/>
            </w:placeholder>
            <w:dataBinding w:prefixMappings="xmlns:ns0='http://purl.org/dc/elements/1.1/' xmlns:ns1='http://schemas.openxmlformats.org/package/2006/metadata/core-properties' " w:xpath="/ns1:coreProperties[1]/ns0:title[1]" w:storeItemID="{6C3C8BC8-F283-45AE-878A-BAB7291924A1}"/>
            <w:text/>
          </w:sdtPr>
          <w:sdtEndPr/>
          <w:sdtContent>
            <w:p w14:paraId="5CEEE2A9" w14:textId="4D79C803" w:rsidR="00610D81" w:rsidRPr="00CA464A" w:rsidRDefault="004A3109">
              <w:pPr>
                <w:pStyle w:val="NoSpacing"/>
                <w:pBdr>
                  <w:top w:val="single" w:sz="6" w:space="6" w:color="4F81BD" w:themeColor="accent1"/>
                  <w:bottom w:val="single" w:sz="6" w:space="6" w:color="4F81BD" w:themeColor="accent1"/>
                </w:pBdr>
                <w:spacing w:after="240"/>
                <w:jc w:val="center"/>
                <w:rPr>
                  <w:rFonts w:ascii="Arial" w:eastAsiaTheme="majorEastAsia" w:hAnsi="Arial" w:cs="Arial"/>
                  <w:caps/>
                  <w:color w:val="4F81BD" w:themeColor="accent1"/>
                  <w:sz w:val="80"/>
                  <w:szCs w:val="80"/>
                  <w:lang w:val="en-GB"/>
                </w:rPr>
              </w:pPr>
              <w:r w:rsidRPr="00CA464A">
                <w:rPr>
                  <w:rFonts w:ascii="Arial" w:eastAsiaTheme="majorEastAsia" w:hAnsi="Arial" w:cs="Arial"/>
                  <w:caps/>
                  <w:color w:val="4F81BD" w:themeColor="accent1"/>
                  <w:sz w:val="72"/>
                  <w:szCs w:val="72"/>
                  <w:lang w:val="en-GB"/>
                </w:rPr>
                <w:t>BMIH5007 Financial Management for the Hotel Industry</w:t>
              </w:r>
            </w:p>
          </w:sdtContent>
        </w:sdt>
        <w:sdt>
          <w:sdtPr>
            <w:rPr>
              <w:rFonts w:ascii="Arial" w:hAnsi="Arial" w:cs="Arial"/>
              <w:color w:val="4F81BD" w:themeColor="accent1"/>
              <w:sz w:val="32"/>
              <w:szCs w:val="32"/>
              <w:lang w:val="en-GB"/>
            </w:rPr>
            <w:alias w:val="Subtitle"/>
            <w:tag w:val=""/>
            <w:id w:val="328029620"/>
            <w:placeholder>
              <w:docPart w:val="38A0013EA3814E869B740F1FFA803C5C"/>
            </w:placeholder>
            <w:dataBinding w:prefixMappings="xmlns:ns0='http://purl.org/dc/elements/1.1/' xmlns:ns1='http://schemas.openxmlformats.org/package/2006/metadata/core-properties' " w:xpath="/ns1:coreProperties[1]/ns0:subject[1]" w:storeItemID="{6C3C8BC8-F283-45AE-878A-BAB7291924A1}"/>
            <w:text/>
          </w:sdtPr>
          <w:sdtEndPr/>
          <w:sdtContent>
            <w:p w14:paraId="537A4582" w14:textId="25A5016E" w:rsidR="00610D81" w:rsidRPr="00CA464A" w:rsidRDefault="00B14DDA">
              <w:pPr>
                <w:pStyle w:val="NoSpacing"/>
                <w:jc w:val="center"/>
                <w:rPr>
                  <w:rFonts w:ascii="Arial" w:hAnsi="Arial" w:cs="Arial"/>
                  <w:color w:val="4F81BD" w:themeColor="accent1"/>
                  <w:sz w:val="28"/>
                  <w:szCs w:val="28"/>
                  <w:lang w:val="en-GB"/>
                </w:rPr>
              </w:pPr>
              <w:r w:rsidRPr="00CA464A">
                <w:rPr>
                  <w:rFonts w:ascii="Arial" w:hAnsi="Arial" w:cs="Arial"/>
                  <w:color w:val="4F81BD" w:themeColor="accent1"/>
                  <w:sz w:val="32"/>
                  <w:szCs w:val="32"/>
                  <w:lang w:val="en-GB"/>
                </w:rPr>
                <w:t>Assignment 1: Hilton Hotel</w:t>
              </w:r>
            </w:p>
          </w:sdtContent>
        </w:sdt>
        <w:p w14:paraId="14C97D72" w14:textId="77777777" w:rsidR="00610D81" w:rsidRPr="00CA464A" w:rsidRDefault="00610D81">
          <w:pPr>
            <w:pStyle w:val="NoSpacing"/>
            <w:spacing w:before="480"/>
            <w:jc w:val="center"/>
            <w:rPr>
              <w:rFonts w:ascii="Arial" w:hAnsi="Arial" w:cs="Arial"/>
              <w:color w:val="4F81BD" w:themeColor="accent1"/>
              <w:lang w:val="en-GB"/>
            </w:rPr>
          </w:pPr>
          <w:r w:rsidRPr="00CA464A">
            <w:rPr>
              <w:rFonts w:ascii="Arial" w:hAnsi="Arial" w:cs="Arial"/>
              <w:noProof/>
              <w:color w:val="4F81BD" w:themeColor="accent1"/>
              <w:lang w:val="en-GB"/>
            </w:rPr>
            <mc:AlternateContent>
              <mc:Choice Requires="wps">
                <w:drawing>
                  <wp:anchor distT="0" distB="0" distL="114300" distR="114300" simplePos="0" relativeHeight="251659264" behindDoc="0" locked="0" layoutInCell="1" allowOverlap="1" wp14:anchorId="06DE4133" wp14:editId="1777F4B5">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01T00:00:00Z">
                                    <w:dateFormat w:val="MMMM d, yyyy"/>
                                    <w:lid w:val="en-US"/>
                                    <w:storeMappedDataAs w:val="dateTime"/>
                                    <w:calendar w:val="gregorian"/>
                                  </w:date>
                                </w:sdtPr>
                                <w:sdtEndPr/>
                                <w:sdtContent>
                                  <w:p w14:paraId="4B07B056" w14:textId="0D78C22C" w:rsidR="00610D81" w:rsidRDefault="00F675A7">
                                    <w:pPr>
                                      <w:pStyle w:val="NoSpacing"/>
                                      <w:spacing w:after="40"/>
                                      <w:jc w:val="center"/>
                                      <w:rPr>
                                        <w:caps/>
                                        <w:color w:val="4F81BD" w:themeColor="accent1"/>
                                        <w:sz w:val="28"/>
                                        <w:szCs w:val="28"/>
                                      </w:rPr>
                                    </w:pPr>
                                    <w:r>
                                      <w:rPr>
                                        <w:caps/>
                                        <w:color w:val="4F81BD" w:themeColor="accent1"/>
                                        <w:sz w:val="28"/>
                                        <w:szCs w:val="28"/>
                                        <w:lang w:val="en-US"/>
                                      </w:rPr>
                                      <w:t>June 1, 2022</w:t>
                                    </w:r>
                                  </w:p>
                                </w:sdtContent>
                              </w:sdt>
                              <w:p w14:paraId="0104B10E" w14:textId="621FD046" w:rsidR="00610D81" w:rsidRDefault="000537FE">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10D81" w:rsidRPr="007323DD">
                                      <w:rPr>
                                        <w:caps/>
                                        <w:color w:val="4F81BD" w:themeColor="accent1"/>
                                      </w:rPr>
                                      <w:t>UNIVERSITY OF WALES TRINITY SAINT DAVID</w:t>
                                    </w:r>
                                  </w:sdtContent>
                                </w:sdt>
                              </w:p>
                              <w:p w14:paraId="2C092973" w14:textId="00DDA1F6" w:rsidR="00610D81" w:rsidRDefault="000537FE" w:rsidP="00610D81">
                                <w:pPr>
                                  <w:pStyle w:val="NoSpacing"/>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10D81">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6DE413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01T00:00:00Z">
                              <w:dateFormat w:val="MMMM d, yyyy"/>
                              <w:lid w:val="en-US"/>
                              <w:storeMappedDataAs w:val="dateTime"/>
                              <w:calendar w:val="gregorian"/>
                            </w:date>
                          </w:sdtPr>
                          <w:sdtEndPr/>
                          <w:sdtContent>
                            <w:p w14:paraId="4B07B056" w14:textId="0D78C22C" w:rsidR="00610D81" w:rsidRDefault="00F675A7">
                              <w:pPr>
                                <w:pStyle w:val="NoSpacing"/>
                                <w:spacing w:after="40"/>
                                <w:jc w:val="center"/>
                                <w:rPr>
                                  <w:caps/>
                                  <w:color w:val="4F81BD" w:themeColor="accent1"/>
                                  <w:sz w:val="28"/>
                                  <w:szCs w:val="28"/>
                                </w:rPr>
                              </w:pPr>
                              <w:r>
                                <w:rPr>
                                  <w:caps/>
                                  <w:color w:val="4F81BD" w:themeColor="accent1"/>
                                  <w:sz w:val="28"/>
                                  <w:szCs w:val="28"/>
                                  <w:lang w:val="en-US"/>
                                </w:rPr>
                                <w:t>June 1, 2022</w:t>
                              </w:r>
                            </w:p>
                          </w:sdtContent>
                        </w:sdt>
                        <w:p w14:paraId="0104B10E" w14:textId="621FD046" w:rsidR="00610D81" w:rsidRDefault="000537FE">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10D81" w:rsidRPr="007323DD">
                                <w:rPr>
                                  <w:caps/>
                                  <w:color w:val="4F81BD" w:themeColor="accent1"/>
                                </w:rPr>
                                <w:t>UNIVERSITY OF WALES TRINITY SAINT DAVID</w:t>
                              </w:r>
                            </w:sdtContent>
                          </w:sdt>
                        </w:p>
                        <w:p w14:paraId="2C092973" w14:textId="00DDA1F6" w:rsidR="00610D81" w:rsidRDefault="000537FE" w:rsidP="00610D81">
                          <w:pPr>
                            <w:pStyle w:val="NoSpacing"/>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10D81">
                                <w:rPr>
                                  <w:color w:val="4F81BD" w:themeColor="accent1"/>
                                </w:rPr>
                                <w:t xml:space="preserve">     </w:t>
                              </w:r>
                            </w:sdtContent>
                          </w:sdt>
                        </w:p>
                      </w:txbxContent>
                    </v:textbox>
                    <w10:wrap anchorx="margin" anchory="page"/>
                  </v:shape>
                </w:pict>
              </mc:Fallback>
            </mc:AlternateContent>
          </w:r>
          <w:r w:rsidRPr="00CA464A">
            <w:rPr>
              <w:rFonts w:ascii="Arial" w:hAnsi="Arial" w:cs="Arial"/>
              <w:noProof/>
              <w:color w:val="4F81BD" w:themeColor="accent1"/>
              <w:lang w:val="en-GB"/>
            </w:rPr>
            <w:drawing>
              <wp:inline distT="0" distB="0" distL="0" distR="0" wp14:anchorId="6FF3798D" wp14:editId="6A8B001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EBB7AD7" w14:textId="5CB6A99F" w:rsidR="00610D81" w:rsidRPr="00CA464A" w:rsidRDefault="00610D81">
          <w:pPr>
            <w:rPr>
              <w:rFonts w:ascii="Arial" w:hAnsi="Arial" w:cs="Arial"/>
              <w:sz w:val="24"/>
              <w:szCs w:val="24"/>
              <w:lang w:val="en-GB"/>
            </w:rPr>
          </w:pPr>
          <w:r w:rsidRPr="00CA464A">
            <w:rPr>
              <w:rFonts w:ascii="Arial" w:hAnsi="Arial" w:cs="Arial"/>
              <w:sz w:val="24"/>
              <w:szCs w:val="24"/>
              <w:lang w:val="en-GB"/>
            </w:rPr>
            <w:br w:type="page"/>
          </w:r>
        </w:p>
      </w:sdtContent>
    </w:sdt>
    <w:p w14:paraId="00000001" w14:textId="15385FAF" w:rsidR="00DF4E62" w:rsidRPr="00CA464A" w:rsidRDefault="00117CC9" w:rsidP="007A280F">
      <w:pPr>
        <w:pStyle w:val="Heading1"/>
        <w:spacing w:line="360" w:lineRule="auto"/>
        <w:rPr>
          <w:rFonts w:ascii="Arial" w:hAnsi="Arial" w:cs="Arial"/>
          <w:lang w:val="en-GB"/>
        </w:rPr>
      </w:pPr>
      <w:bookmarkStart w:id="0" w:name="_Toc104840608"/>
      <w:r w:rsidRPr="00CA464A">
        <w:rPr>
          <w:rFonts w:ascii="Arial" w:hAnsi="Arial" w:cs="Arial"/>
          <w:lang w:val="en-GB"/>
        </w:rPr>
        <w:lastRenderedPageBreak/>
        <w:t xml:space="preserve">Executive </w:t>
      </w:r>
      <w:r w:rsidR="007A280F" w:rsidRPr="00CA464A">
        <w:rPr>
          <w:rFonts w:ascii="Arial" w:hAnsi="Arial" w:cs="Arial"/>
          <w:lang w:val="en-GB"/>
        </w:rPr>
        <w:t>Summary</w:t>
      </w:r>
      <w:bookmarkEnd w:id="0"/>
    </w:p>
    <w:p w14:paraId="00000002" w14:textId="473999E6"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 xml:space="preserve">Financial management is crucial in some company settings. It assists the organization in keeping track of its financial assets and liabilities </w:t>
      </w:r>
      <w:r w:rsidR="00CA464A">
        <w:rPr>
          <w:rFonts w:ascii="Arial" w:hAnsi="Arial" w:cs="Arial"/>
          <w:sz w:val="24"/>
          <w:szCs w:val="24"/>
          <w:lang w:val="en-GB"/>
        </w:rPr>
        <w:t>efficiently</w:t>
      </w:r>
      <w:r w:rsidRPr="00CA464A">
        <w:rPr>
          <w:rFonts w:ascii="Arial" w:hAnsi="Arial" w:cs="Arial"/>
          <w:sz w:val="24"/>
          <w:szCs w:val="24"/>
          <w:lang w:val="en-GB"/>
        </w:rPr>
        <w:t xml:space="preserve">. Whether to use internal resources or borrow from other organizations, managing and preparing such financial obligations is crucial. According to the research, the hotel industry is one of the most competitive in the world. As a result, a complete understanding of the sector necessitates the use of effective ratio analysis. It's also worth noting that the hotel business is in decline. To properly </w:t>
      </w:r>
      <w:proofErr w:type="spellStart"/>
      <w:r w:rsidRPr="00CA464A">
        <w:rPr>
          <w:rFonts w:ascii="Arial" w:hAnsi="Arial" w:cs="Arial"/>
          <w:sz w:val="24"/>
          <w:szCs w:val="24"/>
          <w:lang w:val="en-GB"/>
        </w:rPr>
        <w:t>analyze</w:t>
      </w:r>
      <w:proofErr w:type="spellEnd"/>
      <w:r w:rsidRPr="00CA464A">
        <w:rPr>
          <w:rFonts w:ascii="Arial" w:hAnsi="Arial" w:cs="Arial"/>
          <w:sz w:val="24"/>
          <w:szCs w:val="24"/>
          <w:lang w:val="en-GB"/>
        </w:rPr>
        <w:t xml:space="preserve"> Hilton Hotel's business performance, you must understand short-term liability, long-term debt, net profit ratio, and gross profit margin. Simultaneously, ratio analysis was useful in gaining a foreign perspective on why the gross profit margin in the hospitality industry is larger while also highlighting the hospitality sector's low net profit ratio.</w:t>
      </w:r>
    </w:p>
    <w:p w14:paraId="46BC1D5A" w14:textId="77777777" w:rsidR="007A280F" w:rsidRPr="00CA464A" w:rsidRDefault="007A280F" w:rsidP="007A280F">
      <w:pPr>
        <w:pStyle w:val="Heading1"/>
        <w:spacing w:line="360" w:lineRule="auto"/>
        <w:rPr>
          <w:rFonts w:ascii="Arial" w:hAnsi="Arial" w:cs="Arial"/>
          <w:lang w:val="en-GB"/>
        </w:rPr>
      </w:pPr>
      <w:r w:rsidRPr="00CA464A">
        <w:rPr>
          <w:rFonts w:ascii="Arial" w:hAnsi="Arial" w:cs="Arial"/>
          <w:lang w:val="en-GB"/>
        </w:rPr>
        <w:br w:type="page"/>
      </w:r>
    </w:p>
    <w:sdt>
      <w:sdtPr>
        <w:rPr>
          <w:rFonts w:ascii="Arial" w:eastAsiaTheme="minorEastAsia" w:hAnsi="Arial" w:cs="Arial"/>
          <w:color w:val="auto"/>
          <w:sz w:val="22"/>
          <w:szCs w:val="22"/>
          <w:lang w:val="en-GB"/>
        </w:rPr>
        <w:id w:val="1317300919"/>
        <w:docPartObj>
          <w:docPartGallery w:val="Table of Contents"/>
          <w:docPartUnique/>
        </w:docPartObj>
      </w:sdtPr>
      <w:sdtEndPr>
        <w:rPr>
          <w:b/>
          <w:bCs/>
          <w:noProof/>
        </w:rPr>
      </w:sdtEndPr>
      <w:sdtContent>
        <w:p w14:paraId="74695612" w14:textId="0035B3E0" w:rsidR="007A280F" w:rsidRPr="00CA464A" w:rsidRDefault="007A280F" w:rsidP="00B14DDA">
          <w:pPr>
            <w:pStyle w:val="TOCHeading"/>
            <w:jc w:val="center"/>
            <w:rPr>
              <w:rFonts w:ascii="Arial" w:hAnsi="Arial" w:cs="Arial"/>
              <w:lang w:val="en-GB"/>
            </w:rPr>
          </w:pPr>
          <w:r w:rsidRPr="00CA464A">
            <w:rPr>
              <w:rFonts w:ascii="Arial" w:hAnsi="Arial" w:cs="Arial"/>
              <w:lang w:val="en-GB"/>
            </w:rPr>
            <w:t>Table of Contents</w:t>
          </w:r>
        </w:p>
        <w:p w14:paraId="27B520A8" w14:textId="1A9407F1" w:rsidR="00F675A7" w:rsidRDefault="007A280F">
          <w:pPr>
            <w:pStyle w:val="TOC1"/>
            <w:tabs>
              <w:tab w:val="right" w:leader="dot" w:pos="9350"/>
            </w:tabs>
            <w:rPr>
              <w:noProof/>
              <w:lang w:val="en-GB" w:eastAsia="en-GB"/>
            </w:rPr>
          </w:pPr>
          <w:r w:rsidRPr="00CA464A">
            <w:rPr>
              <w:rFonts w:ascii="Arial" w:hAnsi="Arial" w:cs="Arial"/>
              <w:sz w:val="24"/>
              <w:szCs w:val="24"/>
              <w:lang w:val="en-GB"/>
            </w:rPr>
            <w:fldChar w:fldCharType="begin"/>
          </w:r>
          <w:r w:rsidRPr="00CA464A">
            <w:rPr>
              <w:rFonts w:ascii="Arial" w:hAnsi="Arial" w:cs="Arial"/>
              <w:sz w:val="24"/>
              <w:szCs w:val="24"/>
              <w:lang w:val="en-GB"/>
            </w:rPr>
            <w:instrText xml:space="preserve"> TOC \o "1-3" \h \z \u </w:instrText>
          </w:r>
          <w:r w:rsidRPr="00CA464A">
            <w:rPr>
              <w:rFonts w:ascii="Arial" w:hAnsi="Arial" w:cs="Arial"/>
              <w:sz w:val="24"/>
              <w:szCs w:val="24"/>
              <w:lang w:val="en-GB"/>
            </w:rPr>
            <w:fldChar w:fldCharType="separate"/>
          </w:r>
          <w:hyperlink w:anchor="_Toc104840608" w:history="1">
            <w:r w:rsidR="00F675A7" w:rsidRPr="00961B4D">
              <w:rPr>
                <w:rStyle w:val="Hyperlink"/>
                <w:rFonts w:ascii="Arial" w:hAnsi="Arial" w:cs="Arial"/>
                <w:noProof/>
                <w:lang w:val="en-GB"/>
              </w:rPr>
              <w:t>Executive Summary</w:t>
            </w:r>
            <w:r w:rsidR="00F675A7">
              <w:rPr>
                <w:noProof/>
                <w:webHidden/>
              </w:rPr>
              <w:tab/>
            </w:r>
            <w:r w:rsidR="00F675A7">
              <w:rPr>
                <w:noProof/>
                <w:webHidden/>
              </w:rPr>
              <w:fldChar w:fldCharType="begin"/>
            </w:r>
            <w:r w:rsidR="00F675A7">
              <w:rPr>
                <w:noProof/>
                <w:webHidden/>
              </w:rPr>
              <w:instrText xml:space="preserve"> PAGEREF _Toc104840608 \h </w:instrText>
            </w:r>
            <w:r w:rsidR="00F675A7">
              <w:rPr>
                <w:noProof/>
                <w:webHidden/>
              </w:rPr>
            </w:r>
            <w:r w:rsidR="00F675A7">
              <w:rPr>
                <w:noProof/>
                <w:webHidden/>
              </w:rPr>
              <w:fldChar w:fldCharType="separate"/>
            </w:r>
            <w:r w:rsidR="00F675A7">
              <w:rPr>
                <w:noProof/>
                <w:webHidden/>
              </w:rPr>
              <w:t>1</w:t>
            </w:r>
            <w:r w:rsidR="00F675A7">
              <w:rPr>
                <w:noProof/>
                <w:webHidden/>
              </w:rPr>
              <w:fldChar w:fldCharType="end"/>
            </w:r>
          </w:hyperlink>
        </w:p>
        <w:p w14:paraId="6AB29569" w14:textId="604B4A87" w:rsidR="00F675A7" w:rsidRDefault="00F675A7">
          <w:pPr>
            <w:pStyle w:val="TOC1"/>
            <w:tabs>
              <w:tab w:val="right" w:leader="dot" w:pos="9350"/>
            </w:tabs>
            <w:rPr>
              <w:noProof/>
              <w:lang w:val="en-GB" w:eastAsia="en-GB"/>
            </w:rPr>
          </w:pPr>
          <w:hyperlink w:anchor="_Toc104840609" w:history="1">
            <w:r w:rsidRPr="00961B4D">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_Toc104840609 \h </w:instrText>
            </w:r>
            <w:r>
              <w:rPr>
                <w:noProof/>
                <w:webHidden/>
              </w:rPr>
            </w:r>
            <w:r>
              <w:rPr>
                <w:noProof/>
                <w:webHidden/>
              </w:rPr>
              <w:fldChar w:fldCharType="separate"/>
            </w:r>
            <w:r>
              <w:rPr>
                <w:noProof/>
                <w:webHidden/>
              </w:rPr>
              <w:t>3</w:t>
            </w:r>
            <w:r>
              <w:rPr>
                <w:noProof/>
                <w:webHidden/>
              </w:rPr>
              <w:fldChar w:fldCharType="end"/>
            </w:r>
          </w:hyperlink>
        </w:p>
        <w:p w14:paraId="601AC8D1" w14:textId="551ECEAB" w:rsidR="00F675A7" w:rsidRDefault="00F675A7">
          <w:pPr>
            <w:pStyle w:val="TOC1"/>
            <w:tabs>
              <w:tab w:val="right" w:leader="dot" w:pos="9350"/>
            </w:tabs>
            <w:rPr>
              <w:noProof/>
              <w:lang w:val="en-GB" w:eastAsia="en-GB"/>
            </w:rPr>
          </w:pPr>
          <w:hyperlink w:anchor="_Toc104840610" w:history="1">
            <w:r w:rsidRPr="00961B4D">
              <w:rPr>
                <w:rStyle w:val="Hyperlink"/>
                <w:rFonts w:ascii="Arial" w:hAnsi="Arial" w:cs="Arial"/>
                <w:noProof/>
                <w:lang w:val="en-GB"/>
              </w:rPr>
              <w:t>Financial Analysis</w:t>
            </w:r>
            <w:r>
              <w:rPr>
                <w:noProof/>
                <w:webHidden/>
              </w:rPr>
              <w:tab/>
            </w:r>
            <w:r>
              <w:rPr>
                <w:noProof/>
                <w:webHidden/>
              </w:rPr>
              <w:fldChar w:fldCharType="begin"/>
            </w:r>
            <w:r>
              <w:rPr>
                <w:noProof/>
                <w:webHidden/>
              </w:rPr>
              <w:instrText xml:space="preserve"> PAGEREF _Toc104840610 \h </w:instrText>
            </w:r>
            <w:r>
              <w:rPr>
                <w:noProof/>
                <w:webHidden/>
              </w:rPr>
            </w:r>
            <w:r>
              <w:rPr>
                <w:noProof/>
                <w:webHidden/>
              </w:rPr>
              <w:fldChar w:fldCharType="separate"/>
            </w:r>
            <w:r>
              <w:rPr>
                <w:noProof/>
                <w:webHidden/>
              </w:rPr>
              <w:t>3</w:t>
            </w:r>
            <w:r>
              <w:rPr>
                <w:noProof/>
                <w:webHidden/>
              </w:rPr>
              <w:fldChar w:fldCharType="end"/>
            </w:r>
          </w:hyperlink>
        </w:p>
        <w:p w14:paraId="7E96D470" w14:textId="46C7E213" w:rsidR="00F675A7" w:rsidRDefault="00F675A7">
          <w:pPr>
            <w:pStyle w:val="TOC1"/>
            <w:tabs>
              <w:tab w:val="right" w:leader="dot" w:pos="9350"/>
            </w:tabs>
            <w:rPr>
              <w:noProof/>
              <w:lang w:val="en-GB" w:eastAsia="en-GB"/>
            </w:rPr>
          </w:pPr>
          <w:hyperlink w:anchor="_Toc104840611" w:history="1">
            <w:r w:rsidRPr="00961B4D">
              <w:rPr>
                <w:rStyle w:val="Hyperlink"/>
                <w:rFonts w:ascii="Arial" w:hAnsi="Arial" w:cs="Arial"/>
                <w:noProof/>
                <w:lang w:val="en-GB"/>
              </w:rPr>
              <w:t>Financial Ratio Analysis Trends</w:t>
            </w:r>
            <w:r>
              <w:rPr>
                <w:noProof/>
                <w:webHidden/>
              </w:rPr>
              <w:tab/>
            </w:r>
            <w:r>
              <w:rPr>
                <w:noProof/>
                <w:webHidden/>
              </w:rPr>
              <w:fldChar w:fldCharType="begin"/>
            </w:r>
            <w:r>
              <w:rPr>
                <w:noProof/>
                <w:webHidden/>
              </w:rPr>
              <w:instrText xml:space="preserve"> PAGEREF _Toc104840611 \h </w:instrText>
            </w:r>
            <w:r>
              <w:rPr>
                <w:noProof/>
                <w:webHidden/>
              </w:rPr>
            </w:r>
            <w:r>
              <w:rPr>
                <w:noProof/>
                <w:webHidden/>
              </w:rPr>
              <w:fldChar w:fldCharType="separate"/>
            </w:r>
            <w:r>
              <w:rPr>
                <w:noProof/>
                <w:webHidden/>
              </w:rPr>
              <w:t>4</w:t>
            </w:r>
            <w:r>
              <w:rPr>
                <w:noProof/>
                <w:webHidden/>
              </w:rPr>
              <w:fldChar w:fldCharType="end"/>
            </w:r>
          </w:hyperlink>
        </w:p>
        <w:p w14:paraId="7B60B6B5" w14:textId="2727A66B" w:rsidR="00F675A7" w:rsidRDefault="00F675A7">
          <w:pPr>
            <w:pStyle w:val="TOC2"/>
            <w:tabs>
              <w:tab w:val="right" w:leader="dot" w:pos="9350"/>
            </w:tabs>
            <w:rPr>
              <w:noProof/>
              <w:lang w:val="en-GB" w:eastAsia="en-GB"/>
            </w:rPr>
          </w:pPr>
          <w:hyperlink w:anchor="_Toc104840612" w:history="1">
            <w:r w:rsidRPr="00961B4D">
              <w:rPr>
                <w:rStyle w:val="Hyperlink"/>
                <w:rFonts w:ascii="Arial" w:hAnsi="Arial" w:cs="Arial"/>
                <w:noProof/>
                <w:lang w:val="en-GB"/>
              </w:rPr>
              <w:t>a) Calculation Of the Financial Ratios For 2019 And 2020</w:t>
            </w:r>
            <w:r>
              <w:rPr>
                <w:noProof/>
                <w:webHidden/>
              </w:rPr>
              <w:tab/>
            </w:r>
            <w:r>
              <w:rPr>
                <w:noProof/>
                <w:webHidden/>
              </w:rPr>
              <w:fldChar w:fldCharType="begin"/>
            </w:r>
            <w:r>
              <w:rPr>
                <w:noProof/>
                <w:webHidden/>
              </w:rPr>
              <w:instrText xml:space="preserve"> PAGEREF _Toc104840612 \h </w:instrText>
            </w:r>
            <w:r>
              <w:rPr>
                <w:noProof/>
                <w:webHidden/>
              </w:rPr>
            </w:r>
            <w:r>
              <w:rPr>
                <w:noProof/>
                <w:webHidden/>
              </w:rPr>
              <w:fldChar w:fldCharType="separate"/>
            </w:r>
            <w:r>
              <w:rPr>
                <w:noProof/>
                <w:webHidden/>
              </w:rPr>
              <w:t>4</w:t>
            </w:r>
            <w:r>
              <w:rPr>
                <w:noProof/>
                <w:webHidden/>
              </w:rPr>
              <w:fldChar w:fldCharType="end"/>
            </w:r>
          </w:hyperlink>
        </w:p>
        <w:p w14:paraId="484E3EDB" w14:textId="00F1963A" w:rsidR="00F675A7" w:rsidRDefault="00F675A7">
          <w:pPr>
            <w:pStyle w:val="TOC2"/>
            <w:tabs>
              <w:tab w:val="right" w:leader="dot" w:pos="9350"/>
            </w:tabs>
            <w:rPr>
              <w:noProof/>
              <w:lang w:val="en-GB" w:eastAsia="en-GB"/>
            </w:rPr>
          </w:pPr>
          <w:hyperlink w:anchor="_Toc104840613" w:history="1">
            <w:r w:rsidRPr="00961B4D">
              <w:rPr>
                <w:rStyle w:val="Hyperlink"/>
                <w:rFonts w:ascii="Arial" w:hAnsi="Arial" w:cs="Arial"/>
                <w:noProof/>
                <w:lang w:val="en-GB"/>
              </w:rPr>
              <w:t>b) Importance Of Using Ratio Analysis for Decision Making</w:t>
            </w:r>
            <w:r>
              <w:rPr>
                <w:noProof/>
                <w:webHidden/>
              </w:rPr>
              <w:tab/>
            </w:r>
            <w:r>
              <w:rPr>
                <w:noProof/>
                <w:webHidden/>
              </w:rPr>
              <w:fldChar w:fldCharType="begin"/>
            </w:r>
            <w:r>
              <w:rPr>
                <w:noProof/>
                <w:webHidden/>
              </w:rPr>
              <w:instrText xml:space="preserve"> PAGEREF _Toc104840613 \h </w:instrText>
            </w:r>
            <w:r>
              <w:rPr>
                <w:noProof/>
                <w:webHidden/>
              </w:rPr>
            </w:r>
            <w:r>
              <w:rPr>
                <w:noProof/>
                <w:webHidden/>
              </w:rPr>
              <w:fldChar w:fldCharType="separate"/>
            </w:r>
            <w:r>
              <w:rPr>
                <w:noProof/>
                <w:webHidden/>
              </w:rPr>
              <w:t>7</w:t>
            </w:r>
            <w:r>
              <w:rPr>
                <w:noProof/>
                <w:webHidden/>
              </w:rPr>
              <w:fldChar w:fldCharType="end"/>
            </w:r>
          </w:hyperlink>
        </w:p>
        <w:p w14:paraId="7CCE3032" w14:textId="7D9819D6" w:rsidR="00F675A7" w:rsidRDefault="00F675A7">
          <w:pPr>
            <w:pStyle w:val="TOC2"/>
            <w:tabs>
              <w:tab w:val="right" w:leader="dot" w:pos="9350"/>
            </w:tabs>
            <w:rPr>
              <w:noProof/>
              <w:lang w:val="en-GB" w:eastAsia="en-GB"/>
            </w:rPr>
          </w:pPr>
          <w:hyperlink w:anchor="_Toc104840614" w:history="1">
            <w:r w:rsidRPr="00961B4D">
              <w:rPr>
                <w:rStyle w:val="Hyperlink"/>
                <w:rFonts w:ascii="Arial" w:hAnsi="Arial" w:cs="Arial"/>
                <w:noProof/>
                <w:lang w:val="en-GB"/>
              </w:rPr>
              <w:t>c) Benefits And Limitations of Ratio Analysis</w:t>
            </w:r>
            <w:r>
              <w:rPr>
                <w:noProof/>
                <w:webHidden/>
              </w:rPr>
              <w:tab/>
            </w:r>
            <w:r>
              <w:rPr>
                <w:noProof/>
                <w:webHidden/>
              </w:rPr>
              <w:fldChar w:fldCharType="begin"/>
            </w:r>
            <w:r>
              <w:rPr>
                <w:noProof/>
                <w:webHidden/>
              </w:rPr>
              <w:instrText xml:space="preserve"> PAGEREF _Toc104840614 \h </w:instrText>
            </w:r>
            <w:r>
              <w:rPr>
                <w:noProof/>
                <w:webHidden/>
              </w:rPr>
            </w:r>
            <w:r>
              <w:rPr>
                <w:noProof/>
                <w:webHidden/>
              </w:rPr>
              <w:fldChar w:fldCharType="separate"/>
            </w:r>
            <w:r>
              <w:rPr>
                <w:noProof/>
                <w:webHidden/>
              </w:rPr>
              <w:t>9</w:t>
            </w:r>
            <w:r>
              <w:rPr>
                <w:noProof/>
                <w:webHidden/>
              </w:rPr>
              <w:fldChar w:fldCharType="end"/>
            </w:r>
          </w:hyperlink>
        </w:p>
        <w:p w14:paraId="0D1BE9CD" w14:textId="304C5B1D" w:rsidR="00F675A7" w:rsidRDefault="00F675A7">
          <w:pPr>
            <w:pStyle w:val="TOC1"/>
            <w:tabs>
              <w:tab w:val="right" w:leader="dot" w:pos="9350"/>
            </w:tabs>
            <w:rPr>
              <w:noProof/>
              <w:lang w:val="en-GB" w:eastAsia="en-GB"/>
            </w:rPr>
          </w:pPr>
          <w:hyperlink w:anchor="_Toc104840615" w:history="1">
            <w:r w:rsidRPr="00961B4D">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_Toc104840615 \h </w:instrText>
            </w:r>
            <w:r>
              <w:rPr>
                <w:noProof/>
                <w:webHidden/>
              </w:rPr>
            </w:r>
            <w:r>
              <w:rPr>
                <w:noProof/>
                <w:webHidden/>
              </w:rPr>
              <w:fldChar w:fldCharType="separate"/>
            </w:r>
            <w:r>
              <w:rPr>
                <w:noProof/>
                <w:webHidden/>
              </w:rPr>
              <w:t>10</w:t>
            </w:r>
            <w:r>
              <w:rPr>
                <w:noProof/>
                <w:webHidden/>
              </w:rPr>
              <w:fldChar w:fldCharType="end"/>
            </w:r>
          </w:hyperlink>
        </w:p>
        <w:p w14:paraId="02E505DD" w14:textId="0B008B25" w:rsidR="00F675A7" w:rsidRDefault="00F675A7">
          <w:pPr>
            <w:pStyle w:val="TOC1"/>
            <w:tabs>
              <w:tab w:val="right" w:leader="dot" w:pos="9350"/>
            </w:tabs>
            <w:rPr>
              <w:noProof/>
              <w:lang w:val="en-GB" w:eastAsia="en-GB"/>
            </w:rPr>
          </w:pPr>
          <w:hyperlink w:anchor="_Toc104840616" w:history="1">
            <w:r w:rsidRPr="00961B4D">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_Toc104840616 \h </w:instrText>
            </w:r>
            <w:r>
              <w:rPr>
                <w:noProof/>
                <w:webHidden/>
              </w:rPr>
            </w:r>
            <w:r>
              <w:rPr>
                <w:noProof/>
                <w:webHidden/>
              </w:rPr>
              <w:fldChar w:fldCharType="separate"/>
            </w:r>
            <w:r>
              <w:rPr>
                <w:noProof/>
                <w:webHidden/>
              </w:rPr>
              <w:t>12</w:t>
            </w:r>
            <w:r>
              <w:rPr>
                <w:noProof/>
                <w:webHidden/>
              </w:rPr>
              <w:fldChar w:fldCharType="end"/>
            </w:r>
          </w:hyperlink>
        </w:p>
        <w:p w14:paraId="0817DCF7" w14:textId="271E9F17" w:rsidR="007A280F" w:rsidRPr="00CA464A" w:rsidRDefault="007A280F" w:rsidP="00B14DDA">
          <w:pPr>
            <w:spacing w:line="360" w:lineRule="auto"/>
            <w:jc w:val="both"/>
            <w:rPr>
              <w:rFonts w:ascii="Arial" w:hAnsi="Arial" w:cs="Arial"/>
              <w:lang w:val="en-GB"/>
            </w:rPr>
          </w:pPr>
          <w:r w:rsidRPr="00CA464A">
            <w:rPr>
              <w:rFonts w:ascii="Arial" w:hAnsi="Arial" w:cs="Arial"/>
              <w:b/>
              <w:bCs/>
              <w:noProof/>
              <w:sz w:val="24"/>
              <w:szCs w:val="24"/>
              <w:lang w:val="en-GB"/>
            </w:rPr>
            <w:fldChar w:fldCharType="end"/>
          </w:r>
        </w:p>
      </w:sdtContent>
    </w:sdt>
    <w:p w14:paraId="2CF21E18" w14:textId="77777777" w:rsidR="007A280F" w:rsidRPr="00CA464A" w:rsidRDefault="007A280F" w:rsidP="007A280F">
      <w:pPr>
        <w:pStyle w:val="Heading1"/>
        <w:spacing w:line="360" w:lineRule="auto"/>
        <w:rPr>
          <w:rFonts w:ascii="Arial" w:hAnsi="Arial" w:cs="Arial"/>
          <w:lang w:val="en-GB"/>
        </w:rPr>
      </w:pPr>
      <w:r w:rsidRPr="00CA464A">
        <w:rPr>
          <w:rFonts w:ascii="Arial" w:hAnsi="Arial" w:cs="Arial"/>
          <w:lang w:val="en-GB"/>
        </w:rPr>
        <w:br w:type="page"/>
      </w:r>
    </w:p>
    <w:p w14:paraId="00000003" w14:textId="253CEA38" w:rsidR="00DF4E62" w:rsidRPr="00CA464A" w:rsidRDefault="00117CC9" w:rsidP="007A280F">
      <w:pPr>
        <w:pStyle w:val="Heading1"/>
        <w:spacing w:line="360" w:lineRule="auto"/>
        <w:rPr>
          <w:rFonts w:ascii="Arial" w:hAnsi="Arial" w:cs="Arial"/>
          <w:lang w:val="en-GB"/>
        </w:rPr>
      </w:pPr>
      <w:bookmarkStart w:id="1" w:name="_Toc104840609"/>
      <w:r w:rsidRPr="00CA464A">
        <w:rPr>
          <w:rFonts w:ascii="Arial" w:hAnsi="Arial" w:cs="Arial"/>
          <w:lang w:val="en-GB"/>
        </w:rPr>
        <w:lastRenderedPageBreak/>
        <w:t>Introduction</w:t>
      </w:r>
      <w:bookmarkEnd w:id="1"/>
    </w:p>
    <w:p w14:paraId="00000004" w14:textId="676F2345"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 xml:space="preserve">Financial statements are significantly more persuasive to stakeholders. There are different methods to </w:t>
      </w:r>
      <w:proofErr w:type="spellStart"/>
      <w:r w:rsidRPr="00CA464A">
        <w:rPr>
          <w:rFonts w:ascii="Arial" w:hAnsi="Arial" w:cs="Arial"/>
          <w:sz w:val="24"/>
          <w:szCs w:val="24"/>
          <w:lang w:val="en-GB"/>
        </w:rPr>
        <w:t>analyze</w:t>
      </w:r>
      <w:proofErr w:type="spellEnd"/>
      <w:r w:rsidRPr="00CA464A">
        <w:rPr>
          <w:rFonts w:ascii="Arial" w:hAnsi="Arial" w:cs="Arial"/>
          <w:sz w:val="24"/>
          <w:szCs w:val="24"/>
          <w:lang w:val="en-GB"/>
        </w:rPr>
        <w:t xml:space="preserve"> the ratio which will be used to examine the financial statements (Brigham, 2019). The most prevalent methodological approach is proportion assessment. Hilton Hotel is a hospitality company based in the United Kingdom. The company's present activities have taken a negative turn. As a result, its financial success is included in the analysis, and it is done </w:t>
      </w:r>
      <w:r w:rsidR="00CA464A">
        <w:rPr>
          <w:rFonts w:ascii="Arial" w:hAnsi="Arial" w:cs="Arial"/>
          <w:sz w:val="24"/>
          <w:szCs w:val="24"/>
          <w:lang w:val="en-GB"/>
        </w:rPr>
        <w:t>effectively and efficiently</w:t>
      </w:r>
      <w:r w:rsidRPr="00CA464A">
        <w:rPr>
          <w:rFonts w:ascii="Arial" w:hAnsi="Arial" w:cs="Arial"/>
          <w:sz w:val="24"/>
          <w:szCs w:val="24"/>
          <w:lang w:val="en-GB"/>
        </w:rPr>
        <w:t xml:space="preserve">. However, in this report, the financial analysis, the financial ratio analysis, the importance of ratio analysis, benefits and limitations of ratios are given. </w:t>
      </w:r>
    </w:p>
    <w:p w14:paraId="00000005" w14:textId="46EE35CF" w:rsidR="00DF4E62" w:rsidRPr="00CA464A" w:rsidRDefault="00117CC9" w:rsidP="007A280F">
      <w:pPr>
        <w:pStyle w:val="Heading1"/>
        <w:spacing w:line="360" w:lineRule="auto"/>
        <w:rPr>
          <w:rFonts w:ascii="Arial" w:hAnsi="Arial" w:cs="Arial"/>
          <w:lang w:val="en-GB"/>
        </w:rPr>
      </w:pPr>
      <w:bookmarkStart w:id="2" w:name="_Toc104840610"/>
      <w:r w:rsidRPr="00CA464A">
        <w:rPr>
          <w:rFonts w:ascii="Arial" w:hAnsi="Arial" w:cs="Arial"/>
          <w:lang w:val="en-GB"/>
        </w:rPr>
        <w:t>Financial Analysis</w:t>
      </w:r>
      <w:bookmarkEnd w:id="2"/>
    </w:p>
    <w:p w14:paraId="03363EB7" w14:textId="4F8784FA" w:rsidR="00B35BC1" w:rsidRPr="00CA464A" w:rsidRDefault="00B35BC1" w:rsidP="003C5B1E">
      <w:pPr>
        <w:spacing w:line="360" w:lineRule="auto"/>
        <w:jc w:val="center"/>
        <w:rPr>
          <w:rFonts w:ascii="Arial" w:hAnsi="Arial" w:cs="Arial"/>
          <w:noProof/>
          <w:lang w:val="en-GB"/>
        </w:rPr>
      </w:pPr>
      <w:r w:rsidRPr="00CA464A">
        <w:rPr>
          <w:rFonts w:ascii="Arial" w:hAnsi="Arial" w:cs="Arial"/>
          <w:noProof/>
          <w:lang w:val="en-GB"/>
        </w:rPr>
        <w:drawing>
          <wp:inline distT="0" distB="0" distL="0" distR="0" wp14:anchorId="1D053A06" wp14:editId="6C8FAB6E">
            <wp:extent cx="4381500" cy="25927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604" t="33923" r="60482" b="26169"/>
                    <a:stretch/>
                  </pic:blipFill>
                  <pic:spPr bwMode="auto">
                    <a:xfrm>
                      <a:off x="0" y="0"/>
                      <a:ext cx="4391462" cy="2598600"/>
                    </a:xfrm>
                    <a:prstGeom prst="rect">
                      <a:avLst/>
                    </a:prstGeom>
                    <a:ln>
                      <a:noFill/>
                    </a:ln>
                    <a:extLst>
                      <a:ext uri="{53640926-AAD7-44D8-BBD7-CCE9431645EC}">
                        <a14:shadowObscured xmlns:a14="http://schemas.microsoft.com/office/drawing/2010/main"/>
                      </a:ext>
                    </a:extLst>
                  </pic:spPr>
                </pic:pic>
              </a:graphicData>
            </a:graphic>
          </wp:inline>
        </w:drawing>
      </w:r>
    </w:p>
    <w:p w14:paraId="00000006" w14:textId="17E21414" w:rsidR="00DF4E62" w:rsidRPr="00CA464A" w:rsidRDefault="00117CC9" w:rsidP="007A280F">
      <w:pPr>
        <w:spacing w:line="360" w:lineRule="auto"/>
        <w:jc w:val="both"/>
        <w:rPr>
          <w:rFonts w:ascii="Arial" w:hAnsi="Arial" w:cs="Arial"/>
          <w:b/>
          <w:sz w:val="24"/>
          <w:szCs w:val="24"/>
          <w:lang w:val="en-GB"/>
        </w:rPr>
      </w:pPr>
      <w:r w:rsidRPr="00CA464A">
        <w:rPr>
          <w:rFonts w:ascii="Arial" w:hAnsi="Arial" w:cs="Arial"/>
          <w:b/>
          <w:sz w:val="24"/>
          <w:szCs w:val="24"/>
          <w:lang w:val="en-GB"/>
        </w:rPr>
        <w:t>Income statement</w:t>
      </w:r>
    </w:p>
    <w:p w14:paraId="2E7370CC" w14:textId="4F8DEA46" w:rsidR="007A280F"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The changes and percentages of changes are calculated using the given data. By subtracting the base year from the current year and dividing it by the base year, the calculation was completed. The financial year comes to a close with a favo</w:t>
      </w:r>
      <w:r w:rsidR="00CA464A" w:rsidRPr="00CA464A">
        <w:rPr>
          <w:rFonts w:ascii="Arial" w:hAnsi="Arial" w:cs="Arial"/>
          <w:sz w:val="24"/>
          <w:szCs w:val="24"/>
          <w:lang w:val="en-GB"/>
        </w:rPr>
        <w:t>u</w:t>
      </w:r>
      <w:r w:rsidRPr="00CA464A">
        <w:rPr>
          <w:rFonts w:ascii="Arial" w:hAnsi="Arial" w:cs="Arial"/>
          <w:sz w:val="24"/>
          <w:szCs w:val="24"/>
          <w:lang w:val="en-GB"/>
        </w:rPr>
        <w:t>rable change of 0.83 percent. The sales, cost of products sold, gross profit, operating expenses, and operating income all decreased. From 2019 to 2020, all of these indicators have been</w:t>
      </w:r>
      <w:r w:rsidR="007A280F" w:rsidRPr="00CA464A">
        <w:rPr>
          <w:rFonts w:ascii="Arial" w:hAnsi="Arial" w:cs="Arial"/>
          <w:sz w:val="24"/>
          <w:szCs w:val="24"/>
          <w:lang w:val="en-GB"/>
        </w:rPr>
        <w:br w:type="page"/>
      </w:r>
    </w:p>
    <w:p w14:paraId="00000007" w14:textId="27AFB9CF"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lastRenderedPageBreak/>
        <w:t>reduced. The interest rate changed by 3.62 percent in favo</w:t>
      </w:r>
      <w:r w:rsidR="00CA464A">
        <w:rPr>
          <w:rFonts w:ascii="Arial" w:hAnsi="Arial" w:cs="Arial"/>
          <w:sz w:val="24"/>
          <w:szCs w:val="24"/>
          <w:lang w:val="en-GB"/>
        </w:rPr>
        <w:t>u</w:t>
      </w:r>
      <w:r w:rsidRPr="00CA464A">
        <w:rPr>
          <w:rFonts w:ascii="Arial" w:hAnsi="Arial" w:cs="Arial"/>
          <w:sz w:val="24"/>
          <w:szCs w:val="24"/>
          <w:lang w:val="en-GB"/>
        </w:rPr>
        <w:t>r of the consumer. Total other income, income before taxes, and net income all showed negative changes.</w:t>
      </w:r>
    </w:p>
    <w:p w14:paraId="050265FB" w14:textId="3D817988" w:rsidR="00B35BC1" w:rsidRPr="00CA464A" w:rsidRDefault="00B35BC1" w:rsidP="003C5B1E">
      <w:pPr>
        <w:spacing w:line="360" w:lineRule="auto"/>
        <w:jc w:val="center"/>
        <w:rPr>
          <w:rFonts w:ascii="Arial" w:hAnsi="Arial" w:cs="Arial"/>
          <w:noProof/>
          <w:lang w:val="en-GB"/>
        </w:rPr>
      </w:pPr>
      <w:r w:rsidRPr="00CA464A">
        <w:rPr>
          <w:rFonts w:ascii="Arial" w:hAnsi="Arial" w:cs="Arial"/>
          <w:noProof/>
          <w:lang w:val="en-GB"/>
        </w:rPr>
        <w:drawing>
          <wp:inline distT="0" distB="0" distL="0" distR="0" wp14:anchorId="2B201C77" wp14:editId="121AA670">
            <wp:extent cx="4648200" cy="24619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762" t="38768" r="60417" b="25598"/>
                    <a:stretch/>
                  </pic:blipFill>
                  <pic:spPr bwMode="auto">
                    <a:xfrm>
                      <a:off x="0" y="0"/>
                      <a:ext cx="4667003" cy="2471929"/>
                    </a:xfrm>
                    <a:prstGeom prst="rect">
                      <a:avLst/>
                    </a:prstGeom>
                    <a:ln>
                      <a:noFill/>
                    </a:ln>
                    <a:extLst>
                      <a:ext uri="{53640926-AAD7-44D8-BBD7-CCE9431645EC}">
                        <a14:shadowObscured xmlns:a14="http://schemas.microsoft.com/office/drawing/2010/main"/>
                      </a:ext>
                    </a:extLst>
                  </pic:spPr>
                </pic:pic>
              </a:graphicData>
            </a:graphic>
          </wp:inline>
        </w:drawing>
      </w:r>
    </w:p>
    <w:p w14:paraId="00000008" w14:textId="2B0FB1D7" w:rsidR="00DF4E62" w:rsidRPr="00CA464A" w:rsidRDefault="00117CC9" w:rsidP="007A280F">
      <w:pPr>
        <w:spacing w:line="360" w:lineRule="auto"/>
        <w:jc w:val="both"/>
        <w:rPr>
          <w:rFonts w:ascii="Arial" w:hAnsi="Arial" w:cs="Arial"/>
          <w:b/>
          <w:sz w:val="24"/>
          <w:szCs w:val="24"/>
          <w:lang w:val="en-GB"/>
        </w:rPr>
      </w:pPr>
      <w:r w:rsidRPr="00CA464A">
        <w:rPr>
          <w:rFonts w:ascii="Arial" w:hAnsi="Arial" w:cs="Arial"/>
          <w:b/>
          <w:sz w:val="24"/>
          <w:szCs w:val="24"/>
          <w:lang w:val="en-GB"/>
        </w:rPr>
        <w:t>Balance sheet</w:t>
      </w:r>
    </w:p>
    <w:p w14:paraId="3FDC6368" w14:textId="635010B7"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 xml:space="preserve">The change and percentage of change in the income statement were computed by subtracting the base year from the current year and dividing it by the base year, and the same method was used to calculate the change in the balance sheet (Madura and Hoque, 2018). The change in percentage of non-current assets, total assets, and current assets has increased on the balance sheet. However, only the current liabilities on the balance sheet have decreased by 15%. Non-current liabilities, total liabilities, retained profits, total </w:t>
      </w:r>
      <w:r w:rsidR="007A280F" w:rsidRPr="00CA464A">
        <w:rPr>
          <w:rFonts w:ascii="Arial" w:hAnsi="Arial" w:cs="Arial"/>
          <w:sz w:val="24"/>
          <w:szCs w:val="24"/>
          <w:lang w:val="en-GB"/>
        </w:rPr>
        <w:t>stockholder’s</w:t>
      </w:r>
      <w:r w:rsidRPr="00CA464A">
        <w:rPr>
          <w:rFonts w:ascii="Arial" w:hAnsi="Arial" w:cs="Arial"/>
          <w:sz w:val="24"/>
          <w:szCs w:val="24"/>
          <w:lang w:val="en-GB"/>
        </w:rPr>
        <w:t xml:space="preserve"> equity, and total liabilities and stockholder equities all showed positive changes. The common stock, on the other hand, remained unchanged.</w:t>
      </w:r>
    </w:p>
    <w:p w14:paraId="78AF43CE" w14:textId="0591631A" w:rsidR="007A280F" w:rsidRPr="00CA464A" w:rsidRDefault="00117CC9" w:rsidP="007A280F">
      <w:pPr>
        <w:pStyle w:val="Heading1"/>
        <w:spacing w:line="360" w:lineRule="auto"/>
        <w:rPr>
          <w:rFonts w:ascii="Arial" w:hAnsi="Arial" w:cs="Arial"/>
          <w:lang w:val="en-GB"/>
        </w:rPr>
      </w:pPr>
      <w:bookmarkStart w:id="3" w:name="_Toc104840611"/>
      <w:r w:rsidRPr="00CA464A">
        <w:rPr>
          <w:rFonts w:ascii="Arial" w:hAnsi="Arial" w:cs="Arial"/>
          <w:lang w:val="en-GB"/>
        </w:rPr>
        <w:t xml:space="preserve">Financial </w:t>
      </w:r>
      <w:r w:rsidR="007A280F" w:rsidRPr="00CA464A">
        <w:rPr>
          <w:rFonts w:ascii="Arial" w:hAnsi="Arial" w:cs="Arial"/>
          <w:lang w:val="en-GB"/>
        </w:rPr>
        <w:t>Ratio Analysis Trends</w:t>
      </w:r>
      <w:bookmarkEnd w:id="3"/>
    </w:p>
    <w:p w14:paraId="0000000B" w14:textId="1C384946" w:rsidR="00DF4E62" w:rsidRPr="00CA464A" w:rsidRDefault="007A280F" w:rsidP="007A280F">
      <w:pPr>
        <w:pStyle w:val="Heading2"/>
        <w:spacing w:line="360" w:lineRule="auto"/>
        <w:rPr>
          <w:rFonts w:ascii="Arial" w:hAnsi="Arial" w:cs="Arial"/>
          <w:lang w:val="en-GB"/>
        </w:rPr>
      </w:pPr>
      <w:bookmarkStart w:id="4" w:name="_Toc104840612"/>
      <w:r w:rsidRPr="00CA464A">
        <w:rPr>
          <w:rFonts w:ascii="Arial" w:hAnsi="Arial" w:cs="Arial"/>
          <w:lang w:val="en-GB"/>
        </w:rPr>
        <w:t xml:space="preserve">a) </w:t>
      </w:r>
      <w:r w:rsidR="00117CC9" w:rsidRPr="00CA464A">
        <w:rPr>
          <w:rFonts w:ascii="Arial" w:hAnsi="Arial" w:cs="Arial"/>
          <w:lang w:val="en-GB"/>
        </w:rPr>
        <w:t xml:space="preserve">Calculation </w:t>
      </w:r>
      <w:r w:rsidRPr="00CA464A">
        <w:rPr>
          <w:rFonts w:ascii="Arial" w:hAnsi="Arial" w:cs="Arial"/>
          <w:lang w:val="en-GB"/>
        </w:rPr>
        <w:t>Of the Financial Ratios For 2019 And 2020</w:t>
      </w:r>
      <w:bookmarkEnd w:id="4"/>
    </w:p>
    <w:p w14:paraId="0000000C" w14:textId="77777777"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The horizontal calculation of the ratio analysis and the change in trends are given in the table below,</w:t>
      </w:r>
    </w:p>
    <w:tbl>
      <w:tblPr>
        <w:tblW w:w="8448" w:type="dxa"/>
        <w:jc w:val="center"/>
        <w:tblLook w:val="04A0" w:firstRow="1" w:lastRow="0" w:firstColumn="1" w:lastColumn="0" w:noHBand="0" w:noVBand="1"/>
      </w:tblPr>
      <w:tblGrid>
        <w:gridCol w:w="3880"/>
        <w:gridCol w:w="1409"/>
        <w:gridCol w:w="1579"/>
        <w:gridCol w:w="1580"/>
      </w:tblGrid>
      <w:tr w:rsidR="007A280F" w:rsidRPr="00CA464A" w14:paraId="73CE9030" w14:textId="77777777" w:rsidTr="007A280F">
        <w:trPr>
          <w:trHeight w:val="286"/>
          <w:jc w:val="center"/>
        </w:trPr>
        <w:tc>
          <w:tcPr>
            <w:tcW w:w="8448" w:type="dxa"/>
            <w:gridSpan w:val="4"/>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357A12A" w14:textId="77777777" w:rsidR="007A280F" w:rsidRPr="00CA464A" w:rsidRDefault="007A280F" w:rsidP="007A280F">
            <w:pPr>
              <w:spacing w:after="0" w:line="360" w:lineRule="auto"/>
              <w:jc w:val="center"/>
              <w:rPr>
                <w:rFonts w:ascii="Arial" w:eastAsia="Times New Roman" w:hAnsi="Arial" w:cs="Arial"/>
                <w:b/>
                <w:bCs/>
                <w:color w:val="232A31"/>
                <w:lang w:val="en-GB"/>
              </w:rPr>
            </w:pPr>
            <w:r w:rsidRPr="00CA464A">
              <w:rPr>
                <w:rFonts w:ascii="Arial" w:eastAsia="Times New Roman" w:hAnsi="Arial" w:cs="Arial"/>
                <w:b/>
                <w:bCs/>
                <w:color w:val="232A31"/>
                <w:lang w:val="en-GB"/>
              </w:rPr>
              <w:t>Hilton Worldwide Holdings Inc. (HLT)</w:t>
            </w:r>
          </w:p>
        </w:tc>
      </w:tr>
      <w:tr w:rsidR="007A280F" w:rsidRPr="00CA464A" w14:paraId="4AA86BB5" w14:textId="77777777" w:rsidTr="007A280F">
        <w:trPr>
          <w:trHeight w:val="286"/>
          <w:jc w:val="center"/>
        </w:trPr>
        <w:tc>
          <w:tcPr>
            <w:tcW w:w="8448"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7E69A9" w14:textId="77777777" w:rsidR="007A280F" w:rsidRPr="00CA464A" w:rsidRDefault="007A280F" w:rsidP="007A280F">
            <w:pPr>
              <w:spacing w:after="0" w:line="360" w:lineRule="auto"/>
              <w:jc w:val="center"/>
              <w:rPr>
                <w:rFonts w:ascii="Arial" w:eastAsia="Times New Roman" w:hAnsi="Arial" w:cs="Arial"/>
                <w:b/>
                <w:bCs/>
                <w:color w:val="000000"/>
                <w:lang w:val="en-GB"/>
              </w:rPr>
            </w:pPr>
            <w:r w:rsidRPr="00CA464A">
              <w:rPr>
                <w:rFonts w:ascii="Arial" w:eastAsia="Times New Roman" w:hAnsi="Arial" w:cs="Arial"/>
                <w:b/>
                <w:bCs/>
                <w:color w:val="000000"/>
                <w:lang w:val="en-GB"/>
              </w:rPr>
              <w:t>Ratio Analysis</w:t>
            </w:r>
          </w:p>
        </w:tc>
      </w:tr>
      <w:tr w:rsidR="007A280F" w:rsidRPr="00CA464A" w14:paraId="602D02BD" w14:textId="77777777" w:rsidTr="007A280F">
        <w:trPr>
          <w:trHeight w:val="286"/>
          <w:jc w:val="center"/>
        </w:trPr>
        <w:tc>
          <w:tcPr>
            <w:tcW w:w="3880" w:type="dxa"/>
            <w:tcBorders>
              <w:top w:val="nil"/>
              <w:left w:val="single" w:sz="4" w:space="0" w:color="auto"/>
              <w:bottom w:val="single" w:sz="4" w:space="0" w:color="auto"/>
              <w:right w:val="nil"/>
            </w:tcBorders>
            <w:shd w:val="clear" w:color="auto" w:fill="auto"/>
            <w:noWrap/>
            <w:vAlign w:val="bottom"/>
            <w:hideMark/>
          </w:tcPr>
          <w:p w14:paraId="3A38ED80" w14:textId="77777777" w:rsidR="007A280F" w:rsidRPr="00CA464A" w:rsidRDefault="007A280F" w:rsidP="007A280F">
            <w:pPr>
              <w:spacing w:after="0" w:line="360" w:lineRule="auto"/>
              <w:jc w:val="center"/>
              <w:rPr>
                <w:rFonts w:ascii="Arial" w:eastAsia="Times New Roman" w:hAnsi="Arial" w:cs="Arial"/>
                <w:b/>
                <w:bCs/>
                <w:color w:val="000000"/>
                <w:lang w:val="en-GB"/>
              </w:rPr>
            </w:pPr>
            <w:r w:rsidRPr="00CA464A">
              <w:rPr>
                <w:rFonts w:ascii="Arial" w:eastAsia="Times New Roman" w:hAnsi="Arial" w:cs="Arial"/>
                <w:b/>
                <w:bCs/>
                <w:color w:val="000000"/>
                <w:lang w:val="en-GB"/>
              </w:rPr>
              <w:t> </w:t>
            </w:r>
          </w:p>
        </w:tc>
        <w:tc>
          <w:tcPr>
            <w:tcW w:w="1409" w:type="dxa"/>
            <w:tcBorders>
              <w:top w:val="nil"/>
              <w:left w:val="single" w:sz="4" w:space="0" w:color="auto"/>
              <w:bottom w:val="single" w:sz="4" w:space="0" w:color="auto"/>
              <w:right w:val="single" w:sz="4" w:space="0" w:color="auto"/>
            </w:tcBorders>
            <w:shd w:val="clear" w:color="auto" w:fill="auto"/>
            <w:noWrap/>
            <w:vAlign w:val="bottom"/>
            <w:hideMark/>
          </w:tcPr>
          <w:p w14:paraId="34FC0CCF" w14:textId="77777777" w:rsidR="007A280F" w:rsidRPr="00CA464A" w:rsidRDefault="007A280F" w:rsidP="007A280F">
            <w:pPr>
              <w:spacing w:after="0" w:line="360" w:lineRule="auto"/>
              <w:jc w:val="center"/>
              <w:rPr>
                <w:rFonts w:ascii="Arial" w:eastAsia="Times New Roman" w:hAnsi="Arial" w:cs="Arial"/>
                <w:b/>
                <w:bCs/>
                <w:color w:val="000000"/>
                <w:lang w:val="en-GB"/>
              </w:rPr>
            </w:pPr>
            <w:r w:rsidRPr="00CA464A">
              <w:rPr>
                <w:rFonts w:ascii="Arial" w:eastAsia="Times New Roman" w:hAnsi="Arial" w:cs="Arial"/>
                <w:b/>
                <w:bCs/>
                <w:color w:val="000000"/>
                <w:lang w:val="en-GB"/>
              </w:rPr>
              <w:t>2020</w:t>
            </w:r>
          </w:p>
        </w:tc>
        <w:tc>
          <w:tcPr>
            <w:tcW w:w="1579" w:type="dxa"/>
            <w:tcBorders>
              <w:top w:val="nil"/>
              <w:left w:val="nil"/>
              <w:bottom w:val="single" w:sz="4" w:space="0" w:color="auto"/>
              <w:right w:val="single" w:sz="4" w:space="0" w:color="auto"/>
            </w:tcBorders>
            <w:shd w:val="clear" w:color="auto" w:fill="auto"/>
            <w:noWrap/>
            <w:vAlign w:val="bottom"/>
            <w:hideMark/>
          </w:tcPr>
          <w:p w14:paraId="44843BB6" w14:textId="77777777" w:rsidR="007A280F" w:rsidRPr="00CA464A" w:rsidRDefault="007A280F" w:rsidP="007A280F">
            <w:pPr>
              <w:spacing w:after="0" w:line="360" w:lineRule="auto"/>
              <w:jc w:val="center"/>
              <w:rPr>
                <w:rFonts w:ascii="Arial" w:eastAsia="Times New Roman" w:hAnsi="Arial" w:cs="Arial"/>
                <w:b/>
                <w:bCs/>
                <w:color w:val="000000"/>
                <w:lang w:val="en-GB"/>
              </w:rPr>
            </w:pPr>
            <w:r w:rsidRPr="00CA464A">
              <w:rPr>
                <w:rFonts w:ascii="Arial" w:eastAsia="Times New Roman" w:hAnsi="Arial" w:cs="Arial"/>
                <w:b/>
                <w:bCs/>
                <w:color w:val="000000"/>
                <w:lang w:val="en-GB"/>
              </w:rPr>
              <w:t>2019</w:t>
            </w:r>
          </w:p>
        </w:tc>
        <w:tc>
          <w:tcPr>
            <w:tcW w:w="1579" w:type="dxa"/>
            <w:tcBorders>
              <w:top w:val="nil"/>
              <w:left w:val="nil"/>
              <w:bottom w:val="single" w:sz="4" w:space="0" w:color="auto"/>
              <w:right w:val="single" w:sz="4" w:space="0" w:color="auto"/>
            </w:tcBorders>
            <w:shd w:val="clear" w:color="auto" w:fill="auto"/>
            <w:noWrap/>
            <w:vAlign w:val="bottom"/>
            <w:hideMark/>
          </w:tcPr>
          <w:p w14:paraId="1FF39F25" w14:textId="77777777" w:rsidR="007A280F" w:rsidRPr="00CA464A" w:rsidRDefault="007A280F" w:rsidP="007A280F">
            <w:pPr>
              <w:spacing w:after="0" w:line="360" w:lineRule="auto"/>
              <w:jc w:val="center"/>
              <w:rPr>
                <w:rFonts w:ascii="Arial" w:eastAsia="Times New Roman" w:hAnsi="Arial" w:cs="Arial"/>
                <w:b/>
                <w:bCs/>
                <w:color w:val="000000"/>
                <w:lang w:val="en-GB"/>
              </w:rPr>
            </w:pPr>
            <w:r w:rsidRPr="00CA464A">
              <w:rPr>
                <w:rFonts w:ascii="Arial" w:eastAsia="Times New Roman" w:hAnsi="Arial" w:cs="Arial"/>
                <w:b/>
                <w:bCs/>
                <w:color w:val="000000"/>
                <w:lang w:val="en-GB"/>
              </w:rPr>
              <w:t>Trends</w:t>
            </w:r>
          </w:p>
        </w:tc>
      </w:tr>
      <w:tr w:rsidR="007A280F" w:rsidRPr="00CA464A" w14:paraId="098E2F8A" w14:textId="77777777" w:rsidTr="007A280F">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39CF049F" w14:textId="77777777" w:rsidR="007A280F" w:rsidRPr="00CA464A" w:rsidRDefault="007A280F" w:rsidP="007A280F">
            <w:pPr>
              <w:spacing w:after="0" w:line="360" w:lineRule="auto"/>
              <w:rPr>
                <w:rFonts w:ascii="Arial" w:eastAsia="Times New Roman" w:hAnsi="Arial" w:cs="Arial"/>
                <w:b/>
                <w:bCs/>
                <w:color w:val="000000"/>
                <w:lang w:val="en-GB"/>
              </w:rPr>
            </w:pPr>
            <w:r w:rsidRPr="00CA464A">
              <w:rPr>
                <w:rFonts w:ascii="Arial" w:eastAsia="Times New Roman" w:hAnsi="Arial" w:cs="Arial"/>
                <w:b/>
                <w:bCs/>
                <w:color w:val="000000"/>
                <w:lang w:val="en-GB"/>
              </w:rPr>
              <w:lastRenderedPageBreak/>
              <w:t>Liquidity Ratios</w:t>
            </w:r>
          </w:p>
        </w:tc>
        <w:tc>
          <w:tcPr>
            <w:tcW w:w="1409" w:type="dxa"/>
            <w:tcBorders>
              <w:top w:val="nil"/>
              <w:left w:val="nil"/>
              <w:bottom w:val="single" w:sz="4" w:space="0" w:color="auto"/>
              <w:right w:val="single" w:sz="4" w:space="0" w:color="auto"/>
            </w:tcBorders>
            <w:shd w:val="clear" w:color="auto" w:fill="auto"/>
            <w:noWrap/>
            <w:vAlign w:val="bottom"/>
            <w:hideMark/>
          </w:tcPr>
          <w:p w14:paraId="55F11A2F"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1D864F6C"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44A1AD9D"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 </w:t>
            </w:r>
          </w:p>
        </w:tc>
      </w:tr>
      <w:tr w:rsidR="007A280F" w:rsidRPr="00CA464A" w14:paraId="57ADB808" w14:textId="77777777" w:rsidTr="007A280F">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2EC269E5"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Current Ratio</w:t>
            </w:r>
          </w:p>
        </w:tc>
        <w:tc>
          <w:tcPr>
            <w:tcW w:w="1409" w:type="dxa"/>
            <w:tcBorders>
              <w:top w:val="nil"/>
              <w:left w:val="nil"/>
              <w:bottom w:val="single" w:sz="4" w:space="0" w:color="auto"/>
              <w:right w:val="single" w:sz="4" w:space="0" w:color="auto"/>
            </w:tcBorders>
            <w:shd w:val="clear" w:color="auto" w:fill="auto"/>
            <w:noWrap/>
            <w:vAlign w:val="bottom"/>
            <w:hideMark/>
          </w:tcPr>
          <w:p w14:paraId="736548D6"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173%</w:t>
            </w:r>
          </w:p>
        </w:tc>
        <w:tc>
          <w:tcPr>
            <w:tcW w:w="1579" w:type="dxa"/>
            <w:tcBorders>
              <w:top w:val="nil"/>
              <w:left w:val="nil"/>
              <w:bottom w:val="single" w:sz="4" w:space="0" w:color="auto"/>
              <w:right w:val="single" w:sz="4" w:space="0" w:color="auto"/>
            </w:tcBorders>
            <w:shd w:val="clear" w:color="auto" w:fill="auto"/>
            <w:noWrap/>
            <w:vAlign w:val="bottom"/>
            <w:hideMark/>
          </w:tcPr>
          <w:p w14:paraId="0FA820FF"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73%</w:t>
            </w:r>
          </w:p>
        </w:tc>
        <w:tc>
          <w:tcPr>
            <w:tcW w:w="1579" w:type="dxa"/>
            <w:tcBorders>
              <w:top w:val="nil"/>
              <w:left w:val="nil"/>
              <w:bottom w:val="single" w:sz="4" w:space="0" w:color="auto"/>
              <w:right w:val="single" w:sz="4" w:space="0" w:color="auto"/>
            </w:tcBorders>
            <w:shd w:val="clear" w:color="auto" w:fill="auto"/>
            <w:noWrap/>
            <w:vAlign w:val="bottom"/>
            <w:hideMark/>
          </w:tcPr>
          <w:p w14:paraId="400695CD"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100%</w:t>
            </w:r>
          </w:p>
        </w:tc>
      </w:tr>
      <w:tr w:rsidR="007A280F" w:rsidRPr="00CA464A" w14:paraId="1A642D2D" w14:textId="77777777" w:rsidTr="007A280F">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3E79ED96"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Quick Ratio</w:t>
            </w:r>
          </w:p>
        </w:tc>
        <w:tc>
          <w:tcPr>
            <w:tcW w:w="1409" w:type="dxa"/>
            <w:tcBorders>
              <w:top w:val="nil"/>
              <w:left w:val="nil"/>
              <w:bottom w:val="single" w:sz="4" w:space="0" w:color="auto"/>
              <w:right w:val="single" w:sz="4" w:space="0" w:color="auto"/>
            </w:tcBorders>
            <w:shd w:val="clear" w:color="auto" w:fill="auto"/>
            <w:noWrap/>
            <w:vAlign w:val="bottom"/>
            <w:hideMark/>
          </w:tcPr>
          <w:p w14:paraId="669C75CC"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173%</w:t>
            </w:r>
          </w:p>
        </w:tc>
        <w:tc>
          <w:tcPr>
            <w:tcW w:w="1579" w:type="dxa"/>
            <w:tcBorders>
              <w:top w:val="nil"/>
              <w:left w:val="nil"/>
              <w:bottom w:val="single" w:sz="4" w:space="0" w:color="auto"/>
              <w:right w:val="single" w:sz="4" w:space="0" w:color="auto"/>
            </w:tcBorders>
            <w:shd w:val="clear" w:color="auto" w:fill="auto"/>
            <w:noWrap/>
            <w:vAlign w:val="bottom"/>
            <w:hideMark/>
          </w:tcPr>
          <w:p w14:paraId="1B5FF8F1"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73%</w:t>
            </w:r>
          </w:p>
        </w:tc>
        <w:tc>
          <w:tcPr>
            <w:tcW w:w="1579" w:type="dxa"/>
            <w:tcBorders>
              <w:top w:val="nil"/>
              <w:left w:val="nil"/>
              <w:bottom w:val="single" w:sz="4" w:space="0" w:color="auto"/>
              <w:right w:val="single" w:sz="4" w:space="0" w:color="auto"/>
            </w:tcBorders>
            <w:shd w:val="clear" w:color="auto" w:fill="auto"/>
            <w:noWrap/>
            <w:vAlign w:val="bottom"/>
            <w:hideMark/>
          </w:tcPr>
          <w:p w14:paraId="4BDDE342"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100%</w:t>
            </w:r>
          </w:p>
        </w:tc>
      </w:tr>
      <w:tr w:rsidR="007A280F" w:rsidRPr="00CA464A" w14:paraId="0139AE0A" w14:textId="77777777" w:rsidTr="007A280F">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1025D4CB"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 </w:t>
            </w:r>
          </w:p>
        </w:tc>
        <w:tc>
          <w:tcPr>
            <w:tcW w:w="1409" w:type="dxa"/>
            <w:tcBorders>
              <w:top w:val="nil"/>
              <w:left w:val="nil"/>
              <w:bottom w:val="single" w:sz="4" w:space="0" w:color="auto"/>
              <w:right w:val="single" w:sz="4" w:space="0" w:color="auto"/>
            </w:tcBorders>
            <w:shd w:val="clear" w:color="auto" w:fill="auto"/>
            <w:noWrap/>
            <w:vAlign w:val="bottom"/>
            <w:hideMark/>
          </w:tcPr>
          <w:p w14:paraId="16612120"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27409700"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73EDB4B0"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 </w:t>
            </w:r>
          </w:p>
        </w:tc>
      </w:tr>
      <w:tr w:rsidR="007A280F" w:rsidRPr="00CA464A" w14:paraId="11BBCF17" w14:textId="77777777" w:rsidTr="007A280F">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1CD670E7"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 </w:t>
            </w:r>
          </w:p>
        </w:tc>
        <w:tc>
          <w:tcPr>
            <w:tcW w:w="1409" w:type="dxa"/>
            <w:tcBorders>
              <w:top w:val="nil"/>
              <w:left w:val="nil"/>
              <w:bottom w:val="single" w:sz="4" w:space="0" w:color="auto"/>
              <w:right w:val="single" w:sz="4" w:space="0" w:color="auto"/>
            </w:tcBorders>
            <w:shd w:val="clear" w:color="auto" w:fill="auto"/>
            <w:noWrap/>
            <w:vAlign w:val="bottom"/>
            <w:hideMark/>
          </w:tcPr>
          <w:p w14:paraId="69B61B65"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0A45CFFE"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3348FA6C"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 </w:t>
            </w:r>
          </w:p>
        </w:tc>
      </w:tr>
      <w:tr w:rsidR="007A280F" w:rsidRPr="00CA464A" w14:paraId="256E5275" w14:textId="77777777" w:rsidTr="007A280F">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6D044E44" w14:textId="77777777" w:rsidR="007A280F" w:rsidRPr="00CA464A" w:rsidRDefault="007A280F" w:rsidP="007A280F">
            <w:pPr>
              <w:spacing w:after="0" w:line="360" w:lineRule="auto"/>
              <w:rPr>
                <w:rFonts w:ascii="Arial" w:eastAsia="Times New Roman" w:hAnsi="Arial" w:cs="Arial"/>
                <w:b/>
                <w:bCs/>
                <w:color w:val="000000"/>
                <w:lang w:val="en-GB"/>
              </w:rPr>
            </w:pPr>
            <w:r w:rsidRPr="00CA464A">
              <w:rPr>
                <w:rFonts w:ascii="Arial" w:eastAsia="Times New Roman" w:hAnsi="Arial" w:cs="Arial"/>
                <w:b/>
                <w:bCs/>
                <w:color w:val="000000"/>
                <w:lang w:val="en-GB"/>
              </w:rPr>
              <w:t>Profitability Ratio</w:t>
            </w:r>
          </w:p>
        </w:tc>
        <w:tc>
          <w:tcPr>
            <w:tcW w:w="1409" w:type="dxa"/>
            <w:tcBorders>
              <w:top w:val="nil"/>
              <w:left w:val="nil"/>
              <w:bottom w:val="single" w:sz="4" w:space="0" w:color="auto"/>
              <w:right w:val="single" w:sz="4" w:space="0" w:color="auto"/>
            </w:tcBorders>
            <w:shd w:val="clear" w:color="auto" w:fill="auto"/>
            <w:noWrap/>
            <w:vAlign w:val="bottom"/>
            <w:hideMark/>
          </w:tcPr>
          <w:p w14:paraId="593B6749"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56F63A9A"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3F33130B"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 </w:t>
            </w:r>
          </w:p>
        </w:tc>
      </w:tr>
      <w:tr w:rsidR="007A280F" w:rsidRPr="00CA464A" w14:paraId="66E33A91" w14:textId="77777777" w:rsidTr="007A280F">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145E1498"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Gross Profit Margin</w:t>
            </w:r>
          </w:p>
        </w:tc>
        <w:tc>
          <w:tcPr>
            <w:tcW w:w="1409" w:type="dxa"/>
            <w:tcBorders>
              <w:top w:val="nil"/>
              <w:left w:val="nil"/>
              <w:bottom w:val="single" w:sz="4" w:space="0" w:color="auto"/>
              <w:right w:val="single" w:sz="4" w:space="0" w:color="auto"/>
            </w:tcBorders>
            <w:shd w:val="clear" w:color="auto" w:fill="auto"/>
            <w:noWrap/>
            <w:vAlign w:val="bottom"/>
            <w:hideMark/>
          </w:tcPr>
          <w:p w14:paraId="7848C6A2"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14%</w:t>
            </w:r>
          </w:p>
        </w:tc>
        <w:tc>
          <w:tcPr>
            <w:tcW w:w="1579" w:type="dxa"/>
            <w:tcBorders>
              <w:top w:val="nil"/>
              <w:left w:val="nil"/>
              <w:bottom w:val="single" w:sz="4" w:space="0" w:color="auto"/>
              <w:right w:val="single" w:sz="4" w:space="0" w:color="auto"/>
            </w:tcBorders>
            <w:shd w:val="clear" w:color="auto" w:fill="auto"/>
            <w:noWrap/>
            <w:vAlign w:val="bottom"/>
            <w:hideMark/>
          </w:tcPr>
          <w:p w14:paraId="1AF936A1"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26%</w:t>
            </w:r>
          </w:p>
        </w:tc>
        <w:tc>
          <w:tcPr>
            <w:tcW w:w="1579" w:type="dxa"/>
            <w:tcBorders>
              <w:top w:val="nil"/>
              <w:left w:val="nil"/>
              <w:bottom w:val="single" w:sz="4" w:space="0" w:color="auto"/>
              <w:right w:val="single" w:sz="4" w:space="0" w:color="auto"/>
            </w:tcBorders>
            <w:shd w:val="clear" w:color="auto" w:fill="auto"/>
            <w:noWrap/>
            <w:vAlign w:val="bottom"/>
            <w:hideMark/>
          </w:tcPr>
          <w:p w14:paraId="65B1890A"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-12%</w:t>
            </w:r>
          </w:p>
        </w:tc>
      </w:tr>
      <w:tr w:rsidR="007A280F" w:rsidRPr="00CA464A" w14:paraId="650CE8CF" w14:textId="77777777" w:rsidTr="007A280F">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364AC922"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Net Profit Margin</w:t>
            </w:r>
          </w:p>
        </w:tc>
        <w:tc>
          <w:tcPr>
            <w:tcW w:w="1409" w:type="dxa"/>
            <w:tcBorders>
              <w:top w:val="nil"/>
              <w:left w:val="nil"/>
              <w:bottom w:val="single" w:sz="4" w:space="0" w:color="auto"/>
              <w:right w:val="single" w:sz="4" w:space="0" w:color="auto"/>
            </w:tcBorders>
            <w:shd w:val="clear" w:color="auto" w:fill="auto"/>
            <w:noWrap/>
            <w:vAlign w:val="bottom"/>
            <w:hideMark/>
          </w:tcPr>
          <w:p w14:paraId="6E12EBE0"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-17%</w:t>
            </w:r>
          </w:p>
        </w:tc>
        <w:tc>
          <w:tcPr>
            <w:tcW w:w="1579" w:type="dxa"/>
            <w:tcBorders>
              <w:top w:val="nil"/>
              <w:left w:val="nil"/>
              <w:bottom w:val="single" w:sz="4" w:space="0" w:color="auto"/>
              <w:right w:val="single" w:sz="4" w:space="0" w:color="auto"/>
            </w:tcBorders>
            <w:shd w:val="clear" w:color="auto" w:fill="auto"/>
            <w:noWrap/>
            <w:vAlign w:val="bottom"/>
            <w:hideMark/>
          </w:tcPr>
          <w:p w14:paraId="66EFD800"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9%</w:t>
            </w:r>
          </w:p>
        </w:tc>
        <w:tc>
          <w:tcPr>
            <w:tcW w:w="1579" w:type="dxa"/>
            <w:tcBorders>
              <w:top w:val="nil"/>
              <w:left w:val="nil"/>
              <w:bottom w:val="single" w:sz="4" w:space="0" w:color="auto"/>
              <w:right w:val="single" w:sz="4" w:space="0" w:color="auto"/>
            </w:tcBorders>
            <w:shd w:val="clear" w:color="auto" w:fill="auto"/>
            <w:noWrap/>
            <w:vAlign w:val="bottom"/>
            <w:hideMark/>
          </w:tcPr>
          <w:p w14:paraId="1A3E59EF"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-26%</w:t>
            </w:r>
          </w:p>
        </w:tc>
      </w:tr>
      <w:tr w:rsidR="007A280F" w:rsidRPr="00CA464A" w14:paraId="23DEA6CC" w14:textId="77777777" w:rsidTr="007A280F">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3B4C35E0"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Return on capital employed</w:t>
            </w:r>
          </w:p>
        </w:tc>
        <w:tc>
          <w:tcPr>
            <w:tcW w:w="1409" w:type="dxa"/>
            <w:tcBorders>
              <w:top w:val="nil"/>
              <w:left w:val="nil"/>
              <w:bottom w:val="single" w:sz="4" w:space="0" w:color="auto"/>
              <w:right w:val="single" w:sz="4" w:space="0" w:color="auto"/>
            </w:tcBorders>
            <w:shd w:val="clear" w:color="auto" w:fill="auto"/>
            <w:noWrap/>
            <w:vAlign w:val="bottom"/>
            <w:hideMark/>
          </w:tcPr>
          <w:p w14:paraId="75BBA2B2"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8%</w:t>
            </w:r>
          </w:p>
        </w:tc>
        <w:tc>
          <w:tcPr>
            <w:tcW w:w="1579" w:type="dxa"/>
            <w:tcBorders>
              <w:top w:val="nil"/>
              <w:left w:val="nil"/>
              <w:bottom w:val="single" w:sz="4" w:space="0" w:color="auto"/>
              <w:right w:val="single" w:sz="4" w:space="0" w:color="auto"/>
            </w:tcBorders>
            <w:shd w:val="clear" w:color="auto" w:fill="auto"/>
            <w:noWrap/>
            <w:vAlign w:val="bottom"/>
            <w:hideMark/>
          </w:tcPr>
          <w:p w14:paraId="3A5D7C14"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-334%</w:t>
            </w:r>
          </w:p>
        </w:tc>
        <w:tc>
          <w:tcPr>
            <w:tcW w:w="1579" w:type="dxa"/>
            <w:tcBorders>
              <w:top w:val="nil"/>
              <w:left w:val="nil"/>
              <w:bottom w:val="single" w:sz="4" w:space="0" w:color="auto"/>
              <w:right w:val="single" w:sz="4" w:space="0" w:color="auto"/>
            </w:tcBorders>
            <w:shd w:val="clear" w:color="auto" w:fill="auto"/>
            <w:noWrap/>
            <w:vAlign w:val="bottom"/>
            <w:hideMark/>
          </w:tcPr>
          <w:p w14:paraId="2F6DD705"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342%</w:t>
            </w:r>
          </w:p>
        </w:tc>
      </w:tr>
      <w:tr w:rsidR="007A280F" w:rsidRPr="00CA464A" w14:paraId="3F7E3AFF" w14:textId="77777777" w:rsidTr="007A280F">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2FB19AA1"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Total Asset Turnover (times)</w:t>
            </w:r>
          </w:p>
        </w:tc>
        <w:tc>
          <w:tcPr>
            <w:tcW w:w="1409" w:type="dxa"/>
            <w:tcBorders>
              <w:top w:val="nil"/>
              <w:left w:val="nil"/>
              <w:bottom w:val="single" w:sz="4" w:space="0" w:color="auto"/>
              <w:right w:val="single" w:sz="4" w:space="0" w:color="auto"/>
            </w:tcBorders>
            <w:shd w:val="clear" w:color="auto" w:fill="auto"/>
            <w:noWrap/>
            <w:vAlign w:val="bottom"/>
            <w:hideMark/>
          </w:tcPr>
          <w:p w14:paraId="4B85E702"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0.51</w:t>
            </w:r>
          </w:p>
        </w:tc>
        <w:tc>
          <w:tcPr>
            <w:tcW w:w="1579" w:type="dxa"/>
            <w:tcBorders>
              <w:top w:val="nil"/>
              <w:left w:val="nil"/>
              <w:bottom w:val="single" w:sz="4" w:space="0" w:color="auto"/>
              <w:right w:val="single" w:sz="4" w:space="0" w:color="auto"/>
            </w:tcBorders>
            <w:shd w:val="clear" w:color="auto" w:fill="auto"/>
            <w:noWrap/>
            <w:vAlign w:val="bottom"/>
            <w:hideMark/>
          </w:tcPr>
          <w:p w14:paraId="6AFC0D5E"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1.26</w:t>
            </w:r>
          </w:p>
        </w:tc>
        <w:tc>
          <w:tcPr>
            <w:tcW w:w="1579" w:type="dxa"/>
            <w:tcBorders>
              <w:top w:val="nil"/>
              <w:left w:val="nil"/>
              <w:bottom w:val="single" w:sz="4" w:space="0" w:color="auto"/>
              <w:right w:val="single" w:sz="4" w:space="0" w:color="auto"/>
            </w:tcBorders>
            <w:shd w:val="clear" w:color="auto" w:fill="auto"/>
            <w:noWrap/>
            <w:vAlign w:val="bottom"/>
            <w:hideMark/>
          </w:tcPr>
          <w:p w14:paraId="6299C097"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-0.75</w:t>
            </w:r>
          </w:p>
        </w:tc>
      </w:tr>
      <w:tr w:rsidR="007A280F" w:rsidRPr="00CA464A" w14:paraId="10E80F7F" w14:textId="77777777" w:rsidTr="007A280F">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68AA0FD1"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 </w:t>
            </w:r>
          </w:p>
        </w:tc>
        <w:tc>
          <w:tcPr>
            <w:tcW w:w="1409" w:type="dxa"/>
            <w:tcBorders>
              <w:top w:val="nil"/>
              <w:left w:val="nil"/>
              <w:bottom w:val="single" w:sz="4" w:space="0" w:color="auto"/>
              <w:right w:val="single" w:sz="4" w:space="0" w:color="auto"/>
            </w:tcBorders>
            <w:shd w:val="clear" w:color="auto" w:fill="auto"/>
            <w:noWrap/>
            <w:vAlign w:val="bottom"/>
            <w:hideMark/>
          </w:tcPr>
          <w:p w14:paraId="5F2DB431"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7766B1E2"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39C3357F"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 </w:t>
            </w:r>
          </w:p>
        </w:tc>
      </w:tr>
      <w:tr w:rsidR="007A280F" w:rsidRPr="00CA464A" w14:paraId="3603FAC7" w14:textId="77777777" w:rsidTr="007A280F">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31A7441E" w14:textId="77777777" w:rsidR="007A280F" w:rsidRPr="00CA464A" w:rsidRDefault="007A280F" w:rsidP="007A280F">
            <w:pPr>
              <w:spacing w:after="0" w:line="360" w:lineRule="auto"/>
              <w:rPr>
                <w:rFonts w:ascii="Arial" w:eastAsia="Times New Roman" w:hAnsi="Arial" w:cs="Arial"/>
                <w:b/>
                <w:bCs/>
                <w:color w:val="000000"/>
                <w:lang w:val="en-GB"/>
              </w:rPr>
            </w:pPr>
            <w:r w:rsidRPr="00CA464A">
              <w:rPr>
                <w:rFonts w:ascii="Arial" w:eastAsia="Times New Roman" w:hAnsi="Arial" w:cs="Arial"/>
                <w:b/>
                <w:bCs/>
                <w:color w:val="000000"/>
                <w:lang w:val="en-GB"/>
              </w:rPr>
              <w:t>Gearing Ratios</w:t>
            </w:r>
          </w:p>
        </w:tc>
        <w:tc>
          <w:tcPr>
            <w:tcW w:w="1409" w:type="dxa"/>
            <w:tcBorders>
              <w:top w:val="nil"/>
              <w:left w:val="nil"/>
              <w:bottom w:val="single" w:sz="4" w:space="0" w:color="auto"/>
              <w:right w:val="single" w:sz="4" w:space="0" w:color="auto"/>
            </w:tcBorders>
            <w:shd w:val="clear" w:color="auto" w:fill="auto"/>
            <w:noWrap/>
            <w:vAlign w:val="bottom"/>
            <w:hideMark/>
          </w:tcPr>
          <w:p w14:paraId="78ED0996"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3895C5C4"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64D0B6DC"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 </w:t>
            </w:r>
          </w:p>
        </w:tc>
      </w:tr>
      <w:tr w:rsidR="007A280F" w:rsidRPr="00CA464A" w14:paraId="4F568BC7" w14:textId="77777777" w:rsidTr="007A280F">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51B86A80"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Debt to Equity Ratio</w:t>
            </w:r>
          </w:p>
        </w:tc>
        <w:tc>
          <w:tcPr>
            <w:tcW w:w="1409" w:type="dxa"/>
            <w:tcBorders>
              <w:top w:val="nil"/>
              <w:left w:val="nil"/>
              <w:bottom w:val="single" w:sz="4" w:space="0" w:color="auto"/>
              <w:right w:val="single" w:sz="4" w:space="0" w:color="auto"/>
            </w:tcBorders>
            <w:shd w:val="clear" w:color="auto" w:fill="auto"/>
            <w:noWrap/>
            <w:vAlign w:val="bottom"/>
            <w:hideMark/>
          </w:tcPr>
          <w:p w14:paraId="2ADA91E9"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-12.2423</w:t>
            </w:r>
          </w:p>
        </w:tc>
        <w:tc>
          <w:tcPr>
            <w:tcW w:w="1579" w:type="dxa"/>
            <w:tcBorders>
              <w:top w:val="nil"/>
              <w:left w:val="nil"/>
              <w:bottom w:val="single" w:sz="4" w:space="0" w:color="auto"/>
              <w:right w:val="single" w:sz="4" w:space="0" w:color="auto"/>
            </w:tcBorders>
            <w:shd w:val="clear" w:color="auto" w:fill="auto"/>
            <w:noWrap/>
            <w:vAlign w:val="bottom"/>
            <w:hideMark/>
          </w:tcPr>
          <w:p w14:paraId="1E1C5038"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-32.01037</w:t>
            </w:r>
          </w:p>
        </w:tc>
        <w:tc>
          <w:tcPr>
            <w:tcW w:w="1579" w:type="dxa"/>
            <w:tcBorders>
              <w:top w:val="nil"/>
              <w:left w:val="nil"/>
              <w:bottom w:val="single" w:sz="4" w:space="0" w:color="auto"/>
              <w:right w:val="single" w:sz="4" w:space="0" w:color="auto"/>
            </w:tcBorders>
            <w:shd w:val="clear" w:color="auto" w:fill="auto"/>
            <w:noWrap/>
            <w:vAlign w:val="bottom"/>
            <w:hideMark/>
          </w:tcPr>
          <w:p w14:paraId="3F3E2D24"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19.76809</w:t>
            </w:r>
          </w:p>
        </w:tc>
      </w:tr>
      <w:tr w:rsidR="007A280F" w:rsidRPr="00CA464A" w14:paraId="041AD6B9" w14:textId="77777777" w:rsidTr="007A280F">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463D38FE"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Debt Ratio</w:t>
            </w:r>
          </w:p>
        </w:tc>
        <w:tc>
          <w:tcPr>
            <w:tcW w:w="1409" w:type="dxa"/>
            <w:tcBorders>
              <w:top w:val="nil"/>
              <w:left w:val="nil"/>
              <w:bottom w:val="single" w:sz="4" w:space="0" w:color="auto"/>
              <w:right w:val="single" w:sz="4" w:space="0" w:color="auto"/>
            </w:tcBorders>
            <w:shd w:val="clear" w:color="auto" w:fill="auto"/>
            <w:noWrap/>
            <w:vAlign w:val="bottom"/>
            <w:hideMark/>
          </w:tcPr>
          <w:p w14:paraId="35C05119"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109%</w:t>
            </w:r>
          </w:p>
        </w:tc>
        <w:tc>
          <w:tcPr>
            <w:tcW w:w="1579" w:type="dxa"/>
            <w:tcBorders>
              <w:top w:val="nil"/>
              <w:left w:val="nil"/>
              <w:bottom w:val="single" w:sz="4" w:space="0" w:color="auto"/>
              <w:right w:val="single" w:sz="4" w:space="0" w:color="auto"/>
            </w:tcBorders>
            <w:shd w:val="clear" w:color="auto" w:fill="auto"/>
            <w:noWrap/>
            <w:vAlign w:val="bottom"/>
            <w:hideMark/>
          </w:tcPr>
          <w:p w14:paraId="2DF40A58"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103%</w:t>
            </w:r>
          </w:p>
        </w:tc>
        <w:tc>
          <w:tcPr>
            <w:tcW w:w="1579" w:type="dxa"/>
            <w:tcBorders>
              <w:top w:val="nil"/>
              <w:left w:val="nil"/>
              <w:bottom w:val="single" w:sz="4" w:space="0" w:color="auto"/>
              <w:right w:val="single" w:sz="4" w:space="0" w:color="auto"/>
            </w:tcBorders>
            <w:shd w:val="clear" w:color="auto" w:fill="auto"/>
            <w:noWrap/>
            <w:vAlign w:val="bottom"/>
            <w:hideMark/>
          </w:tcPr>
          <w:p w14:paraId="063D98C8"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6%</w:t>
            </w:r>
          </w:p>
        </w:tc>
      </w:tr>
      <w:tr w:rsidR="007A280F" w:rsidRPr="00CA464A" w14:paraId="7B65583A" w14:textId="77777777" w:rsidTr="007A280F">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14AC352D" w14:textId="77777777" w:rsidR="007A280F" w:rsidRPr="00CA464A" w:rsidRDefault="007A280F" w:rsidP="007A280F">
            <w:pPr>
              <w:spacing w:after="0" w:line="360" w:lineRule="auto"/>
              <w:rPr>
                <w:rFonts w:ascii="Arial" w:eastAsia="Times New Roman" w:hAnsi="Arial" w:cs="Arial"/>
                <w:color w:val="000000"/>
                <w:lang w:val="en-GB"/>
              </w:rPr>
            </w:pPr>
            <w:r w:rsidRPr="00CA464A">
              <w:rPr>
                <w:rFonts w:ascii="Arial" w:eastAsia="Times New Roman" w:hAnsi="Arial" w:cs="Arial"/>
                <w:color w:val="000000"/>
                <w:lang w:val="en-GB"/>
              </w:rPr>
              <w:t>Interest Coverage Ratio</w:t>
            </w:r>
          </w:p>
        </w:tc>
        <w:tc>
          <w:tcPr>
            <w:tcW w:w="1409" w:type="dxa"/>
            <w:tcBorders>
              <w:top w:val="nil"/>
              <w:left w:val="nil"/>
              <w:bottom w:val="single" w:sz="4" w:space="0" w:color="auto"/>
              <w:right w:val="single" w:sz="4" w:space="0" w:color="auto"/>
            </w:tcBorders>
            <w:shd w:val="clear" w:color="auto" w:fill="auto"/>
            <w:noWrap/>
            <w:vAlign w:val="bottom"/>
            <w:hideMark/>
          </w:tcPr>
          <w:p w14:paraId="2D80BB24"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-28%</w:t>
            </w:r>
          </w:p>
        </w:tc>
        <w:tc>
          <w:tcPr>
            <w:tcW w:w="1579" w:type="dxa"/>
            <w:tcBorders>
              <w:top w:val="nil"/>
              <w:left w:val="nil"/>
              <w:bottom w:val="single" w:sz="4" w:space="0" w:color="auto"/>
              <w:right w:val="single" w:sz="4" w:space="0" w:color="auto"/>
            </w:tcBorders>
            <w:shd w:val="clear" w:color="auto" w:fill="auto"/>
            <w:noWrap/>
            <w:vAlign w:val="bottom"/>
            <w:hideMark/>
          </w:tcPr>
          <w:p w14:paraId="3E982BF8"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381%</w:t>
            </w:r>
          </w:p>
        </w:tc>
        <w:tc>
          <w:tcPr>
            <w:tcW w:w="1579" w:type="dxa"/>
            <w:tcBorders>
              <w:top w:val="nil"/>
              <w:left w:val="nil"/>
              <w:bottom w:val="single" w:sz="4" w:space="0" w:color="auto"/>
              <w:right w:val="single" w:sz="4" w:space="0" w:color="auto"/>
            </w:tcBorders>
            <w:shd w:val="clear" w:color="auto" w:fill="auto"/>
            <w:noWrap/>
            <w:vAlign w:val="bottom"/>
            <w:hideMark/>
          </w:tcPr>
          <w:p w14:paraId="6EDBA567" w14:textId="77777777" w:rsidR="007A280F" w:rsidRPr="00CA464A" w:rsidRDefault="007A280F" w:rsidP="007A280F">
            <w:pPr>
              <w:spacing w:after="0" w:line="360" w:lineRule="auto"/>
              <w:jc w:val="right"/>
              <w:rPr>
                <w:rFonts w:ascii="Arial" w:eastAsia="Times New Roman" w:hAnsi="Arial" w:cs="Arial"/>
                <w:color w:val="000000"/>
                <w:lang w:val="en-GB"/>
              </w:rPr>
            </w:pPr>
            <w:r w:rsidRPr="00CA464A">
              <w:rPr>
                <w:rFonts w:ascii="Arial" w:eastAsia="Times New Roman" w:hAnsi="Arial" w:cs="Arial"/>
                <w:color w:val="000000"/>
                <w:lang w:val="en-GB"/>
              </w:rPr>
              <w:t>-408%</w:t>
            </w:r>
          </w:p>
        </w:tc>
      </w:tr>
    </w:tbl>
    <w:p w14:paraId="7D0108F6" w14:textId="77777777" w:rsidR="007A280F" w:rsidRPr="00CA464A" w:rsidRDefault="007A280F" w:rsidP="007A280F">
      <w:pPr>
        <w:spacing w:line="360" w:lineRule="auto"/>
        <w:jc w:val="both"/>
        <w:rPr>
          <w:rFonts w:ascii="Arial" w:hAnsi="Arial" w:cs="Arial"/>
          <w:b/>
          <w:sz w:val="24"/>
          <w:szCs w:val="24"/>
          <w:lang w:val="en-GB"/>
        </w:rPr>
      </w:pPr>
    </w:p>
    <w:p w14:paraId="0000000E" w14:textId="119E326C" w:rsidR="00DF4E62" w:rsidRPr="00CA464A" w:rsidRDefault="00117CC9" w:rsidP="007A280F">
      <w:pPr>
        <w:spacing w:line="360" w:lineRule="auto"/>
        <w:jc w:val="both"/>
        <w:rPr>
          <w:rFonts w:ascii="Arial" w:hAnsi="Arial" w:cs="Arial"/>
          <w:b/>
          <w:sz w:val="24"/>
          <w:szCs w:val="24"/>
          <w:lang w:val="en-GB"/>
        </w:rPr>
      </w:pPr>
      <w:r w:rsidRPr="00CA464A">
        <w:rPr>
          <w:rFonts w:ascii="Arial" w:hAnsi="Arial" w:cs="Arial"/>
          <w:b/>
          <w:sz w:val="24"/>
          <w:szCs w:val="24"/>
          <w:lang w:val="en-GB"/>
        </w:rPr>
        <w:t>Liquidity ratios</w:t>
      </w:r>
    </w:p>
    <w:p w14:paraId="0000000F" w14:textId="77777777" w:rsidR="00DF4E62" w:rsidRPr="00CA464A" w:rsidRDefault="00117CC9" w:rsidP="007A280F">
      <w:pPr>
        <w:spacing w:line="360" w:lineRule="auto"/>
        <w:jc w:val="both"/>
        <w:rPr>
          <w:rFonts w:ascii="Arial" w:hAnsi="Arial" w:cs="Arial"/>
          <w:b/>
          <w:sz w:val="24"/>
          <w:szCs w:val="24"/>
          <w:lang w:val="en-GB"/>
        </w:rPr>
      </w:pPr>
      <w:r w:rsidRPr="00CA464A">
        <w:rPr>
          <w:rFonts w:ascii="Arial" w:hAnsi="Arial" w:cs="Arial"/>
          <w:b/>
          <w:sz w:val="24"/>
          <w:szCs w:val="24"/>
          <w:lang w:val="en-GB"/>
        </w:rPr>
        <w:t>Current ratio</w:t>
      </w:r>
    </w:p>
    <w:p w14:paraId="00000010" w14:textId="77777777"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 xml:space="preserve">Divide the current assets by the current liabilities to get the current ratio. In the year 2020, the current ratio was 173% and in the year 2019, the current ratio was 73%. That means there is a 100% positive trend change. </w:t>
      </w:r>
    </w:p>
    <w:p w14:paraId="00000011" w14:textId="1394D016" w:rsidR="00DF4E62" w:rsidRPr="00CA464A" w:rsidRDefault="00117CC9" w:rsidP="007A280F">
      <w:pPr>
        <w:spacing w:line="360" w:lineRule="auto"/>
        <w:jc w:val="both"/>
        <w:rPr>
          <w:rFonts w:ascii="Arial" w:hAnsi="Arial" w:cs="Arial"/>
          <w:b/>
          <w:sz w:val="24"/>
          <w:szCs w:val="24"/>
          <w:lang w:val="en-GB"/>
        </w:rPr>
      </w:pPr>
      <w:r w:rsidRPr="00CA464A">
        <w:rPr>
          <w:rFonts w:ascii="Arial" w:hAnsi="Arial" w:cs="Arial"/>
          <w:b/>
          <w:sz w:val="24"/>
          <w:szCs w:val="24"/>
          <w:lang w:val="en-GB"/>
        </w:rPr>
        <w:t>Quick ratio</w:t>
      </w:r>
    </w:p>
    <w:p w14:paraId="00000012" w14:textId="77777777"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 xml:space="preserve">By deducting total inventory from current assets and dividing it by current liabilities, the quick ratio was calculated (Thomas, </w:t>
      </w:r>
      <w:proofErr w:type="spellStart"/>
      <w:r w:rsidRPr="00CA464A">
        <w:rPr>
          <w:rFonts w:ascii="Arial" w:hAnsi="Arial" w:cs="Arial"/>
          <w:sz w:val="24"/>
          <w:szCs w:val="24"/>
          <w:lang w:val="en-GB"/>
        </w:rPr>
        <w:t>Tietz</w:t>
      </w:r>
      <w:proofErr w:type="spellEnd"/>
      <w:r w:rsidRPr="00CA464A">
        <w:rPr>
          <w:rFonts w:ascii="Arial" w:hAnsi="Arial" w:cs="Arial"/>
          <w:sz w:val="24"/>
          <w:szCs w:val="24"/>
          <w:lang w:val="en-GB"/>
        </w:rPr>
        <w:t>, and Harrison, 2019). However, because the Hilton hotel had no inventory, the quick ratio was equal to the current ratio. The quick ratio was 173% in the year 2020 and 73% in the year 2019 which means there was a positive trend change.</w:t>
      </w:r>
    </w:p>
    <w:p w14:paraId="11D1C288" w14:textId="77777777" w:rsidR="00F675A7" w:rsidRDefault="00F675A7" w:rsidP="007A280F">
      <w:pPr>
        <w:spacing w:line="360" w:lineRule="auto"/>
        <w:jc w:val="both"/>
        <w:rPr>
          <w:rFonts w:ascii="Arial" w:hAnsi="Arial" w:cs="Arial"/>
          <w:b/>
          <w:sz w:val="24"/>
          <w:szCs w:val="24"/>
          <w:lang w:val="en-GB"/>
        </w:rPr>
      </w:pPr>
    </w:p>
    <w:p w14:paraId="7A522086" w14:textId="77777777" w:rsidR="00F675A7" w:rsidRDefault="00F675A7" w:rsidP="007A280F">
      <w:pPr>
        <w:spacing w:line="360" w:lineRule="auto"/>
        <w:jc w:val="both"/>
        <w:rPr>
          <w:rFonts w:ascii="Arial" w:hAnsi="Arial" w:cs="Arial"/>
          <w:b/>
          <w:sz w:val="24"/>
          <w:szCs w:val="24"/>
          <w:lang w:val="en-GB"/>
        </w:rPr>
      </w:pPr>
    </w:p>
    <w:p w14:paraId="00000013" w14:textId="3720A476" w:rsidR="00DF4E62" w:rsidRPr="00CA464A" w:rsidRDefault="00117CC9" w:rsidP="007A280F">
      <w:pPr>
        <w:spacing w:line="360" w:lineRule="auto"/>
        <w:jc w:val="both"/>
        <w:rPr>
          <w:rFonts w:ascii="Arial" w:hAnsi="Arial" w:cs="Arial"/>
          <w:b/>
          <w:sz w:val="24"/>
          <w:szCs w:val="24"/>
          <w:lang w:val="en-GB"/>
        </w:rPr>
      </w:pPr>
      <w:r w:rsidRPr="00CA464A">
        <w:rPr>
          <w:rFonts w:ascii="Arial" w:hAnsi="Arial" w:cs="Arial"/>
          <w:b/>
          <w:sz w:val="24"/>
          <w:szCs w:val="24"/>
          <w:lang w:val="en-GB"/>
        </w:rPr>
        <w:lastRenderedPageBreak/>
        <w:t>Profitability ratio</w:t>
      </w:r>
    </w:p>
    <w:p w14:paraId="00000014" w14:textId="4EFFA4BF" w:rsidR="00DF4E62" w:rsidRPr="00CA464A" w:rsidRDefault="00117CC9" w:rsidP="007A280F">
      <w:pPr>
        <w:spacing w:line="360" w:lineRule="auto"/>
        <w:jc w:val="both"/>
        <w:rPr>
          <w:rFonts w:ascii="Arial" w:hAnsi="Arial" w:cs="Arial"/>
          <w:b/>
          <w:sz w:val="24"/>
          <w:szCs w:val="24"/>
          <w:lang w:val="en-GB"/>
        </w:rPr>
      </w:pPr>
      <w:r w:rsidRPr="00CA464A">
        <w:rPr>
          <w:rFonts w:ascii="Arial" w:hAnsi="Arial" w:cs="Arial"/>
          <w:b/>
          <w:sz w:val="24"/>
          <w:szCs w:val="24"/>
          <w:lang w:val="en-GB"/>
        </w:rPr>
        <w:t>Gross profit margin</w:t>
      </w:r>
    </w:p>
    <w:p w14:paraId="00000015" w14:textId="77777777"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By deducting the cost of products sold from total sales and then dividing by total sales, the gross profit margin was computed. In the year 2020, the gross profit margin was 14% which decreased from 26% in the year 2019. Therefore, there was a negative trend change of 12%.</w:t>
      </w:r>
    </w:p>
    <w:p w14:paraId="00000016" w14:textId="77777777" w:rsidR="00DF4E62" w:rsidRPr="00CA464A" w:rsidRDefault="00117CC9" w:rsidP="007A280F">
      <w:pPr>
        <w:spacing w:line="360" w:lineRule="auto"/>
        <w:jc w:val="both"/>
        <w:rPr>
          <w:rFonts w:ascii="Arial" w:hAnsi="Arial" w:cs="Arial"/>
          <w:b/>
          <w:sz w:val="24"/>
          <w:szCs w:val="24"/>
          <w:lang w:val="en-GB"/>
        </w:rPr>
      </w:pPr>
      <w:r w:rsidRPr="00CA464A">
        <w:rPr>
          <w:rFonts w:ascii="Arial" w:hAnsi="Arial" w:cs="Arial"/>
          <w:b/>
          <w:sz w:val="24"/>
          <w:szCs w:val="24"/>
          <w:lang w:val="en-GB"/>
        </w:rPr>
        <w:t xml:space="preserve">Net profit margin </w:t>
      </w:r>
    </w:p>
    <w:p w14:paraId="00000017" w14:textId="77777777"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By dividing net income by total revenue, the net profit margin was calculated (Brigham and Ehrhardt, 2020). The net profit margin in 2020 was minus 17 percent, compared to 9 percent in 2019. As a result, there is a negative trend change of 26%.</w:t>
      </w:r>
    </w:p>
    <w:p w14:paraId="00000018" w14:textId="77777777" w:rsidR="00DF4E62" w:rsidRPr="00CA464A" w:rsidRDefault="00117CC9" w:rsidP="007A280F">
      <w:pPr>
        <w:spacing w:line="360" w:lineRule="auto"/>
        <w:jc w:val="both"/>
        <w:rPr>
          <w:rFonts w:ascii="Arial" w:hAnsi="Arial" w:cs="Arial"/>
          <w:b/>
          <w:sz w:val="24"/>
          <w:szCs w:val="24"/>
          <w:lang w:val="en-GB"/>
        </w:rPr>
      </w:pPr>
      <w:r w:rsidRPr="00CA464A">
        <w:rPr>
          <w:rFonts w:ascii="Arial" w:hAnsi="Arial" w:cs="Arial"/>
          <w:b/>
          <w:sz w:val="24"/>
          <w:szCs w:val="24"/>
          <w:lang w:val="en-GB"/>
        </w:rPr>
        <w:t>Return on capital employed</w:t>
      </w:r>
    </w:p>
    <w:p w14:paraId="00000019" w14:textId="77777777"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The return on capital employee ratio was computed by dividing operational income by the total number of employees (total asset - total liability). It was 8% in the year 2020 and -334% in the year 2019 and there was a positive trend change of 342%.</w:t>
      </w:r>
    </w:p>
    <w:p w14:paraId="0000001A" w14:textId="77777777" w:rsidR="00DF4E62" w:rsidRPr="00CA464A" w:rsidRDefault="00117CC9" w:rsidP="007A280F">
      <w:pPr>
        <w:spacing w:line="360" w:lineRule="auto"/>
        <w:jc w:val="both"/>
        <w:rPr>
          <w:rFonts w:ascii="Arial" w:hAnsi="Arial" w:cs="Arial"/>
          <w:b/>
          <w:sz w:val="24"/>
          <w:szCs w:val="24"/>
          <w:lang w:val="en-GB"/>
        </w:rPr>
      </w:pPr>
      <w:r w:rsidRPr="00CA464A">
        <w:rPr>
          <w:rFonts w:ascii="Arial" w:hAnsi="Arial" w:cs="Arial"/>
          <w:b/>
          <w:sz w:val="24"/>
          <w:szCs w:val="24"/>
          <w:lang w:val="en-GB"/>
        </w:rPr>
        <w:t>Total asset turnover</w:t>
      </w:r>
    </w:p>
    <w:p w14:paraId="0000001B" w14:textId="77777777"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By dividing total income by the average of total assets, total asset turnover was computed (Madura, 2020). In the years 2020 and 2019, it was 0.51 and 0.26, respectively, with a negative trend change of 0.75.</w:t>
      </w:r>
    </w:p>
    <w:p w14:paraId="0000001C" w14:textId="6B90D07C" w:rsidR="00DF4E62" w:rsidRPr="00CA464A" w:rsidRDefault="00117CC9" w:rsidP="007A280F">
      <w:pPr>
        <w:spacing w:line="360" w:lineRule="auto"/>
        <w:jc w:val="both"/>
        <w:rPr>
          <w:rFonts w:ascii="Arial" w:hAnsi="Arial" w:cs="Arial"/>
          <w:b/>
          <w:sz w:val="24"/>
          <w:szCs w:val="24"/>
          <w:lang w:val="en-GB"/>
        </w:rPr>
      </w:pPr>
      <w:r w:rsidRPr="00CA464A">
        <w:rPr>
          <w:rFonts w:ascii="Arial" w:hAnsi="Arial" w:cs="Arial"/>
          <w:b/>
          <w:sz w:val="24"/>
          <w:szCs w:val="24"/>
          <w:lang w:val="en-GB"/>
        </w:rPr>
        <w:t>Gearing ratios</w:t>
      </w:r>
    </w:p>
    <w:p w14:paraId="0000001D" w14:textId="77777777" w:rsidR="00DF4E62" w:rsidRPr="00CA464A" w:rsidRDefault="00117CC9" w:rsidP="007A280F">
      <w:pPr>
        <w:spacing w:line="360" w:lineRule="auto"/>
        <w:jc w:val="both"/>
        <w:rPr>
          <w:rFonts w:ascii="Arial" w:hAnsi="Arial" w:cs="Arial"/>
          <w:b/>
          <w:sz w:val="24"/>
          <w:szCs w:val="24"/>
          <w:lang w:val="en-GB"/>
        </w:rPr>
      </w:pPr>
      <w:r w:rsidRPr="00CA464A">
        <w:rPr>
          <w:rFonts w:ascii="Arial" w:hAnsi="Arial" w:cs="Arial"/>
          <w:b/>
          <w:sz w:val="24"/>
          <w:szCs w:val="24"/>
          <w:lang w:val="en-GB"/>
        </w:rPr>
        <w:t>Debt to equity ratio</w:t>
      </w:r>
    </w:p>
    <w:p w14:paraId="0000001E" w14:textId="77328123"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 xml:space="preserve">The total liabilities were divided by the total shareholder's equity to arrive at the date to equity ratio (Madura, 2020). In the year 2020, the ratio was -12.24 and it became -32.01 in the year 2019. There was a positive trend change of 19.77 in the </w:t>
      </w:r>
      <w:r w:rsidR="007A280F" w:rsidRPr="00CA464A">
        <w:rPr>
          <w:rFonts w:ascii="Arial" w:hAnsi="Arial" w:cs="Arial"/>
          <w:sz w:val="24"/>
          <w:szCs w:val="24"/>
          <w:lang w:val="en-GB"/>
        </w:rPr>
        <w:t>debt-to-equity</w:t>
      </w:r>
      <w:r w:rsidRPr="00CA464A">
        <w:rPr>
          <w:rFonts w:ascii="Arial" w:hAnsi="Arial" w:cs="Arial"/>
          <w:sz w:val="24"/>
          <w:szCs w:val="24"/>
          <w:lang w:val="en-GB"/>
        </w:rPr>
        <w:t xml:space="preserve"> ratio.</w:t>
      </w:r>
    </w:p>
    <w:p w14:paraId="305BE32E" w14:textId="77777777" w:rsidR="00F675A7" w:rsidRDefault="00F675A7" w:rsidP="007A280F">
      <w:pPr>
        <w:spacing w:line="360" w:lineRule="auto"/>
        <w:jc w:val="both"/>
        <w:rPr>
          <w:rFonts w:ascii="Arial" w:hAnsi="Arial" w:cs="Arial"/>
          <w:b/>
          <w:sz w:val="24"/>
          <w:szCs w:val="24"/>
          <w:lang w:val="en-GB"/>
        </w:rPr>
      </w:pPr>
    </w:p>
    <w:p w14:paraId="06F7052C" w14:textId="77777777" w:rsidR="00F675A7" w:rsidRDefault="00F675A7" w:rsidP="007A280F">
      <w:pPr>
        <w:spacing w:line="360" w:lineRule="auto"/>
        <w:jc w:val="both"/>
        <w:rPr>
          <w:rFonts w:ascii="Arial" w:hAnsi="Arial" w:cs="Arial"/>
          <w:b/>
          <w:sz w:val="24"/>
          <w:szCs w:val="24"/>
          <w:lang w:val="en-GB"/>
        </w:rPr>
      </w:pPr>
    </w:p>
    <w:p w14:paraId="5F6B1219" w14:textId="77777777" w:rsidR="00F675A7" w:rsidRDefault="00F675A7" w:rsidP="007A280F">
      <w:pPr>
        <w:spacing w:line="360" w:lineRule="auto"/>
        <w:jc w:val="both"/>
        <w:rPr>
          <w:rFonts w:ascii="Arial" w:hAnsi="Arial" w:cs="Arial"/>
          <w:b/>
          <w:sz w:val="24"/>
          <w:szCs w:val="24"/>
          <w:lang w:val="en-GB"/>
        </w:rPr>
      </w:pPr>
    </w:p>
    <w:p w14:paraId="0000001F" w14:textId="4D8E193D" w:rsidR="00DF4E62" w:rsidRPr="00CA464A" w:rsidRDefault="00117CC9" w:rsidP="007A280F">
      <w:pPr>
        <w:spacing w:line="360" w:lineRule="auto"/>
        <w:jc w:val="both"/>
        <w:rPr>
          <w:rFonts w:ascii="Arial" w:hAnsi="Arial" w:cs="Arial"/>
          <w:b/>
          <w:sz w:val="24"/>
          <w:szCs w:val="24"/>
          <w:lang w:val="en-GB"/>
        </w:rPr>
      </w:pPr>
      <w:r w:rsidRPr="00CA464A">
        <w:rPr>
          <w:rFonts w:ascii="Arial" w:hAnsi="Arial" w:cs="Arial"/>
          <w:b/>
          <w:sz w:val="24"/>
          <w:szCs w:val="24"/>
          <w:lang w:val="en-GB"/>
        </w:rPr>
        <w:lastRenderedPageBreak/>
        <w:t>Debt ratio</w:t>
      </w:r>
    </w:p>
    <w:p w14:paraId="00000020" w14:textId="77777777"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By dividing total liabilities by total assets, the debt ratio was determined. The ratio was 109% in the year 2020 and 103 percent in the year 2019. There was a positive trend change of 6% in the debt ratio.</w:t>
      </w:r>
    </w:p>
    <w:p w14:paraId="00000021" w14:textId="77777777" w:rsidR="00DF4E62" w:rsidRPr="00CA464A" w:rsidRDefault="00117CC9" w:rsidP="007A280F">
      <w:pPr>
        <w:spacing w:line="360" w:lineRule="auto"/>
        <w:jc w:val="both"/>
        <w:rPr>
          <w:rFonts w:ascii="Arial" w:hAnsi="Arial" w:cs="Arial"/>
          <w:b/>
          <w:sz w:val="24"/>
          <w:szCs w:val="24"/>
          <w:lang w:val="en-GB"/>
        </w:rPr>
      </w:pPr>
      <w:r w:rsidRPr="00CA464A">
        <w:rPr>
          <w:rFonts w:ascii="Arial" w:hAnsi="Arial" w:cs="Arial"/>
          <w:b/>
          <w:sz w:val="24"/>
          <w:szCs w:val="24"/>
          <w:lang w:val="en-GB"/>
        </w:rPr>
        <w:t>Interest coverage ratio</w:t>
      </w:r>
    </w:p>
    <w:p w14:paraId="00000022" w14:textId="77777777"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Divide the operational income by the interest expense to get the interest coverage ratio. It was - 26% in the year 2020 and 381% in the year 2019. However, there was a negative trend change of -408% in the ratio.</w:t>
      </w:r>
    </w:p>
    <w:p w14:paraId="00000023" w14:textId="791C215E" w:rsidR="00DF4E62" w:rsidRPr="00CA464A" w:rsidRDefault="007A280F" w:rsidP="007A280F">
      <w:pPr>
        <w:pStyle w:val="Heading2"/>
        <w:spacing w:line="360" w:lineRule="auto"/>
        <w:rPr>
          <w:rFonts w:ascii="Arial" w:hAnsi="Arial" w:cs="Arial"/>
          <w:lang w:val="en-GB"/>
        </w:rPr>
      </w:pPr>
      <w:bookmarkStart w:id="5" w:name="_Toc104840613"/>
      <w:r w:rsidRPr="00CA464A">
        <w:rPr>
          <w:rFonts w:ascii="Arial" w:hAnsi="Arial" w:cs="Arial"/>
          <w:lang w:val="en-GB"/>
        </w:rPr>
        <w:t xml:space="preserve">b) </w:t>
      </w:r>
      <w:r w:rsidR="00117CC9" w:rsidRPr="00CA464A">
        <w:rPr>
          <w:rFonts w:ascii="Arial" w:hAnsi="Arial" w:cs="Arial"/>
          <w:lang w:val="en-GB"/>
        </w:rPr>
        <w:t xml:space="preserve">Importance </w:t>
      </w:r>
      <w:r w:rsidRPr="00CA464A">
        <w:rPr>
          <w:rFonts w:ascii="Arial" w:hAnsi="Arial" w:cs="Arial"/>
          <w:lang w:val="en-GB"/>
        </w:rPr>
        <w:t>Of Using Ratio Analysis for Decision Making</w:t>
      </w:r>
      <w:bookmarkEnd w:id="5"/>
    </w:p>
    <w:p w14:paraId="00000024" w14:textId="77777777"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When looking at the data in the financial statements of hospitality operations, it's vital to understand the profitability statements and how they vary. This section could describe several types of financial data, as well as the importance of profitability indicators in understanding them:</w:t>
      </w:r>
    </w:p>
    <w:p w14:paraId="00000025" w14:textId="77777777" w:rsidR="00DF4E62" w:rsidRPr="00CA464A" w:rsidRDefault="00117CC9" w:rsidP="007A280F">
      <w:pPr>
        <w:spacing w:line="360" w:lineRule="auto"/>
        <w:jc w:val="both"/>
        <w:rPr>
          <w:rFonts w:ascii="Arial" w:hAnsi="Arial" w:cs="Arial"/>
          <w:b/>
          <w:sz w:val="24"/>
          <w:szCs w:val="24"/>
          <w:lang w:val="en-GB"/>
        </w:rPr>
      </w:pPr>
      <w:r w:rsidRPr="00CA464A">
        <w:rPr>
          <w:rFonts w:ascii="Arial" w:hAnsi="Arial" w:cs="Arial"/>
          <w:b/>
          <w:sz w:val="24"/>
          <w:szCs w:val="24"/>
          <w:lang w:val="en-GB"/>
        </w:rPr>
        <w:t>Planning and scheduling for the future</w:t>
      </w:r>
    </w:p>
    <w:p w14:paraId="00000026" w14:textId="32FBAD29"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 xml:space="preserve">The financial outcomes of hospitality management are on the rise. For example, Hilton Hotels helps firms build operating and economic plans for their operations. The management of the company </w:t>
      </w:r>
      <w:r w:rsidR="00CA464A" w:rsidRPr="00CA464A">
        <w:rPr>
          <w:rFonts w:ascii="Arial" w:hAnsi="Arial" w:cs="Arial"/>
          <w:sz w:val="24"/>
          <w:szCs w:val="24"/>
          <w:lang w:val="en-GB"/>
        </w:rPr>
        <w:t>can</w:t>
      </w:r>
      <w:r w:rsidRPr="00CA464A">
        <w:rPr>
          <w:rFonts w:ascii="Arial" w:hAnsi="Arial" w:cs="Arial"/>
          <w:sz w:val="24"/>
          <w:szCs w:val="24"/>
          <w:lang w:val="en-GB"/>
        </w:rPr>
        <w:t xml:space="preserve"> </w:t>
      </w:r>
      <w:proofErr w:type="spellStart"/>
      <w:r w:rsidRPr="00CA464A">
        <w:rPr>
          <w:rFonts w:ascii="Arial" w:hAnsi="Arial" w:cs="Arial"/>
          <w:sz w:val="24"/>
          <w:szCs w:val="24"/>
          <w:lang w:val="en-GB"/>
        </w:rPr>
        <w:t>analyze</w:t>
      </w:r>
      <w:proofErr w:type="spellEnd"/>
      <w:r w:rsidRPr="00CA464A">
        <w:rPr>
          <w:rFonts w:ascii="Arial" w:hAnsi="Arial" w:cs="Arial"/>
          <w:sz w:val="24"/>
          <w:szCs w:val="24"/>
          <w:lang w:val="en-GB"/>
        </w:rPr>
        <w:t xml:space="preserve"> the data with the help of the liquidity ratio and they can make decisions on whether </w:t>
      </w:r>
      <w:r w:rsidR="00CA464A" w:rsidRPr="00CA464A">
        <w:rPr>
          <w:rFonts w:ascii="Arial" w:hAnsi="Arial" w:cs="Arial"/>
          <w:sz w:val="24"/>
          <w:szCs w:val="24"/>
          <w:lang w:val="en-GB"/>
        </w:rPr>
        <w:t>they can</w:t>
      </w:r>
      <w:r w:rsidRPr="00CA464A">
        <w:rPr>
          <w:rFonts w:ascii="Arial" w:hAnsi="Arial" w:cs="Arial"/>
          <w:sz w:val="24"/>
          <w:szCs w:val="24"/>
          <w:lang w:val="en-GB"/>
        </w:rPr>
        <w:t xml:space="preserve"> make operating and economic plans (Block, Hirt, and Danielsen, 2019).</w:t>
      </w:r>
    </w:p>
    <w:p w14:paraId="00000027" w14:textId="4FA0812F" w:rsidR="00DF4E62" w:rsidRPr="00CA464A" w:rsidRDefault="00117CC9" w:rsidP="007A280F">
      <w:pPr>
        <w:spacing w:line="360" w:lineRule="auto"/>
        <w:jc w:val="both"/>
        <w:rPr>
          <w:rFonts w:ascii="Arial" w:hAnsi="Arial" w:cs="Arial"/>
          <w:b/>
          <w:sz w:val="24"/>
          <w:szCs w:val="24"/>
          <w:lang w:val="en-GB"/>
        </w:rPr>
      </w:pPr>
      <w:r w:rsidRPr="00CA464A">
        <w:rPr>
          <w:rFonts w:ascii="Arial" w:hAnsi="Arial" w:cs="Arial"/>
          <w:b/>
          <w:sz w:val="24"/>
          <w:szCs w:val="24"/>
          <w:lang w:val="en-GB"/>
        </w:rPr>
        <w:t>Making a Choice</w:t>
      </w:r>
    </w:p>
    <w:p w14:paraId="00000028" w14:textId="2BA41E25"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 xml:space="preserve">All the important decisions in the hotel are taken by </w:t>
      </w:r>
      <w:proofErr w:type="spellStart"/>
      <w:r w:rsidRPr="00CA464A">
        <w:rPr>
          <w:rFonts w:ascii="Arial" w:hAnsi="Arial" w:cs="Arial"/>
          <w:sz w:val="24"/>
          <w:szCs w:val="24"/>
          <w:lang w:val="en-GB"/>
        </w:rPr>
        <w:t>analyzing</w:t>
      </w:r>
      <w:proofErr w:type="spellEnd"/>
      <w:r w:rsidRPr="00CA464A">
        <w:rPr>
          <w:rFonts w:ascii="Arial" w:hAnsi="Arial" w:cs="Arial"/>
          <w:sz w:val="24"/>
          <w:szCs w:val="24"/>
          <w:lang w:val="en-GB"/>
        </w:rPr>
        <w:t xml:space="preserve"> the financial ratios. </w:t>
      </w:r>
      <w:r w:rsidR="00CA464A" w:rsidRPr="00CA464A">
        <w:rPr>
          <w:rFonts w:ascii="Arial" w:hAnsi="Arial" w:cs="Arial"/>
          <w:sz w:val="24"/>
          <w:szCs w:val="24"/>
          <w:lang w:val="en-GB"/>
        </w:rPr>
        <w:t>T</w:t>
      </w:r>
      <w:r w:rsidRPr="00CA464A">
        <w:rPr>
          <w:rFonts w:ascii="Arial" w:hAnsi="Arial" w:cs="Arial"/>
          <w:sz w:val="24"/>
          <w:szCs w:val="24"/>
          <w:lang w:val="en-GB"/>
        </w:rPr>
        <w:t xml:space="preserve">o </w:t>
      </w:r>
      <w:r w:rsidR="00CA464A" w:rsidRPr="00CA464A">
        <w:rPr>
          <w:rFonts w:ascii="Arial" w:hAnsi="Arial" w:cs="Arial"/>
          <w:sz w:val="24"/>
          <w:szCs w:val="24"/>
          <w:lang w:val="en-GB"/>
        </w:rPr>
        <w:t>choos</w:t>
      </w:r>
      <w:r w:rsidRPr="00CA464A">
        <w:rPr>
          <w:rFonts w:ascii="Arial" w:hAnsi="Arial" w:cs="Arial"/>
          <w:sz w:val="24"/>
          <w:szCs w:val="24"/>
          <w:lang w:val="en-GB"/>
        </w:rPr>
        <w:t xml:space="preserve">e between borrowing, investing and source of financing the financial ratios are needed. Each of the financial decisions in the hotel is taken by the management only after </w:t>
      </w:r>
      <w:proofErr w:type="spellStart"/>
      <w:r w:rsidRPr="00CA464A">
        <w:rPr>
          <w:rFonts w:ascii="Arial" w:hAnsi="Arial" w:cs="Arial"/>
          <w:sz w:val="24"/>
          <w:szCs w:val="24"/>
          <w:lang w:val="en-GB"/>
        </w:rPr>
        <w:t>analyzing</w:t>
      </w:r>
      <w:proofErr w:type="spellEnd"/>
      <w:r w:rsidRPr="00CA464A">
        <w:rPr>
          <w:rFonts w:ascii="Arial" w:hAnsi="Arial" w:cs="Arial"/>
          <w:sz w:val="24"/>
          <w:szCs w:val="24"/>
          <w:lang w:val="en-GB"/>
        </w:rPr>
        <w:t xml:space="preserve"> the ratios (Higgins, Koski, and Mitton, 2019).</w:t>
      </w:r>
    </w:p>
    <w:p w14:paraId="00000029" w14:textId="77777777" w:rsidR="00DF4E62" w:rsidRPr="00CA464A" w:rsidRDefault="00117CC9" w:rsidP="007A280F">
      <w:pPr>
        <w:spacing w:line="360" w:lineRule="auto"/>
        <w:jc w:val="both"/>
        <w:rPr>
          <w:rFonts w:ascii="Arial" w:hAnsi="Arial" w:cs="Arial"/>
          <w:b/>
          <w:sz w:val="24"/>
          <w:szCs w:val="24"/>
          <w:lang w:val="en-GB"/>
        </w:rPr>
      </w:pPr>
      <w:r w:rsidRPr="00CA464A">
        <w:rPr>
          <w:rFonts w:ascii="Arial" w:hAnsi="Arial" w:cs="Arial"/>
          <w:b/>
          <w:sz w:val="24"/>
          <w:szCs w:val="24"/>
          <w:lang w:val="en-GB"/>
        </w:rPr>
        <w:t>Long-term viability</w:t>
      </w:r>
    </w:p>
    <w:p w14:paraId="0000002A" w14:textId="52253001"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 xml:space="preserve">An income report boosting understanding is the ability to afford long-term responsibilities and the consequences of long-term liabilities. If a hotel administration firm, such as Hilton </w:t>
      </w:r>
      <w:r w:rsidRPr="00CA464A">
        <w:rPr>
          <w:rFonts w:ascii="Arial" w:hAnsi="Arial" w:cs="Arial"/>
          <w:sz w:val="24"/>
          <w:szCs w:val="24"/>
          <w:lang w:val="en-GB"/>
        </w:rPr>
        <w:lastRenderedPageBreak/>
        <w:t>Hotel, pays long-term commitments on schedule, the firm's financing capabilities and solvency position portray a favo</w:t>
      </w:r>
      <w:r w:rsidR="00CA464A" w:rsidRPr="00CA464A">
        <w:rPr>
          <w:rFonts w:ascii="Arial" w:hAnsi="Arial" w:cs="Arial"/>
          <w:sz w:val="24"/>
          <w:szCs w:val="24"/>
          <w:lang w:val="en-GB"/>
        </w:rPr>
        <w:t>u</w:t>
      </w:r>
      <w:r w:rsidRPr="00CA464A">
        <w:rPr>
          <w:rFonts w:ascii="Arial" w:hAnsi="Arial" w:cs="Arial"/>
          <w:sz w:val="24"/>
          <w:szCs w:val="24"/>
          <w:lang w:val="en-GB"/>
        </w:rPr>
        <w:t xml:space="preserve">rable reputation. By understanding the ratios and performing quantitative statements, accountants and shareholders will be able to </w:t>
      </w:r>
      <w:proofErr w:type="spellStart"/>
      <w:r w:rsidRPr="00CA464A">
        <w:rPr>
          <w:rFonts w:ascii="Arial" w:hAnsi="Arial" w:cs="Arial"/>
          <w:sz w:val="24"/>
          <w:szCs w:val="24"/>
          <w:lang w:val="en-GB"/>
        </w:rPr>
        <w:t>analyze</w:t>
      </w:r>
      <w:proofErr w:type="spellEnd"/>
      <w:r w:rsidRPr="00CA464A">
        <w:rPr>
          <w:rFonts w:ascii="Arial" w:hAnsi="Arial" w:cs="Arial"/>
          <w:sz w:val="24"/>
          <w:szCs w:val="24"/>
          <w:lang w:val="en-GB"/>
        </w:rPr>
        <w:t xml:space="preserve"> the hospitality firm's long-term viability.</w:t>
      </w:r>
    </w:p>
    <w:p w14:paraId="0000002B" w14:textId="77777777"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b/>
          <w:sz w:val="24"/>
          <w:szCs w:val="24"/>
          <w:lang w:val="en-GB"/>
        </w:rPr>
        <w:t>Profitability</w:t>
      </w:r>
    </w:p>
    <w:p w14:paraId="0000002C" w14:textId="244A4035"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 xml:space="preserve">The financial account is used to assess the viability of a hotel management company like Hilton Hotel. A comparison of different revenue indicating metrics </w:t>
      </w:r>
      <w:r w:rsidR="00CA464A" w:rsidRPr="00CA464A">
        <w:rPr>
          <w:rFonts w:ascii="Arial" w:hAnsi="Arial" w:cs="Arial"/>
          <w:sz w:val="24"/>
          <w:szCs w:val="24"/>
          <w:lang w:val="en-GB"/>
        </w:rPr>
        <w:t>are</w:t>
      </w:r>
      <w:r w:rsidRPr="00CA464A">
        <w:rPr>
          <w:rFonts w:ascii="Arial" w:hAnsi="Arial" w:cs="Arial"/>
          <w:sz w:val="24"/>
          <w:szCs w:val="24"/>
          <w:lang w:val="en-GB"/>
        </w:rPr>
        <w:t xml:space="preserve"> used to determine a corporation's ability to create revenue (Libby, Libby, and Hodge, 2020). The financial analysis of the company's earnings per share and debt coverage ratio would also disclose </w:t>
      </w:r>
      <w:proofErr w:type="spellStart"/>
      <w:r w:rsidRPr="00CA464A">
        <w:rPr>
          <w:rFonts w:ascii="Arial" w:hAnsi="Arial" w:cs="Arial"/>
          <w:sz w:val="24"/>
          <w:szCs w:val="24"/>
          <w:lang w:val="en-GB"/>
        </w:rPr>
        <w:t>payout</w:t>
      </w:r>
      <w:proofErr w:type="spellEnd"/>
      <w:r w:rsidRPr="00CA464A">
        <w:rPr>
          <w:rFonts w:ascii="Arial" w:hAnsi="Arial" w:cs="Arial"/>
          <w:sz w:val="24"/>
          <w:szCs w:val="24"/>
          <w:lang w:val="en-GB"/>
        </w:rPr>
        <w:t xml:space="preserve"> and debt repayment capability. As a result, determining the proportion is critical.</w:t>
      </w:r>
    </w:p>
    <w:p w14:paraId="0000002D" w14:textId="77777777" w:rsidR="00DF4E62" w:rsidRPr="00CA464A" w:rsidRDefault="00117CC9" w:rsidP="007A280F">
      <w:pPr>
        <w:spacing w:line="360" w:lineRule="auto"/>
        <w:jc w:val="both"/>
        <w:rPr>
          <w:rFonts w:ascii="Arial" w:hAnsi="Arial" w:cs="Arial"/>
          <w:b/>
          <w:sz w:val="24"/>
          <w:szCs w:val="24"/>
          <w:lang w:val="en-GB"/>
        </w:rPr>
      </w:pPr>
      <w:r w:rsidRPr="00CA464A">
        <w:rPr>
          <w:rFonts w:ascii="Arial" w:hAnsi="Arial" w:cs="Arial"/>
          <w:b/>
          <w:sz w:val="24"/>
          <w:szCs w:val="24"/>
          <w:lang w:val="en-GB"/>
        </w:rPr>
        <w:t>Operational efficiency</w:t>
      </w:r>
    </w:p>
    <w:p w14:paraId="0000002E" w14:textId="3CFACE9C"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 xml:space="preserve">It is necessary to </w:t>
      </w:r>
      <w:proofErr w:type="spellStart"/>
      <w:r w:rsidRPr="00CA464A">
        <w:rPr>
          <w:rFonts w:ascii="Arial" w:hAnsi="Arial" w:cs="Arial"/>
          <w:sz w:val="24"/>
          <w:szCs w:val="24"/>
          <w:lang w:val="en-GB"/>
        </w:rPr>
        <w:t>analyze</w:t>
      </w:r>
      <w:proofErr w:type="spellEnd"/>
      <w:r w:rsidRPr="00CA464A">
        <w:rPr>
          <w:rFonts w:ascii="Arial" w:hAnsi="Arial" w:cs="Arial"/>
          <w:sz w:val="24"/>
          <w:szCs w:val="24"/>
          <w:lang w:val="en-GB"/>
        </w:rPr>
        <w:t xml:space="preserve"> the financial ratios to identify that operation, all performance, and various other communities of the hotel and take decisions according to the analysis. Different operational percentages represent different degrees of capacity utilization when it comes to working capital. As a result, a comparative analysis is necessary.</w:t>
      </w:r>
    </w:p>
    <w:p w14:paraId="0000002F" w14:textId="77777777" w:rsidR="00DF4E62" w:rsidRPr="00CA464A" w:rsidRDefault="00117CC9" w:rsidP="007A280F">
      <w:pPr>
        <w:spacing w:line="360" w:lineRule="auto"/>
        <w:jc w:val="both"/>
        <w:rPr>
          <w:rFonts w:ascii="Arial" w:hAnsi="Arial" w:cs="Arial"/>
          <w:b/>
          <w:sz w:val="24"/>
          <w:szCs w:val="24"/>
          <w:lang w:val="en-GB"/>
        </w:rPr>
      </w:pPr>
      <w:r w:rsidRPr="00CA464A">
        <w:rPr>
          <w:rFonts w:ascii="Arial" w:hAnsi="Arial" w:cs="Arial"/>
          <w:b/>
          <w:sz w:val="24"/>
          <w:szCs w:val="24"/>
          <w:lang w:val="en-GB"/>
        </w:rPr>
        <w:t xml:space="preserve">Cost and expense management </w:t>
      </w:r>
    </w:p>
    <w:p w14:paraId="00000030" w14:textId="5AA56920"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Comparing ratios from different times and organizations in the hotel sector would clarify diverse price structures and spending types. The hidden arrangement price is calculated using the finance report's comparison and proportionate evaluation. If the profitability ratio</w:t>
      </w:r>
      <w:r w:rsidR="00F675A7">
        <w:rPr>
          <w:rFonts w:ascii="Arial" w:hAnsi="Arial" w:cs="Arial"/>
          <w:sz w:val="24"/>
          <w:szCs w:val="24"/>
          <w:lang w:val="en-GB"/>
        </w:rPr>
        <w:t xml:space="preserve"> </w:t>
      </w:r>
      <w:r w:rsidRPr="00CA464A">
        <w:rPr>
          <w:rFonts w:ascii="Arial" w:hAnsi="Arial" w:cs="Arial"/>
          <w:sz w:val="24"/>
          <w:szCs w:val="24"/>
          <w:lang w:val="en-GB"/>
        </w:rPr>
        <w:t xml:space="preserve">data is </w:t>
      </w:r>
      <w:proofErr w:type="spellStart"/>
      <w:r w:rsidRPr="00CA464A">
        <w:rPr>
          <w:rFonts w:ascii="Arial" w:hAnsi="Arial" w:cs="Arial"/>
          <w:sz w:val="24"/>
          <w:szCs w:val="24"/>
          <w:lang w:val="en-GB"/>
        </w:rPr>
        <w:t>analyzed</w:t>
      </w:r>
      <w:proofErr w:type="spellEnd"/>
      <w:r w:rsidRPr="00CA464A">
        <w:rPr>
          <w:rFonts w:ascii="Arial" w:hAnsi="Arial" w:cs="Arial"/>
          <w:sz w:val="24"/>
          <w:szCs w:val="24"/>
          <w:lang w:val="en-GB"/>
        </w:rPr>
        <w:t xml:space="preserve"> properly then it will help in the controlling, managing, and expenditures process of the hotel and help in proper decision making (Mishkin and Eakins, 2018).</w:t>
      </w:r>
    </w:p>
    <w:p w14:paraId="00000031" w14:textId="77777777" w:rsidR="00DF4E62" w:rsidRPr="00CA464A" w:rsidRDefault="00117CC9" w:rsidP="007A280F">
      <w:pPr>
        <w:spacing w:line="360" w:lineRule="auto"/>
        <w:jc w:val="both"/>
        <w:rPr>
          <w:rFonts w:ascii="Arial" w:hAnsi="Arial" w:cs="Arial"/>
          <w:b/>
          <w:sz w:val="24"/>
          <w:szCs w:val="24"/>
          <w:lang w:val="en-GB"/>
        </w:rPr>
      </w:pPr>
      <w:r w:rsidRPr="00CA464A">
        <w:rPr>
          <w:rFonts w:ascii="Arial" w:hAnsi="Arial" w:cs="Arial"/>
          <w:b/>
          <w:sz w:val="24"/>
          <w:szCs w:val="24"/>
          <w:lang w:val="en-GB"/>
        </w:rPr>
        <w:t>Position of liquidity</w:t>
      </w:r>
    </w:p>
    <w:p w14:paraId="00000032" w14:textId="1261620A"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The financial health of a hotel is crucial for paying relatively short-term obligations. The financial situation of a corporation is favo</w:t>
      </w:r>
      <w:r w:rsidR="00CA464A" w:rsidRPr="00CA464A">
        <w:rPr>
          <w:rFonts w:ascii="Arial" w:hAnsi="Arial" w:cs="Arial"/>
          <w:sz w:val="24"/>
          <w:szCs w:val="24"/>
          <w:lang w:val="en-GB"/>
        </w:rPr>
        <w:t>u</w:t>
      </w:r>
      <w:r w:rsidRPr="00CA464A">
        <w:rPr>
          <w:rFonts w:ascii="Arial" w:hAnsi="Arial" w:cs="Arial"/>
          <w:sz w:val="24"/>
          <w:szCs w:val="24"/>
          <w:lang w:val="en-GB"/>
        </w:rPr>
        <w:t>rable if it has more liquid assets than accessible liabilities. Aside from that, a far less prevalent source of financing would put the company in a weaker position when it came to meeting very short-term obligations. Calculating and measuring the business's solvency indicators can reveal the size of this interest held by any hotel administration firm.</w:t>
      </w:r>
    </w:p>
    <w:p w14:paraId="00000033" w14:textId="1AABFD6C" w:rsidR="00DF4E62" w:rsidRPr="00CA464A" w:rsidRDefault="007A280F" w:rsidP="007A280F">
      <w:pPr>
        <w:pStyle w:val="Heading2"/>
        <w:spacing w:line="360" w:lineRule="auto"/>
        <w:rPr>
          <w:rFonts w:ascii="Arial" w:hAnsi="Arial" w:cs="Arial"/>
          <w:lang w:val="en-GB"/>
        </w:rPr>
      </w:pPr>
      <w:bookmarkStart w:id="6" w:name="_Toc104840614"/>
      <w:r w:rsidRPr="00CA464A">
        <w:rPr>
          <w:rFonts w:ascii="Arial" w:hAnsi="Arial" w:cs="Arial"/>
          <w:lang w:val="en-GB"/>
        </w:rPr>
        <w:lastRenderedPageBreak/>
        <w:t xml:space="preserve">c) </w:t>
      </w:r>
      <w:r w:rsidR="00117CC9" w:rsidRPr="00CA464A">
        <w:rPr>
          <w:rFonts w:ascii="Arial" w:hAnsi="Arial" w:cs="Arial"/>
          <w:lang w:val="en-GB"/>
        </w:rPr>
        <w:t xml:space="preserve">Benefits </w:t>
      </w:r>
      <w:r w:rsidRPr="00CA464A">
        <w:rPr>
          <w:rFonts w:ascii="Arial" w:hAnsi="Arial" w:cs="Arial"/>
          <w:lang w:val="en-GB"/>
        </w:rPr>
        <w:t>And Limitations of Ratio Analysis</w:t>
      </w:r>
      <w:bookmarkEnd w:id="6"/>
    </w:p>
    <w:p w14:paraId="00000034" w14:textId="77777777"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Some of the benefits of accounting ratios are listed below:</w:t>
      </w:r>
    </w:p>
    <w:p w14:paraId="00000035" w14:textId="77777777" w:rsidR="00DF4E62" w:rsidRPr="00CA464A" w:rsidRDefault="00117CC9" w:rsidP="007A280F">
      <w:pPr>
        <w:numPr>
          <w:ilvl w:val="0"/>
          <w:numId w:val="2"/>
        </w:numPr>
        <w:spacing w:line="360" w:lineRule="auto"/>
        <w:jc w:val="both"/>
        <w:rPr>
          <w:rFonts w:ascii="Arial" w:hAnsi="Arial" w:cs="Arial"/>
          <w:sz w:val="24"/>
          <w:szCs w:val="24"/>
          <w:lang w:val="en-GB"/>
        </w:rPr>
      </w:pPr>
      <w:r w:rsidRPr="00CA464A">
        <w:rPr>
          <w:rFonts w:ascii="Arial" w:hAnsi="Arial" w:cs="Arial"/>
          <w:sz w:val="24"/>
          <w:szCs w:val="24"/>
          <w:lang w:val="en-GB"/>
        </w:rPr>
        <w:t>Productivity evaluation and pay system improvement may be achievable when the actual picture of fiscal operations is provided by the proportion of monetary data.</w:t>
      </w:r>
    </w:p>
    <w:p w14:paraId="00000036" w14:textId="77777777" w:rsidR="00DF4E62" w:rsidRPr="00CA464A" w:rsidRDefault="00117CC9" w:rsidP="007A280F">
      <w:pPr>
        <w:numPr>
          <w:ilvl w:val="0"/>
          <w:numId w:val="2"/>
        </w:numPr>
        <w:spacing w:line="360" w:lineRule="auto"/>
        <w:jc w:val="both"/>
        <w:rPr>
          <w:rFonts w:ascii="Arial" w:hAnsi="Arial" w:cs="Arial"/>
          <w:sz w:val="24"/>
          <w:szCs w:val="24"/>
          <w:lang w:val="en-GB"/>
        </w:rPr>
      </w:pPr>
      <w:r w:rsidRPr="00CA464A">
        <w:rPr>
          <w:rFonts w:ascii="Arial" w:hAnsi="Arial" w:cs="Arial"/>
          <w:sz w:val="24"/>
          <w:szCs w:val="24"/>
          <w:lang w:val="en-GB"/>
        </w:rPr>
        <w:t>If Hilton Hotel's proportion evaluation gives ready-to-use data for budgeting, several budgets for corporate operations are prepared to depend on anticipated requirements (Mishkin and Eakins, 2018).</w:t>
      </w:r>
    </w:p>
    <w:p w14:paraId="00000037" w14:textId="77777777" w:rsidR="00DF4E62" w:rsidRPr="00CA464A" w:rsidRDefault="00117CC9" w:rsidP="007A280F">
      <w:pPr>
        <w:numPr>
          <w:ilvl w:val="0"/>
          <w:numId w:val="2"/>
        </w:numPr>
        <w:spacing w:line="360" w:lineRule="auto"/>
        <w:jc w:val="both"/>
        <w:rPr>
          <w:rFonts w:ascii="Arial" w:hAnsi="Arial" w:cs="Arial"/>
          <w:sz w:val="24"/>
          <w:szCs w:val="24"/>
          <w:lang w:val="en-GB"/>
        </w:rPr>
      </w:pPr>
      <w:r w:rsidRPr="00CA464A">
        <w:rPr>
          <w:rFonts w:ascii="Arial" w:hAnsi="Arial" w:cs="Arial"/>
          <w:sz w:val="24"/>
          <w:szCs w:val="24"/>
          <w:lang w:val="en-GB"/>
        </w:rPr>
        <w:t>The overall strategic and non-financial status and outcomes would be simplified if the finance fraction was assessed.</w:t>
      </w:r>
    </w:p>
    <w:p w14:paraId="00000038" w14:textId="77777777" w:rsidR="00DF4E62" w:rsidRPr="00CA464A" w:rsidRDefault="00117CC9" w:rsidP="007A280F">
      <w:pPr>
        <w:numPr>
          <w:ilvl w:val="0"/>
          <w:numId w:val="2"/>
        </w:numPr>
        <w:spacing w:line="360" w:lineRule="auto"/>
        <w:jc w:val="both"/>
        <w:rPr>
          <w:rFonts w:ascii="Arial" w:hAnsi="Arial" w:cs="Arial"/>
          <w:sz w:val="24"/>
          <w:szCs w:val="24"/>
          <w:lang w:val="en-GB"/>
        </w:rPr>
      </w:pPr>
      <w:r w:rsidRPr="00CA464A">
        <w:rPr>
          <w:rFonts w:ascii="Arial" w:hAnsi="Arial" w:cs="Arial"/>
          <w:sz w:val="24"/>
          <w:szCs w:val="24"/>
          <w:lang w:val="en-GB"/>
        </w:rPr>
        <w:t>Using varied proportions, it is easy to find the connection between multiple bookkeeping data and consequences with the help of financial analysis (</w:t>
      </w:r>
      <w:proofErr w:type="spellStart"/>
      <w:r w:rsidRPr="00CA464A">
        <w:rPr>
          <w:rFonts w:ascii="Arial" w:hAnsi="Arial" w:cs="Arial"/>
          <w:sz w:val="24"/>
          <w:szCs w:val="24"/>
          <w:lang w:val="en-GB"/>
        </w:rPr>
        <w:t>Nikbakht</w:t>
      </w:r>
      <w:proofErr w:type="spellEnd"/>
      <w:r w:rsidRPr="00CA464A">
        <w:rPr>
          <w:rFonts w:ascii="Arial" w:hAnsi="Arial" w:cs="Arial"/>
          <w:sz w:val="24"/>
          <w:szCs w:val="24"/>
          <w:lang w:val="en-GB"/>
        </w:rPr>
        <w:t xml:space="preserve"> and </w:t>
      </w:r>
      <w:proofErr w:type="spellStart"/>
      <w:r w:rsidRPr="00CA464A">
        <w:rPr>
          <w:rFonts w:ascii="Arial" w:hAnsi="Arial" w:cs="Arial"/>
          <w:sz w:val="24"/>
          <w:szCs w:val="24"/>
          <w:lang w:val="en-GB"/>
        </w:rPr>
        <w:t>Groppelli</w:t>
      </w:r>
      <w:proofErr w:type="spellEnd"/>
      <w:r w:rsidRPr="00CA464A">
        <w:rPr>
          <w:rFonts w:ascii="Arial" w:hAnsi="Arial" w:cs="Arial"/>
          <w:sz w:val="24"/>
          <w:szCs w:val="24"/>
          <w:lang w:val="en-GB"/>
        </w:rPr>
        <w:t>, 2018).</w:t>
      </w:r>
    </w:p>
    <w:p w14:paraId="00000039" w14:textId="6BC0DC8C" w:rsidR="00DF4E62" w:rsidRPr="00CA464A" w:rsidRDefault="00117CC9" w:rsidP="007A280F">
      <w:pPr>
        <w:numPr>
          <w:ilvl w:val="0"/>
          <w:numId w:val="2"/>
        </w:numPr>
        <w:spacing w:line="360" w:lineRule="auto"/>
        <w:jc w:val="both"/>
        <w:rPr>
          <w:rFonts w:ascii="Arial" w:hAnsi="Arial" w:cs="Arial"/>
          <w:sz w:val="24"/>
          <w:szCs w:val="24"/>
          <w:lang w:val="en-GB"/>
        </w:rPr>
      </w:pPr>
      <w:r w:rsidRPr="00CA464A">
        <w:rPr>
          <w:rFonts w:ascii="Arial" w:hAnsi="Arial" w:cs="Arial"/>
          <w:sz w:val="24"/>
          <w:szCs w:val="24"/>
          <w:lang w:val="en-GB"/>
        </w:rPr>
        <w:t>If the understanding of various financial measures and data analysis is done then it enables the management of a hospitality management company like Hilton Hotel to take the appropriate steps to rectify the company's unsavo</w:t>
      </w:r>
      <w:r w:rsidR="00CA464A">
        <w:rPr>
          <w:rFonts w:ascii="Arial" w:hAnsi="Arial" w:cs="Arial"/>
          <w:sz w:val="24"/>
          <w:szCs w:val="24"/>
          <w:lang w:val="en-GB"/>
        </w:rPr>
        <w:t>u</w:t>
      </w:r>
      <w:r w:rsidRPr="00CA464A">
        <w:rPr>
          <w:rFonts w:ascii="Arial" w:hAnsi="Arial" w:cs="Arial"/>
          <w:sz w:val="24"/>
          <w:szCs w:val="24"/>
          <w:lang w:val="en-GB"/>
        </w:rPr>
        <w:t>ry behavio</w:t>
      </w:r>
      <w:r w:rsidR="00CA464A">
        <w:rPr>
          <w:rFonts w:ascii="Arial" w:hAnsi="Arial" w:cs="Arial"/>
          <w:sz w:val="24"/>
          <w:szCs w:val="24"/>
          <w:lang w:val="en-GB"/>
        </w:rPr>
        <w:t>u</w:t>
      </w:r>
      <w:r w:rsidRPr="00CA464A">
        <w:rPr>
          <w:rFonts w:ascii="Arial" w:hAnsi="Arial" w:cs="Arial"/>
          <w:sz w:val="24"/>
          <w:szCs w:val="24"/>
          <w:lang w:val="en-GB"/>
        </w:rPr>
        <w:t>r.</w:t>
      </w:r>
    </w:p>
    <w:p w14:paraId="0000003A" w14:textId="33D9A154" w:rsidR="00DF4E62" w:rsidRPr="00CA464A" w:rsidRDefault="00117CC9" w:rsidP="007A280F">
      <w:pPr>
        <w:spacing w:line="360" w:lineRule="auto"/>
        <w:jc w:val="both"/>
        <w:rPr>
          <w:rFonts w:ascii="Arial" w:hAnsi="Arial" w:cs="Arial"/>
          <w:b/>
          <w:sz w:val="24"/>
          <w:szCs w:val="24"/>
          <w:lang w:val="en-GB"/>
        </w:rPr>
      </w:pPr>
      <w:r w:rsidRPr="00CA464A">
        <w:rPr>
          <w:rFonts w:ascii="Arial" w:hAnsi="Arial" w:cs="Arial"/>
          <w:b/>
          <w:sz w:val="24"/>
          <w:szCs w:val="24"/>
          <w:lang w:val="en-GB"/>
        </w:rPr>
        <w:t>Limitation</w:t>
      </w:r>
    </w:p>
    <w:p w14:paraId="0000003B" w14:textId="1D5BF489" w:rsidR="00DF4E62" w:rsidRPr="00CA464A" w:rsidRDefault="00117CC9" w:rsidP="007A280F">
      <w:pPr>
        <w:numPr>
          <w:ilvl w:val="0"/>
          <w:numId w:val="1"/>
        </w:numPr>
        <w:spacing w:line="360" w:lineRule="auto"/>
        <w:jc w:val="both"/>
        <w:rPr>
          <w:rFonts w:ascii="Arial" w:hAnsi="Arial" w:cs="Arial"/>
          <w:sz w:val="24"/>
          <w:szCs w:val="24"/>
          <w:lang w:val="en-GB"/>
        </w:rPr>
      </w:pPr>
      <w:r w:rsidRPr="00CA464A">
        <w:rPr>
          <w:rFonts w:ascii="Arial" w:hAnsi="Arial" w:cs="Arial"/>
          <w:sz w:val="24"/>
          <w:szCs w:val="24"/>
          <w:lang w:val="en-GB"/>
        </w:rPr>
        <w:t xml:space="preserve">Since of its descriptive nature, statistical research on accounting ratios is limited. However, </w:t>
      </w:r>
      <w:r w:rsidR="00CA464A">
        <w:rPr>
          <w:rFonts w:ascii="Arial" w:hAnsi="Arial" w:cs="Arial"/>
          <w:sz w:val="24"/>
          <w:szCs w:val="24"/>
          <w:lang w:val="en-GB"/>
        </w:rPr>
        <w:t>several</w:t>
      </w:r>
      <w:r w:rsidRPr="00CA464A">
        <w:rPr>
          <w:rFonts w:ascii="Arial" w:hAnsi="Arial" w:cs="Arial"/>
          <w:sz w:val="24"/>
          <w:szCs w:val="24"/>
          <w:lang w:val="en-GB"/>
        </w:rPr>
        <w:t xml:space="preserve"> critical quantitative factors may have an impact on the proportion result. A high current proportion may not even indicate a healthy company if the overall asset comprises mostly obsolete commodities (Northington, 2011).</w:t>
      </w:r>
    </w:p>
    <w:p w14:paraId="0000003C" w14:textId="17E5A05F" w:rsidR="00DF4E62" w:rsidRPr="00CA464A" w:rsidRDefault="00117CC9" w:rsidP="007A280F">
      <w:pPr>
        <w:numPr>
          <w:ilvl w:val="0"/>
          <w:numId w:val="1"/>
        </w:numPr>
        <w:spacing w:line="360" w:lineRule="auto"/>
        <w:jc w:val="both"/>
        <w:rPr>
          <w:rFonts w:ascii="Arial" w:hAnsi="Arial" w:cs="Arial"/>
          <w:sz w:val="24"/>
          <w:szCs w:val="24"/>
          <w:lang w:val="en-GB"/>
        </w:rPr>
      </w:pPr>
      <w:r w:rsidRPr="00CA464A">
        <w:rPr>
          <w:rFonts w:ascii="Arial" w:hAnsi="Arial" w:cs="Arial"/>
          <w:sz w:val="24"/>
          <w:szCs w:val="24"/>
          <w:lang w:val="en-GB"/>
        </w:rPr>
        <w:t>Accounting ratios are also limited by a variety of factors such as item and property market values, seasonality issues in the firm, the company's front-dressed behavio</w:t>
      </w:r>
      <w:r w:rsidR="00CA464A">
        <w:rPr>
          <w:rFonts w:ascii="Arial" w:hAnsi="Arial" w:cs="Arial"/>
          <w:sz w:val="24"/>
          <w:szCs w:val="24"/>
          <w:lang w:val="en-GB"/>
        </w:rPr>
        <w:t>u</w:t>
      </w:r>
      <w:r w:rsidRPr="00CA464A">
        <w:rPr>
          <w:rFonts w:ascii="Arial" w:hAnsi="Arial" w:cs="Arial"/>
          <w:sz w:val="24"/>
          <w:szCs w:val="24"/>
          <w:lang w:val="en-GB"/>
        </w:rPr>
        <w:t>r, and so on. There, the income statement contains limitations that can have an impact on accounting ratios.</w:t>
      </w:r>
    </w:p>
    <w:p w14:paraId="0000003D" w14:textId="77777777" w:rsidR="00DF4E62" w:rsidRPr="00CA464A" w:rsidRDefault="00117CC9" w:rsidP="007A280F">
      <w:pPr>
        <w:numPr>
          <w:ilvl w:val="0"/>
          <w:numId w:val="1"/>
        </w:numPr>
        <w:spacing w:line="360" w:lineRule="auto"/>
        <w:jc w:val="both"/>
        <w:rPr>
          <w:rFonts w:ascii="Arial" w:hAnsi="Arial" w:cs="Arial"/>
          <w:sz w:val="24"/>
          <w:szCs w:val="24"/>
          <w:lang w:val="en-GB"/>
        </w:rPr>
      </w:pPr>
      <w:r w:rsidRPr="00CA464A">
        <w:rPr>
          <w:rFonts w:ascii="Arial" w:hAnsi="Arial" w:cs="Arial"/>
          <w:sz w:val="24"/>
          <w:szCs w:val="24"/>
          <w:lang w:val="en-GB"/>
        </w:rPr>
        <w:t xml:space="preserve">It is formed by breaching different accounting regulations and ethical factors, monetary knowledge has inherent limitations. As a result, the report generator has </w:t>
      </w:r>
      <w:r w:rsidRPr="00CA464A">
        <w:rPr>
          <w:rFonts w:ascii="Arial" w:hAnsi="Arial" w:cs="Arial"/>
          <w:sz w:val="24"/>
          <w:szCs w:val="24"/>
          <w:lang w:val="en-GB"/>
        </w:rPr>
        <w:lastRenderedPageBreak/>
        <w:t>certain clear restrictions. As a result, such accountancy limits have a direct impact on bookkeeping ratios (Bonham and Langdon, 2009).</w:t>
      </w:r>
    </w:p>
    <w:p w14:paraId="0000003E" w14:textId="77777777" w:rsidR="00DF4E62" w:rsidRPr="00CA464A" w:rsidRDefault="00117CC9" w:rsidP="007A280F">
      <w:pPr>
        <w:numPr>
          <w:ilvl w:val="0"/>
          <w:numId w:val="1"/>
        </w:numPr>
        <w:spacing w:line="360" w:lineRule="auto"/>
        <w:jc w:val="both"/>
        <w:rPr>
          <w:rFonts w:ascii="Arial" w:hAnsi="Arial" w:cs="Arial"/>
          <w:sz w:val="24"/>
          <w:szCs w:val="24"/>
          <w:lang w:val="en-GB"/>
        </w:rPr>
      </w:pPr>
      <w:r w:rsidRPr="00CA464A">
        <w:rPr>
          <w:rFonts w:ascii="Arial" w:hAnsi="Arial" w:cs="Arial"/>
          <w:sz w:val="24"/>
          <w:szCs w:val="24"/>
          <w:lang w:val="en-GB"/>
        </w:rPr>
        <w:t>There are three unique accountancy regulations and standards, such as amortization plan, stock measurement strategy, and so on. Because of the wide range of procedures in different organizations, assessing comparisons is difficult, if not impossible.</w:t>
      </w:r>
    </w:p>
    <w:p w14:paraId="0000003F" w14:textId="77777777" w:rsidR="00DF4E62" w:rsidRPr="00CA464A" w:rsidRDefault="00117CC9" w:rsidP="007A280F">
      <w:pPr>
        <w:numPr>
          <w:ilvl w:val="0"/>
          <w:numId w:val="1"/>
        </w:numPr>
        <w:spacing w:line="360" w:lineRule="auto"/>
        <w:jc w:val="both"/>
        <w:rPr>
          <w:rFonts w:ascii="Arial" w:hAnsi="Arial" w:cs="Arial"/>
          <w:sz w:val="24"/>
          <w:szCs w:val="24"/>
          <w:lang w:val="en-GB"/>
        </w:rPr>
      </w:pPr>
      <w:r w:rsidRPr="00CA464A">
        <w:rPr>
          <w:rFonts w:ascii="Arial" w:hAnsi="Arial" w:cs="Arial"/>
          <w:sz w:val="24"/>
          <w:szCs w:val="24"/>
          <w:lang w:val="en-GB"/>
        </w:rPr>
        <w:t>The majority of monetary insight is based on prior knowledge and facts. As a result, the proportion sets historical patterns that are frequently followed. Prospective reliability is not possible with proportion evaluation.</w:t>
      </w:r>
    </w:p>
    <w:p w14:paraId="00000040" w14:textId="3B6105F9" w:rsidR="00DF4E62" w:rsidRPr="00CA464A" w:rsidRDefault="00117CC9" w:rsidP="007A280F">
      <w:pPr>
        <w:pStyle w:val="Heading1"/>
        <w:spacing w:line="360" w:lineRule="auto"/>
        <w:rPr>
          <w:rFonts w:ascii="Arial" w:hAnsi="Arial" w:cs="Arial"/>
          <w:lang w:val="en-GB"/>
        </w:rPr>
      </w:pPr>
      <w:bookmarkStart w:id="7" w:name="_Toc104840615"/>
      <w:r w:rsidRPr="00CA464A">
        <w:rPr>
          <w:rFonts w:ascii="Arial" w:hAnsi="Arial" w:cs="Arial"/>
          <w:lang w:val="en-GB"/>
        </w:rPr>
        <w:t>Conclusion</w:t>
      </w:r>
      <w:bookmarkEnd w:id="7"/>
    </w:p>
    <w:p w14:paraId="00000041" w14:textId="551DAE93" w:rsidR="00DF4E62" w:rsidRPr="00CA464A" w:rsidRDefault="00117CC9" w:rsidP="007A280F">
      <w:pPr>
        <w:spacing w:line="360" w:lineRule="auto"/>
        <w:jc w:val="both"/>
        <w:rPr>
          <w:rFonts w:ascii="Arial" w:hAnsi="Arial" w:cs="Arial"/>
          <w:sz w:val="24"/>
          <w:szCs w:val="24"/>
          <w:lang w:val="en-GB"/>
        </w:rPr>
      </w:pPr>
      <w:r w:rsidRPr="00CA464A">
        <w:rPr>
          <w:rFonts w:ascii="Arial" w:hAnsi="Arial" w:cs="Arial"/>
          <w:sz w:val="24"/>
          <w:szCs w:val="24"/>
          <w:lang w:val="en-GB"/>
        </w:rPr>
        <w:t xml:space="preserve">Financial management is critical to the long-term viability of a company. Financial management is crucial in some company settings. It assists the organization in keeping track of its financial assets and liabilities </w:t>
      </w:r>
      <w:r w:rsidR="00CA464A">
        <w:rPr>
          <w:rFonts w:ascii="Arial" w:hAnsi="Arial" w:cs="Arial"/>
          <w:sz w:val="24"/>
          <w:szCs w:val="24"/>
          <w:lang w:val="en-GB"/>
        </w:rPr>
        <w:t>efficiently</w:t>
      </w:r>
      <w:r w:rsidRPr="00CA464A">
        <w:rPr>
          <w:rFonts w:ascii="Arial" w:hAnsi="Arial" w:cs="Arial"/>
          <w:sz w:val="24"/>
          <w:szCs w:val="24"/>
          <w:lang w:val="en-GB"/>
        </w:rPr>
        <w:t>. Businesses require more capital flow in the early stages of their development to stay afloat. Whether to use internal resources or borrow from other organizations, managing and preparing such financial obligations is crucial. Furthermore, financial management effectively presented comprehensive insight in order to make crucial financial decisions (</w:t>
      </w:r>
      <w:proofErr w:type="spellStart"/>
      <w:r w:rsidRPr="00CA464A">
        <w:rPr>
          <w:rFonts w:ascii="Arial" w:hAnsi="Arial" w:cs="Arial"/>
          <w:sz w:val="24"/>
          <w:szCs w:val="24"/>
          <w:lang w:val="en-GB"/>
        </w:rPr>
        <w:t>Nikbakht</w:t>
      </w:r>
      <w:proofErr w:type="spellEnd"/>
      <w:r w:rsidRPr="00CA464A">
        <w:rPr>
          <w:rFonts w:ascii="Arial" w:hAnsi="Arial" w:cs="Arial"/>
          <w:sz w:val="24"/>
          <w:szCs w:val="24"/>
          <w:lang w:val="en-GB"/>
        </w:rPr>
        <w:t xml:space="preserve"> and </w:t>
      </w:r>
      <w:proofErr w:type="spellStart"/>
      <w:r w:rsidRPr="00CA464A">
        <w:rPr>
          <w:rFonts w:ascii="Arial" w:hAnsi="Arial" w:cs="Arial"/>
          <w:sz w:val="24"/>
          <w:szCs w:val="24"/>
          <w:lang w:val="en-GB"/>
        </w:rPr>
        <w:t>Groppelli</w:t>
      </w:r>
      <w:proofErr w:type="spellEnd"/>
      <w:r w:rsidRPr="00CA464A">
        <w:rPr>
          <w:rFonts w:ascii="Arial" w:hAnsi="Arial" w:cs="Arial"/>
          <w:sz w:val="24"/>
          <w:szCs w:val="24"/>
          <w:lang w:val="en-GB"/>
        </w:rPr>
        <w:t xml:space="preserve">, 2018). This study thoroughly examined Hilton Hotel's financial management to gain a complete grasp of the financial management in the hospitality industry. This study has also offered important information by performing financial analysis. Simultaneously, it provided genuine illuminations on the current status of financial analysis while reflecting on the facts gleaned from the dialogue to present a broad perspective of the situation. From the foregoing, the financial results of the Hilton Hotel can be interpreted to demonstrate that </w:t>
      </w:r>
      <w:r w:rsidR="00CA464A">
        <w:rPr>
          <w:rFonts w:ascii="Arial" w:hAnsi="Arial" w:cs="Arial"/>
          <w:sz w:val="24"/>
          <w:szCs w:val="24"/>
          <w:lang w:val="en-GB"/>
        </w:rPr>
        <w:t>various areas</w:t>
      </w:r>
      <w:r w:rsidRPr="00CA464A">
        <w:rPr>
          <w:rFonts w:ascii="Arial" w:hAnsi="Arial" w:cs="Arial"/>
          <w:sz w:val="24"/>
          <w:szCs w:val="24"/>
          <w:lang w:val="en-GB"/>
        </w:rPr>
        <w:t xml:space="preserve"> need to be addressed and maintained. Non-operational/financial expenses, on the other hand, should not be prioritized because they are backed up by much greater revenue. The payables and receivables administration </w:t>
      </w:r>
      <w:proofErr w:type="gramStart"/>
      <w:r w:rsidRPr="00CA464A">
        <w:rPr>
          <w:rFonts w:ascii="Arial" w:hAnsi="Arial" w:cs="Arial"/>
          <w:sz w:val="24"/>
          <w:szCs w:val="24"/>
          <w:lang w:val="en-GB"/>
        </w:rPr>
        <w:t>is</w:t>
      </w:r>
      <w:proofErr w:type="gramEnd"/>
      <w:r w:rsidRPr="00CA464A">
        <w:rPr>
          <w:rFonts w:ascii="Arial" w:hAnsi="Arial" w:cs="Arial"/>
          <w:sz w:val="24"/>
          <w:szCs w:val="24"/>
          <w:lang w:val="en-GB"/>
        </w:rPr>
        <w:t xml:space="preserve"> great (Bonham and Langdon, 2009). Capitalized advantage from kindness can be realized by offering adequate intensive service to such consumers. To increase income, a well-thought-out item marketing plan must be implemented with cost-cutting strategies. As availability falls, </w:t>
      </w:r>
      <w:r w:rsidRPr="00CA464A">
        <w:rPr>
          <w:rFonts w:ascii="Arial" w:hAnsi="Arial" w:cs="Arial"/>
          <w:sz w:val="24"/>
          <w:szCs w:val="24"/>
          <w:lang w:val="en-GB"/>
        </w:rPr>
        <w:lastRenderedPageBreak/>
        <w:t>more attention must be devoted to loan servicing and leveraging operations. The accessible resource must be recovered by matching the accessible responsibility. When sustaining a sufficient cash flow, however, efficiency must be considered.</w:t>
      </w:r>
    </w:p>
    <w:p w14:paraId="030DB516" w14:textId="77777777" w:rsidR="007A280F" w:rsidRPr="00CA464A" w:rsidRDefault="007A280F" w:rsidP="007A280F">
      <w:pPr>
        <w:pStyle w:val="Heading1"/>
        <w:spacing w:line="360" w:lineRule="auto"/>
        <w:rPr>
          <w:rFonts w:ascii="Arial" w:hAnsi="Arial" w:cs="Arial"/>
          <w:lang w:val="en-GB"/>
        </w:rPr>
      </w:pPr>
      <w:r w:rsidRPr="00CA464A">
        <w:rPr>
          <w:rFonts w:ascii="Arial" w:hAnsi="Arial" w:cs="Arial"/>
          <w:lang w:val="en-GB"/>
        </w:rPr>
        <w:br w:type="page"/>
      </w:r>
    </w:p>
    <w:p w14:paraId="00000042" w14:textId="4DF675B0" w:rsidR="00DF4E62" w:rsidRPr="00CA464A" w:rsidRDefault="00117CC9" w:rsidP="007A280F">
      <w:pPr>
        <w:pStyle w:val="Heading1"/>
        <w:spacing w:line="360" w:lineRule="auto"/>
        <w:rPr>
          <w:rFonts w:ascii="Arial" w:hAnsi="Arial" w:cs="Arial"/>
          <w:lang w:val="en-GB"/>
        </w:rPr>
      </w:pPr>
      <w:bookmarkStart w:id="8" w:name="_Toc104840616"/>
      <w:r w:rsidRPr="00CA464A">
        <w:rPr>
          <w:rFonts w:ascii="Arial" w:hAnsi="Arial" w:cs="Arial"/>
          <w:lang w:val="en-GB"/>
        </w:rPr>
        <w:lastRenderedPageBreak/>
        <w:t>References</w:t>
      </w:r>
      <w:bookmarkEnd w:id="8"/>
    </w:p>
    <w:p w14:paraId="0A722EAE" w14:textId="0057FBAC" w:rsidR="007A280F" w:rsidRPr="00CA464A" w:rsidRDefault="007A280F" w:rsidP="007A280F">
      <w:pPr>
        <w:spacing w:line="360" w:lineRule="auto"/>
        <w:jc w:val="both"/>
        <w:rPr>
          <w:rFonts w:ascii="Arial" w:eastAsia="Calibri" w:hAnsi="Arial" w:cs="Arial"/>
          <w:sz w:val="24"/>
          <w:szCs w:val="24"/>
          <w:lang w:val="en-GB"/>
        </w:rPr>
      </w:pPr>
      <w:r w:rsidRPr="00CA464A">
        <w:rPr>
          <w:rFonts w:ascii="Arial" w:eastAsia="Calibri" w:hAnsi="Arial" w:cs="Arial"/>
          <w:sz w:val="24"/>
          <w:szCs w:val="24"/>
          <w:lang w:val="en-GB"/>
        </w:rPr>
        <w:t xml:space="preserve">Block, S.B., Hirt, G.A. and Danielsen, B.R. (2019). </w:t>
      </w:r>
      <w:r w:rsidRPr="00CA464A">
        <w:rPr>
          <w:rFonts w:ascii="Arial" w:eastAsia="Calibri" w:hAnsi="Arial" w:cs="Arial"/>
          <w:i/>
          <w:sz w:val="24"/>
          <w:szCs w:val="24"/>
          <w:lang w:val="en-GB"/>
        </w:rPr>
        <w:t>Foundations of financial management</w:t>
      </w:r>
      <w:r w:rsidRPr="00CA464A">
        <w:rPr>
          <w:rFonts w:ascii="Arial" w:eastAsia="Calibri" w:hAnsi="Arial" w:cs="Arial"/>
          <w:sz w:val="24"/>
          <w:szCs w:val="24"/>
          <w:lang w:val="en-GB"/>
        </w:rPr>
        <w:t>. 17th ed. Dubuque: McGraw-Hill Education.</w:t>
      </w:r>
    </w:p>
    <w:p w14:paraId="59758F0B" w14:textId="2DBB2913" w:rsidR="007A280F" w:rsidRPr="00CA464A" w:rsidRDefault="007A280F" w:rsidP="007A280F">
      <w:pPr>
        <w:spacing w:before="240" w:after="240" w:line="360" w:lineRule="auto"/>
        <w:jc w:val="both"/>
        <w:rPr>
          <w:rFonts w:ascii="Arial" w:eastAsia="Calibri" w:hAnsi="Arial" w:cs="Arial"/>
          <w:sz w:val="24"/>
          <w:szCs w:val="24"/>
          <w:lang w:val="en-GB"/>
        </w:rPr>
      </w:pPr>
      <w:r w:rsidRPr="00CA464A">
        <w:rPr>
          <w:rFonts w:ascii="Arial" w:eastAsia="Calibri" w:hAnsi="Arial" w:cs="Arial"/>
          <w:sz w:val="24"/>
          <w:szCs w:val="24"/>
          <w:lang w:val="en-GB"/>
        </w:rPr>
        <w:t xml:space="preserve">‌Bonham, A. and Langdon, K. (2009). </w:t>
      </w:r>
      <w:r w:rsidRPr="00CA464A">
        <w:rPr>
          <w:rFonts w:ascii="Arial" w:eastAsia="Calibri" w:hAnsi="Arial" w:cs="Arial"/>
          <w:i/>
          <w:sz w:val="24"/>
          <w:szCs w:val="24"/>
          <w:lang w:val="en-GB"/>
        </w:rPr>
        <w:t>Finance</w:t>
      </w:r>
      <w:r w:rsidRPr="00CA464A">
        <w:rPr>
          <w:rFonts w:ascii="Arial" w:eastAsia="Calibri" w:hAnsi="Arial" w:cs="Arial"/>
          <w:sz w:val="24"/>
          <w:szCs w:val="24"/>
          <w:lang w:val="en-GB"/>
        </w:rPr>
        <w:t>. Harlow, England; N.Y.: Ft Prentice Hall.</w:t>
      </w:r>
    </w:p>
    <w:p w14:paraId="0DFD7DEE" w14:textId="77777777" w:rsidR="007A280F" w:rsidRPr="00CA464A" w:rsidRDefault="007A280F" w:rsidP="007A280F">
      <w:pPr>
        <w:spacing w:line="360" w:lineRule="auto"/>
        <w:jc w:val="both"/>
        <w:rPr>
          <w:rFonts w:ascii="Arial" w:eastAsia="Calibri" w:hAnsi="Arial" w:cs="Arial"/>
          <w:sz w:val="24"/>
          <w:szCs w:val="24"/>
          <w:lang w:val="en-GB"/>
        </w:rPr>
      </w:pPr>
      <w:r w:rsidRPr="00CA464A">
        <w:rPr>
          <w:rFonts w:ascii="Arial" w:eastAsia="Calibri" w:hAnsi="Arial" w:cs="Arial"/>
          <w:sz w:val="24"/>
          <w:szCs w:val="24"/>
          <w:lang w:val="en-GB"/>
        </w:rPr>
        <w:t xml:space="preserve">Brigham, E.F. (2019). </w:t>
      </w:r>
      <w:r w:rsidRPr="00CA464A">
        <w:rPr>
          <w:rFonts w:ascii="Arial" w:eastAsia="Calibri" w:hAnsi="Arial" w:cs="Arial"/>
          <w:i/>
          <w:sz w:val="24"/>
          <w:szCs w:val="24"/>
          <w:lang w:val="en-GB"/>
        </w:rPr>
        <w:t>Fundamentals Of Financial Management.</w:t>
      </w:r>
      <w:r w:rsidRPr="00CA464A">
        <w:rPr>
          <w:rFonts w:ascii="Arial" w:eastAsia="Calibri" w:hAnsi="Arial" w:cs="Arial"/>
          <w:sz w:val="24"/>
          <w:szCs w:val="24"/>
          <w:lang w:val="en-GB"/>
        </w:rPr>
        <w:t xml:space="preserve"> Cengage.</w:t>
      </w:r>
    </w:p>
    <w:p w14:paraId="50D4BA46" w14:textId="77777777" w:rsidR="007A280F" w:rsidRPr="00CA464A" w:rsidRDefault="007A280F" w:rsidP="007A280F">
      <w:pPr>
        <w:spacing w:line="360" w:lineRule="auto"/>
        <w:jc w:val="both"/>
        <w:rPr>
          <w:rFonts w:ascii="Arial" w:eastAsia="Calibri" w:hAnsi="Arial" w:cs="Arial"/>
          <w:sz w:val="24"/>
          <w:szCs w:val="24"/>
          <w:lang w:val="en-GB"/>
        </w:rPr>
      </w:pPr>
      <w:r w:rsidRPr="00CA464A">
        <w:rPr>
          <w:rFonts w:ascii="Arial" w:eastAsia="Calibri" w:hAnsi="Arial" w:cs="Arial"/>
          <w:sz w:val="24"/>
          <w:szCs w:val="24"/>
          <w:lang w:val="en-GB"/>
        </w:rPr>
        <w:t xml:space="preserve">Brigham, E.F. and Ehrhardt, M.C. (2020). </w:t>
      </w:r>
      <w:r w:rsidRPr="00CA464A">
        <w:rPr>
          <w:rFonts w:ascii="Arial" w:eastAsia="Calibri" w:hAnsi="Arial" w:cs="Arial"/>
          <w:i/>
          <w:sz w:val="24"/>
          <w:szCs w:val="24"/>
          <w:lang w:val="en-GB"/>
        </w:rPr>
        <w:t>Financial Management: Theory &amp; Practice</w:t>
      </w:r>
      <w:r w:rsidRPr="00CA464A">
        <w:rPr>
          <w:rFonts w:ascii="Arial" w:eastAsia="Calibri" w:hAnsi="Arial" w:cs="Arial"/>
          <w:sz w:val="24"/>
          <w:szCs w:val="24"/>
          <w:lang w:val="en-GB"/>
        </w:rPr>
        <w:t>. Boston, MA: Cengage.</w:t>
      </w:r>
    </w:p>
    <w:p w14:paraId="0BFAECB8" w14:textId="6F227578" w:rsidR="007A280F" w:rsidRPr="00CA464A" w:rsidRDefault="007A280F" w:rsidP="007A280F">
      <w:pPr>
        <w:spacing w:before="240" w:after="240" w:line="360" w:lineRule="auto"/>
        <w:jc w:val="both"/>
        <w:rPr>
          <w:rFonts w:ascii="Arial" w:eastAsia="Calibri" w:hAnsi="Arial" w:cs="Arial"/>
          <w:sz w:val="24"/>
          <w:szCs w:val="24"/>
          <w:lang w:val="en-GB"/>
        </w:rPr>
      </w:pPr>
      <w:r w:rsidRPr="00CA464A">
        <w:rPr>
          <w:rFonts w:ascii="Arial" w:eastAsia="Calibri" w:hAnsi="Arial" w:cs="Arial"/>
          <w:sz w:val="24"/>
          <w:szCs w:val="24"/>
          <w:lang w:val="en-GB"/>
        </w:rPr>
        <w:t xml:space="preserve">‌Higgins, R.C., Koski, J.L. and Mitton, T. (2019). </w:t>
      </w:r>
      <w:r w:rsidRPr="00CA464A">
        <w:rPr>
          <w:rFonts w:ascii="Arial" w:eastAsia="Calibri" w:hAnsi="Arial" w:cs="Arial"/>
          <w:i/>
          <w:sz w:val="24"/>
          <w:szCs w:val="24"/>
          <w:lang w:val="en-GB"/>
        </w:rPr>
        <w:t>Analysis for financial management</w:t>
      </w:r>
      <w:r w:rsidRPr="00CA464A">
        <w:rPr>
          <w:rFonts w:ascii="Arial" w:eastAsia="Calibri" w:hAnsi="Arial" w:cs="Arial"/>
          <w:sz w:val="24"/>
          <w:szCs w:val="24"/>
          <w:lang w:val="en-GB"/>
        </w:rPr>
        <w:t>. New York, Ny McGraw-Hill Education.</w:t>
      </w:r>
    </w:p>
    <w:p w14:paraId="345807CA" w14:textId="0CA7780A" w:rsidR="007A280F" w:rsidRPr="00CA464A" w:rsidRDefault="007A280F" w:rsidP="007A280F">
      <w:pPr>
        <w:spacing w:before="240" w:after="240" w:line="360" w:lineRule="auto"/>
        <w:jc w:val="both"/>
        <w:rPr>
          <w:rFonts w:ascii="Arial" w:eastAsia="Calibri" w:hAnsi="Arial" w:cs="Arial"/>
          <w:sz w:val="24"/>
          <w:szCs w:val="24"/>
          <w:lang w:val="en-GB"/>
        </w:rPr>
      </w:pPr>
      <w:r w:rsidRPr="00CA464A">
        <w:rPr>
          <w:rFonts w:ascii="Arial" w:eastAsia="Calibri" w:hAnsi="Arial" w:cs="Arial"/>
          <w:sz w:val="24"/>
          <w:szCs w:val="24"/>
          <w:lang w:val="en-GB"/>
        </w:rPr>
        <w:t xml:space="preserve">‌Libby, R., Libby, P.A. and Hodge, F. (2020). </w:t>
      </w:r>
      <w:r w:rsidRPr="00CA464A">
        <w:rPr>
          <w:rFonts w:ascii="Arial" w:eastAsia="Calibri" w:hAnsi="Arial" w:cs="Arial"/>
          <w:i/>
          <w:sz w:val="24"/>
          <w:szCs w:val="24"/>
          <w:lang w:val="en-GB"/>
        </w:rPr>
        <w:t>Financial accounting</w:t>
      </w:r>
      <w:r w:rsidRPr="00CA464A">
        <w:rPr>
          <w:rFonts w:ascii="Arial" w:eastAsia="Calibri" w:hAnsi="Arial" w:cs="Arial"/>
          <w:sz w:val="24"/>
          <w:szCs w:val="24"/>
          <w:lang w:val="en-GB"/>
        </w:rPr>
        <w:t>. New York, Ny: McGraw-Hill Education.</w:t>
      </w:r>
    </w:p>
    <w:p w14:paraId="302FAC05" w14:textId="77777777" w:rsidR="007A280F" w:rsidRPr="00CA464A" w:rsidRDefault="007A280F" w:rsidP="007A280F">
      <w:pPr>
        <w:spacing w:line="360" w:lineRule="auto"/>
        <w:jc w:val="both"/>
        <w:rPr>
          <w:rFonts w:ascii="Arial" w:eastAsia="Calibri" w:hAnsi="Arial" w:cs="Arial"/>
          <w:sz w:val="24"/>
          <w:szCs w:val="24"/>
          <w:lang w:val="en-GB"/>
        </w:rPr>
      </w:pPr>
      <w:r w:rsidRPr="00CA464A">
        <w:rPr>
          <w:rFonts w:ascii="Arial" w:eastAsia="Calibri" w:hAnsi="Arial" w:cs="Arial"/>
          <w:sz w:val="24"/>
          <w:szCs w:val="24"/>
          <w:lang w:val="en-GB"/>
        </w:rPr>
        <w:t xml:space="preserve">Madura, J. and Hoque, A. (2018). </w:t>
      </w:r>
      <w:r w:rsidRPr="00CA464A">
        <w:rPr>
          <w:rFonts w:ascii="Arial" w:eastAsia="Calibri" w:hAnsi="Arial" w:cs="Arial"/>
          <w:i/>
          <w:sz w:val="24"/>
          <w:szCs w:val="24"/>
          <w:lang w:val="en-GB"/>
        </w:rPr>
        <w:t>International financial management</w:t>
      </w:r>
      <w:r w:rsidRPr="00CA464A">
        <w:rPr>
          <w:rFonts w:ascii="Arial" w:eastAsia="Calibri" w:hAnsi="Arial" w:cs="Arial"/>
          <w:sz w:val="24"/>
          <w:szCs w:val="24"/>
          <w:lang w:val="en-GB"/>
        </w:rPr>
        <w:t>. South Melbourne, Australia: Cengage Learning Australia.</w:t>
      </w:r>
    </w:p>
    <w:p w14:paraId="2FE71B47" w14:textId="77777777" w:rsidR="007A280F" w:rsidRPr="00CA464A" w:rsidRDefault="007A280F" w:rsidP="007A280F">
      <w:pPr>
        <w:spacing w:line="360" w:lineRule="auto"/>
        <w:jc w:val="both"/>
        <w:rPr>
          <w:rFonts w:ascii="Arial" w:eastAsia="Calibri" w:hAnsi="Arial" w:cs="Arial"/>
          <w:sz w:val="24"/>
          <w:szCs w:val="24"/>
          <w:lang w:val="en-GB"/>
        </w:rPr>
      </w:pPr>
      <w:r w:rsidRPr="00CA464A">
        <w:rPr>
          <w:rFonts w:ascii="Arial" w:eastAsia="Calibri" w:hAnsi="Arial" w:cs="Arial"/>
          <w:sz w:val="24"/>
          <w:szCs w:val="24"/>
          <w:lang w:val="en-GB"/>
        </w:rPr>
        <w:t xml:space="preserve">Madura, J. (2020). </w:t>
      </w:r>
      <w:r w:rsidRPr="00CA464A">
        <w:rPr>
          <w:rFonts w:ascii="Arial" w:eastAsia="Calibri" w:hAnsi="Arial" w:cs="Arial"/>
          <w:i/>
          <w:sz w:val="24"/>
          <w:szCs w:val="24"/>
          <w:lang w:val="en-GB"/>
        </w:rPr>
        <w:t>International financial management</w:t>
      </w:r>
      <w:r w:rsidRPr="00CA464A">
        <w:rPr>
          <w:rFonts w:ascii="Arial" w:eastAsia="Calibri" w:hAnsi="Arial" w:cs="Arial"/>
          <w:sz w:val="24"/>
          <w:szCs w:val="24"/>
          <w:lang w:val="en-GB"/>
        </w:rPr>
        <w:t>. Mason: South-Western.</w:t>
      </w:r>
    </w:p>
    <w:p w14:paraId="500E3601" w14:textId="77777777" w:rsidR="007A280F" w:rsidRPr="00CA464A" w:rsidRDefault="007A280F" w:rsidP="007A280F">
      <w:pPr>
        <w:spacing w:before="240" w:after="240" w:line="360" w:lineRule="auto"/>
        <w:jc w:val="both"/>
        <w:rPr>
          <w:rFonts w:ascii="Arial" w:eastAsia="Calibri" w:hAnsi="Arial" w:cs="Arial"/>
          <w:sz w:val="24"/>
          <w:szCs w:val="24"/>
          <w:lang w:val="en-GB"/>
        </w:rPr>
      </w:pPr>
      <w:r w:rsidRPr="00CA464A">
        <w:rPr>
          <w:rFonts w:ascii="Arial" w:eastAsia="Calibri" w:hAnsi="Arial" w:cs="Arial"/>
          <w:sz w:val="24"/>
          <w:szCs w:val="24"/>
          <w:lang w:val="en-GB"/>
        </w:rPr>
        <w:t xml:space="preserve">‌Mishkin, F.S. and Eakins, S.G. (2018). </w:t>
      </w:r>
      <w:r w:rsidRPr="00CA464A">
        <w:rPr>
          <w:rFonts w:ascii="Arial" w:eastAsia="Calibri" w:hAnsi="Arial" w:cs="Arial"/>
          <w:i/>
          <w:sz w:val="24"/>
          <w:szCs w:val="24"/>
          <w:lang w:val="en-GB"/>
        </w:rPr>
        <w:t>Financial markets and institutions</w:t>
      </w:r>
      <w:r w:rsidRPr="00CA464A">
        <w:rPr>
          <w:rFonts w:ascii="Arial" w:eastAsia="Calibri" w:hAnsi="Arial" w:cs="Arial"/>
          <w:sz w:val="24"/>
          <w:szCs w:val="24"/>
          <w:lang w:val="en-GB"/>
        </w:rPr>
        <w:t>. 9th ed. Harlow, England: Pearson.</w:t>
      </w:r>
    </w:p>
    <w:p w14:paraId="4C3A9B94" w14:textId="77777777" w:rsidR="007A280F" w:rsidRPr="00CA464A" w:rsidRDefault="007A280F" w:rsidP="007A280F">
      <w:pPr>
        <w:spacing w:before="240" w:after="240" w:line="360" w:lineRule="auto"/>
        <w:jc w:val="both"/>
        <w:rPr>
          <w:rFonts w:ascii="Arial" w:eastAsia="Calibri" w:hAnsi="Arial" w:cs="Arial"/>
          <w:sz w:val="24"/>
          <w:szCs w:val="24"/>
          <w:lang w:val="en-GB"/>
        </w:rPr>
      </w:pPr>
      <w:r w:rsidRPr="00CA464A">
        <w:rPr>
          <w:rFonts w:ascii="Arial" w:eastAsia="Calibri" w:hAnsi="Arial" w:cs="Arial"/>
          <w:sz w:val="24"/>
          <w:szCs w:val="24"/>
          <w:lang w:val="en-GB"/>
        </w:rPr>
        <w:t>‌</w:t>
      </w:r>
      <w:proofErr w:type="spellStart"/>
      <w:r w:rsidRPr="00CA464A">
        <w:rPr>
          <w:rFonts w:ascii="Arial" w:eastAsia="Calibri" w:hAnsi="Arial" w:cs="Arial"/>
          <w:sz w:val="24"/>
          <w:szCs w:val="24"/>
          <w:lang w:val="en-GB"/>
        </w:rPr>
        <w:t>Nikbakht</w:t>
      </w:r>
      <w:proofErr w:type="spellEnd"/>
      <w:r w:rsidRPr="00CA464A">
        <w:rPr>
          <w:rFonts w:ascii="Arial" w:eastAsia="Calibri" w:hAnsi="Arial" w:cs="Arial"/>
          <w:sz w:val="24"/>
          <w:szCs w:val="24"/>
          <w:lang w:val="en-GB"/>
        </w:rPr>
        <w:t xml:space="preserve">, E. and </w:t>
      </w:r>
      <w:proofErr w:type="spellStart"/>
      <w:r w:rsidRPr="00CA464A">
        <w:rPr>
          <w:rFonts w:ascii="Arial" w:eastAsia="Calibri" w:hAnsi="Arial" w:cs="Arial"/>
          <w:sz w:val="24"/>
          <w:szCs w:val="24"/>
          <w:lang w:val="en-GB"/>
        </w:rPr>
        <w:t>Groppelli</w:t>
      </w:r>
      <w:proofErr w:type="spellEnd"/>
      <w:r w:rsidRPr="00CA464A">
        <w:rPr>
          <w:rFonts w:ascii="Arial" w:eastAsia="Calibri" w:hAnsi="Arial" w:cs="Arial"/>
          <w:sz w:val="24"/>
          <w:szCs w:val="24"/>
          <w:lang w:val="en-GB"/>
        </w:rPr>
        <w:t xml:space="preserve">, A.A. (2018). </w:t>
      </w:r>
      <w:r w:rsidRPr="00CA464A">
        <w:rPr>
          <w:rFonts w:ascii="Arial" w:eastAsia="Calibri" w:hAnsi="Arial" w:cs="Arial"/>
          <w:i/>
          <w:sz w:val="24"/>
          <w:szCs w:val="24"/>
          <w:lang w:val="en-GB"/>
        </w:rPr>
        <w:t>Finance</w:t>
      </w:r>
      <w:r w:rsidRPr="00CA464A">
        <w:rPr>
          <w:rFonts w:ascii="Arial" w:eastAsia="Calibri" w:hAnsi="Arial" w:cs="Arial"/>
          <w:sz w:val="24"/>
          <w:szCs w:val="24"/>
          <w:lang w:val="en-GB"/>
        </w:rPr>
        <w:t>. Hauppauge, New York: Barron’s Educational Series, Inc.</w:t>
      </w:r>
    </w:p>
    <w:p w14:paraId="7F6F6716" w14:textId="77777777" w:rsidR="007A280F" w:rsidRPr="00CA464A" w:rsidRDefault="007A280F" w:rsidP="007A280F">
      <w:pPr>
        <w:spacing w:line="360" w:lineRule="auto"/>
        <w:jc w:val="both"/>
        <w:rPr>
          <w:rFonts w:ascii="Arial" w:eastAsia="Calibri" w:hAnsi="Arial" w:cs="Arial"/>
          <w:sz w:val="24"/>
          <w:szCs w:val="24"/>
          <w:lang w:val="en-GB"/>
        </w:rPr>
      </w:pPr>
      <w:r w:rsidRPr="00CA464A">
        <w:rPr>
          <w:rFonts w:ascii="Arial" w:eastAsia="Calibri" w:hAnsi="Arial" w:cs="Arial"/>
          <w:sz w:val="24"/>
          <w:szCs w:val="24"/>
          <w:lang w:val="en-GB"/>
        </w:rPr>
        <w:t xml:space="preserve">Thomas, C.W., </w:t>
      </w:r>
      <w:proofErr w:type="spellStart"/>
      <w:r w:rsidRPr="00CA464A">
        <w:rPr>
          <w:rFonts w:ascii="Arial" w:eastAsia="Calibri" w:hAnsi="Arial" w:cs="Arial"/>
          <w:sz w:val="24"/>
          <w:szCs w:val="24"/>
          <w:lang w:val="en-GB"/>
        </w:rPr>
        <w:t>Tietz</w:t>
      </w:r>
      <w:proofErr w:type="spellEnd"/>
      <w:r w:rsidRPr="00CA464A">
        <w:rPr>
          <w:rFonts w:ascii="Arial" w:eastAsia="Calibri" w:hAnsi="Arial" w:cs="Arial"/>
          <w:sz w:val="24"/>
          <w:szCs w:val="24"/>
          <w:lang w:val="en-GB"/>
        </w:rPr>
        <w:t xml:space="preserve">, W.M. and Harrison, W.T. (2019). </w:t>
      </w:r>
      <w:r w:rsidRPr="00CA464A">
        <w:rPr>
          <w:rFonts w:ascii="Arial" w:eastAsia="Calibri" w:hAnsi="Arial" w:cs="Arial"/>
          <w:i/>
          <w:sz w:val="24"/>
          <w:szCs w:val="24"/>
          <w:lang w:val="en-GB"/>
        </w:rPr>
        <w:t>Financial accounting</w:t>
      </w:r>
      <w:r w:rsidRPr="00CA464A">
        <w:rPr>
          <w:rFonts w:ascii="Arial" w:eastAsia="Calibri" w:hAnsi="Arial" w:cs="Arial"/>
          <w:sz w:val="24"/>
          <w:szCs w:val="24"/>
          <w:lang w:val="en-GB"/>
        </w:rPr>
        <w:t>. New York: Pearson.</w:t>
      </w:r>
    </w:p>
    <w:p w14:paraId="0000004E" w14:textId="77777777" w:rsidR="00DF4E62" w:rsidRPr="00CA464A" w:rsidRDefault="00DF4E62" w:rsidP="007A280F">
      <w:pPr>
        <w:spacing w:line="360" w:lineRule="auto"/>
        <w:jc w:val="both"/>
        <w:rPr>
          <w:rFonts w:ascii="Arial" w:hAnsi="Arial" w:cs="Arial"/>
          <w:sz w:val="24"/>
          <w:szCs w:val="24"/>
          <w:lang w:val="en-GB"/>
        </w:rPr>
      </w:pPr>
    </w:p>
    <w:sectPr w:rsidR="00DF4E62" w:rsidRPr="00CA464A" w:rsidSect="00610D81">
      <w:footerReference w:type="default" r:id="rId13"/>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4DB0B" w14:textId="77777777" w:rsidR="009B3E49" w:rsidRDefault="009B3E49" w:rsidP="00610D81">
      <w:pPr>
        <w:spacing w:after="0" w:line="240" w:lineRule="auto"/>
      </w:pPr>
      <w:r>
        <w:separator/>
      </w:r>
    </w:p>
  </w:endnote>
  <w:endnote w:type="continuationSeparator" w:id="0">
    <w:p w14:paraId="69D29E6F" w14:textId="77777777" w:rsidR="009B3E49" w:rsidRDefault="009B3E49" w:rsidP="00610D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9064126"/>
      <w:docPartObj>
        <w:docPartGallery w:val="Page Numbers (Bottom of Page)"/>
        <w:docPartUnique/>
      </w:docPartObj>
    </w:sdtPr>
    <w:sdtEndPr>
      <w:rPr>
        <w:noProof/>
      </w:rPr>
    </w:sdtEndPr>
    <w:sdtContent>
      <w:p w14:paraId="1547039A" w14:textId="4BAB645C" w:rsidR="00610D81" w:rsidRDefault="00610D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E638BD" w14:textId="77777777" w:rsidR="00610D81" w:rsidRDefault="00610D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18DD3B" w14:textId="77777777" w:rsidR="009B3E49" w:rsidRDefault="009B3E49" w:rsidP="00610D81">
      <w:pPr>
        <w:spacing w:after="0" w:line="240" w:lineRule="auto"/>
      </w:pPr>
      <w:r>
        <w:separator/>
      </w:r>
    </w:p>
  </w:footnote>
  <w:footnote w:type="continuationSeparator" w:id="0">
    <w:p w14:paraId="032A2C6E" w14:textId="77777777" w:rsidR="009B3E49" w:rsidRDefault="009B3E49" w:rsidP="00610D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23140"/>
    <w:multiLevelType w:val="multilevel"/>
    <w:tmpl w:val="4C8E3A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627D62"/>
    <w:multiLevelType w:val="hybridMultilevel"/>
    <w:tmpl w:val="C9D6ACEE"/>
    <w:lvl w:ilvl="0" w:tplc="30964CDA">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2A433DE"/>
    <w:multiLevelType w:val="multilevel"/>
    <w:tmpl w:val="08EA59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37585763">
    <w:abstractNumId w:val="2"/>
  </w:num>
  <w:num w:numId="2" w16cid:durableId="698048727">
    <w:abstractNumId w:val="0"/>
  </w:num>
  <w:num w:numId="3" w16cid:durableId="8872307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DAxNDQyNDUwNzU2szRQ0lEKTi0uzszPAykwrAUA48rUyCwAAAA="/>
  </w:docVars>
  <w:rsids>
    <w:rsidRoot w:val="00DF4E62"/>
    <w:rsid w:val="00050DE0"/>
    <w:rsid w:val="000537FE"/>
    <w:rsid w:val="00117CC9"/>
    <w:rsid w:val="003C5B1E"/>
    <w:rsid w:val="004A3109"/>
    <w:rsid w:val="005079E5"/>
    <w:rsid w:val="00610D81"/>
    <w:rsid w:val="00706E3A"/>
    <w:rsid w:val="007A280F"/>
    <w:rsid w:val="009A3104"/>
    <w:rsid w:val="009B3E49"/>
    <w:rsid w:val="00B14DDA"/>
    <w:rsid w:val="00B35BC1"/>
    <w:rsid w:val="00B6320C"/>
    <w:rsid w:val="00BD0C17"/>
    <w:rsid w:val="00CA464A"/>
    <w:rsid w:val="00DF4E62"/>
    <w:rsid w:val="00F675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B755D"/>
  <w15:docId w15:val="{1759E176-1877-4919-AFF6-ECD3FA593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80F"/>
  </w:style>
  <w:style w:type="paragraph" w:styleId="Heading1">
    <w:name w:val="heading 1"/>
    <w:basedOn w:val="Normal"/>
    <w:next w:val="Normal"/>
    <w:link w:val="Heading1Char"/>
    <w:uiPriority w:val="9"/>
    <w:qFormat/>
    <w:rsid w:val="007A280F"/>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7A280F"/>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7A280F"/>
    <w:pPr>
      <w:keepNext/>
      <w:keepLines/>
      <w:spacing w:before="40" w:after="0" w:line="240" w:lineRule="auto"/>
      <w:outlineLvl w:val="2"/>
    </w:pPr>
    <w:rPr>
      <w:rFonts w:asciiTheme="majorHAnsi" w:eastAsiaTheme="majorEastAsia" w:hAnsiTheme="maj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7A280F"/>
    <w:pPr>
      <w:keepNext/>
      <w:keepLines/>
      <w:spacing w:before="40" w:after="0"/>
      <w:outlineLvl w:val="3"/>
    </w:pPr>
    <w:rPr>
      <w:rFonts w:asciiTheme="majorHAnsi" w:eastAsiaTheme="majorEastAsia" w:hAnsiTheme="majorHAnsi" w:cstheme="majorBidi"/>
      <w:color w:val="365F91" w:themeColor="accent1" w:themeShade="BF"/>
      <w:sz w:val="24"/>
      <w:szCs w:val="24"/>
    </w:rPr>
  </w:style>
  <w:style w:type="paragraph" w:styleId="Heading5">
    <w:name w:val="heading 5"/>
    <w:basedOn w:val="Normal"/>
    <w:next w:val="Normal"/>
    <w:link w:val="Heading5Char"/>
    <w:uiPriority w:val="9"/>
    <w:semiHidden/>
    <w:unhideWhenUsed/>
    <w:qFormat/>
    <w:rsid w:val="007A280F"/>
    <w:pPr>
      <w:keepNext/>
      <w:keepLines/>
      <w:spacing w:before="40" w:after="0"/>
      <w:outlineLvl w:val="4"/>
    </w:pPr>
    <w:rPr>
      <w:rFonts w:asciiTheme="majorHAnsi" w:eastAsiaTheme="majorEastAsia" w:hAnsiTheme="majorHAnsi" w:cstheme="majorBidi"/>
      <w:caps/>
      <w:color w:val="365F91" w:themeColor="accent1" w:themeShade="BF"/>
    </w:rPr>
  </w:style>
  <w:style w:type="paragraph" w:styleId="Heading6">
    <w:name w:val="heading 6"/>
    <w:basedOn w:val="Normal"/>
    <w:next w:val="Normal"/>
    <w:link w:val="Heading6Char"/>
    <w:uiPriority w:val="9"/>
    <w:semiHidden/>
    <w:unhideWhenUsed/>
    <w:qFormat/>
    <w:rsid w:val="007A280F"/>
    <w:pPr>
      <w:keepNext/>
      <w:keepLines/>
      <w:spacing w:before="40" w:after="0"/>
      <w:outlineLvl w:val="5"/>
    </w:pPr>
    <w:rPr>
      <w:rFonts w:asciiTheme="majorHAnsi" w:eastAsiaTheme="majorEastAsia" w:hAnsiTheme="majorHAnsi" w:cstheme="majorBidi"/>
      <w:i/>
      <w:iCs/>
      <w:caps/>
      <w:color w:val="244061" w:themeColor="accent1" w:themeShade="80"/>
    </w:rPr>
  </w:style>
  <w:style w:type="paragraph" w:styleId="Heading7">
    <w:name w:val="heading 7"/>
    <w:basedOn w:val="Normal"/>
    <w:next w:val="Normal"/>
    <w:link w:val="Heading7Char"/>
    <w:uiPriority w:val="9"/>
    <w:semiHidden/>
    <w:unhideWhenUsed/>
    <w:qFormat/>
    <w:rsid w:val="007A280F"/>
    <w:pPr>
      <w:keepNext/>
      <w:keepLines/>
      <w:spacing w:before="40" w:after="0"/>
      <w:outlineLvl w:val="6"/>
    </w:pPr>
    <w:rPr>
      <w:rFonts w:asciiTheme="majorHAnsi" w:eastAsiaTheme="majorEastAsia" w:hAnsiTheme="majorHAnsi" w:cstheme="majorBidi"/>
      <w:b/>
      <w:bCs/>
      <w:color w:val="244061" w:themeColor="accent1" w:themeShade="80"/>
    </w:rPr>
  </w:style>
  <w:style w:type="paragraph" w:styleId="Heading8">
    <w:name w:val="heading 8"/>
    <w:basedOn w:val="Normal"/>
    <w:next w:val="Normal"/>
    <w:link w:val="Heading8Char"/>
    <w:uiPriority w:val="9"/>
    <w:semiHidden/>
    <w:unhideWhenUsed/>
    <w:qFormat/>
    <w:rsid w:val="007A280F"/>
    <w:pPr>
      <w:keepNext/>
      <w:keepLines/>
      <w:spacing w:before="40" w:after="0"/>
      <w:outlineLvl w:val="7"/>
    </w:pPr>
    <w:rPr>
      <w:rFonts w:asciiTheme="majorHAnsi" w:eastAsiaTheme="majorEastAsia" w:hAnsiTheme="majorHAnsi" w:cstheme="majorBidi"/>
      <w:b/>
      <w:bCs/>
      <w:i/>
      <w:iCs/>
      <w:color w:val="244061" w:themeColor="accent1" w:themeShade="80"/>
    </w:rPr>
  </w:style>
  <w:style w:type="paragraph" w:styleId="Heading9">
    <w:name w:val="heading 9"/>
    <w:basedOn w:val="Normal"/>
    <w:next w:val="Normal"/>
    <w:link w:val="Heading9Char"/>
    <w:uiPriority w:val="9"/>
    <w:semiHidden/>
    <w:unhideWhenUsed/>
    <w:qFormat/>
    <w:rsid w:val="007A280F"/>
    <w:pPr>
      <w:keepNext/>
      <w:keepLines/>
      <w:spacing w:before="40" w:after="0"/>
      <w:outlineLvl w:val="8"/>
    </w:pPr>
    <w:rPr>
      <w:rFonts w:asciiTheme="majorHAnsi" w:eastAsiaTheme="majorEastAsia" w:hAnsiTheme="majorHAnsi" w:cstheme="majorBidi"/>
      <w:i/>
      <w:iCs/>
      <w:color w:val="24406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A280F"/>
    <w:pPr>
      <w:spacing w:after="0" w:line="204" w:lineRule="auto"/>
      <w:contextualSpacing/>
    </w:pPr>
    <w:rPr>
      <w:rFonts w:asciiTheme="majorHAnsi" w:eastAsiaTheme="majorEastAsia" w:hAnsiTheme="majorHAnsi" w:cstheme="majorBidi"/>
      <w:caps/>
      <w:color w:val="1F497D" w:themeColor="text2"/>
      <w:spacing w:val="-15"/>
      <w:sz w:val="72"/>
      <w:szCs w:val="72"/>
    </w:rPr>
  </w:style>
  <w:style w:type="paragraph" w:styleId="Subtitle">
    <w:name w:val="Subtitle"/>
    <w:basedOn w:val="Normal"/>
    <w:next w:val="Normal"/>
    <w:link w:val="SubtitleChar"/>
    <w:uiPriority w:val="11"/>
    <w:qFormat/>
    <w:rsid w:val="007A280F"/>
    <w:pPr>
      <w:numPr>
        <w:ilvl w:val="1"/>
      </w:numPr>
      <w:spacing w:after="240" w:line="240" w:lineRule="auto"/>
    </w:pPr>
    <w:rPr>
      <w:rFonts w:asciiTheme="majorHAnsi" w:eastAsiaTheme="majorEastAsia" w:hAnsiTheme="majorHAnsi" w:cstheme="majorBidi"/>
      <w:color w:val="4F81BD" w:themeColor="accent1"/>
      <w:sz w:val="28"/>
      <w:szCs w:val="28"/>
    </w:rPr>
  </w:style>
  <w:style w:type="character" w:customStyle="1" w:styleId="Heading1Char">
    <w:name w:val="Heading 1 Char"/>
    <w:basedOn w:val="DefaultParagraphFont"/>
    <w:link w:val="Heading1"/>
    <w:uiPriority w:val="9"/>
    <w:rsid w:val="007A280F"/>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rsid w:val="007A280F"/>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7A280F"/>
    <w:rPr>
      <w:rFonts w:asciiTheme="majorHAnsi" w:eastAsiaTheme="majorEastAsia" w:hAnsiTheme="majorHAnsi"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7A280F"/>
    <w:rPr>
      <w:rFonts w:asciiTheme="majorHAnsi" w:eastAsiaTheme="majorEastAsia" w:hAnsiTheme="majorHAnsi" w:cstheme="majorBidi"/>
      <w:color w:val="365F91" w:themeColor="accent1" w:themeShade="BF"/>
      <w:sz w:val="24"/>
      <w:szCs w:val="24"/>
    </w:rPr>
  </w:style>
  <w:style w:type="character" w:customStyle="1" w:styleId="Heading5Char">
    <w:name w:val="Heading 5 Char"/>
    <w:basedOn w:val="DefaultParagraphFont"/>
    <w:link w:val="Heading5"/>
    <w:uiPriority w:val="9"/>
    <w:semiHidden/>
    <w:rsid w:val="007A280F"/>
    <w:rPr>
      <w:rFonts w:asciiTheme="majorHAnsi" w:eastAsiaTheme="majorEastAsia" w:hAnsiTheme="majorHAnsi" w:cstheme="majorBidi"/>
      <w:caps/>
      <w:color w:val="365F91" w:themeColor="accent1" w:themeShade="BF"/>
    </w:rPr>
  </w:style>
  <w:style w:type="character" w:customStyle="1" w:styleId="Heading6Char">
    <w:name w:val="Heading 6 Char"/>
    <w:basedOn w:val="DefaultParagraphFont"/>
    <w:link w:val="Heading6"/>
    <w:uiPriority w:val="9"/>
    <w:semiHidden/>
    <w:rsid w:val="007A280F"/>
    <w:rPr>
      <w:rFonts w:asciiTheme="majorHAnsi" w:eastAsiaTheme="majorEastAsia" w:hAnsiTheme="majorHAnsi" w:cstheme="majorBidi"/>
      <w:i/>
      <w:iCs/>
      <w:caps/>
      <w:color w:val="244061" w:themeColor="accent1" w:themeShade="80"/>
    </w:rPr>
  </w:style>
  <w:style w:type="character" w:customStyle="1" w:styleId="Heading7Char">
    <w:name w:val="Heading 7 Char"/>
    <w:basedOn w:val="DefaultParagraphFont"/>
    <w:link w:val="Heading7"/>
    <w:uiPriority w:val="9"/>
    <w:semiHidden/>
    <w:rsid w:val="007A280F"/>
    <w:rPr>
      <w:rFonts w:asciiTheme="majorHAnsi" w:eastAsiaTheme="majorEastAsia" w:hAnsiTheme="majorHAnsi" w:cstheme="majorBidi"/>
      <w:b/>
      <w:bCs/>
      <w:color w:val="244061" w:themeColor="accent1" w:themeShade="80"/>
    </w:rPr>
  </w:style>
  <w:style w:type="character" w:customStyle="1" w:styleId="Heading8Char">
    <w:name w:val="Heading 8 Char"/>
    <w:basedOn w:val="DefaultParagraphFont"/>
    <w:link w:val="Heading8"/>
    <w:uiPriority w:val="9"/>
    <w:semiHidden/>
    <w:rsid w:val="007A280F"/>
    <w:rPr>
      <w:rFonts w:asciiTheme="majorHAnsi" w:eastAsiaTheme="majorEastAsia" w:hAnsiTheme="majorHAnsi" w:cstheme="majorBidi"/>
      <w:b/>
      <w:bCs/>
      <w:i/>
      <w:iCs/>
      <w:color w:val="244061" w:themeColor="accent1" w:themeShade="80"/>
    </w:rPr>
  </w:style>
  <w:style w:type="character" w:customStyle="1" w:styleId="Heading9Char">
    <w:name w:val="Heading 9 Char"/>
    <w:basedOn w:val="DefaultParagraphFont"/>
    <w:link w:val="Heading9"/>
    <w:uiPriority w:val="9"/>
    <w:semiHidden/>
    <w:rsid w:val="007A280F"/>
    <w:rPr>
      <w:rFonts w:asciiTheme="majorHAnsi" w:eastAsiaTheme="majorEastAsia" w:hAnsiTheme="majorHAnsi" w:cstheme="majorBidi"/>
      <w:i/>
      <w:iCs/>
      <w:color w:val="244061" w:themeColor="accent1" w:themeShade="80"/>
    </w:rPr>
  </w:style>
  <w:style w:type="paragraph" w:styleId="Caption">
    <w:name w:val="caption"/>
    <w:basedOn w:val="Normal"/>
    <w:next w:val="Normal"/>
    <w:uiPriority w:val="35"/>
    <w:semiHidden/>
    <w:unhideWhenUsed/>
    <w:qFormat/>
    <w:rsid w:val="007A280F"/>
    <w:pPr>
      <w:spacing w:line="240" w:lineRule="auto"/>
    </w:pPr>
    <w:rPr>
      <w:b/>
      <w:bCs/>
      <w:smallCaps/>
      <w:color w:val="1F497D" w:themeColor="text2"/>
    </w:rPr>
  </w:style>
  <w:style w:type="character" w:customStyle="1" w:styleId="TitleChar">
    <w:name w:val="Title Char"/>
    <w:basedOn w:val="DefaultParagraphFont"/>
    <w:link w:val="Title"/>
    <w:uiPriority w:val="10"/>
    <w:rsid w:val="007A280F"/>
    <w:rPr>
      <w:rFonts w:asciiTheme="majorHAnsi" w:eastAsiaTheme="majorEastAsia" w:hAnsiTheme="majorHAnsi" w:cstheme="majorBidi"/>
      <w:caps/>
      <w:color w:val="1F497D" w:themeColor="text2"/>
      <w:spacing w:val="-15"/>
      <w:sz w:val="72"/>
      <w:szCs w:val="72"/>
    </w:rPr>
  </w:style>
  <w:style w:type="character" w:customStyle="1" w:styleId="SubtitleChar">
    <w:name w:val="Subtitle Char"/>
    <w:basedOn w:val="DefaultParagraphFont"/>
    <w:link w:val="Subtitle"/>
    <w:uiPriority w:val="11"/>
    <w:rsid w:val="007A280F"/>
    <w:rPr>
      <w:rFonts w:asciiTheme="majorHAnsi" w:eastAsiaTheme="majorEastAsia" w:hAnsiTheme="majorHAnsi" w:cstheme="majorBidi"/>
      <w:color w:val="4F81BD" w:themeColor="accent1"/>
      <w:sz w:val="28"/>
      <w:szCs w:val="28"/>
    </w:rPr>
  </w:style>
  <w:style w:type="character" w:styleId="Strong">
    <w:name w:val="Strong"/>
    <w:basedOn w:val="DefaultParagraphFont"/>
    <w:uiPriority w:val="22"/>
    <w:qFormat/>
    <w:rsid w:val="007A280F"/>
    <w:rPr>
      <w:b/>
      <w:bCs/>
    </w:rPr>
  </w:style>
  <w:style w:type="character" w:styleId="Emphasis">
    <w:name w:val="Emphasis"/>
    <w:basedOn w:val="DefaultParagraphFont"/>
    <w:uiPriority w:val="20"/>
    <w:qFormat/>
    <w:rsid w:val="007A280F"/>
    <w:rPr>
      <w:i/>
      <w:iCs/>
    </w:rPr>
  </w:style>
  <w:style w:type="paragraph" w:styleId="NoSpacing">
    <w:name w:val="No Spacing"/>
    <w:link w:val="NoSpacingChar"/>
    <w:uiPriority w:val="1"/>
    <w:qFormat/>
    <w:rsid w:val="007A280F"/>
    <w:pPr>
      <w:spacing w:after="0" w:line="240" w:lineRule="auto"/>
    </w:pPr>
  </w:style>
  <w:style w:type="paragraph" w:styleId="Quote">
    <w:name w:val="Quote"/>
    <w:basedOn w:val="Normal"/>
    <w:next w:val="Normal"/>
    <w:link w:val="QuoteChar"/>
    <w:uiPriority w:val="29"/>
    <w:qFormat/>
    <w:rsid w:val="007A280F"/>
    <w:pPr>
      <w:spacing w:before="120" w:after="120"/>
      <w:ind w:left="720"/>
    </w:pPr>
    <w:rPr>
      <w:color w:val="1F497D" w:themeColor="text2"/>
      <w:sz w:val="24"/>
      <w:szCs w:val="24"/>
    </w:rPr>
  </w:style>
  <w:style w:type="character" w:customStyle="1" w:styleId="QuoteChar">
    <w:name w:val="Quote Char"/>
    <w:basedOn w:val="DefaultParagraphFont"/>
    <w:link w:val="Quote"/>
    <w:uiPriority w:val="29"/>
    <w:rsid w:val="007A280F"/>
    <w:rPr>
      <w:color w:val="1F497D" w:themeColor="text2"/>
      <w:sz w:val="24"/>
      <w:szCs w:val="24"/>
    </w:rPr>
  </w:style>
  <w:style w:type="paragraph" w:styleId="IntenseQuote">
    <w:name w:val="Intense Quote"/>
    <w:basedOn w:val="Normal"/>
    <w:next w:val="Normal"/>
    <w:link w:val="IntenseQuoteChar"/>
    <w:uiPriority w:val="30"/>
    <w:qFormat/>
    <w:rsid w:val="007A280F"/>
    <w:pPr>
      <w:spacing w:before="100" w:beforeAutospacing="1" w:after="240" w:line="240" w:lineRule="auto"/>
      <w:ind w:left="720"/>
      <w:jc w:val="center"/>
    </w:pPr>
    <w:rPr>
      <w:rFonts w:asciiTheme="majorHAnsi" w:eastAsiaTheme="majorEastAsia" w:hAnsiTheme="majorHAnsi" w:cstheme="majorBidi"/>
      <w:color w:val="1F497D" w:themeColor="text2"/>
      <w:spacing w:val="-6"/>
      <w:sz w:val="32"/>
      <w:szCs w:val="32"/>
    </w:rPr>
  </w:style>
  <w:style w:type="character" w:customStyle="1" w:styleId="IntenseQuoteChar">
    <w:name w:val="Intense Quote Char"/>
    <w:basedOn w:val="DefaultParagraphFont"/>
    <w:link w:val="IntenseQuote"/>
    <w:uiPriority w:val="30"/>
    <w:rsid w:val="007A280F"/>
    <w:rPr>
      <w:rFonts w:asciiTheme="majorHAnsi" w:eastAsiaTheme="majorEastAsia" w:hAnsiTheme="majorHAnsi" w:cstheme="majorBidi"/>
      <w:color w:val="1F497D" w:themeColor="text2"/>
      <w:spacing w:val="-6"/>
      <w:sz w:val="32"/>
      <w:szCs w:val="32"/>
    </w:rPr>
  </w:style>
  <w:style w:type="character" w:styleId="SubtleEmphasis">
    <w:name w:val="Subtle Emphasis"/>
    <w:basedOn w:val="DefaultParagraphFont"/>
    <w:uiPriority w:val="19"/>
    <w:qFormat/>
    <w:rsid w:val="007A280F"/>
    <w:rPr>
      <w:i/>
      <w:iCs/>
      <w:color w:val="595959" w:themeColor="text1" w:themeTint="A6"/>
    </w:rPr>
  </w:style>
  <w:style w:type="character" w:styleId="IntenseEmphasis">
    <w:name w:val="Intense Emphasis"/>
    <w:basedOn w:val="DefaultParagraphFont"/>
    <w:uiPriority w:val="21"/>
    <w:qFormat/>
    <w:rsid w:val="007A280F"/>
    <w:rPr>
      <w:b/>
      <w:bCs/>
      <w:i/>
      <w:iCs/>
    </w:rPr>
  </w:style>
  <w:style w:type="character" w:styleId="SubtleReference">
    <w:name w:val="Subtle Reference"/>
    <w:basedOn w:val="DefaultParagraphFont"/>
    <w:uiPriority w:val="31"/>
    <w:qFormat/>
    <w:rsid w:val="007A280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A280F"/>
    <w:rPr>
      <w:b/>
      <w:bCs/>
      <w:smallCaps/>
      <w:color w:val="1F497D" w:themeColor="text2"/>
      <w:u w:val="single"/>
    </w:rPr>
  </w:style>
  <w:style w:type="character" w:styleId="BookTitle">
    <w:name w:val="Book Title"/>
    <w:basedOn w:val="DefaultParagraphFont"/>
    <w:uiPriority w:val="33"/>
    <w:qFormat/>
    <w:rsid w:val="007A280F"/>
    <w:rPr>
      <w:b/>
      <w:bCs/>
      <w:smallCaps/>
      <w:spacing w:val="10"/>
    </w:rPr>
  </w:style>
  <w:style w:type="paragraph" w:styleId="TOCHeading">
    <w:name w:val="TOC Heading"/>
    <w:basedOn w:val="Heading1"/>
    <w:next w:val="Normal"/>
    <w:uiPriority w:val="39"/>
    <w:unhideWhenUsed/>
    <w:qFormat/>
    <w:rsid w:val="007A280F"/>
    <w:pPr>
      <w:outlineLvl w:val="9"/>
    </w:pPr>
  </w:style>
  <w:style w:type="paragraph" w:styleId="ListParagraph">
    <w:name w:val="List Paragraph"/>
    <w:basedOn w:val="Normal"/>
    <w:uiPriority w:val="34"/>
    <w:qFormat/>
    <w:rsid w:val="007A280F"/>
    <w:pPr>
      <w:ind w:left="720"/>
      <w:contextualSpacing/>
    </w:pPr>
  </w:style>
  <w:style w:type="paragraph" w:styleId="TOC1">
    <w:name w:val="toc 1"/>
    <w:basedOn w:val="Normal"/>
    <w:next w:val="Normal"/>
    <w:autoRedefine/>
    <w:uiPriority w:val="39"/>
    <w:unhideWhenUsed/>
    <w:rsid w:val="007A280F"/>
    <w:pPr>
      <w:spacing w:after="100"/>
    </w:pPr>
  </w:style>
  <w:style w:type="paragraph" w:styleId="TOC2">
    <w:name w:val="toc 2"/>
    <w:basedOn w:val="Normal"/>
    <w:next w:val="Normal"/>
    <w:autoRedefine/>
    <w:uiPriority w:val="39"/>
    <w:unhideWhenUsed/>
    <w:rsid w:val="007A280F"/>
    <w:pPr>
      <w:spacing w:after="100"/>
      <w:ind w:left="220"/>
    </w:pPr>
  </w:style>
  <w:style w:type="character" w:styleId="Hyperlink">
    <w:name w:val="Hyperlink"/>
    <w:basedOn w:val="DefaultParagraphFont"/>
    <w:uiPriority w:val="99"/>
    <w:unhideWhenUsed/>
    <w:rsid w:val="007A280F"/>
    <w:rPr>
      <w:color w:val="0000FF" w:themeColor="hyperlink"/>
      <w:u w:val="single"/>
    </w:rPr>
  </w:style>
  <w:style w:type="paragraph" w:styleId="Header">
    <w:name w:val="header"/>
    <w:basedOn w:val="Normal"/>
    <w:link w:val="HeaderChar"/>
    <w:uiPriority w:val="99"/>
    <w:unhideWhenUsed/>
    <w:rsid w:val="00610D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0D81"/>
  </w:style>
  <w:style w:type="paragraph" w:styleId="Footer">
    <w:name w:val="footer"/>
    <w:basedOn w:val="Normal"/>
    <w:link w:val="FooterChar"/>
    <w:uiPriority w:val="99"/>
    <w:unhideWhenUsed/>
    <w:rsid w:val="00610D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0D81"/>
  </w:style>
  <w:style w:type="character" w:customStyle="1" w:styleId="NoSpacingChar">
    <w:name w:val="No Spacing Char"/>
    <w:basedOn w:val="DefaultParagraphFont"/>
    <w:link w:val="NoSpacing"/>
    <w:uiPriority w:val="1"/>
    <w:rsid w:val="00610D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054125">
      <w:bodyDiv w:val="1"/>
      <w:marLeft w:val="0"/>
      <w:marRight w:val="0"/>
      <w:marTop w:val="0"/>
      <w:marBottom w:val="0"/>
      <w:divBdr>
        <w:top w:val="none" w:sz="0" w:space="0" w:color="auto"/>
        <w:left w:val="none" w:sz="0" w:space="0" w:color="auto"/>
        <w:bottom w:val="none" w:sz="0" w:space="0" w:color="auto"/>
        <w:right w:val="none" w:sz="0" w:space="0" w:color="auto"/>
      </w:divBdr>
    </w:div>
    <w:div w:id="336932130">
      <w:bodyDiv w:val="1"/>
      <w:marLeft w:val="0"/>
      <w:marRight w:val="0"/>
      <w:marTop w:val="0"/>
      <w:marBottom w:val="0"/>
      <w:divBdr>
        <w:top w:val="none" w:sz="0" w:space="0" w:color="auto"/>
        <w:left w:val="none" w:sz="0" w:space="0" w:color="auto"/>
        <w:bottom w:val="none" w:sz="0" w:space="0" w:color="auto"/>
        <w:right w:val="none" w:sz="0" w:space="0" w:color="auto"/>
      </w:divBdr>
    </w:div>
    <w:div w:id="106221648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FBC06FE30044085BB28D1E702345667"/>
        <w:category>
          <w:name w:val="General"/>
          <w:gallery w:val="placeholder"/>
        </w:category>
        <w:types>
          <w:type w:val="bbPlcHdr"/>
        </w:types>
        <w:behaviors>
          <w:behavior w:val="content"/>
        </w:behaviors>
        <w:guid w:val="{5EC383CD-53D8-49D5-A12D-537ABB80D787}"/>
      </w:docPartPr>
      <w:docPartBody>
        <w:p w:rsidR="004D3010" w:rsidRDefault="00804999" w:rsidP="00804999">
          <w:pPr>
            <w:pStyle w:val="7FBC06FE30044085BB28D1E702345667"/>
          </w:pPr>
          <w:r>
            <w:rPr>
              <w:rFonts w:asciiTheme="majorHAnsi" w:eastAsiaTheme="majorEastAsia" w:hAnsiTheme="majorHAnsi" w:cstheme="majorBidi"/>
              <w:caps/>
              <w:color w:val="4472C4" w:themeColor="accent1"/>
              <w:sz w:val="80"/>
              <w:szCs w:val="80"/>
            </w:rPr>
            <w:t>[Document title]</w:t>
          </w:r>
        </w:p>
      </w:docPartBody>
    </w:docPart>
    <w:docPart>
      <w:docPartPr>
        <w:name w:val="38A0013EA3814E869B740F1FFA803C5C"/>
        <w:category>
          <w:name w:val="General"/>
          <w:gallery w:val="placeholder"/>
        </w:category>
        <w:types>
          <w:type w:val="bbPlcHdr"/>
        </w:types>
        <w:behaviors>
          <w:behavior w:val="content"/>
        </w:behaviors>
        <w:guid w:val="{3C84A76B-6AED-4657-95CE-D0E735D6D206}"/>
      </w:docPartPr>
      <w:docPartBody>
        <w:p w:rsidR="004D3010" w:rsidRDefault="00804999" w:rsidP="00804999">
          <w:pPr>
            <w:pStyle w:val="38A0013EA3814E869B740F1FFA803C5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999"/>
    <w:rsid w:val="002343CF"/>
    <w:rsid w:val="00367BF3"/>
    <w:rsid w:val="004D3010"/>
    <w:rsid w:val="00804999"/>
    <w:rsid w:val="00C970C1"/>
    <w:rsid w:val="00D252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FBC06FE30044085BB28D1E702345667">
    <w:name w:val="7FBC06FE30044085BB28D1E702345667"/>
    <w:rsid w:val="00804999"/>
  </w:style>
  <w:style w:type="paragraph" w:customStyle="1" w:styleId="38A0013EA3814E869B740F1FFA803C5C">
    <w:name w:val="38A0013EA3814E869B740F1FFA803C5C"/>
    <w:rsid w:val="008049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5E375F-151F-4FA7-A7B4-259AFF8F7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2385</Words>
  <Characters>13596</Characters>
  <Application>Microsoft Office Word</Application>
  <DocSecurity>4</DocSecurity>
  <Lines>113</Lines>
  <Paragraphs>31</Paragraphs>
  <ScaleCrop>false</ScaleCrop>
  <HeadingPairs>
    <vt:vector size="2" baseType="variant">
      <vt:variant>
        <vt:lpstr>Title</vt:lpstr>
      </vt:variant>
      <vt:variant>
        <vt:i4>1</vt:i4>
      </vt:variant>
    </vt:vector>
  </HeadingPairs>
  <TitlesOfParts>
    <vt:vector size="1" baseType="lpstr">
      <vt:lpstr>BMIH5007 Financial Management for the Hotel Industry</vt:lpstr>
    </vt:vector>
  </TitlesOfParts>
  <Company>UNIVERSITY OF WALES TRINITY SAINT DAVID</Company>
  <LinksUpToDate>false</LinksUpToDate>
  <CharactersWithSpaces>15950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BMIH5007 Financial Management for the Hotel Industry</dc:title>
  <dc:subject>Assignment 1: Hilton Hotel</dc:subject>
  <dc:creator>ccuk</dc:creator>
  <cp:lastModifiedBy>marius strateanu</cp:lastModifiedBy>
  <cp:revision>2</cp:revision>
  <dcterms:created xsi:type="dcterms:W3CDTF">2022-05-30T21:04:00Z</dcterms:created>
  <dcterms:modified xsi:type="dcterms:W3CDTF">2022-05-30T21:04:00Z</dcterms:modified>
</cp:coreProperties>
</file>